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May 27, 2021</w:t>
      </w:r>
    </w:p>
    <w:p>
      <w:pPr>
        <w:spacing w:after="0" w:line="4" w:lineRule="exact"/>
        <w:rPr>
          <w:sz w:val="24"/>
          <w:szCs w:val="24"/>
          <w:color w:val="auto"/>
        </w:rPr>
      </w:pPr>
    </w:p>
    <w:p>
      <w:pPr>
        <w:ind w:left="92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2"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2"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F-3</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REGISTRATION STATEMENT</w:t>
      </w: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ASCENDIS PHARMA A/S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2" w:lineRule="exact"/>
        <w:rPr>
          <w:sz w:val="24"/>
          <w:szCs w:val="24"/>
          <w:color w:val="auto"/>
        </w:rPr>
      </w:pPr>
    </w:p>
    <w:tbl>
      <w:tblPr>
        <w:tblLayout w:type="fixed"/>
        <w:tblInd w:w="196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20" w:type="dxa"/>
            <w:vAlign w:val="bottom"/>
            <w:gridSpan w:val="2"/>
          </w:tcPr>
          <w:p>
            <w:pPr>
              <w:jc w:val="center"/>
              <w:ind w:right="2328"/>
              <w:spacing w:after="0"/>
              <w:rPr>
                <w:sz w:val="20"/>
                <w:szCs w:val="20"/>
                <w:color w:val="auto"/>
              </w:rPr>
            </w:pPr>
            <w:r>
              <w:rPr>
                <w:rFonts w:ascii="Arial" w:cs="Arial" w:eastAsia="Arial" w:hAnsi="Arial"/>
                <w:sz w:val="14"/>
                <w:szCs w:val="14"/>
                <w:b w:val="1"/>
                <w:bCs w:val="1"/>
                <w:color w:val="auto"/>
                <w:w w:val="93"/>
              </w:rPr>
              <w:t>Not Applicable</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5180" w:type="dxa"/>
            <w:vAlign w:val="bottom"/>
            <w:gridSpan w:val="3"/>
          </w:tcPr>
          <w:p>
            <w:pPr>
              <w:jc w:val="center"/>
              <w:ind w:right="1868"/>
              <w:spacing w:after="0"/>
              <w:rPr>
                <w:sz w:val="20"/>
                <w:szCs w:val="20"/>
                <w:color w:val="auto"/>
              </w:rPr>
            </w:pPr>
            <w:r>
              <w:rPr>
                <w:rFonts w:ascii="Arial" w:cs="Arial" w:eastAsia="Arial" w:hAnsi="Arial"/>
                <w:sz w:val="14"/>
                <w:szCs w:val="14"/>
                <w:b w:val="1"/>
                <w:bCs w:val="1"/>
                <w:color w:val="auto"/>
                <w:w w:val="92"/>
              </w:rPr>
              <w:t>(Translation of Registrant’s name into English)</w:t>
            </w:r>
          </w:p>
        </w:tc>
        <w:tc>
          <w:tcPr>
            <w:tcW w:w="0" w:type="dxa"/>
            <w:vAlign w:val="bottom"/>
          </w:tcPr>
          <w:p>
            <w:pPr>
              <w:spacing w:after="0"/>
              <w:rPr>
                <w:sz w:val="1"/>
                <w:szCs w:val="1"/>
                <w:color w:val="auto"/>
              </w:rPr>
            </w:pPr>
          </w:p>
        </w:tc>
      </w:tr>
      <w:tr>
        <w:trPr>
          <w:trHeight w:val="134"/>
        </w:trPr>
        <w:tc>
          <w:tcPr>
            <w:tcW w:w="20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6"/>
              </w:rPr>
              <w:t>The Kingdom of Denmark</w:t>
            </w:r>
          </w:p>
        </w:tc>
        <w:tc>
          <w:tcPr>
            <w:tcW w:w="460" w:type="dxa"/>
            <w:vAlign w:val="bottom"/>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400" w:type="dxa"/>
            <w:vAlign w:val="bottom"/>
            <w:vMerge w:val="restart"/>
          </w:tcPr>
          <w:p>
            <w:pPr>
              <w:jc w:val="center"/>
              <w:ind w:left="888"/>
              <w:spacing w:after="0"/>
              <w:rPr>
                <w:sz w:val="20"/>
                <w:szCs w:val="20"/>
                <w:color w:val="auto"/>
              </w:rPr>
            </w:pPr>
            <w:r>
              <w:rPr>
                <w:rFonts w:ascii="Arial" w:cs="Arial" w:eastAsia="Arial" w:hAnsi="Arial"/>
                <w:sz w:val="14"/>
                <w:szCs w:val="14"/>
                <w:b w:val="1"/>
                <w:bCs w:val="1"/>
                <w:color w:val="auto"/>
                <w:w w:val="93"/>
              </w:rPr>
              <w:t>Not Applicable</w:t>
            </w:r>
          </w:p>
        </w:tc>
        <w:tc>
          <w:tcPr>
            <w:tcW w:w="0" w:type="dxa"/>
            <w:vAlign w:val="bottom"/>
          </w:tcPr>
          <w:p>
            <w:pPr>
              <w:spacing w:after="0"/>
              <w:rPr>
                <w:sz w:val="1"/>
                <w:szCs w:val="1"/>
                <w:color w:val="auto"/>
              </w:rPr>
            </w:pPr>
          </w:p>
        </w:tc>
      </w:tr>
      <w:tr>
        <w:trPr>
          <w:trHeight w:val="200"/>
        </w:trPr>
        <w:tc>
          <w:tcPr>
            <w:tcW w:w="204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4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40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040" w:type="dxa"/>
            <w:vAlign w:val="bottom"/>
          </w:tcPr>
          <w:p>
            <w:pPr>
              <w:jc w:val="center"/>
              <w:ind w:right="88"/>
              <w:spacing w:after="0"/>
              <w:rPr>
                <w:sz w:val="20"/>
                <w:szCs w:val="20"/>
                <w:color w:val="auto"/>
              </w:rPr>
            </w:pPr>
            <w:r>
              <w:rPr>
                <w:rFonts w:ascii="Arial" w:cs="Arial" w:eastAsia="Arial" w:hAnsi="Arial"/>
                <w:sz w:val="14"/>
                <w:szCs w:val="14"/>
                <w:b w:val="1"/>
                <w:bCs w:val="1"/>
                <w:color w:val="auto"/>
                <w:w w:val="94"/>
              </w:rPr>
              <w:t>incorporation or organization)</w:t>
            </w:r>
          </w:p>
        </w:tc>
        <w:tc>
          <w:tcPr>
            <w:tcW w:w="4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400" w:type="dxa"/>
            <w:vAlign w:val="bottom"/>
          </w:tcPr>
          <w:p>
            <w:pPr>
              <w:jc w:val="center"/>
              <w:ind w:left="888"/>
              <w:spacing w:after="0"/>
              <w:rPr>
                <w:sz w:val="20"/>
                <w:szCs w:val="20"/>
                <w:color w:val="auto"/>
              </w:rPr>
            </w:pPr>
            <w:r>
              <w:rPr>
                <w:rFonts w:ascii="Arial" w:cs="Arial" w:eastAsia="Arial" w:hAnsi="Arial"/>
                <w:sz w:val="14"/>
                <w:szCs w:val="14"/>
                <w:b w:val="1"/>
                <w:bCs w:val="1"/>
                <w:color w:val="auto"/>
                <w:w w:val="96"/>
              </w:rPr>
              <w:t>Identification Number)</w:t>
            </w:r>
          </w:p>
        </w:tc>
        <w:tc>
          <w:tcPr>
            <w:tcW w:w="0" w:type="dxa"/>
            <w:vAlign w:val="bottom"/>
          </w:tcPr>
          <w:p>
            <w:pPr>
              <w:spacing w:after="0"/>
              <w:rPr>
                <w:sz w:val="1"/>
                <w:szCs w:val="1"/>
                <w:color w:val="auto"/>
              </w:rPr>
            </w:pPr>
          </w:p>
        </w:tc>
      </w:tr>
      <w:tr>
        <w:trPr>
          <w:trHeight w:val="151"/>
        </w:trPr>
        <w:tc>
          <w:tcPr>
            <w:tcW w:w="2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720" w:type="dxa"/>
            <w:vAlign w:val="bottom"/>
            <w:gridSpan w:val="2"/>
          </w:tcPr>
          <w:p>
            <w:pPr>
              <w:jc w:val="center"/>
              <w:ind w:right="2308"/>
              <w:spacing w:after="0" w:line="151" w:lineRule="exact"/>
              <w:rPr>
                <w:sz w:val="20"/>
                <w:szCs w:val="20"/>
                <w:color w:val="auto"/>
              </w:rPr>
            </w:pPr>
            <w:r>
              <w:rPr>
                <w:rFonts w:ascii="Arial" w:cs="Arial" w:eastAsia="Arial" w:hAnsi="Arial"/>
                <w:sz w:val="14"/>
                <w:szCs w:val="14"/>
                <w:b w:val="1"/>
                <w:bCs w:val="1"/>
                <w:color w:val="auto"/>
                <w:w w:val="92"/>
              </w:rPr>
              <w:t>Tuborg Boulevard 12</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720" w:type="dxa"/>
            <w:vAlign w:val="bottom"/>
            <w:gridSpan w:val="2"/>
          </w:tcPr>
          <w:p>
            <w:pPr>
              <w:jc w:val="center"/>
              <w:ind w:right="2308"/>
              <w:spacing w:after="0" w:line="149" w:lineRule="exact"/>
              <w:rPr>
                <w:sz w:val="20"/>
                <w:szCs w:val="20"/>
                <w:color w:val="auto"/>
              </w:rPr>
            </w:pPr>
            <w:r>
              <w:rPr>
                <w:rFonts w:ascii="Arial" w:cs="Arial" w:eastAsia="Arial" w:hAnsi="Arial"/>
                <w:sz w:val="14"/>
                <w:szCs w:val="14"/>
                <w:b w:val="1"/>
                <w:bCs w:val="1"/>
                <w:color w:val="auto"/>
                <w:w w:val="96"/>
              </w:rPr>
              <w:t>DK-2900 Hellerup, Denmark</w:t>
            </w:r>
          </w:p>
        </w:tc>
        <w:tc>
          <w:tcPr>
            <w:tcW w:w="0" w:type="dxa"/>
            <w:vAlign w:val="bottom"/>
          </w:tcPr>
          <w:p>
            <w:pPr>
              <w:spacing w:after="0"/>
              <w:rPr>
                <w:sz w:val="1"/>
                <w:szCs w:val="1"/>
                <w:color w:val="auto"/>
              </w:rPr>
            </w:pPr>
          </w:p>
        </w:tc>
      </w:tr>
      <w:tr>
        <w:trPr>
          <w:trHeight w:val="164"/>
        </w:trPr>
        <w:tc>
          <w:tcPr>
            <w:tcW w:w="2040" w:type="dxa"/>
            <w:vAlign w:val="bottom"/>
          </w:tcPr>
          <w:p>
            <w:pPr>
              <w:spacing w:after="0"/>
              <w:rPr>
                <w:sz w:val="14"/>
                <w:szCs w:val="14"/>
                <w:color w:val="auto"/>
              </w:rPr>
            </w:pPr>
          </w:p>
        </w:tc>
        <w:tc>
          <w:tcPr>
            <w:tcW w:w="2780" w:type="dxa"/>
            <w:vAlign w:val="bottom"/>
            <w:gridSpan w:val="2"/>
          </w:tcPr>
          <w:p>
            <w:pPr>
              <w:jc w:val="center"/>
              <w:ind w:left="408"/>
              <w:spacing w:after="0"/>
              <w:rPr>
                <w:sz w:val="20"/>
                <w:szCs w:val="20"/>
                <w:color w:val="auto"/>
              </w:rPr>
            </w:pPr>
            <w:r>
              <w:rPr>
                <w:rFonts w:ascii="Arial" w:cs="Arial" w:eastAsia="Arial" w:hAnsi="Arial"/>
                <w:sz w:val="14"/>
                <w:szCs w:val="14"/>
                <w:b w:val="1"/>
                <w:bCs w:val="1"/>
                <w:color w:val="auto"/>
                <w:w w:val="92"/>
              </w:rPr>
              <w:t>+45 70 22 22 44</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jc w:val="center"/>
        <w:ind w:right="-9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Scott T. Smith</w:t>
      </w:r>
    </w:p>
    <w:p>
      <w:pPr>
        <w:jc w:val="center"/>
        <w:ind w:right="-99"/>
        <w:spacing w:after="0" w:line="226" w:lineRule="auto"/>
        <w:rPr>
          <w:sz w:val="20"/>
          <w:szCs w:val="20"/>
          <w:color w:val="auto"/>
        </w:rPr>
      </w:pPr>
      <w:r>
        <w:rPr>
          <w:rFonts w:ascii="Arial" w:cs="Arial" w:eastAsia="Arial" w:hAnsi="Arial"/>
          <w:sz w:val="14"/>
          <w:szCs w:val="14"/>
          <w:b w:val="1"/>
          <w:bCs w:val="1"/>
          <w:color w:val="auto"/>
        </w:rPr>
        <w:t>Senior Vice President, Chief Financial Officer</w:t>
      </w:r>
    </w:p>
    <w:p>
      <w:pPr>
        <w:jc w:val="center"/>
        <w:ind w:right="-99"/>
        <w:spacing w:after="0" w:line="221" w:lineRule="auto"/>
        <w:rPr>
          <w:sz w:val="20"/>
          <w:szCs w:val="20"/>
          <w:color w:val="auto"/>
        </w:rPr>
      </w:pPr>
      <w:r>
        <w:rPr>
          <w:rFonts w:ascii="Arial" w:cs="Arial" w:eastAsia="Arial" w:hAnsi="Arial"/>
          <w:sz w:val="14"/>
          <w:szCs w:val="14"/>
          <w:b w:val="1"/>
          <w:bCs w:val="1"/>
          <w:color w:val="auto"/>
        </w:rPr>
        <w:t>Ascendis Pharma, Inc.</w:t>
      </w:r>
    </w:p>
    <w:p>
      <w:pPr>
        <w:jc w:val="center"/>
        <w:ind w:right="-99"/>
        <w:spacing w:after="0" w:line="222" w:lineRule="auto"/>
        <w:rPr>
          <w:sz w:val="20"/>
          <w:szCs w:val="20"/>
          <w:color w:val="auto"/>
        </w:rPr>
      </w:pPr>
      <w:r>
        <w:rPr>
          <w:rFonts w:ascii="Arial" w:cs="Arial" w:eastAsia="Arial" w:hAnsi="Arial"/>
          <w:sz w:val="14"/>
          <w:szCs w:val="14"/>
          <w:b w:val="1"/>
          <w:bCs w:val="1"/>
          <w:color w:val="auto"/>
        </w:rPr>
        <w:t>500 Emerson Street</w:t>
      </w:r>
    </w:p>
    <w:p>
      <w:pPr>
        <w:jc w:val="center"/>
        <w:ind w:right="-99"/>
        <w:spacing w:after="0" w:line="221" w:lineRule="auto"/>
        <w:rPr>
          <w:sz w:val="20"/>
          <w:szCs w:val="20"/>
          <w:color w:val="auto"/>
        </w:rPr>
      </w:pPr>
      <w:r>
        <w:rPr>
          <w:rFonts w:ascii="Arial" w:cs="Arial" w:eastAsia="Arial" w:hAnsi="Arial"/>
          <w:sz w:val="14"/>
          <w:szCs w:val="14"/>
          <w:b w:val="1"/>
          <w:bCs w:val="1"/>
          <w:color w:val="auto"/>
        </w:rPr>
        <w:t>Palo Alto, CA USA 94301</w:t>
      </w:r>
    </w:p>
    <w:p>
      <w:pPr>
        <w:jc w:val="center"/>
        <w:ind w:right="-99"/>
        <w:spacing w:after="0" w:line="222" w:lineRule="auto"/>
        <w:rPr>
          <w:sz w:val="20"/>
          <w:szCs w:val="20"/>
          <w:color w:val="auto"/>
        </w:rPr>
      </w:pPr>
      <w:r>
        <w:rPr>
          <w:rFonts w:ascii="Arial" w:cs="Arial" w:eastAsia="Arial" w:hAnsi="Arial"/>
          <w:sz w:val="14"/>
          <w:szCs w:val="14"/>
          <w:b w:val="1"/>
          <w:bCs w:val="1"/>
          <w:color w:val="auto"/>
        </w:rPr>
        <w:t>(650) 352-8389</w:t>
      </w: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i w:val="1"/>
          <w:iCs w:val="1"/>
          <w:color w:val="auto"/>
        </w:rPr>
        <w:t>Copies to:</w:t>
      </w:r>
    </w:p>
    <w:p>
      <w:pPr>
        <w:jc w:val="center"/>
        <w:ind w:right="-99"/>
        <w:spacing w:after="0" w:line="221" w:lineRule="auto"/>
        <w:rPr>
          <w:sz w:val="20"/>
          <w:szCs w:val="20"/>
          <w:color w:val="auto"/>
        </w:rPr>
      </w:pPr>
      <w:r>
        <w:rPr>
          <w:rFonts w:ascii="Arial" w:cs="Arial" w:eastAsia="Arial" w:hAnsi="Arial"/>
          <w:sz w:val="14"/>
          <w:szCs w:val="14"/>
          <w:b w:val="1"/>
          <w:bCs w:val="1"/>
          <w:color w:val="auto"/>
        </w:rPr>
        <w:t>Mark V. Roeder</w:t>
      </w:r>
    </w:p>
    <w:p>
      <w:pPr>
        <w:jc w:val="center"/>
        <w:ind w:right="-99"/>
        <w:spacing w:after="0" w:line="221" w:lineRule="auto"/>
        <w:rPr>
          <w:sz w:val="20"/>
          <w:szCs w:val="20"/>
          <w:color w:val="auto"/>
        </w:rPr>
      </w:pPr>
      <w:r>
        <w:rPr>
          <w:rFonts w:ascii="Arial" w:cs="Arial" w:eastAsia="Arial" w:hAnsi="Arial"/>
          <w:sz w:val="14"/>
          <w:szCs w:val="14"/>
          <w:b w:val="1"/>
          <w:bCs w:val="1"/>
          <w:color w:val="auto"/>
        </w:rPr>
        <w:t>John C. Williams</w:t>
      </w:r>
    </w:p>
    <w:p>
      <w:pPr>
        <w:jc w:val="center"/>
        <w:ind w:right="-99"/>
        <w:spacing w:after="0" w:line="222" w:lineRule="auto"/>
        <w:rPr>
          <w:sz w:val="20"/>
          <w:szCs w:val="20"/>
          <w:color w:val="auto"/>
        </w:rPr>
      </w:pPr>
      <w:r>
        <w:rPr>
          <w:rFonts w:ascii="Arial" w:cs="Arial" w:eastAsia="Arial" w:hAnsi="Arial"/>
          <w:sz w:val="14"/>
          <w:szCs w:val="14"/>
          <w:b w:val="1"/>
          <w:bCs w:val="1"/>
          <w:color w:val="auto"/>
        </w:rPr>
        <w:t>Latham &amp; Watkins LLP</w:t>
      </w:r>
    </w:p>
    <w:p>
      <w:pPr>
        <w:jc w:val="center"/>
        <w:ind w:right="-99"/>
        <w:spacing w:after="0" w:line="221" w:lineRule="auto"/>
        <w:rPr>
          <w:sz w:val="20"/>
          <w:szCs w:val="20"/>
          <w:color w:val="auto"/>
        </w:rPr>
      </w:pPr>
      <w:r>
        <w:rPr>
          <w:rFonts w:ascii="Arial" w:cs="Arial" w:eastAsia="Arial" w:hAnsi="Arial"/>
          <w:sz w:val="14"/>
          <w:szCs w:val="14"/>
          <w:b w:val="1"/>
          <w:bCs w:val="1"/>
          <w:color w:val="auto"/>
        </w:rPr>
        <w:t>140 Scott Drive</w:t>
      </w:r>
    </w:p>
    <w:p>
      <w:pPr>
        <w:jc w:val="center"/>
        <w:ind w:right="-99"/>
        <w:spacing w:after="0" w:line="221" w:lineRule="auto"/>
        <w:rPr>
          <w:sz w:val="20"/>
          <w:szCs w:val="20"/>
          <w:color w:val="auto"/>
        </w:rPr>
      </w:pPr>
      <w:r>
        <w:rPr>
          <w:rFonts w:ascii="Arial" w:cs="Arial" w:eastAsia="Arial" w:hAnsi="Arial"/>
          <w:sz w:val="14"/>
          <w:szCs w:val="14"/>
          <w:b w:val="1"/>
          <w:bCs w:val="1"/>
          <w:color w:val="auto"/>
        </w:rPr>
        <w:t>Menlo Park, CA 94025</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(650) 328-4600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ind w:left="120" w:right="1140"/>
        <w:spacing w:after="0" w:line="202" w:lineRule="exact"/>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From time to time after the effective date of this registration statement.</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1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67" w:lineRule="exact"/>
        <w:rPr>
          <w:sz w:val="24"/>
          <w:szCs w:val="24"/>
          <w:color w:val="auto"/>
        </w:rPr>
      </w:pPr>
    </w:p>
    <w:p>
      <w:pPr>
        <w:ind w:left="120" w:right="34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36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160"/>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I.C. or a post-effective amendment thereto that shall become effective on filing with the Commission pursuant to Rule 462(e)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00"/>
        <w:spacing w:after="0" w:line="176"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21" w:lineRule="exact"/>
        <w:rPr>
          <w:sz w:val="24"/>
          <w:szCs w:val="24"/>
          <w:color w:val="auto"/>
        </w:rPr>
      </w:pPr>
    </w:p>
    <w:p>
      <w:pPr>
        <w:ind w:left="8940"/>
        <w:spacing w:after="0" w:line="161" w:lineRule="exact"/>
        <w:tabs>
          <w:tab w:leader="none" w:pos="1090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62" w:lineRule="exact"/>
        <w:rPr>
          <w:sz w:val="24"/>
          <w:szCs w:val="24"/>
          <w:color w:val="auto"/>
        </w:rPr>
      </w:pPr>
    </w:p>
    <w:p>
      <w:pPr>
        <w:ind w:left="120" w:right="280"/>
        <w:spacing w:after="0" w:line="180"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r>
        <w:rPr>
          <w:rFonts w:ascii="MS PGothic" w:cs="MS PGothic" w:eastAsia="MS PGothic" w:hAnsi="MS PGothic"/>
          <w:sz w:val="14"/>
          <w:szCs w:val="14"/>
          <w:color w:val="auto"/>
        </w:rPr>
        <w:t>☐</w:t>
      </w:r>
    </w:p>
    <w:p>
      <w:pPr>
        <w:spacing w:after="0" w:line="5" w:lineRule="exact"/>
        <w:rPr>
          <w:sz w:val="24"/>
          <w:szCs w:val="24"/>
          <w:color w:val="auto"/>
        </w:rPr>
      </w:pPr>
    </w:p>
    <w:p>
      <w:pPr>
        <w:ind w:left="340" w:right="160" w:hanging="224"/>
        <w:spacing w:after="0" w:line="253"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79375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5300" w:type="dxa"/>
            <w:vAlign w:val="bottom"/>
            <w:tcBorders>
              <w:top w:val="single" w:sz="8" w:color="auto"/>
              <w:bottom w:val="single" w:sz="8" w:color="auto"/>
            </w:tcBorders>
          </w:tcPr>
          <w:p>
            <w:pPr>
              <w:spacing w:after="0"/>
              <w:rPr>
                <w:sz w:val="3"/>
                <w:szCs w:val="3"/>
                <w:color w:val="auto"/>
              </w:rPr>
            </w:pPr>
          </w:p>
        </w:tc>
        <w:tc>
          <w:tcPr>
            <w:tcW w:w="2860" w:type="dxa"/>
            <w:vAlign w:val="bottom"/>
            <w:tcBorders>
              <w:top w:val="single" w:sz="8" w:color="auto"/>
              <w:bottom w:val="single" w:sz="8" w:color="auto"/>
            </w:tcBorders>
          </w:tcPr>
          <w:p>
            <w:pPr>
              <w:spacing w:after="0"/>
              <w:rPr>
                <w:sz w:val="3"/>
                <w:szCs w:val="3"/>
                <w:color w:val="auto"/>
              </w:rPr>
            </w:pPr>
          </w:p>
        </w:tc>
        <w:tc>
          <w:tcPr>
            <w:tcW w:w="2860" w:type="dxa"/>
            <w:vAlign w:val="bottom"/>
            <w:tcBorders>
              <w:top w:val="single" w:sz="8" w:color="auto"/>
              <w:bottom w:val="single" w:sz="8" w:color="auto"/>
            </w:tcBorders>
          </w:tcPr>
          <w:p>
            <w:pPr>
              <w:spacing w:after="0"/>
              <w:rPr>
                <w:sz w:val="3"/>
                <w:szCs w:val="3"/>
                <w:color w:val="auto"/>
              </w:rPr>
            </w:pPr>
          </w:p>
        </w:tc>
      </w:tr>
      <w:tr>
        <w:trPr>
          <w:trHeight w:val="97"/>
        </w:trPr>
        <w:tc>
          <w:tcPr>
            <w:tcW w:w="5300" w:type="dxa"/>
            <w:vAlign w:val="bottom"/>
            <w:tcBorders>
              <w:right w:val="single" w:sz="8" w:color="auto"/>
            </w:tcBorders>
          </w:tcPr>
          <w:p>
            <w:pPr>
              <w:spacing w:after="0"/>
              <w:rPr>
                <w:sz w:val="8"/>
                <w:szCs w:val="8"/>
                <w:color w:val="auto"/>
              </w:rPr>
            </w:pPr>
          </w:p>
        </w:tc>
        <w:tc>
          <w:tcPr>
            <w:tcW w:w="2860" w:type="dxa"/>
            <w:vAlign w:val="bottom"/>
            <w:tcBorders>
              <w:right w:val="single" w:sz="8" w:color="auto"/>
            </w:tcBorders>
          </w:tcPr>
          <w:p>
            <w:pPr>
              <w:jc w:val="center"/>
              <w:ind w:left="13"/>
              <w:spacing w:after="0" w:line="98" w:lineRule="exact"/>
              <w:rPr>
                <w:sz w:val="20"/>
                <w:szCs w:val="20"/>
                <w:color w:val="auto"/>
              </w:rPr>
            </w:pPr>
            <w:r>
              <w:rPr>
                <w:rFonts w:ascii="Arial" w:cs="Arial" w:eastAsia="Arial" w:hAnsi="Arial"/>
                <w:sz w:val="10"/>
                <w:szCs w:val="10"/>
                <w:b w:val="1"/>
                <w:bCs w:val="1"/>
                <w:color w:val="auto"/>
              </w:rPr>
              <w:t>Amount to be registered/proposed</w:t>
            </w:r>
          </w:p>
        </w:tc>
        <w:tc>
          <w:tcPr>
            <w:tcW w:w="2860" w:type="dxa"/>
            <w:vAlign w:val="bottom"/>
          </w:tcPr>
          <w:p>
            <w:pPr>
              <w:spacing w:after="0"/>
              <w:rPr>
                <w:sz w:val="8"/>
                <w:szCs w:val="8"/>
                <w:color w:val="auto"/>
              </w:rPr>
            </w:pPr>
          </w:p>
        </w:tc>
      </w:tr>
      <w:tr>
        <w:trPr>
          <w:trHeight w:val="135"/>
        </w:trPr>
        <w:tc>
          <w:tcPr>
            <w:tcW w:w="5300" w:type="dxa"/>
            <w:vAlign w:val="bottom"/>
            <w:tcBorders>
              <w:right w:val="single" w:sz="8" w:color="auto"/>
            </w:tcBorders>
          </w:tcPr>
          <w:p>
            <w:pPr>
              <w:spacing w:after="0"/>
              <w:rPr>
                <w:sz w:val="11"/>
                <w:szCs w:val="11"/>
                <w:color w:val="auto"/>
              </w:rPr>
            </w:pPr>
          </w:p>
        </w:tc>
        <w:tc>
          <w:tcPr>
            <w:tcW w:w="2860" w:type="dxa"/>
            <w:vAlign w:val="bottom"/>
            <w:tcBorders>
              <w:right w:val="single" w:sz="8" w:color="auto"/>
            </w:tcBorders>
          </w:tcPr>
          <w:p>
            <w:pPr>
              <w:jc w:val="center"/>
              <w:ind w:left="13"/>
              <w:spacing w:after="0" w:line="135" w:lineRule="exact"/>
              <w:rPr>
                <w:sz w:val="20"/>
                <w:szCs w:val="20"/>
                <w:color w:val="auto"/>
              </w:rPr>
            </w:pPr>
            <w:r>
              <w:rPr>
                <w:rFonts w:ascii="Arial" w:cs="Arial" w:eastAsia="Arial" w:hAnsi="Arial"/>
                <w:sz w:val="13"/>
                <w:szCs w:val="13"/>
                <w:b w:val="1"/>
                <w:bCs w:val="1"/>
                <w:color w:val="auto"/>
                <w:w w:val="88"/>
              </w:rPr>
              <w:t>maximum offering price</w:t>
            </w:r>
          </w:p>
        </w:tc>
        <w:tc>
          <w:tcPr>
            <w:tcW w:w="2860" w:type="dxa"/>
            <w:vAlign w:val="bottom"/>
          </w:tcPr>
          <w:p>
            <w:pPr>
              <w:spacing w:after="0"/>
              <w:rPr>
                <w:sz w:val="11"/>
                <w:szCs w:val="11"/>
                <w:color w:val="auto"/>
              </w:rPr>
            </w:pPr>
          </w:p>
        </w:tc>
      </w:tr>
      <w:tr>
        <w:trPr>
          <w:trHeight w:val="135"/>
        </w:trPr>
        <w:tc>
          <w:tcPr>
            <w:tcW w:w="5300" w:type="dxa"/>
            <w:vAlign w:val="bottom"/>
            <w:tcBorders>
              <w:right w:val="single" w:sz="8" w:color="auto"/>
            </w:tcBorders>
          </w:tcPr>
          <w:p>
            <w:pPr>
              <w:ind w:left="2100"/>
              <w:spacing w:after="0" w:line="135" w:lineRule="exact"/>
              <w:rPr>
                <w:sz w:val="20"/>
                <w:szCs w:val="20"/>
                <w:color w:val="auto"/>
              </w:rPr>
            </w:pPr>
            <w:r>
              <w:rPr>
                <w:rFonts w:ascii="Arial" w:cs="Arial" w:eastAsia="Arial" w:hAnsi="Arial"/>
                <w:sz w:val="13"/>
                <w:szCs w:val="13"/>
                <w:b w:val="1"/>
                <w:bCs w:val="1"/>
                <w:color w:val="auto"/>
              </w:rPr>
              <w:t>Title of each class of</w:t>
            </w:r>
          </w:p>
        </w:tc>
        <w:tc>
          <w:tcPr>
            <w:tcW w:w="2860" w:type="dxa"/>
            <w:vAlign w:val="bottom"/>
            <w:tcBorders>
              <w:right w:val="single" w:sz="8" w:color="auto"/>
            </w:tcBorders>
          </w:tcPr>
          <w:p>
            <w:pPr>
              <w:jc w:val="center"/>
              <w:ind w:left="33"/>
              <w:spacing w:after="0" w:line="135" w:lineRule="exact"/>
              <w:rPr>
                <w:sz w:val="20"/>
                <w:szCs w:val="20"/>
                <w:color w:val="auto"/>
              </w:rPr>
            </w:pPr>
            <w:r>
              <w:rPr>
                <w:rFonts w:ascii="Arial" w:cs="Arial" w:eastAsia="Arial" w:hAnsi="Arial"/>
                <w:sz w:val="13"/>
                <w:szCs w:val="13"/>
                <w:b w:val="1"/>
                <w:bCs w:val="1"/>
                <w:color w:val="auto"/>
                <w:w w:val="86"/>
              </w:rPr>
              <w:t>per unit/proposed</w:t>
            </w:r>
          </w:p>
        </w:tc>
        <w:tc>
          <w:tcPr>
            <w:tcW w:w="2860" w:type="dxa"/>
            <w:vAlign w:val="bottom"/>
          </w:tcPr>
          <w:p>
            <w:pPr>
              <w:jc w:val="center"/>
              <w:ind w:left="10"/>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65"/>
        </w:trPr>
        <w:tc>
          <w:tcPr>
            <w:tcW w:w="5300" w:type="dxa"/>
            <w:vAlign w:val="bottom"/>
            <w:tcBorders>
              <w:bottom w:val="single" w:sz="8" w:color="auto"/>
              <w:right w:val="single" w:sz="8" w:color="auto"/>
            </w:tcBorders>
          </w:tcPr>
          <w:p>
            <w:pPr>
              <w:ind w:left="1960"/>
              <w:spacing w:after="0"/>
              <w:rPr>
                <w:sz w:val="20"/>
                <w:szCs w:val="20"/>
                <w:color w:val="auto"/>
              </w:rPr>
            </w:pPr>
            <w:r>
              <w:rPr>
                <w:rFonts w:ascii="Arial" w:cs="Arial" w:eastAsia="Arial" w:hAnsi="Arial"/>
                <w:sz w:val="13"/>
                <w:szCs w:val="13"/>
                <w:b w:val="1"/>
                <w:bCs w:val="1"/>
                <w:color w:val="auto"/>
              </w:rPr>
              <w:t>securities to be registered</w:t>
            </w:r>
          </w:p>
        </w:tc>
        <w:tc>
          <w:tcPr>
            <w:tcW w:w="2860" w:type="dxa"/>
            <w:vAlign w:val="bottom"/>
            <w:tcBorders>
              <w:bottom w:val="single" w:sz="8" w:color="auto"/>
              <w:right w:val="single" w:sz="8" w:color="auto"/>
            </w:tcBorders>
          </w:tcPr>
          <w:p>
            <w:pPr>
              <w:jc w:val="center"/>
              <w:ind w:left="13"/>
              <w:spacing w:after="0"/>
              <w:rPr>
                <w:sz w:val="20"/>
                <w:szCs w:val="20"/>
                <w:color w:val="auto"/>
              </w:rPr>
            </w:pPr>
            <w:r>
              <w:rPr>
                <w:rFonts w:ascii="Arial" w:cs="Arial" w:eastAsia="Arial" w:hAnsi="Arial"/>
                <w:sz w:val="13"/>
                <w:szCs w:val="13"/>
                <w:b w:val="1"/>
                <w:bCs w:val="1"/>
                <w:color w:val="auto"/>
                <w:w w:val="87"/>
              </w:rPr>
              <w:t>maximum aggregate offering price</w:t>
            </w:r>
          </w:p>
        </w:tc>
        <w:tc>
          <w:tcPr>
            <w:tcW w:w="2860" w:type="dxa"/>
            <w:vAlign w:val="bottom"/>
            <w:tcBorders>
              <w:bottom w:val="single" w:sz="8" w:color="auto"/>
            </w:tcBorders>
          </w:tcPr>
          <w:p>
            <w:pPr>
              <w:jc w:val="center"/>
              <w:ind w:left="10"/>
              <w:spacing w:after="0"/>
              <w:rPr>
                <w:sz w:val="20"/>
                <w:szCs w:val="20"/>
                <w:color w:val="auto"/>
              </w:rPr>
            </w:pPr>
            <w:r>
              <w:rPr>
                <w:rFonts w:ascii="Arial" w:cs="Arial" w:eastAsia="Arial" w:hAnsi="Arial"/>
                <w:sz w:val="13"/>
                <w:szCs w:val="13"/>
                <w:b w:val="1"/>
                <w:bCs w:val="1"/>
                <w:color w:val="auto"/>
                <w:w w:val="87"/>
              </w:rPr>
              <w:t>registration fee</w:t>
            </w:r>
          </w:p>
        </w:tc>
      </w:tr>
      <w:tr>
        <w:trPr>
          <w:trHeight w:val="143"/>
        </w:trPr>
        <w:tc>
          <w:tcPr>
            <w:tcW w:w="530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4"/>
                <w:szCs w:val="14"/>
                <w:color w:val="auto"/>
              </w:rPr>
              <w:t>Ordinary shares, DKK 1 nominal value per share*</w:t>
            </w:r>
          </w:p>
        </w:tc>
        <w:tc>
          <w:tcPr>
            <w:tcW w:w="2860" w:type="dxa"/>
            <w:vAlign w:val="bottom"/>
            <w:tcBorders>
              <w:bottom w:val="single" w:sz="8" w:color="auto"/>
              <w:right w:val="single" w:sz="8" w:color="auto"/>
            </w:tcBorders>
          </w:tcPr>
          <w:p>
            <w:pPr>
              <w:jc w:val="center"/>
              <w:ind w:left="13"/>
              <w:spacing w:after="0" w:line="143" w:lineRule="exact"/>
              <w:rPr>
                <w:sz w:val="20"/>
                <w:szCs w:val="20"/>
                <w:color w:val="auto"/>
              </w:rPr>
            </w:pPr>
            <w:r>
              <w:rPr>
                <w:rFonts w:ascii="Arial" w:cs="Arial" w:eastAsia="Arial" w:hAnsi="Arial"/>
                <w:sz w:val="14"/>
                <w:szCs w:val="14"/>
                <w:color w:val="auto"/>
                <w:w w:val="97"/>
              </w:rPr>
              <w:t>(1)(2)(3)</w:t>
            </w:r>
          </w:p>
        </w:tc>
        <w:tc>
          <w:tcPr>
            <w:tcW w:w="2860" w:type="dxa"/>
            <w:vAlign w:val="bottom"/>
            <w:tcBorders>
              <w:bottom w:val="single" w:sz="8" w:color="auto"/>
            </w:tcBorders>
          </w:tcPr>
          <w:p>
            <w:pPr>
              <w:jc w:val="center"/>
              <w:ind w:left="30"/>
              <w:spacing w:after="0" w:line="143" w:lineRule="exact"/>
              <w:rPr>
                <w:sz w:val="20"/>
                <w:szCs w:val="20"/>
                <w:color w:val="auto"/>
              </w:rPr>
            </w:pPr>
            <w:r>
              <w:rPr>
                <w:rFonts w:ascii="Arial" w:cs="Arial" w:eastAsia="Arial" w:hAnsi="Arial"/>
                <w:sz w:val="14"/>
                <w:szCs w:val="14"/>
                <w:color w:val="auto"/>
                <w:w w:val="96"/>
              </w:rPr>
              <w:t>$(4)</w:t>
            </w:r>
          </w:p>
        </w:tc>
      </w:tr>
      <w:tr>
        <w:trPr>
          <w:trHeight w:val="142"/>
        </w:trPr>
        <w:tc>
          <w:tcPr>
            <w:tcW w:w="53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Debt Securities</w:t>
            </w:r>
          </w:p>
        </w:tc>
        <w:tc>
          <w:tcPr>
            <w:tcW w:w="286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4"/>
                <w:szCs w:val="14"/>
                <w:color w:val="auto"/>
                <w:w w:val="99"/>
              </w:rPr>
              <w:t>(1)(2)</w:t>
            </w:r>
          </w:p>
        </w:tc>
        <w:tc>
          <w:tcPr>
            <w:tcW w:w="2860" w:type="dxa"/>
            <w:vAlign w:val="bottom"/>
            <w:tcBorders>
              <w:bottom w:val="single" w:sz="8" w:color="auto"/>
            </w:tcBorders>
          </w:tcPr>
          <w:p>
            <w:pPr>
              <w:jc w:val="center"/>
              <w:ind w:left="30"/>
              <w:spacing w:after="0" w:line="142" w:lineRule="exact"/>
              <w:rPr>
                <w:sz w:val="20"/>
                <w:szCs w:val="20"/>
                <w:color w:val="auto"/>
              </w:rPr>
            </w:pPr>
            <w:r>
              <w:rPr>
                <w:rFonts w:ascii="Arial" w:cs="Arial" w:eastAsia="Arial" w:hAnsi="Arial"/>
                <w:sz w:val="14"/>
                <w:szCs w:val="14"/>
                <w:color w:val="auto"/>
                <w:w w:val="96"/>
              </w:rPr>
              <w:t>$(4)</w:t>
            </w:r>
          </w:p>
        </w:tc>
      </w:tr>
      <w:tr>
        <w:trPr>
          <w:trHeight w:val="142"/>
        </w:trPr>
        <w:tc>
          <w:tcPr>
            <w:tcW w:w="53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Preference Shares</w:t>
            </w:r>
          </w:p>
        </w:tc>
        <w:tc>
          <w:tcPr>
            <w:tcW w:w="286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4"/>
                <w:szCs w:val="14"/>
                <w:color w:val="auto"/>
                <w:w w:val="99"/>
              </w:rPr>
              <w:t>(1)(2)</w:t>
            </w:r>
          </w:p>
        </w:tc>
        <w:tc>
          <w:tcPr>
            <w:tcW w:w="2860" w:type="dxa"/>
            <w:vAlign w:val="bottom"/>
            <w:tcBorders>
              <w:bottom w:val="single" w:sz="8" w:color="auto"/>
            </w:tcBorders>
          </w:tcPr>
          <w:p>
            <w:pPr>
              <w:jc w:val="center"/>
              <w:ind w:left="30"/>
              <w:spacing w:after="0" w:line="142" w:lineRule="exact"/>
              <w:rPr>
                <w:sz w:val="20"/>
                <w:szCs w:val="20"/>
                <w:color w:val="auto"/>
              </w:rPr>
            </w:pPr>
            <w:r>
              <w:rPr>
                <w:rFonts w:ascii="Arial" w:cs="Arial" w:eastAsia="Arial" w:hAnsi="Arial"/>
                <w:sz w:val="14"/>
                <w:szCs w:val="14"/>
                <w:color w:val="auto"/>
                <w:w w:val="96"/>
              </w:rPr>
              <w:t>$(4)</w:t>
            </w:r>
          </w:p>
        </w:tc>
      </w:tr>
      <w:tr>
        <w:trPr>
          <w:trHeight w:val="142"/>
        </w:trPr>
        <w:tc>
          <w:tcPr>
            <w:tcW w:w="53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Warrants</w:t>
            </w:r>
          </w:p>
        </w:tc>
        <w:tc>
          <w:tcPr>
            <w:tcW w:w="286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4"/>
                <w:szCs w:val="14"/>
                <w:color w:val="auto"/>
                <w:w w:val="99"/>
              </w:rPr>
              <w:t>(1)(2)</w:t>
            </w:r>
          </w:p>
        </w:tc>
        <w:tc>
          <w:tcPr>
            <w:tcW w:w="2860" w:type="dxa"/>
            <w:vAlign w:val="bottom"/>
            <w:tcBorders>
              <w:bottom w:val="single" w:sz="8" w:color="auto"/>
            </w:tcBorders>
          </w:tcPr>
          <w:p>
            <w:pPr>
              <w:jc w:val="center"/>
              <w:ind w:left="30"/>
              <w:spacing w:after="0" w:line="142" w:lineRule="exact"/>
              <w:rPr>
                <w:sz w:val="20"/>
                <w:szCs w:val="20"/>
                <w:color w:val="auto"/>
              </w:rPr>
            </w:pPr>
            <w:r>
              <w:rPr>
                <w:rFonts w:ascii="Arial" w:cs="Arial" w:eastAsia="Arial" w:hAnsi="Arial"/>
                <w:sz w:val="14"/>
                <w:szCs w:val="14"/>
                <w:color w:val="auto"/>
                <w:w w:val="96"/>
              </w:rPr>
              <w:t>$(4)</w:t>
            </w:r>
          </w:p>
        </w:tc>
      </w:tr>
      <w:tr>
        <w:trPr>
          <w:trHeight w:val="142"/>
        </w:trPr>
        <w:tc>
          <w:tcPr>
            <w:tcW w:w="53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Units</w:t>
            </w:r>
          </w:p>
        </w:tc>
        <w:tc>
          <w:tcPr>
            <w:tcW w:w="286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4"/>
                <w:szCs w:val="14"/>
                <w:color w:val="auto"/>
                <w:w w:val="99"/>
              </w:rPr>
              <w:t>(1)(2)</w:t>
            </w:r>
          </w:p>
        </w:tc>
        <w:tc>
          <w:tcPr>
            <w:tcW w:w="2860" w:type="dxa"/>
            <w:vAlign w:val="bottom"/>
            <w:tcBorders>
              <w:bottom w:val="single" w:sz="8" w:color="auto"/>
            </w:tcBorders>
          </w:tcPr>
          <w:p>
            <w:pPr>
              <w:jc w:val="center"/>
              <w:ind w:left="30"/>
              <w:spacing w:after="0" w:line="142" w:lineRule="exact"/>
              <w:rPr>
                <w:sz w:val="20"/>
                <w:szCs w:val="20"/>
                <w:color w:val="auto"/>
              </w:rPr>
            </w:pPr>
            <w:r>
              <w:rPr>
                <w:rFonts w:ascii="Arial" w:cs="Arial" w:eastAsia="Arial" w:hAnsi="Arial"/>
                <w:sz w:val="14"/>
                <w:szCs w:val="14"/>
                <w:color w:val="auto"/>
                <w:w w:val="96"/>
              </w:rPr>
              <w:t>$(4)</w:t>
            </w:r>
          </w:p>
        </w:tc>
      </w:tr>
      <w:tr>
        <w:trPr>
          <w:trHeight w:val="142"/>
        </w:trPr>
        <w:tc>
          <w:tcPr>
            <w:tcW w:w="53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Depositary Shares</w:t>
            </w:r>
          </w:p>
        </w:tc>
        <w:tc>
          <w:tcPr>
            <w:tcW w:w="286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4"/>
                <w:szCs w:val="14"/>
                <w:color w:val="auto"/>
                <w:w w:val="99"/>
              </w:rPr>
              <w:t>(1)(2)</w:t>
            </w:r>
          </w:p>
        </w:tc>
        <w:tc>
          <w:tcPr>
            <w:tcW w:w="2860" w:type="dxa"/>
            <w:vAlign w:val="bottom"/>
            <w:tcBorders>
              <w:bottom w:val="single" w:sz="8" w:color="auto"/>
            </w:tcBorders>
          </w:tcPr>
          <w:p>
            <w:pPr>
              <w:jc w:val="center"/>
              <w:ind w:left="30"/>
              <w:spacing w:after="0" w:line="142" w:lineRule="exact"/>
              <w:rPr>
                <w:sz w:val="20"/>
                <w:szCs w:val="20"/>
                <w:color w:val="auto"/>
              </w:rPr>
            </w:pPr>
            <w:r>
              <w:rPr>
                <w:rFonts w:ascii="Arial" w:cs="Arial" w:eastAsia="Arial" w:hAnsi="Arial"/>
                <w:sz w:val="14"/>
                <w:szCs w:val="14"/>
                <w:color w:val="auto"/>
                <w:w w:val="96"/>
              </w:rPr>
              <w:t>$(4)</w:t>
            </w: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bl>
    <w:p>
      <w:pPr>
        <w:spacing w:after="0" w:line="35" w:lineRule="exact"/>
        <w:rPr>
          <w:sz w:val="24"/>
          <w:szCs w:val="24"/>
          <w:color w:val="auto"/>
        </w:rPr>
      </w:pPr>
    </w:p>
    <w:p>
      <w:pPr>
        <w:ind w:left="540" w:right="20" w:hanging="424"/>
        <w:spacing w:after="0" w:line="230" w:lineRule="auto"/>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ordinary shares registered hereby may be represented by the Registrant’s American Depositary Shares (“ADSs”), each of which represents one ordinary share. ADSs issuable upon deposit of the ordinary shares registered hereby have been registered under a separate registration statement on Form F-6 (Registration No. 333-201695).</w:t>
      </w:r>
    </w:p>
    <w:p>
      <w:pPr>
        <w:ind w:left="540" w:hanging="424"/>
        <w:spacing w:after="0" w:line="222" w:lineRule="auto"/>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Omitted pursuant to Form S-3 General Instruction II.E.</w:t>
      </w:r>
    </w:p>
    <w:p>
      <w:pPr>
        <w:ind w:left="540" w:right="320" w:hanging="424"/>
        <w:spacing w:after="0" w:line="221" w:lineRule="auto"/>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An unspecified number of securities or aggregate principal amount, as applicable, is being registered as may from time to time be offered at unspecified prices and, in addition, an unspecified number of additional ordinary shares is being registered as may be issued from time to time upon conversion of any Debt Securities that are convertible into ordinary shares or pursuant to any anti-dilution adjustments with respect to any such convertible Debt Securities.</w:t>
      </w:r>
    </w:p>
    <w:p>
      <w:pPr>
        <w:ind w:left="540" w:hanging="424"/>
        <w:spacing w:after="0" w:line="221" w:lineRule="auto"/>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rights to acquire ordinary shares of the Company under any shareholder rights plan then in effect, if applicable under the terms of any such plan.</w:t>
      </w:r>
    </w:p>
    <w:p>
      <w:pPr>
        <w:ind w:left="540" w:hanging="424"/>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accordance with Rules 456(b) and 457(r) under the Securities Act of 1933, as amended, the registrant is deferring payment of the entire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94615</wp:posOffset>
            </wp:positionV>
            <wp:extent cx="1654175"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5417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Ordinary Shares</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(or American Depositary Shares representing Ordinary Shares)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Preference Shares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5"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We may offer and sell the securities identified above, and the selling securityholders may offer and sell our ordinary shares (or ADSs representing such shares), in each case from time to time in one or more offerings. This prospectus provides you with a general description of the securities. We will not receive any proceeds from the sale of our ordinary shares (or ADSs representing such shares) by the selling securityholders (if any).</w:t>
      </w:r>
    </w:p>
    <w:p>
      <w:pPr>
        <w:spacing w:after="0" w:line="4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Each time we or any of the selling securityholders offer and sell securities, we or such selling securityholders will provide a supplement to this prospectus that contains specific information about the offering and, if applicable, the selling securityholders, as well as the amounts, prices and terms of the securities. The supplement may also add, update or change information contained in this prospectus with respect to that offering. You should carefully read this prospectus and the applicable prospectus supplement, together with the documents we incorporate by reference, before you invest in any of our securities.</w:t>
      </w:r>
    </w:p>
    <w:p>
      <w:pPr>
        <w:spacing w:after="0" w:line="10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We may offer and sell the securities described in this prospectus and any prospectus supplement to or through one or more underwriters, dealers and agents, or directly to purchasers, or through a combination of these methods. In addition, the selling securityholders may offer and sell our ordinary shares (or ADSs representing such shares) from time to time, together or separately.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10"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ADSs, representing our ordinary shares, are traded on the Nasdaq Global Select Market under the symbol “ASND”. On May 26, 2021, the last reported sale price for the ADSs on the Nasdaq Global Select Market was $133.77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142875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0" w:lineRule="exact"/>
        <w:rPr>
          <w:sz w:val="20"/>
          <w:szCs w:val="20"/>
          <w:color w:val="auto"/>
        </w:rPr>
      </w:pPr>
    </w:p>
    <w:p>
      <w:pPr>
        <w:ind w:left="120" w:right="74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THE “</w:t>
      </w:r>
      <w:hyperlink w:anchor="page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 AND ANY SIMILAR SECTION CONTAINED IN THE APPLICABLE PROSPECTUS SUPPLEMENT CONCERNING FACTORS YOU SHOULD CONSIDER BEFORE INVESTING IN OUR SECURITIES.</w:t>
      </w:r>
    </w:p>
    <w:p>
      <w:pPr>
        <w:spacing w:after="0" w:line="122" w:lineRule="exact"/>
        <w:rPr>
          <w:sz w:val="20"/>
          <w:szCs w:val="20"/>
          <w:color w:val="auto"/>
        </w:rPr>
      </w:pPr>
    </w:p>
    <w:p>
      <w:pPr>
        <w:ind w:left="120" w:right="240"/>
        <w:spacing w:after="0" w:line="266" w:lineRule="auto"/>
        <w:rPr>
          <w:sz w:val="20"/>
          <w:szCs w:val="20"/>
          <w:color w:val="auto"/>
        </w:rPr>
      </w:pPr>
      <w:r>
        <w:rPr>
          <w:rFonts w:ascii="Arial" w:cs="Arial" w:eastAsia="Arial" w:hAnsi="Arial"/>
          <w:sz w:val="18"/>
          <w:szCs w:val="18"/>
          <w:b w:val="1"/>
          <w:bCs w:val="1"/>
          <w:color w:val="auto"/>
        </w:rPr>
        <w:t>Neither the Securities and Exchange Commission, any U.S. state securities commission, the Danish Financial Supervisory Authority, nor any other foreign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149225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May 27, 2021.</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1280" w:type="dxa"/>
            <w:vAlign w:val="bottom"/>
            <w:tcBorders>
              <w:bottom w:val="single" w:sz="8" w:color="0000EE"/>
            </w:tcBorders>
            <w:gridSpan w:val="5"/>
          </w:tcPr>
          <w:p>
            <w:pPr>
              <w:spacing w:after="0" w:line="190"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THE COMPANY</w:t>
              </w:r>
            </w:hyperlink>
          </w:p>
        </w:tc>
        <w:tc>
          <w:tcPr>
            <w:tcW w:w="5440" w:type="dxa"/>
            <w:vAlign w:val="bottom"/>
            <w:gridSpan w:val="13"/>
          </w:tcPr>
          <w:p>
            <w:pPr>
              <w:spacing w:after="0"/>
              <w:rPr>
                <w:sz w:val="16"/>
                <w:szCs w:val="16"/>
                <w:color w:val="auto"/>
              </w:rPr>
            </w:pPr>
          </w:p>
        </w:tc>
        <w:tc>
          <w:tcPr>
            <w:tcW w:w="424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r>
      <w:tr>
        <w:trPr>
          <w:trHeight w:val="304"/>
        </w:trPr>
        <w:tc>
          <w:tcPr>
            <w:tcW w:w="672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4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304"/>
        </w:trPr>
        <w:tc>
          <w:tcPr>
            <w:tcW w:w="5660" w:type="dxa"/>
            <w:vAlign w:val="bottom"/>
            <w:tcBorders>
              <w:bottom w:val="single" w:sz="8" w:color="0000EE"/>
            </w:tcBorders>
            <w:gridSpan w:val="17"/>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PRINCIPAL MARKETS FOR OUR ORDINARY SHARES AND THE ADSs</w:t>
              </w:r>
            </w:hyperlink>
          </w:p>
        </w:tc>
        <w:tc>
          <w:tcPr>
            <w:tcW w:w="1060" w:type="dxa"/>
            <w:vAlign w:val="bottom"/>
          </w:tcPr>
          <w:p>
            <w:pPr>
              <w:spacing w:after="0"/>
              <w:rPr>
                <w:sz w:val="24"/>
                <w:szCs w:val="24"/>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5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USE OF PROCEEDS</w:t>
              </w:r>
            </w:hyperlink>
          </w:p>
        </w:tc>
        <w:tc>
          <w:tcPr>
            <w:tcW w:w="5140" w:type="dxa"/>
            <w:vAlign w:val="bottom"/>
            <w:gridSpan w:val="11"/>
          </w:tcPr>
          <w:p>
            <w:pPr>
              <w:spacing w:after="0"/>
              <w:rPr>
                <w:sz w:val="24"/>
                <w:szCs w:val="24"/>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72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DESCRIPTION OF SHARE CAPITAL</w:t>
              </w:r>
            </w:hyperlink>
          </w:p>
        </w:tc>
        <w:tc>
          <w:tcPr>
            <w:tcW w:w="4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304"/>
        </w:trPr>
        <w:tc>
          <w:tcPr>
            <w:tcW w:w="6720" w:type="dxa"/>
            <w:vAlign w:val="bottom"/>
            <w:gridSpan w:val="1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DESCRIPTION OF AMERICAN DEPOSITARY SHARES</w:t>
              </w:r>
            </w:hyperlink>
          </w:p>
        </w:tc>
        <w:tc>
          <w:tcPr>
            <w:tcW w:w="4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30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DESCRIPTION OF DEBT SECURITIES</w:t>
              </w:r>
            </w:hyperlink>
          </w:p>
        </w:tc>
        <w:tc>
          <w:tcPr>
            <w:tcW w:w="1300" w:type="dxa"/>
            <w:vAlign w:val="bottom"/>
            <w:tcBorders>
              <w:top w:val="single" w:sz="8" w:color="0000EE"/>
            </w:tcBorders>
            <w:gridSpan w:val="3"/>
          </w:tcPr>
          <w:p>
            <w:pPr>
              <w:spacing w:after="0"/>
              <w:rPr>
                <w:sz w:val="24"/>
                <w:szCs w:val="24"/>
                <w:color w:val="auto"/>
              </w:rPr>
            </w:pPr>
          </w:p>
        </w:tc>
        <w:tc>
          <w:tcPr>
            <w:tcW w:w="2400" w:type="dxa"/>
            <w:vAlign w:val="bottom"/>
            <w:gridSpan w:val="2"/>
          </w:tcPr>
          <w:p>
            <w:pPr>
              <w:spacing w:after="0"/>
              <w:rPr>
                <w:sz w:val="24"/>
                <w:szCs w:val="24"/>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6720" w:type="dxa"/>
            <w:vAlign w:val="bottom"/>
            <w:gridSpan w:val="1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DESCRIPTION OF OTHER SECURITIES</w:t>
              </w:r>
            </w:hyperlink>
          </w:p>
        </w:tc>
        <w:tc>
          <w:tcPr>
            <w:tcW w:w="42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6"/>
              </w:rPr>
            </w:pPr>
            <w:hyperlink w:anchor="page40">
              <w:r>
                <w:rPr>
                  <w:rFonts w:ascii="Arial" w:cs="Arial" w:eastAsia="Arial" w:hAnsi="Arial"/>
                  <w:sz w:val="18"/>
                  <w:szCs w:val="18"/>
                  <w:color w:val="0000EE"/>
                  <w:w w:val="96"/>
                </w:rPr>
                <w:t>GLOBAL SECURITIES</w:t>
              </w:r>
            </w:hyperlink>
          </w:p>
        </w:tc>
        <w:tc>
          <w:tcPr>
            <w:tcW w:w="1340" w:type="dxa"/>
            <w:vAlign w:val="bottom"/>
            <w:tcBorders>
              <w:top w:val="single" w:sz="8" w:color="0000EE"/>
            </w:tcBorders>
            <w:gridSpan w:val="6"/>
          </w:tcPr>
          <w:p>
            <w:pPr>
              <w:spacing w:after="0"/>
              <w:rPr>
                <w:sz w:val="24"/>
                <w:szCs w:val="24"/>
                <w:color w:val="auto"/>
              </w:rPr>
            </w:pPr>
          </w:p>
        </w:tc>
        <w:tc>
          <w:tcPr>
            <w:tcW w:w="3580" w:type="dxa"/>
            <w:vAlign w:val="bottom"/>
            <w:gridSpan w:val="4"/>
          </w:tcPr>
          <w:p>
            <w:pPr>
              <w:spacing w:after="0"/>
              <w:rPr>
                <w:sz w:val="24"/>
                <w:szCs w:val="24"/>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250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44">
              <w:r>
                <w:rPr>
                  <w:rFonts w:ascii="Arial" w:cs="Arial" w:eastAsia="Arial" w:hAnsi="Arial"/>
                  <w:sz w:val="18"/>
                  <w:szCs w:val="18"/>
                  <w:color w:val="0000EE"/>
                  <w:w w:val="95"/>
                </w:rPr>
                <w:t>SELLING SECURITYHOLDERS</w:t>
              </w:r>
            </w:hyperlink>
          </w:p>
        </w:tc>
        <w:tc>
          <w:tcPr>
            <w:tcW w:w="4220" w:type="dxa"/>
            <w:vAlign w:val="bottom"/>
            <w:gridSpan w:val="7"/>
          </w:tcPr>
          <w:p>
            <w:pPr>
              <w:spacing w:after="0"/>
              <w:rPr>
                <w:sz w:val="24"/>
                <w:szCs w:val="24"/>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90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TAXATION</w:t>
              </w:r>
            </w:hyperlink>
          </w:p>
        </w:tc>
        <w:tc>
          <w:tcPr>
            <w:tcW w:w="5820" w:type="dxa"/>
            <w:vAlign w:val="bottom"/>
            <w:gridSpan w:val="15"/>
          </w:tcPr>
          <w:p>
            <w:pPr>
              <w:spacing w:after="0"/>
              <w:rPr>
                <w:sz w:val="24"/>
                <w:szCs w:val="24"/>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6720" w:type="dxa"/>
            <w:vAlign w:val="bottom"/>
            <w:gridSpan w:val="1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PLAN OF DISTRIBUTION</w:t>
              </w:r>
            </w:hyperlink>
          </w:p>
        </w:tc>
        <w:tc>
          <w:tcPr>
            <w:tcW w:w="42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2040" w:type="dxa"/>
            <w:vAlign w:val="bottom"/>
            <w:tcBorders>
              <w:top w:val="single" w:sz="8" w:color="0000EE"/>
            </w:tcBorders>
            <w:gridSpan w:val="10"/>
          </w:tcPr>
          <w:p>
            <w:pPr>
              <w:spacing w:after="0"/>
              <w:rPr>
                <w:rFonts w:ascii="Arial" w:cs="Arial" w:eastAsia="Arial" w:hAnsi="Arial"/>
                <w:sz w:val="18"/>
                <w:szCs w:val="18"/>
                <w:color w:val="0000EE"/>
                <w:w w:val="98"/>
              </w:rPr>
            </w:pPr>
            <w:hyperlink w:anchor="page47">
              <w:r>
                <w:rPr>
                  <w:rFonts w:ascii="Arial" w:cs="Arial" w:eastAsia="Arial" w:hAnsi="Arial"/>
                  <w:sz w:val="18"/>
                  <w:szCs w:val="18"/>
                  <w:color w:val="0000EE"/>
                  <w:w w:val="98"/>
                </w:rPr>
                <w:t>EXCHANGE CONTROLS</w:t>
              </w:r>
            </w:hyperlink>
          </w:p>
        </w:tc>
        <w:tc>
          <w:tcPr>
            <w:tcW w:w="4680" w:type="dxa"/>
            <w:vAlign w:val="bottom"/>
            <w:gridSpan w:val="8"/>
          </w:tcPr>
          <w:p>
            <w:pPr>
              <w:spacing w:after="0"/>
              <w:rPr>
                <w:sz w:val="24"/>
                <w:szCs w:val="24"/>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4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47">
              <w:r>
                <w:rPr>
                  <w:rFonts w:ascii="Arial" w:cs="Arial" w:eastAsia="Arial" w:hAnsi="Arial"/>
                  <w:sz w:val="18"/>
                  <w:szCs w:val="18"/>
                  <w:color w:val="0000EE"/>
                  <w:w w:val="96"/>
                </w:rPr>
                <w:t>LEGAL MATTERS</w:t>
              </w:r>
            </w:hyperlink>
          </w:p>
        </w:tc>
        <w:tc>
          <w:tcPr>
            <w:tcW w:w="520" w:type="dxa"/>
            <w:vAlign w:val="bottom"/>
            <w:tcBorders>
              <w:top w:val="single" w:sz="8" w:color="0000EE"/>
            </w:tcBorders>
            <w:gridSpan w:val="3"/>
          </w:tcPr>
          <w:p>
            <w:pPr>
              <w:spacing w:after="0"/>
              <w:rPr>
                <w:sz w:val="24"/>
                <w:szCs w:val="24"/>
                <w:color w:val="auto"/>
              </w:rPr>
            </w:pPr>
          </w:p>
        </w:tc>
        <w:tc>
          <w:tcPr>
            <w:tcW w:w="4740" w:type="dxa"/>
            <w:vAlign w:val="bottom"/>
            <w:gridSpan w:val="9"/>
          </w:tcPr>
          <w:p>
            <w:pPr>
              <w:spacing w:after="0"/>
              <w:rPr>
                <w:sz w:val="24"/>
                <w:szCs w:val="24"/>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6720" w:type="dxa"/>
            <w:vAlign w:val="bottom"/>
            <w:gridSpan w:val="1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MATERIAL CHANGES</w:t>
              </w:r>
            </w:hyperlink>
          </w:p>
        </w:tc>
        <w:tc>
          <w:tcPr>
            <w:tcW w:w="42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800" w:type="dxa"/>
            <w:vAlign w:val="bottom"/>
            <w:tcBorders>
              <w:top w:val="single" w:sz="8" w:color="0000EE"/>
            </w:tcBorders>
            <w:gridSpan w:val="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EXPERTS</w:t>
              </w:r>
            </w:hyperlink>
          </w:p>
        </w:tc>
        <w:tc>
          <w:tcPr>
            <w:tcW w:w="4920" w:type="dxa"/>
            <w:vAlign w:val="bottom"/>
            <w:gridSpan w:val="10"/>
          </w:tcPr>
          <w:p>
            <w:pPr>
              <w:spacing w:after="0"/>
              <w:rPr>
                <w:sz w:val="24"/>
                <w:szCs w:val="24"/>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gridSpan w:val="13"/>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304"/>
        </w:trPr>
        <w:tc>
          <w:tcPr>
            <w:tcW w:w="3200" w:type="dxa"/>
            <w:vAlign w:val="bottom"/>
            <w:tcBorders>
              <w:bottom w:val="single" w:sz="8" w:color="0000EE"/>
            </w:tcBorders>
            <w:gridSpan w:val="15"/>
          </w:tcPr>
          <w:p>
            <w:pPr>
              <w:spacing w:after="0"/>
              <w:rPr>
                <w:rFonts w:ascii="Arial" w:cs="Arial" w:eastAsia="Arial" w:hAnsi="Arial"/>
                <w:sz w:val="18"/>
                <w:szCs w:val="18"/>
                <w:color w:val="0000EE"/>
                <w:w w:val="98"/>
              </w:rPr>
            </w:pPr>
            <w:hyperlink w:anchor="page47">
              <w:r>
                <w:rPr>
                  <w:rFonts w:ascii="Arial" w:cs="Arial" w:eastAsia="Arial" w:hAnsi="Arial"/>
                  <w:sz w:val="18"/>
                  <w:szCs w:val="18"/>
                  <w:color w:val="0000EE"/>
                  <w:w w:val="98"/>
                </w:rPr>
                <w:t>ENFORCEMENT OF CIVIL LIABILITIES</w:t>
              </w:r>
            </w:hyperlink>
          </w:p>
        </w:tc>
        <w:tc>
          <w:tcPr>
            <w:tcW w:w="3520" w:type="dxa"/>
            <w:vAlign w:val="bottom"/>
            <w:gridSpan w:val="3"/>
          </w:tcPr>
          <w:p>
            <w:pPr>
              <w:spacing w:after="0"/>
              <w:rPr>
                <w:sz w:val="24"/>
                <w:szCs w:val="24"/>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6720" w:type="dxa"/>
            <w:vAlign w:val="bottom"/>
            <w:tcBorders>
              <w:bottom w:val="single" w:sz="8" w:color="0000EE"/>
            </w:tcBorders>
            <w:gridSpan w:val="18"/>
          </w:tcPr>
          <w:p>
            <w:pPr>
              <w:spacing w:after="0"/>
              <w:rPr>
                <w:rFonts w:ascii="Arial" w:cs="Arial" w:eastAsia="Arial" w:hAnsi="Arial"/>
                <w:sz w:val="18"/>
                <w:szCs w:val="18"/>
                <w:color w:val="0000EE"/>
                <w:w w:val="95"/>
              </w:rPr>
            </w:pPr>
            <w:hyperlink w:anchor="page49">
              <w:r>
                <w:rPr>
                  <w:rFonts w:ascii="Arial" w:cs="Arial" w:eastAsia="Arial" w:hAnsi="Arial"/>
                  <w:sz w:val="18"/>
                  <w:szCs w:val="18"/>
                  <w:color w:val="0000EE"/>
                  <w:w w:val="95"/>
                </w:rPr>
                <w:t>WHERE YOU CAN FIND MORE INFORMATION; INCORPORATION BY REFERENCE</w:t>
              </w:r>
            </w:hyperlink>
          </w:p>
        </w:tc>
        <w:tc>
          <w:tcPr>
            <w:tcW w:w="42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6720" w:type="dxa"/>
            <w:vAlign w:val="bottom"/>
            <w:gridSpan w:val="1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EXPENSES</w:t>
              </w:r>
            </w:hyperlink>
          </w:p>
        </w:tc>
        <w:tc>
          <w:tcPr>
            <w:tcW w:w="42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or the SEC, as a “well-known seasoned issuer” as defined in Rule 405 under the Securities Act of 1933, as amended, using a “shelf” registration process. By using a shelf registration statement, we may sell securities from time to time and in one or more offerings and the selling securityholders to be named in a supplement to this prospectus may, from time to time, sell our ordinary shares (or ADSs representing such shares) from time to time in one or more offerings as described in this prospectus. Each time that we or the selling securityholders offer and sell such securities, we or the selling securityholders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68"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Neither we, nor the selling securityholders, have authorized any other person to provide you with different or additional information or to make any representations other than those contained in or incorporated by reference into this prospectus, any applicable prospectus supplement or any free writing prospectuses prepared by or on behalf of us or to which we have referred you. We and the selling securityholders take no responsibility for, and can provide no assurance as to the reliability of, any other information that others may give you. We and the selling securityholders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7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When we refer to “Ascendis,” “we,” “our,” “us” and the “Company” in this prospectus, we mean Ascendis Pharma A/S and its consolidated subsidiaries, unless otherwise specified. When we refer to “you,” we mean the potential holders of the applicable series of securities.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maintain our books and records in euros and report under International Financial Reporting Standards, as issued by the International Accounting Standards Board and as adopted by the European Union. None of the consolidated financial statements incorporated by reference in this prospectus were prepared in accordance with generally accepted accounting principles in the United States.</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are applying our innovative TransCon technologies to build a leading, fully integrated biopharmaceutical company and develop a pipeline of product candidates with potential best-in-class profiles to address unmet medical needs. We have created a portfolio of potential best-in-class rare disease endocrinology product candidates to address unmet medical needs by utilizing our TransCon technologies with clinically validated parent drugs. We currently have three product candidates in clinical development in rare endocrine diseases and two product candidates identified in oncology, our second therapeutic area of focus. We are also working to apply our TransCon technologies in additional therapeutic areas to address unmet patient needs.</w:t>
      </w:r>
    </w:p>
    <w:p>
      <w:pPr>
        <w:spacing w:after="0" w:line="161"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We were organized under the laws of the Kingdom of Denmark in September 2006 as a private limited liability company (Anpartsselskab, or ApS) and then transformed into a public limited liability company (Aktieselskab, or A/S), effective December 17, 2007. In connection with this conversion, our legal name changed from Ascendis Pharma ApS to Ascendis Pharma A/S. We commenced operations in December 2007 in connection with the acquisition of the company that invented our TransCon technologies, Complex Biosystems GmbH. Our registered office and principal executive offices are located at Tuborg Boulevard 12, DK-2900 Hellerup, Denmark and our telephone number is +45 70 22 22 44. Our website address is www.ascendispharma.com. The information on, or that can be accessed through, our website is not, and should not be deemed to be, part of this prospectus. We have included our website address as an inactive textual reference only. References in this prospectus to “we,” “us,” “our,” “our company,” “the company” or “Ascendis” refer to Ascendis Pharma A/S, and our consolidated subsidiaries unless otherwise specified.</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Investment in any securities offered pursuant to this prospectus and the applicable prospectus supplement involves risks. You should carefully consider the risk factors incorporated by reference from our most recent Annual Report on Form 20-F and any subsequent Annual Reports on Form 20-F we file after the date of this prospectus; our updates, if any, to those risk factors in our reports on Form 6-K; and all other information contained or incorporated by reference into this prospectus or the registration statement of which this prospectus forms a part, as updated by our subsequent filings under the Securities Exchange Act of 1934, as amended, or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PRINCIPAL MARKETS FOR OUR ORDINARY SHARES AND THE ADSs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ordinary shares have been listed on the Nasdaq Global Select Market under the symbol “ASND” since January 28, 2015. Prior to this date, there was no public trading market for our ordinary shares or ADSs.</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20"/>
          </w:cols>
          <w:pgMar w:left="320" w:top="459" w:right="7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We intend to use the net proceeds from the sale of the securities as set forth in the applicable prospectus supplement. We will not receive any of the proceeds from the sale of ordinary shares (or ADSs representing such shares) being offered by any of the selling securityholders.</w:t>
      </w:r>
    </w:p>
    <w:p>
      <w:pPr>
        <w:spacing w:after="0" w:line="7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00"/>
          </w:cols>
          <w:pgMar w:left="320" w:top="459" w:right="8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i w:val="1"/>
          <w:iCs w:val="1"/>
          <w:color w:val="auto"/>
        </w:rPr>
        <w:t>Set forth below is a summary of certain information concerning our share capital as well as a description of certain provisions of our articles of association, the registration rights agreement entered into in December 2015 to which we and certain holders of American Depositary Shares, also referred to as ADSs, are parties or the 2015 Registration Rights Agreement, and relevant provisions of the Danish Companies Act (in Danish: Selskabsloven). Because the following is only a summary, it does not contain all of the information that may be important to you. The summary includes certain references to and descriptions of material provisions of our articles of association, the 2015 Registration Rights Agreement and Danish law in effect as of the date of this prospectus. The summary below does not purport to be complete and is qualified in its entirety by reference to applicable Danish Law and our articles of association and the 2015 Registration Rights Agreement, copies of which are incorporated by reference into this prospectus. Further, please note that ADS holders are not treated as our shareholders and do not have rights as a shareholder. For more information regarding the rights of ADS holders, see “Description of American Depositary Shares” below.</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Our company was incorporated on September 21, 2006 as a private limited liability company (in Danish: </w:t>
      </w:r>
      <w:r>
        <w:rPr>
          <w:rFonts w:ascii="Arial" w:cs="Arial" w:eastAsia="Arial" w:hAnsi="Arial"/>
          <w:sz w:val="16"/>
          <w:szCs w:val="16"/>
          <w:i w:val="1"/>
          <w:iCs w:val="1"/>
          <w:color w:val="auto"/>
        </w:rPr>
        <w:t>Anpartsselskab, or ApS</w:t>
      </w:r>
      <w:r>
        <w:rPr>
          <w:rFonts w:ascii="Arial" w:cs="Arial" w:eastAsia="Arial" w:hAnsi="Arial"/>
          <w:sz w:val="16"/>
          <w:szCs w:val="16"/>
          <w:color w:val="auto"/>
        </w:rPr>
        <w:t>) under Danish law and</w:t>
      </w:r>
    </w:p>
    <w:p>
      <w:pPr>
        <w:spacing w:after="0" w:line="4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 xml:space="preserve">is registered with the Danish Business Authority (in Danish: </w:t>
      </w:r>
      <w:r>
        <w:rPr>
          <w:rFonts w:ascii="Arial" w:cs="Arial" w:eastAsia="Arial" w:hAnsi="Arial"/>
          <w:sz w:val="18"/>
          <w:szCs w:val="18"/>
          <w:i w:val="1"/>
          <w:iCs w:val="1"/>
          <w:color w:val="auto"/>
        </w:rPr>
        <w:t>Erhvervsstyrelsen</w:t>
      </w:r>
      <w:r>
        <w:rPr>
          <w:rFonts w:ascii="Arial" w:cs="Arial" w:eastAsia="Arial" w:hAnsi="Arial"/>
          <w:sz w:val="18"/>
          <w:szCs w:val="18"/>
          <w:color w:val="auto"/>
        </w:rPr>
        <w:t>) in Copenhagen, Denmark under registration number 29918791. On December 17, 2007, our company was converted into a public limited liability company (in Danish: Aktieselskab, or A/S). Our company’s headquarters and registered office is Tuborg Boulevard 12, DK-2900 Hellerup, Denmark.</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Authorizations to our board of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the date of this prospectus, our board of directors is authorized to increase the share capital as follows:</w:t>
      </w:r>
    </w:p>
    <w:p>
      <w:pPr>
        <w:spacing w:after="0" w:line="131" w:lineRule="exact"/>
        <w:rPr>
          <w:sz w:val="20"/>
          <w:szCs w:val="20"/>
          <w:color w:val="auto"/>
        </w:rPr>
      </w:pPr>
    </w:p>
    <w:p>
      <w:pPr>
        <w:jc w:val="both"/>
        <w:ind w:left="540" w:right="240" w:hanging="424"/>
        <w:spacing w:after="0" w:line="263"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board of directors is authorized to increase our share capital by up to 4,140,846 shares without pre-emptive subscription rights for existing shareholders in connection with cash contributions, debt conversion and contributions in kind, provided, however, that the capital increases are carried out at market value. This authorization is valid until May 28, 2024.</w:t>
      </w:r>
    </w:p>
    <w:p>
      <w:pPr>
        <w:spacing w:after="0" w:line="89" w:lineRule="exact"/>
        <w:rPr>
          <w:rFonts w:ascii="Arial" w:cs="Arial" w:eastAsia="Arial" w:hAnsi="Arial"/>
          <w:sz w:val="18"/>
          <w:szCs w:val="18"/>
          <w:color w:val="auto"/>
        </w:rPr>
      </w:pPr>
    </w:p>
    <w:p>
      <w:pPr>
        <w:ind w:left="540" w:right="480" w:hanging="424"/>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board of directors is authorized to increase our share capital by up to 9,000,000 shares with pre-emptive subscription rights for existing shareholders in connection with cash contributions. This authorization is valid until May 28, 2024.</w:t>
      </w:r>
    </w:p>
    <w:p>
      <w:pPr>
        <w:spacing w:after="0" w:line="75" w:lineRule="exact"/>
        <w:rPr>
          <w:rFonts w:ascii="Arial" w:cs="Arial" w:eastAsia="Arial" w:hAnsi="Arial"/>
          <w:sz w:val="18"/>
          <w:szCs w:val="18"/>
          <w:color w:val="auto"/>
        </w:rPr>
      </w:pPr>
    </w:p>
    <w:p>
      <w:pPr>
        <w:ind w:left="540" w:right="180" w:hanging="424"/>
        <w:spacing w:after="0" w:line="263"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board of directors is authorized to issue 618,409 warrants and to increase our share capital by up to nominal 618,409 shares without pre-emptive subscription rights for existing shareholders in connection with the exercise, if any, of said warrants and to determine the terms and conditions thereof. This authorization is valid until May 28, 2025.</w:t>
      </w:r>
    </w:p>
    <w:p>
      <w:pPr>
        <w:spacing w:after="0" w:line="89" w:lineRule="exact"/>
        <w:rPr>
          <w:rFonts w:ascii="Arial" w:cs="Arial" w:eastAsia="Arial" w:hAnsi="Arial"/>
          <w:sz w:val="18"/>
          <w:szCs w:val="18"/>
          <w:color w:val="auto"/>
        </w:rPr>
      </w:pPr>
    </w:p>
    <w:p>
      <w:pPr>
        <w:ind w:left="540" w:right="20" w:hanging="424"/>
        <w:spacing w:after="0" w:line="25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board of directors is, without pre-emptive rights for the existing shareholders, authorized to obtain loans against issuance of convertible notes which confer the right to subscribe up to 9,000,000 shares. The convertible notes shall be offered at a subscription price and a conversion price that correspond in aggregate to at least the market price of the shares at the time of the decision of our board of directors to issue the convertible notes. The loans shall be paid in cash and our board of directors shall determine the terms and conditions for the convertible notes. This authorization is valid until May 28, 2024.</w:t>
      </w:r>
    </w:p>
    <w:p>
      <w:pPr>
        <w:spacing w:after="0" w:line="188"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If our board of directors exercises its authorizations in full, and all warrants and convertible debt instruments are exercised fully (not including already issued warrants), then our share capital will amount to 76,588,634 shares consisting of 76,588,634 shares with a nominal value of DKK 1 each.</w:t>
      </w:r>
    </w:p>
    <w:p>
      <w:pPr>
        <w:spacing w:after="0" w:line="124" w:lineRule="exact"/>
        <w:rPr>
          <w:sz w:val="20"/>
          <w:szCs w:val="20"/>
          <w:color w:val="auto"/>
        </w:rPr>
      </w:pPr>
    </w:p>
    <w:p>
      <w:pPr>
        <w:jc w:val="right"/>
        <w:ind w:left="120" w:right="5380"/>
        <w:spacing w:after="0" w:line="449" w:lineRule="auto"/>
        <w:rPr>
          <w:sz w:val="20"/>
          <w:szCs w:val="20"/>
          <w:color w:val="auto"/>
        </w:rPr>
      </w:pPr>
      <w:r>
        <w:rPr>
          <w:rFonts w:ascii="Arial" w:cs="Arial" w:eastAsia="Arial" w:hAnsi="Arial"/>
          <w:sz w:val="18"/>
          <w:szCs w:val="18"/>
          <w:color w:val="auto"/>
        </w:rPr>
        <w:t>We plan to hold our Annual General Meeting (the “AGM”) on May 28, 2021. 6</w:t>
      </w:r>
    </w:p>
    <w:p>
      <w:pPr>
        <w:sectPr>
          <w:pgSz w:w="11900" w:h="16838" w:orient="portrait"/>
          <w:cols w:equalWidth="0" w:num="1">
            <w:col w:w="11080"/>
          </w:cols>
          <w:pgMar w:left="32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At the AGM, we have proposed an amendment to our Articles of Association, whereby our board of directors will be authorized to increase our share capital by up to 9,000,000 shares without pre-emptive subscription rights for existing shareholders in connection with cash contributions, debt conversion and contributions in kind, provided, however, that the capital increases are carried out at market price. This authorization will be valid until May 27, 2026.</w:t>
      </w:r>
    </w:p>
    <w:p>
      <w:pPr>
        <w:spacing w:after="0" w:line="187" w:lineRule="exact"/>
        <w:rPr>
          <w:sz w:val="20"/>
          <w:szCs w:val="20"/>
          <w:color w:val="auto"/>
        </w:rPr>
      </w:pPr>
    </w:p>
    <w:p>
      <w:pPr>
        <w:ind w:left="120" w:right="280"/>
        <w:spacing w:after="0" w:line="311" w:lineRule="auto"/>
        <w:rPr>
          <w:sz w:val="20"/>
          <w:szCs w:val="20"/>
          <w:color w:val="auto"/>
        </w:rPr>
      </w:pPr>
      <w:r>
        <w:rPr>
          <w:rFonts w:ascii="Arial" w:cs="Arial" w:eastAsia="Arial" w:hAnsi="Arial"/>
          <w:sz w:val="16"/>
          <w:szCs w:val="16"/>
          <w:color w:val="auto"/>
        </w:rPr>
        <w:t>At our AGM, we have proposed an amendment to our Articles of Association, whereby our board of directors will be authorized to issue 2,000,000 warrants and to increase our share capital by up to 2,000,000 without pre-emptive subscription rights for existing shareholders in connection with the exercise, if any, of said warrants and to determine the terms and conditions thereof. This authorization is valid until May 27, 2026.</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ADSs are listed on The Nasdaq Global Select Market under the symbol “ASND.”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warrants</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Our employees, consultants, advisors and board members are eligible to participate in our warrant incentive program. Warrants have been issued by the general meeting or by our board of directors pursuant to valid authorizations in our articles of association and the terms and conditions have, in accordance with the Danish Companies Act, been incorporated in our articles of association as in effect from time to time. Each warrant grants the holder the right to subscribe for one ordinary share against cash payment of the exercise price. The exercise price is determined by our board of directors and historically has not been less than the estimated fair value of our ordinary shares on the date of grant. As of March 31, 2021, our board of directors is authorized to issue 682,509 warrants in the period ending May 28, 2025. As of March 31, 2021, there were outstanding 6,109,942 warrants to subscribe for our ordinary shares and such warrants had a weighted average exercise price of €71.10.</w:t>
      </w:r>
    </w:p>
    <w:p>
      <w:pPr>
        <w:spacing w:after="0" w:line="17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grant of warrants to any participant is at the discretion of our board of directors and based on the recommendation of our management. The board of directors may determine the terms and conditions of the warrants issued, including exercise periods, subscription price and adjustments caused by changes to our company’s situation. Warrantholders are entitled to an adjustment of the number of warrants issued and/or the exercise price applicable in the event of certain corporate changes. Events giving rise to an adjustment include, among other things, increases or decreases to our share capital at a price below or above market value, respectively, the issuance of bonus shares, changes in the nominal value of each share, and payment of dividends in excess of 10% of the Company’s equity. For the purpose of implementing the capital increases necessary in connection with the exercise of warrants, our board of directors has been authorized to increase our share capital by one or more issuances of shares with a total nominal value corresponding to the number of warrants issued upon cash payment of the exercise price without any pre-emptive subscription rights to existing shareholders.</w:t>
      </w:r>
    </w:p>
    <w:p>
      <w:pPr>
        <w:spacing w:after="0" w:line="165"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Subject to earlier vesting upon the occurrence of certain exit events, warrants granted under the program as in effect since December 18, 2015 generally vest 1/48th per month from the date of grant subject to continued service for employees, consultants and initial grants to board members and 1/24th per month from the date of grant subject to continued service for subsequent grants to board members. Warrants granted under the program as in effect between December 2012 and December 18, 2015 generally vest 1/48th per month from the date of grant subject to continued service (previously 1/36th per month for employees and 1/24th per month from the date of grant for board members). With respect to employees, in the event that a holder resigns due to our breach of employment terms or we terminate the employment relationship and the holder has not given us good reason to do so, the warrants will continue to vest post-termination in accordance with the same vesting schedule. Otherwise, warrants will cease vesting upon termination of service with respect to employees, board members and consultants.</w:t>
      </w:r>
    </w:p>
    <w:p>
      <w:pPr>
        <w:spacing w:after="0" w:line="17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Vested warrants may be exercised during certain exercise periods each year. For 366,537 outstanding warrants, granted in the period 2012 to 2014, there are two annual exercise periods that continue for 21 days from and including the day after the publication of (i) the annual report notification—or if such notification is not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published—the annual report and (ii) our interim report (six-month report). For these warrants, the last exercise period is 21 days from and including the day after the publication of our interim report for the first half of 2023. For 50,923 outstanding warrants granted in connection with our preference D financing, there are four annual exercise periods that continue for 21 days following the day of publication of (i) our interim report (three-month report);</w:t>
      </w:r>
    </w:p>
    <w:p>
      <w:pPr>
        <w:spacing w:after="0" w:line="2" w:lineRule="exact"/>
        <w:rPr>
          <w:sz w:val="20"/>
          <w:szCs w:val="20"/>
          <w:color w:val="auto"/>
        </w:rPr>
      </w:pPr>
    </w:p>
    <w:p>
      <w:pPr>
        <w:ind w:left="120" w:right="80" w:hanging="4"/>
        <w:spacing w:after="0" w:line="252" w:lineRule="auto"/>
        <w:tabs>
          <w:tab w:leader="none" w:pos="3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annual report notification—or if such notification is not published—the annual report; (iii) our interim report (six-month report); and (iv) our interim report (nine-month report). For these warrants, the last exercise period is 21 days following the publication of our interim report (nine-month report) in 2023. For 5,756,582 outstanding warrants granted on or after December 18, 2015, there are four annual exercise periods; each exercise period begins two full trading days after the publication of the public release of our earnings data of a fiscal quarter and continues until the end of the second-to-last trading day in which quarter the relevant earnings release is published. The warrants granted on or after December 18, 2015 expire ten years after the grant date.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Under the 2015 Registration Rights Agreement, we were required to timely register with the SEC 1.0 million ordinary shares underlying 1.0 million ADSs (the “Fidelity Shares”), purchased by Fidelity Securities Fund: Fidelity Series Small Cap Opportunities Fund—Healthcare Sub and Fidelity Stock Selector Small Cap Fund—Health Care Sub on December 14, 2015. In addition, the owners of the Fidelity Shares are entitled to registration of the Fidelity Shares on Form F-3. In accordance with our obligations under the 2015 Registration Rights Agreement, we filed a resale registration statement in February 2016 to register for resale the Fidelity Shares.</w:t>
      </w:r>
    </w:p>
    <w:p>
      <w:pPr>
        <w:spacing w:after="0" w:line="188"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Unless our ordinary shares are listed on a national securities exchange or trading system and a market for our ordinary shares not held in the form of ADSs exists, any registrable securities sold pursuant to an exercise of the registration rights will be sold in the form of ADSs.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Under the 2015 Registration Rights Agreement, we agreed to pay certain registration expenses of the holders of the shares registered pursuant to the registration rights described above, excluding, among other things, the expenses of counsel for Fidelity Securities Fund: Fidelity Series Small Cap Opportunities Fund—Healthcare Sub and Fidelity Stock Selector Small Cap Fund—Health Care Sub.</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Under the 2015 Registration Rights Agreement, the registration rights described above will expire upon the earlier of a change of control event, the disposition of the Fidelity Shares or when the Fidelity Shares can be sold under Rule 144 or Regulation S of the Securities Act during any three-month period.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Owners’ register</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 xml:space="preserve">We are obligated to maintain an owners’ register (in Danish: </w:t>
      </w:r>
      <w:r>
        <w:rPr>
          <w:rFonts w:ascii="Arial" w:cs="Arial" w:eastAsia="Arial" w:hAnsi="Arial"/>
          <w:sz w:val="18"/>
          <w:szCs w:val="18"/>
          <w:i w:val="1"/>
          <w:iCs w:val="1"/>
          <w:color w:val="auto"/>
        </w:rPr>
        <w:t>ejerbog</w:t>
      </w:r>
      <w:r>
        <w:rPr>
          <w:rFonts w:ascii="Arial" w:cs="Arial" w:eastAsia="Arial" w:hAnsi="Arial"/>
          <w:sz w:val="18"/>
          <w:szCs w:val="18"/>
          <w:color w:val="auto"/>
        </w:rPr>
        <w:t>). The owners’ register is maintained by Computershare A/S (Company Registration (CVR) no. 27088899), our Danish share registrar. It is mandatory that the owners’ register is maintained within the European Union and that it is available to public authorities.</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Pursuant to the Danish Companies Act, public and private limited liability companies are required to register with the Danish Business Authority information regarding shareholders who own at least 5% of the share capital or the voting rights. Pursuant to this provision, we file registrations with the Public Owners’ Register of the Danish Business Authority. Shareholders that exceed the ownership threshold must notify us and we will subsequently file the information with the Danish Business Authority. Reporting is further required when thresholds of 5%, 10%, 15%, 20%, 25%, 50%, 90% or 100%, or 1/3 or 2/3 are reached or no longer reached.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Articles of association and Danish corporate law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respect to our articles of association, the following should be emphasized: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Objects clause</w:t>
      </w:r>
    </w:p>
    <w:p>
      <w:pPr>
        <w:spacing w:after="0" w:line="11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Our corporate object, as set out in article 3 of our articles of association, is to develop ideas and preparations for the combating of disease medically, to manufacture and sell such preparations or ideas, to own shares of companies with the same objects and to perform activities in natural connection with these objects.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provisions regarding the board of directors and the executive board</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Pursuant to our articles of association, our board of directors shall be elected by our shareholders at the general meeting and shall be composed of not less than three and no more than 10 members. With respect to the duration of the term which our board members severally hold office, the board of directors is classified into two classes as nearly equal in number as possible. Such classes consist of one class of directors (“Class I”) who were elected at the annual general meeting held in 2019 for a term expiring at the annual general meeting to be held in 2021; and a second class of directors (“Class II”) who were elected at the annual general meeting held in 2020 for a term expiring at the annual general meeting to be held in 2022. The shareholders shall increase or decrease the number of directors, in order to ensure that the two classes shall be as nearly equal in number as possible; provided, however, that no decrease shall have the effect of shortening the term of any other director. At each annual general meeting, the successors of the class of directors whose term expires at that meeting shall be elected to hold office for a term expiring at the annual general meeting held in the second year following the year of their election. Board members must retire from the board of directors at the annual general meeting following their 75th birthday. Board members are not required to own any shares of our share capital.</w:t>
      </w:r>
    </w:p>
    <w:p>
      <w:pPr>
        <w:spacing w:after="0" w:line="18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board of directors shall appoint and employ an executive board consisting of one to five members to attend to our day-to-day management, and the board of directors shall determine the terms and conditions of the employment.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480"/>
        <w:spacing w:after="0" w:line="342" w:lineRule="auto"/>
        <w:rPr>
          <w:sz w:val="20"/>
          <w:szCs w:val="20"/>
          <w:color w:val="auto"/>
        </w:rPr>
      </w:pPr>
      <w:r>
        <w:rPr>
          <w:rFonts w:ascii="Arial" w:cs="Arial" w:eastAsia="Arial" w:hAnsi="Arial"/>
          <w:sz w:val="16"/>
          <w:szCs w:val="16"/>
          <w:color w:val="auto"/>
        </w:rPr>
        <w:t>Each shareholder is entitled to one vote for each share owned at the time of any general meeting. As compared with Danish citizens, there are no limitations under the articles of association or under Danish law on the rights of foreigners or non-Danish citizens to hold or vote our shares.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left="120" w:right="380"/>
        <w:spacing w:after="0" w:line="311" w:lineRule="auto"/>
        <w:rPr>
          <w:sz w:val="20"/>
          <w:szCs w:val="20"/>
          <w:color w:val="auto"/>
        </w:rPr>
      </w:pPr>
      <w:r>
        <w:rPr>
          <w:rFonts w:ascii="Arial" w:cs="Arial" w:eastAsia="Arial" w:hAnsi="Arial"/>
          <w:sz w:val="16"/>
          <w:szCs w:val="16"/>
          <w:color w:val="auto"/>
        </w:rPr>
        <w:t>Our shareholders may at general meetings authorize the distribution of ordinary and extraordinary dividends. Our shareholders may not distribute dividends in excess of the recommendation from our board of directors and may only pay out dividends from our distributable reserves, which are defined as results from operations carried forward and reserves that are not bound by law after deduction of loss carried forward.</w:t>
      </w:r>
    </w:p>
    <w:p>
      <w:pPr>
        <w:spacing w:after="0" w:line="14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Our shareholders are eligible to receive any dividends declared and paid out. However, we have not to date declared or paid any dividends and we currently intend to retain all available financial resources and any earnings generated by our operations for use in the business and we do not anticipate paying any dividends in the foreseeable future. The payment of any dividends in the future will depend on a number of factors, including our future earnings, capital requirements, financial condition and future prospects, applicable restrictions on the payment of dividends under Danish law and other factors that our board of directors may consider relevant.</w:t>
      </w:r>
    </w:p>
    <w:p>
      <w:pPr>
        <w:spacing w:after="0" w:line="18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Item 10 E. Additional Information—Taxation</w:t>
      </w:r>
      <w:r>
        <w:rPr>
          <w:rFonts w:ascii="Arial" w:cs="Arial" w:eastAsia="Arial" w:hAnsi="Arial"/>
          <w:sz w:val="18"/>
          <w:szCs w:val="18"/>
          <w:color w:val="auto"/>
        </w:rPr>
        <w:t>” in our Annual Report on Form 20-F for a summary of certain tax consequences in respect of dividends or distributions to holders of our ordinary shares or the ADSs.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320" w:top="459" w:right="5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Pre-emptive subscription rights</w:t>
      </w:r>
    </w:p>
    <w:p>
      <w:pPr>
        <w:spacing w:after="0" w:line="117"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Under Danish law, all shareholders have pre-emptive subscription rights in connection with capital increases that are carried out as cash contributions. An increase in share capital can be resolved by the shareholders at a general meeting or by the board of directors pursuant to an authorization given by the shareholders.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w:t>
      </w:r>
    </w:p>
    <w:p>
      <w:pPr>
        <w:spacing w:after="0" w:line="161"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The board of directors may resolve to increase our share capital without pre-emptive subscription rights for existing shareholders pursuant to the authorizations set forth above under the caption “Authorizations to Our Board of Directors.”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Unless future issuances of new shares and/or pre-emptive rights are registered under the Securities Act or with any authority outside Denmark,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shareholders and shareholders in jurisdictions outside Denmark may be unable to exercise their pre-emptive subscription rights.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on liquidation</w:t>
      </w:r>
    </w:p>
    <w:p>
      <w:pPr>
        <w:spacing w:after="0" w:line="11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Upon a liquidation or winding-up of our company, shareholders will be entitled to participate, in proportion to their respective shareholdings, in any surplus assets remaining after payment of our creditors.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holding of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limitations on the right to hold shares under the articles of association or Danish law.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Liability to capital calls by us</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Under our articles of association as well as the Danish Companies Act, our shareholders are not obligated to pay further amounts to us. All our shares are fully-paid.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Sinking fund provisions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sinking fund provisions or similar obligations relating to our ordinary shares.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Disclosure requirements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Pursuant to Section 55 of the Danish Companies Act, a shareholder is required to notify us when such shareholder’s stake represents 5% or more of the voting rights in our company or the nominal value accounts for 5% or more of the share capital, and when a change of a holding already notified entails that the limits of 5%, 10%, 15%, 20%, 25%, 50%, 90% or 100%, or 1/3 or 2/3 are reached or no longer reached. The notification shall be given within two weeks following the date when the limits are reached or are no longer reached.</w:t>
      </w:r>
    </w:p>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notification must include information on the date of acquisition or disposal of the shares, the number and, if applicable, the share class, the full name, address and civil registration (CPR) number of the shareholder or the name, central business register (CVR) number and registered office of the enterprise. If the shareholder has no civil registration (CPR) number or central business (CVR) number, such notice must be accompanied by other documentation securing unambiguous identification of the shareholder. The notice must also include information on the denomination or nominal value of the shares and the voting rights attaching to the shares.</w:t>
      </w:r>
    </w:p>
    <w:p>
      <w:pPr>
        <w:spacing w:after="0" w:line="18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Pursuant to section 58a, we are obligated to collect and store for a period of at least five years certain information regarding the beneficial owners of shares in the Company. A beneficial owner is a physical person who ultimately holds or controls, directly or indirectly, a sufficient part of the ownership interests or voting rights or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exercises control by other means, except for owners of companies whose ownership interests are traded on a regulated market or a similar market which is subject to a duty of disclosure in accordance with EU law or similar international standards.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legal status of the notification obligations is not fully clarified in relation to ADS holders and an ADS holder may be subject to such obligations.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meetings</w:t>
      </w:r>
    </w:p>
    <w:p>
      <w:pPr>
        <w:spacing w:after="0" w:line="117" w:lineRule="exact"/>
        <w:rPr>
          <w:sz w:val="20"/>
          <w:szCs w:val="20"/>
          <w:color w:val="auto"/>
        </w:rPr>
      </w:pPr>
    </w:p>
    <w:p>
      <w:pPr>
        <w:ind w:left="120" w:right="760"/>
        <w:spacing w:after="0" w:line="342" w:lineRule="auto"/>
        <w:rPr>
          <w:sz w:val="20"/>
          <w:szCs w:val="20"/>
          <w:color w:val="auto"/>
        </w:rPr>
      </w:pPr>
      <w:r>
        <w:rPr>
          <w:rFonts w:ascii="Arial" w:cs="Arial" w:eastAsia="Arial" w:hAnsi="Arial"/>
          <w:sz w:val="16"/>
          <w:szCs w:val="16"/>
          <w:color w:val="auto"/>
        </w:rPr>
        <w:t>The general meeting of shareholders is the highest authority in all matters, subject to the limitations provided by Danish law and the articles of association. The annual general meeting shall be held in the Greater Copenhagen area not later than the end of May in each year.</w:t>
      </w:r>
    </w:p>
    <w:p>
      <w:pPr>
        <w:spacing w:after="0" w:line="124"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At the annual general meeting, the audited annual report is submitted for approval, together with the proposed appropriations of profit/treatment of loss, the election of the board of directors and election of our auditors. In addition, the board of directors reports on our activities during the past year.</w:t>
      </w:r>
    </w:p>
    <w:p>
      <w:pPr>
        <w:spacing w:after="0" w:line="12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General meetings are convened by the board of directors with a minimum of two weeks’ notice and a maximum of four weeks’ notice by letter, fax or by e-mail. A convening notice will also be forwarded to shareholders recorded in our owners’ register, who have requested such notification and by publication in the Danish Business Authority’s computerized information system and on the company’s website.</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At the latest, two weeks before a general meeting (inclusive of the day of the general meeting), we shall make the following information and documents available on our webpage:</w:t>
      </w:r>
    </w:p>
    <w:p>
      <w:pPr>
        <w:spacing w:after="0" w:line="76"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convening notice,</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documents that shall be presented at the general meeting, which will, in the case of the annual general meeting, include the annual report, and</w:t>
      </w:r>
    </w:p>
    <w:p>
      <w:pPr>
        <w:spacing w:after="0" w:line="153" w:lineRule="exact"/>
        <w:rPr>
          <w:rFonts w:ascii="Arial" w:cs="Arial" w:eastAsia="Arial" w:hAnsi="Arial"/>
          <w:sz w:val="16"/>
          <w:szCs w:val="16"/>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agenda and the complete proposals.</w:t>
      </w:r>
    </w:p>
    <w:p>
      <w:pPr>
        <w:spacing w:after="0" w:line="225" w:lineRule="exact"/>
        <w:rPr>
          <w:sz w:val="20"/>
          <w:szCs w:val="20"/>
          <w:color w:val="auto"/>
        </w:rPr>
      </w:pPr>
    </w:p>
    <w:p>
      <w:pPr>
        <w:ind w:left="120" w:right="160"/>
        <w:spacing w:after="0" w:line="290" w:lineRule="auto"/>
        <w:rPr>
          <w:sz w:val="20"/>
          <w:szCs w:val="20"/>
          <w:color w:val="auto"/>
        </w:rPr>
      </w:pPr>
      <w:r>
        <w:rPr>
          <w:rFonts w:ascii="Arial" w:cs="Arial" w:eastAsia="Arial" w:hAnsi="Arial"/>
          <w:sz w:val="16"/>
          <w:szCs w:val="16"/>
          <w:color w:val="auto"/>
        </w:rPr>
        <w:t>Shareholders are entitled to attend general meetings, either in person or by proxy, and they or their proxy may be accompanied by one advisor. A shareholder’s right to attend general meetings and to vote at general meetings is determined on the basis of the shares that the shareholder holds on the registration date. The registration date shall be one week before the general meeting is held. The shares which the individual shareholder holds are calculated on the registration date on the basis of the registration of ownership in the owners’ register as well as notifications concerning ownership which the Company has received with a view to update the ownership in the owners’ register. In addition, any shareholder who is entitled to attend a general meeting and who wishes to attend must have requested an admission card from us no later than three days in advance of the general meeting. Any shareholder is entitled to submit proposals to be discussed at the general meetings. However, proposals by the shareholders to be considered at the annual general meeting must be submitted in writing to the board of directors not later than six weeks before the annual general meeting.</w:t>
      </w:r>
    </w:p>
    <w:p>
      <w:pPr>
        <w:spacing w:after="0" w:line="165"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Extraordinary general meetings must be held upon resolution of an annual general meeting to hold such a meeting or upon request of the board of directors, our auditors or shareholders representing at least 1/20 of the registered share capital or such lower percentage as our articles of association may provide. Our articles of association do not state such lower percentage.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Holders of ADSs are not entitled to directly receive notices or other materials or to attend or vote at general meetings.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Resolutions in general meetings</w:t>
      </w:r>
    </w:p>
    <w:p>
      <w:pPr>
        <w:spacing w:after="0" w:line="11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Resolutions made by the general meeting generally may be adopted by a simple majority of the votes cast, subject only to the mandatory provisions of the Danish Companies Act and our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or increase any obligations of the shareholders towards the company require unanimity.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11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There are no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Squeeze out</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According to Section 70 of the Danish Companies Act, shares in a company may be redeemed in full or in part by a shareholder holding more than nine-tenths of the shares and the corresponding voting rights in the company. Furthermore, according to Section 73 of the Danish Companies Act, a minority shareholder may require a majority shareholder holding more than nine-tenths of the shares and the corresponding voting rights to redeem the minority shareholder’s shares.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Danish rules intended to prevent market abuse</w:t>
      </w:r>
    </w:p>
    <w:p>
      <w:pPr>
        <w:spacing w:after="0" w:line="117"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As of July 3, 2016, EU Regulation No 596/2014 on market abuse entered into force and Chapter 10 of the Danish Securities Trading Act was repealed. Pursuant to said Chapter 10, we had adopted an internal code on inside information in respect of the holding of and carrying out of transactions by our board of directors and executive officers and employees in the shares or ADSs or in financial instruments the value of which is determined by the value of the ordinary shares or ADSs, and we had drawn up a list of those persons working for us who could have access to inside information on a regular or incidental basis and had informed such persons of the rules on insider trading and market manipulation, including the sanctions which could be imposed in the event of a violation of those rules. However, said EU Regulation No 596/2014 on market abuse imposes no such requirements on us and we have therefore taken steps to abandon our previous practice.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Under Danish law, members of the board of directors or senior management may be held liable for damages in the event that loss is caused due to their negligence. They may be held jointly and severally liable for damages to the company and to third parties for acting in violation of the articles of association and Danish law.</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According to the Danish Companies Act, the general meeting is allowed to discharge our board members and members of our senior management from liability for any particular financial year based on a resolution relating to the financial statements. This discharge means that the general meeting will discharge such board members and members of our senior management from liability to us; however, the general meeting cannot discharge any claims by individual shareholders or other third parties.</w:t>
      </w:r>
    </w:p>
    <w:p>
      <w:pPr>
        <w:spacing w:after="0" w:line="187"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Additionally, we intend to enter, or have entered, into agreements with our board members and members of our senior management, pursuant to which, subject to limited exceptions, we will agree, or have agreed, to indemnify such board members and members of senior management from civil liability, including (i) any damages or fines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payable by them as a result of an act or failure to act in the exercise of their duties currently or previously performed by them; (ii) any reasonable costs of conducting a defense against a claim; and (iii) any reasonable costs of appearing in other legal proceedings in which such individuals are involved as current or former board members or members of senior management.</w:t>
      </w:r>
    </w:p>
    <w:p>
      <w:pPr>
        <w:spacing w:after="0" w:line="184"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There is a risk that such agreement will be deemed void under Danish law, either because the agreement is deemed contrary to the rules on discharge of liability in the Danish Companies Act, as set forth above, because the agreement is deemed contrary to sections 19 and 23 of the Danish Act on Damages, which contain mandatory provisions on recourse claims between an employee (including members of our senior management) and us, or because the agreement is deemed contrary to the general provisions of the Danish Contracts Act.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to such indemnification, we provide our board members and senior management with directors’ and officers’ liability insurance.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Danish corporate law and our articles of association and Delaware corporate law</w:t>
      </w:r>
    </w:p>
    <w:p>
      <w:pPr>
        <w:spacing w:after="0" w:line="121"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The following comparison between Danish corporate law, which applies to us, and Delaware corporate law, the law under which many publicly traded companies in the United States are incorporated, discusses additional matters not otherwise described in this prospectus. This summary is subject to Danish law, including the Danish Companies Act, and Delaware corporate law, including the Delaware General Corporation Law. Further, please note that ADS holders will not be treated as our shareholders and will not have any shareholder rights.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Duties of board members</w:t>
      </w:r>
    </w:p>
    <w:p>
      <w:pPr>
        <w:spacing w:after="0" w:line="117"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Public limited liability companies in Denmark are usually subject to a two-tier governance structure with the board of directors having the</w:t>
      </w:r>
      <w:r>
        <w:rPr>
          <w:rFonts w:ascii="Arial" w:cs="Arial" w:eastAsia="Arial" w:hAnsi="Arial"/>
          <w:sz w:val="16"/>
          <w:szCs w:val="16"/>
          <w:i w:val="1"/>
          <w:iCs w:val="1"/>
          <w:color w:val="auto"/>
        </w:rPr>
        <w:t xml:space="preserve"> </w:t>
      </w:r>
      <w:r>
        <w:rPr>
          <w:rFonts w:ascii="Arial" w:cs="Arial" w:eastAsia="Arial" w:hAnsi="Arial"/>
          <w:sz w:val="16"/>
          <w:szCs w:val="16"/>
          <w:color w:val="auto"/>
        </w:rPr>
        <w:t>ultimate responsibility for the overall supervision and strategic management of the company in question and with an executive board/management being responsible for the day-to-day operations. Each board member and member of the executive board/management is under a fiduciary duty to act in the interest of the company, but shall also take into account the interests of the creditors and the shareholders. Under Danish law, the members of the board of directors and executive management of a limited liability company are liable for losses caused by negligence whether shareholders, creditors or the company itself suffers such losses. They may also be liable for wrongful information given in the annual financial statements or any other public announcements from the company. An investor suing for damages is required to prove its claim with regard to negligence, loss, and causation. Danish courts, when assessing negligence, have been reluctant to impose liability unless the directors and officers neglected clear and specific duties. This is also the case when it comes to liability with regard to public offerings or liability with regard to any other public information issued by the company.</w:t>
      </w:r>
    </w:p>
    <w:p>
      <w:pPr>
        <w:spacing w:after="0" w:line="16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i w:val="1"/>
          <w:iCs w:val="1"/>
          <w:color w:val="auto"/>
        </w:rPr>
        <w:t>Delaware</w:t>
      </w:r>
      <w:r>
        <w:rPr>
          <w:rFonts w:ascii="Arial" w:cs="Arial" w:eastAsia="Arial" w:hAnsi="Arial"/>
          <w:sz w:val="16"/>
          <w:szCs w:val="16"/>
          <w:color w:val="auto"/>
        </w:rPr>
        <w:t>. The board of directors bears the ultimate responsibility for managing the business and affairs of a corporation. In discharging this function,</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Delaware courts have also imposed a heightened standard of conduct upon directors of a Delaware corporation who take any action designed to defeat a threatened change in control of the corporation. 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Terms of the members of our board of directors</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Under Danish law, the members of the board of directors of a limited liability company are generally appointed for an individual term of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There is no limit on the number of consecutive terms the board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members may serve. Pursuant to our articles of association, our board members are appointed by the general meeting of shareholders for a term of two years and are divided into two classes. Election of board members is, according to our articles of association, an item that shall be included on the agenda for the annual general meeting.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general meeting, shareholders are entitled at all times to dismiss a board member by a simple majority vote.</w:t>
      </w:r>
    </w:p>
    <w:p>
      <w:pPr>
        <w:spacing w:after="0" w:line="22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It follows from Section 140 of the Danish Companies Act that in limited liability companies that have employed an average of at least 35 employees in the preceding three years, the employees are entitled to elect a minimum of two representatives and alternate members to the company’s board of directors up to one half the number of the shareholder elected directors. If the number of representatives to be elected by the employees is not a whole number, such number must be rounded up.</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company currently employs more than an average of 35 employees and has done so since 2016. Consequently, from 2018, our employees have been entitled to demand representation on our board of directors. The question will, upon request from the employees, be put to a popular vote among the employees. If more than half of the employees (regardless whether they participate in the vote) vote in favor of having representation, we must organize an election process.</w:t>
      </w:r>
    </w:p>
    <w:p>
      <w:pPr>
        <w:spacing w:after="0" w:line="18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 xml:space="preserve">Additionally, Section 141 of the Danish Companies Act allows for group representation on the board of directors of our Company, </w:t>
      </w:r>
      <w:r>
        <w:rPr>
          <w:rFonts w:ascii="Arial" w:cs="Arial" w:eastAsia="Arial" w:hAnsi="Arial"/>
          <w:sz w:val="16"/>
          <w:szCs w:val="16"/>
          <w:i w:val="1"/>
          <w:iCs w:val="1"/>
          <w:color w:val="auto"/>
        </w:rPr>
        <w:t>i.e.</w:t>
      </w:r>
      <w:r>
        <w:rPr>
          <w:rFonts w:ascii="Arial" w:cs="Arial" w:eastAsia="Arial" w:hAnsi="Arial"/>
          <w:sz w:val="16"/>
          <w:szCs w:val="16"/>
          <w:color w:val="auto"/>
        </w:rPr>
        <w:t xml:space="preserve"> that employees of our Danish subsidiaries may demand representation on our board. However, our Danish subsidiaries do not currently have employees. The employees of Ascendis Pharma, Inc. and Ascendis Pharma Endocrinology, Inc., and the employees of our other foreign subsidiary, Ascendis Pharma GmbH, may only demand representation on our board of directors provided that our general meeting adopts a resolution to that effect.</w:t>
      </w:r>
    </w:p>
    <w:p>
      <w:pPr>
        <w:spacing w:after="0" w:line="15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The Delaware General Corporation Law generally provides for a one-year term for directors, but permits directorships to be divided into up</w:t>
      </w:r>
      <w:r>
        <w:rPr>
          <w:rFonts w:ascii="Arial" w:cs="Arial" w:eastAsia="Arial" w:hAnsi="Arial"/>
          <w:sz w:val="17"/>
          <w:szCs w:val="17"/>
          <w:i w:val="1"/>
          <w:iCs w:val="1"/>
          <w:color w:val="auto"/>
        </w:rPr>
        <w:t xml:space="preserve"> </w:t>
      </w:r>
      <w:r>
        <w:rPr>
          <w:rFonts w:ascii="Arial" w:cs="Arial" w:eastAsia="Arial" w:hAnsi="Arial"/>
          <w:sz w:val="17"/>
          <w:szCs w:val="17"/>
          <w:color w:val="auto"/>
        </w:rPr>
        <w:t>to three classes, of relatively equal size,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member vacancies</w:t>
      </w:r>
    </w:p>
    <w:p>
      <w:pPr>
        <w:spacing w:after="0" w:line="117"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i w:val="1"/>
          <w:iCs w:val="1"/>
          <w:color w:val="auto"/>
        </w:rPr>
        <w:t>Denmark</w:t>
      </w:r>
      <w:r>
        <w:rPr>
          <w:rFonts w:ascii="Arial" w:cs="Arial" w:eastAsia="Arial" w:hAnsi="Arial"/>
          <w:sz w:val="17"/>
          <w:szCs w:val="17"/>
          <w:color w:val="auto"/>
        </w:rPr>
        <w:t>. Under Danish law, in the event of a vacancy, new board members are elected by the shareholders in a general meeting. Thus, a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will have to be convened to fill a vacancy on the board of directors. However, the board of directors may choose to wait to fill vacancies until the next annual general meeting of the company, provided that the remaining board members can still constitute a quorum. It is only a statutory requirement to convene a general meeting to fill vacancies if the number of remaining members on the board is less than two.</w:t>
      </w:r>
    </w:p>
    <w:p>
      <w:pPr>
        <w:spacing w:after="0" w:line="17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Delaware General Corporation Law provides that vacancies and newly created directorships may be filled by a majority of the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then in office (even though less than a quorum) unless (1) otherwise provided in the certificate of incorporation or bylaws of the corporation or (2) the certificate of incorporation directs that a particular class of stock is to elect such director, in which case any other directors elected by such class, or a sole remaining director elected by such class, will fill such vacancy.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Conflict-of-interest transactions</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Under Danish law, board members may not take part in any matter or decision-making that involves a subject or transaction in relation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board member has a conflict of interest with 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Delaware General Corporation Law generally permits transactions involving a Delaware corporation and an interested director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if:</w:t>
      </w:r>
    </w:p>
    <w:p>
      <w:pPr>
        <w:spacing w:after="0" w:line="76" w:lineRule="exact"/>
        <w:rPr>
          <w:sz w:val="20"/>
          <w:szCs w:val="20"/>
          <w:color w:val="auto"/>
        </w:rPr>
      </w:pPr>
    </w:p>
    <w:p>
      <w:pPr>
        <w:ind w:left="540" w:hanging="424"/>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material facts as to the director’s relationship or interest are disclosed and a majority of disinterested directors’ consent;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material facts are disclosed as to the director’s relationship or interest and a majority of shares entitled to vote thereon consent; or</w:t>
      </w:r>
    </w:p>
    <w:p>
      <w:pPr>
        <w:spacing w:after="0" w:line="142" w:lineRule="exact"/>
        <w:rPr>
          <w:rFonts w:ascii="Arial" w:cs="Arial" w:eastAsia="Arial" w:hAnsi="Arial"/>
          <w:sz w:val="17"/>
          <w:szCs w:val="17"/>
          <w:color w:val="auto"/>
        </w:rPr>
      </w:pPr>
    </w:p>
    <w:p>
      <w:pPr>
        <w:ind w:left="540" w:right="780" w:hanging="424"/>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transaction is fair to the corporation at the time it is authorized by the board of directors, a committee of the board of directors or the stockholders.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Proxy voting by board members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In the event that a board member in a Danish limited liability company is unable to participate in a board meeting, the elected alternate, if any,</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given access to participate in the board meeting. Unless the board of directors has decided otherwise, or as otherwise is set out in the articles of association, the board member in question may grant a power of attorney to another board member, provided that this is considered safe considering the agenda in question.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A director of a Delaware corporation may not issue a proxy representing the director’s voting rights as a director.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rights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of meeting</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According to the Danish Companies Act, general meetings in limited liability companies shall be convened by the board of directors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of two weeks’ notice and a maximum of four weeks’ notice as set forth in the articles of association. A convening notice shall also be forwarded to shareholders recorded in our owners’ register, who have requested such notification. There are specific requirements as to the information and documentation required to be disclosed in connection with the convening notice.</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Delaware law, unless otherwise provided in the certificate of incorporation or bylaws, written notice of any meeting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must be given to each stockholder entitled to vote at the meeting not less than ten nor more than 60 days before the date of the meeting and shall specify the place, date, hour, and purpose or purposes of the meeting.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Each ordinary share confers the right to cast one vote at the general meeting of shareholders, unless the articles of association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Each holder of ordinary shares may cast as many votes as it holds shares. Shares that are held by us or our direct or indirect subsidiaries do not confer the right to vote.</w:t>
      </w:r>
    </w:p>
    <w:p>
      <w:pPr>
        <w:spacing w:after="0" w:line="184"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each stockholder is entitled to one vote per share of stock, unless the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can a quorum consist of less than one third of the shares entitled to vote at a meeting.</w:t>
      </w:r>
    </w:p>
    <w:p>
      <w:pPr>
        <w:spacing w:after="0" w:line="188" w:lineRule="exact"/>
        <w:rPr>
          <w:sz w:val="20"/>
          <w:szCs w:val="20"/>
          <w:color w:val="auto"/>
        </w:rPr>
      </w:pPr>
    </w:p>
    <w:p>
      <w:pPr>
        <w:jc w:val="both"/>
        <w:ind w:left="120" w:right="340"/>
        <w:spacing w:after="0" w:line="311" w:lineRule="auto"/>
        <w:rPr>
          <w:sz w:val="20"/>
          <w:szCs w:val="20"/>
          <w:color w:val="auto"/>
        </w:rPr>
      </w:pPr>
      <w:r>
        <w:rPr>
          <w:rFonts w:ascii="Arial" w:cs="Arial" w:eastAsia="Arial" w:hAnsi="Arial"/>
          <w:sz w:val="16"/>
          <w:szCs w:val="16"/>
          <w:color w:val="auto"/>
        </w:rPr>
        <w:t>Stockholders as of the record date for the meeting are entitled to vote at the meeting, and the board of directors may fix a record date that is no more than 60 nor less than ten days before the date of the meeting, and if no record date is set then the record date is the close of business on the day next preceding the day on which notice is given, or if notice is waived then the record date is the close of business on the day next preceding the day on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Shareholder proposals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According to the Danish Companies Act, extraordinary general meetings of shareholders will be held whenever our board of directors or our</w:t>
      </w:r>
      <w:r>
        <w:rPr>
          <w:rFonts w:ascii="Arial" w:cs="Arial" w:eastAsia="Arial" w:hAnsi="Arial"/>
          <w:sz w:val="18"/>
          <w:szCs w:val="18"/>
          <w:i w:val="1"/>
          <w:iCs w:val="1"/>
          <w:color w:val="auto"/>
        </w:rPr>
        <w:t xml:space="preserve"> </w:t>
      </w:r>
      <w:r>
        <w:rPr>
          <w:rFonts w:ascii="Arial" w:cs="Arial" w:eastAsia="Arial" w:hAnsi="Arial"/>
          <w:sz w:val="18"/>
          <w:szCs w:val="18"/>
          <w:color w:val="auto"/>
        </w:rPr>
        <w:t>appointed auditor requires. In addition, one or more shareholders representing at least 1/20th of the registered share capital of the company may, in writing, require that a general meeting be convened. If such a demand is forwarded, the board of directors shall convene the general meeting within two weeks thereafter.</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All shareholders have the right to present proposals for adoption at the annual general meeting, provided that the proposals are forwarded at the latest six weeks prior thereto. In the event that the proposal is received at a later date, the board of directors will decide whether the proposal has been forwarded in due time to be included on the agenda.</w:t>
      </w:r>
    </w:p>
    <w:p>
      <w:pPr>
        <w:spacing w:after="0" w:line="184" w:lineRule="exact"/>
        <w:rPr>
          <w:sz w:val="20"/>
          <w:szCs w:val="20"/>
          <w:color w:val="auto"/>
        </w:rPr>
      </w:pPr>
    </w:p>
    <w:p>
      <w:pPr>
        <w:ind w:left="120" w:right="600"/>
        <w:spacing w:after="0" w:line="311" w:lineRule="auto"/>
        <w:rPr>
          <w:sz w:val="20"/>
          <w:szCs w:val="20"/>
          <w:color w:val="auto"/>
        </w:rPr>
      </w:pPr>
      <w:r>
        <w:rPr>
          <w:rFonts w:ascii="Arial" w:cs="Arial" w:eastAsia="Arial" w:hAnsi="Arial"/>
          <w:sz w:val="16"/>
          <w:szCs w:val="16"/>
          <w:i w:val="1"/>
          <w:iCs w:val="1"/>
          <w:color w:val="auto"/>
        </w:rPr>
        <w:t>Delaware</w:t>
      </w:r>
      <w:r>
        <w:rPr>
          <w:rFonts w:ascii="Arial" w:cs="Arial" w:eastAsia="Arial" w:hAnsi="Arial"/>
          <w:sz w:val="16"/>
          <w:szCs w:val="16"/>
          <w:color w:val="auto"/>
        </w:rPr>
        <w:t>. Delaware law does not specifically grant stockholders the right to bring business before an annual or special meeting of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if a Delaware corporation is subject to the SEC’s proxy rules, a stockholder who owns at least $2,000 in market value, or 1% of the corporation’s securities entitled to vote, may propose a matter for a vote at an annual or special meeting in accordance with those rules.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Action by written consent</w:t>
      </w:r>
    </w:p>
    <w:p>
      <w:pPr>
        <w:spacing w:after="0" w:line="117"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it is permissible for shareholders to take action and pass resolutions by written consent in the event of unanimity; however,</w:t>
      </w:r>
      <w:r>
        <w:rPr>
          <w:rFonts w:ascii="Arial" w:cs="Arial" w:eastAsia="Arial" w:hAnsi="Arial"/>
          <w:sz w:val="16"/>
          <w:szCs w:val="16"/>
          <w:i w:val="1"/>
          <w:iCs w:val="1"/>
          <w:color w:val="auto"/>
        </w:rPr>
        <w:t xml:space="preserve"> </w:t>
      </w:r>
      <w:r>
        <w:rPr>
          <w:rFonts w:ascii="Arial" w:cs="Arial" w:eastAsia="Arial" w:hAnsi="Arial"/>
          <w:sz w:val="16"/>
          <w:szCs w:val="16"/>
          <w:color w:val="auto"/>
        </w:rPr>
        <w:t>this will normally not be the case in listed companies and for a listed company, this method of adopting resolutions is generally not feasible.</w:t>
      </w:r>
    </w:p>
    <w:p>
      <w:pPr>
        <w:spacing w:after="0" w:line="124"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Although permitted by Delaware law, publicly listed companies do not typically permit stockholders of a corporation to take action by</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Appraisal rights</w:t>
      </w:r>
    </w:p>
    <w:p>
      <w:pPr>
        <w:spacing w:after="0" w:line="11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The concept of appraisal rights does not exist under Danish law, except in connection with statutory redemptions rights according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Danish Companies Act.</w:t>
      </w:r>
    </w:p>
    <w:p>
      <w:pPr>
        <w:spacing w:after="0" w:line="170"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According to Section 73 of the Danish Companies Act, a minority shareholder may require a majority shareholder that holds more than 90% of the company’s registered share capital and votes to redeem his or her shares. Similarly, a majority shareholder holding more than 90% of the company’s share capital and votes may, according to Section 70 of the same act, squeeze out the minority shareholders. In the event that the parties cannot agree to the redemption squeeze out price, this shall be determined by an independent evaluator appointed by the court. Additionally, there are specific regulations in Sections 249, 267, 285 and 305 of the Danish Companies Act that require compensation in the event of national or cross-border mergers and demergers. Moreover, shareholders who vote against a cross-border merger or demerger are, according to Sections 286 and 306 of the Danish Companies Act, entitled to have their shares redeemed.</w:t>
      </w:r>
    </w:p>
    <w:p>
      <w:pPr>
        <w:spacing w:after="0" w:line="17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Delaware General Corporation Law provides for stockholder appraisal rights, or the right to demand payment in cash of the judicially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fair value of the stockholder’s shares, in connection with certain mergers and consolidations.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Shareholder suits</w:t>
      </w:r>
    </w:p>
    <w:p>
      <w:pPr>
        <w:spacing w:after="0" w:line="117"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only a company itself can bring a civil action against a third party; an individual shareholder does not have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bring an action on behalf of a company. An individual shareholder may, in its own name, have an individual right to take action against such third party in the event that the cause for the liability of that third party also constitutes a negligent act directly against such individual shareholder.</w:t>
      </w:r>
    </w:p>
    <w:p>
      <w:pPr>
        <w:spacing w:after="0" w:line="14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a stockholder may bring a derivative action on behalf of the corporation to enforce the rights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Repurchase of shares</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Danish limited liability companies may not subscribe for newly issued shares in their own capital. Such company may, however, according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Danish Companies Act Sections 196-201, acquire fully paid shares of its own capital, provided that the board of directors has been authorized thereto by the shareholders acting in a general meeting. Such authorization can only be given for a maximum period of five years and the authorization shall fix (i) the maximum value of the shares and (ii) the minimum and the highest amount that the company may pay for the shares. Shares may generally only be acquired using distributable reserves.</w:t>
      </w:r>
    </w:p>
    <w:p>
      <w:pPr>
        <w:spacing w:after="0" w:line="188"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a corporation may purchase or redeem its own shares unless the capital of the corporation is</w:t>
      </w:r>
      <w:r>
        <w:rPr>
          <w:rFonts w:ascii="Arial" w:cs="Arial" w:eastAsia="Arial" w:hAnsi="Arial"/>
          <w:sz w:val="17"/>
          <w:szCs w:val="17"/>
          <w:i w:val="1"/>
          <w:iCs w:val="1"/>
          <w:color w:val="auto"/>
        </w:rPr>
        <w:t xml:space="preserve"> </w:t>
      </w:r>
      <w:r>
        <w:rPr>
          <w:rFonts w:ascii="Arial" w:cs="Arial" w:eastAsia="Arial" w:hAnsi="Arial"/>
          <w:sz w:val="17"/>
          <w:szCs w:val="17"/>
          <w:color w:val="auto"/>
        </w:rPr>
        <w:t>impaired or the purchase or redemption would cause an impairment of the capital of the corporation. 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Anti-takeover provisions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it is possible to implement limited protective anti-takeover measures. Such provisions may include, among other things,</w:t>
      </w:r>
    </w:p>
    <w:p>
      <w:pPr>
        <w:spacing w:after="0" w:line="46" w:lineRule="exact"/>
        <w:rPr>
          <w:sz w:val="20"/>
          <w:szCs w:val="20"/>
          <w:color w:val="auto"/>
        </w:rPr>
      </w:pPr>
    </w:p>
    <w:p>
      <w:pPr>
        <w:ind w:left="340" w:hanging="224"/>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different share classes with different voting rights, (ii) specific requirements to register the shares named in the company’s owners register and</w:t>
      </w:r>
    </w:p>
    <w:p>
      <w:pPr>
        <w:spacing w:after="0" w:line="20" w:lineRule="exact"/>
        <w:rPr>
          <w:rFonts w:ascii="Arial" w:cs="Arial" w:eastAsia="Arial" w:hAnsi="Arial"/>
          <w:sz w:val="17"/>
          <w:szCs w:val="17"/>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notification requirements concerning participation in general meetings. We have currently not adopted any such provisions.</w:t>
      </w:r>
    </w:p>
    <w:p>
      <w:pPr>
        <w:spacing w:after="0" w:line="211"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In addition to other aspects of Delaware law governing fiduciary duties of directors during a potential takeover, the Delaware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Law also contains a business combination statute that protects Delaware companies from hostile takeovers and from actions following the takeover by prohibiting some transactions once an acquirer has gained a significant holding in the corporation.</w:t>
      </w:r>
    </w:p>
    <w:p>
      <w:pPr>
        <w:spacing w:after="0" w:line="16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Section 203 of the Delaware General Corporation Law prohibits “business combinations,” including mergers, sales and leases of assets, issuances of securities and similar transactions by a corporation or a subsidiary with an interested stockholder that beneficially owns 15% or more of a corporation’s voting stock, within three years after the person becomes an interested stockholder, unless:</w:t>
      </w:r>
    </w:p>
    <w:p>
      <w:pPr>
        <w:spacing w:after="0" w:line="89" w:lineRule="exact"/>
        <w:rPr>
          <w:sz w:val="20"/>
          <w:szCs w:val="20"/>
          <w:color w:val="auto"/>
        </w:rPr>
      </w:pPr>
    </w:p>
    <w:p>
      <w:pPr>
        <w:ind w:left="540" w:right="560" w:hanging="424"/>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transaction that will cause the person to become an interested stockholder is approved by the board of directors of the target prior to the transaction;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100" w:hanging="424"/>
        <w:spacing w:after="0" w:line="263"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89" w:lineRule="exact"/>
        <w:rPr>
          <w:rFonts w:ascii="Arial" w:cs="Arial" w:eastAsia="Arial" w:hAnsi="Arial"/>
          <w:sz w:val="18"/>
          <w:szCs w:val="18"/>
          <w:color w:val="auto"/>
        </w:rPr>
      </w:pPr>
    </w:p>
    <w:p>
      <w:pPr>
        <w:ind w:left="540" w:right="120" w:hanging="424"/>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70"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Such an amendment is not effective until 12 months following its adoption.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Inspection of books and records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According to Section 150 of the Danish Companies Act, a shareholder may request an inspection of the company’s books regarding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issues concerning the management of the company or specific annual reports. If approved by shareholders with simple majority, one or more investigators are elected. If the proposal is not approved by simple majority but 25% of the share capital votes in favor, then the shareholder can request the court to appoint an investigator.</w:t>
      </w:r>
    </w:p>
    <w:p>
      <w:pPr>
        <w:spacing w:after="0" w:line="18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any stockholder may inspect certain of the corporation’s books and records, for any proper</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during the corporation’s usual hours of business.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Pre-emptive rights</w:t>
      </w:r>
    </w:p>
    <w:p>
      <w:pPr>
        <w:spacing w:after="0" w:line="117"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i w:val="1"/>
          <w:iCs w:val="1"/>
          <w:color w:val="auto"/>
        </w:rPr>
        <w:t>Denmark</w:t>
      </w:r>
      <w:r>
        <w:rPr>
          <w:rFonts w:ascii="Arial" w:cs="Arial" w:eastAsia="Arial" w:hAnsi="Arial"/>
          <w:sz w:val="17"/>
          <w:szCs w:val="17"/>
          <w:color w:val="auto"/>
        </w:rPr>
        <w:t>. Under Danish law, all shareholders have pre-emptive subscription rights in connection with capital increases that are carried out as cash</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 The board of directors may resolve to increase our share capital without pre-emptive subscription rights for existing shareholders pursuant to the authorizations described above under the caption “Authorizations to Our Board of Directors.”</w:t>
      </w:r>
    </w:p>
    <w:p>
      <w:pPr>
        <w:spacing w:after="0" w:line="17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Unless future issuances of new shares are registered under the Securities Act or with any authority outside Denmark, U.S. shareholders and shareholders in jurisdictions outside Denmark may be unable to exercise their pre-emptive subscription rights.</w:t>
      </w:r>
    </w:p>
    <w:p>
      <w:pPr>
        <w:spacing w:after="0" w:line="170"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stockholders have no pre-emptive rights to subscribe for additional issues of stock or to any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security convertible into such stock unless, and to the extent that, such rights are expressly provided for in the certificate of incorporation.</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Under Danish law, the distribution of ordinary and extraordinary dividends requires the approval of a company’s shareholders at a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meeting. The shareholders may not distribute dividends in excess of the recommendation from the board of directors and may only pay out dividends from our distributable reserves, which are defined as results from operations carried forward and reserves that are not bound by law after deduction of loss carried forward. It is possible under Danish law to pay out interim dividends. The decision to pay out interim dividends shall be accompanied by a balance sheet, and the board of directors determine whether it will be sufficient to use the balance sheet from the annual report or if an interim balance sheet for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60"/>
        <w:spacing w:after="0" w:line="342" w:lineRule="auto"/>
        <w:rPr>
          <w:sz w:val="20"/>
          <w:szCs w:val="20"/>
          <w:color w:val="auto"/>
        </w:rPr>
      </w:pPr>
      <w:r>
        <w:rPr>
          <w:rFonts w:ascii="Arial" w:cs="Arial" w:eastAsia="Arial" w:hAnsi="Arial"/>
          <w:sz w:val="16"/>
          <w:szCs w:val="16"/>
          <w:color w:val="auto"/>
        </w:rPr>
        <w:t>period from the annual report period until the interim dividend payment shall be prepared. If interim dividends are paid out later than six months following the financial year for the latest annual report, an interim balance sheet showing that there are sufficient funds shall always be prepared.</w:t>
      </w:r>
    </w:p>
    <w:p>
      <w:pPr>
        <w:spacing w:after="0" w:line="124"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a Delaware corporation may pay dividends out of its surplus (the excess of net assets over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shares, property or cash.</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Shareholder vote on certain reorganizations</w:t>
      </w:r>
    </w:p>
    <w:p>
      <w:pPr>
        <w:spacing w:after="0" w:line="117"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all amendments to the articles of association shall be approved by the general meeting of shareholders with a minimum of</w:t>
      </w:r>
      <w:r>
        <w:rPr>
          <w:rFonts w:ascii="Arial" w:cs="Arial" w:eastAsia="Arial" w:hAnsi="Arial"/>
          <w:sz w:val="16"/>
          <w:szCs w:val="16"/>
          <w:i w:val="1"/>
          <w:iCs w:val="1"/>
          <w:color w:val="auto"/>
        </w:rPr>
        <w:t xml:space="preserve"> </w:t>
      </w:r>
      <w:r>
        <w:rPr>
          <w:rFonts w:ascii="Arial" w:cs="Arial" w:eastAsia="Arial" w:hAnsi="Arial"/>
          <w:sz w:val="16"/>
          <w:szCs w:val="16"/>
          <w:color w:val="auto"/>
        </w:rPr>
        <w:t>two-thirds of the votes cast and two-thirds of the represented share capital. The same applies to solvent liquidations, mergers with the company as the discontinuing entity, mergers with the company as the continuing entity if shares are issued in connection therewith and demergers. Under Danish law, it is debatable whether the shareholders must approve a decision to sell all or virtually all of the company’s business/assets.</w:t>
      </w:r>
    </w:p>
    <w:p>
      <w:pPr>
        <w:spacing w:after="0" w:line="157" w:lineRule="exact"/>
        <w:rPr>
          <w:sz w:val="20"/>
          <w:szCs w:val="20"/>
          <w:color w:val="auto"/>
        </w:rPr>
      </w:pPr>
    </w:p>
    <w:p>
      <w:pPr>
        <w:ind w:left="120" w:right="320"/>
        <w:spacing w:after="0" w:line="279"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the vote of a majority of the outstanding shares of capital stock entitled to vote thereon</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71"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However, under the Delaware General Corporation Law, no vote of the stockholders of a surviving corporation to a merger is needed, unless required by the certificate of incorporation, if (1) the agreement of merger does not amend in any respect the certificate of incorporation of the surviving corporation,</w:t>
      </w:r>
    </w:p>
    <w:p>
      <w:pPr>
        <w:ind w:left="120" w:right="100" w:hanging="4"/>
        <w:spacing w:after="0" w:line="253" w:lineRule="auto"/>
        <w:tabs>
          <w:tab w:leader="none" w:pos="3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shares of stock of the surviving corporation are not changed in the merger and (3)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Amendments to governing documents</w:t>
      </w:r>
    </w:p>
    <w:p>
      <w:pPr>
        <w:spacing w:after="0" w:line="11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All resolutions made by the general meeting may be adopted by a simple majority of the votes, subject only to the mandatory provisions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Danish Companies Act and the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any or increase any obligations of the shareholders towards the company require unanimity.</w:t>
      </w:r>
    </w:p>
    <w:p>
      <w:pPr>
        <w:spacing w:after="0" w:line="16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a corporation’s certificate of incorporation may be amended only if adopted and declared</w:t>
      </w:r>
      <w:r>
        <w:rPr>
          <w:rFonts w:ascii="Arial" w:cs="Arial" w:eastAsia="Arial" w:hAnsi="Arial"/>
          <w:sz w:val="18"/>
          <w:szCs w:val="18"/>
          <w:i w:val="1"/>
          <w:iCs w:val="1"/>
          <w:color w:val="auto"/>
        </w:rPr>
        <w:t xml:space="preserve"> </w:t>
      </w:r>
      <w:r>
        <w:rPr>
          <w:rFonts w:ascii="Arial" w:cs="Arial" w:eastAsia="Arial" w:hAnsi="Arial"/>
          <w:sz w:val="18"/>
          <w:szCs w:val="18"/>
          <w:color w:val="auto"/>
        </w:rPr>
        <w:t>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Depositary</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depositary for the ADSs is The Bank of New York Mellon. The Bank of New York Mellon’s depositary office and its principal executive office are located at 240 Greenwich Street, New York, New York 10286.</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The Bank of New York Mellon, as depositary, registers and delivers the ADSs. Each ADS represents one ordinary share (or a right to receive one ordinary share) deposited with The Bank of New York Mellon, London Branch, or any successor, as custodian for the depositary. Each ADS also represents any other securities, cash or other property which may be held by the depositary in respect of the depositary facility. The depositary’s corporate trust office at which the ADSs are administered and its principal executive office is located at 240 Greenwich Street, New York, New York 10286.</w:t>
      </w:r>
    </w:p>
    <w:p>
      <w:pPr>
        <w:spacing w:after="0" w:line="18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You may hold ADSs either (1) directly (a) by having an American Depositary Receipt, also referred to as an ADR, which is a certificate evidencing a specific number of ADSs, registered in your name, or (b) by having ADSs registered in your name in the Direct Registration System, or (2) indirectly by holding a security entitlement in ADSs through your broker or other financial institution.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92"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Direct Registration System, or DRS, is a system administered by The Depository Trust Company, also referred to as DTC, pursuant to which the depositary may register the ownership of uncertificated ADSs, which ownership is confirmed by periodic statements sent by the depositary to the registered holders of uncertificated ADSs.</w:t>
      </w:r>
    </w:p>
    <w:p>
      <w:pPr>
        <w:spacing w:after="0" w:line="184"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ADS holders are not treated as shareholders and do not have shareholder rights. Danish law governs shareholder rights. The depositary is the holder of the ordinary shares underlying the ADSs. As a holder of ADSs, you will have ADS holder rights. A deposit agreement among us, the depositary and you, as an ADS holder, and all other persons directly and indirectly holding ADSs sets out ADS holder rights as well as the rights and obligations of the depositary. A copy of the deposit agreement is incorporated by reference as an exhibit to our Annual Report on form 20-F. New York law governs the deposit agreement and the ADSs.</w:t>
      </w:r>
    </w:p>
    <w:p>
      <w:pPr>
        <w:spacing w:after="0" w:line="188"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ADS. For directions on how to obtain copies of those documents, see the section of this prospectus titled “</w:t>
      </w:r>
      <w:r>
        <w:rPr>
          <w:rFonts w:ascii="Arial" w:cs="Arial" w:eastAsia="Arial" w:hAnsi="Arial"/>
          <w:sz w:val="18"/>
          <w:szCs w:val="18"/>
          <w:i w:val="1"/>
          <w:iCs w:val="1"/>
          <w:color w:val="auto"/>
        </w:rPr>
        <w:t>Where You Can</w:t>
      </w:r>
      <w:r>
        <w:rPr>
          <w:rFonts w:ascii="Arial" w:cs="Arial" w:eastAsia="Arial" w:hAnsi="Arial"/>
          <w:sz w:val="18"/>
          <w:szCs w:val="18"/>
          <w:color w:val="auto"/>
        </w:rPr>
        <w:t xml:space="preserve"> </w:t>
      </w:r>
      <w:r>
        <w:rPr>
          <w:rFonts w:ascii="Arial" w:cs="Arial" w:eastAsia="Arial" w:hAnsi="Arial"/>
          <w:sz w:val="18"/>
          <w:szCs w:val="18"/>
          <w:i w:val="1"/>
          <w:iCs w:val="1"/>
          <w:color w:val="auto"/>
        </w:rPr>
        <w:t>Find Additional Information; Incorporation by Reference.</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ordinary shares?</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depositary has agreed to pay you the cash dividends or other distributions it or the custodian receives on ordinary shares or other deposited securities, after deducting its fees and expenses. As an ADS holder, you will receive these distributions in proportion to the number of ordinary shares your ADSs represent.</w:t>
      </w:r>
    </w:p>
    <w:p>
      <w:pPr>
        <w:spacing w:after="0" w:line="184"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i w:val="1"/>
          <w:iCs w:val="1"/>
          <w:color w:val="auto"/>
        </w:rPr>
        <w:t>Cash</w:t>
      </w:r>
      <w:r>
        <w:rPr>
          <w:rFonts w:ascii="Arial" w:cs="Arial" w:eastAsia="Arial" w:hAnsi="Arial"/>
          <w:sz w:val="17"/>
          <w:szCs w:val="17"/>
          <w:color w:val="auto"/>
        </w:rPr>
        <w:t>. We do not expect to declare or pay any cash dividends or cash distributions on our ordinary shares for the foreseeable future. The depositary will</w:t>
      </w:r>
      <w:r>
        <w:rPr>
          <w:rFonts w:ascii="Arial" w:cs="Arial" w:eastAsia="Arial" w:hAnsi="Arial"/>
          <w:sz w:val="17"/>
          <w:szCs w:val="17"/>
          <w:i w:val="1"/>
          <w:iCs w:val="1"/>
          <w:color w:val="auto"/>
        </w:rPr>
        <w:t xml:space="preserve"> </w:t>
      </w:r>
      <w:r>
        <w:rPr>
          <w:rFonts w:ascii="Arial" w:cs="Arial" w:eastAsia="Arial" w:hAnsi="Arial"/>
          <w:sz w:val="17"/>
          <w:szCs w:val="17"/>
          <w:color w:val="auto"/>
        </w:rPr>
        <w:t>convert any cash dividend or other cash distribution we pay on the ordinary shares or any net proceeds from the sale of any ordinary shares, rights, securities or other entitlements into U.S. dollars if it can do so on a reasonable basis and at the then prevailing market rate, and can transfer the U.S. dollars to the United States. If that is not possible and lawful or if any government approval is needed and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 Before making a distribution, any taxes or other governmental charges, together with fees and expenses of the depositary that must be paid, will be deducted. See the section titled “</w:t>
      </w:r>
      <w:r>
        <w:rPr>
          <w:rFonts w:ascii="Arial" w:cs="Arial" w:eastAsia="Arial" w:hAnsi="Arial"/>
          <w:sz w:val="17"/>
          <w:szCs w:val="17"/>
          <w:i w:val="1"/>
          <w:iCs w:val="1"/>
          <w:color w:val="auto"/>
        </w:rPr>
        <w:t>Item 10 E. Additional Information—Taxation</w:t>
      </w:r>
      <w:r>
        <w:rPr>
          <w:rFonts w:ascii="Arial" w:cs="Arial" w:eastAsia="Arial" w:hAnsi="Arial"/>
          <w:sz w:val="17"/>
          <w:szCs w:val="17"/>
          <w:color w:val="auto"/>
        </w:rPr>
        <w:t>” in our Annual Report on Form 20-F for a summary of certain tax consequences in respect of dividends or distributions to holders of ADSs. It will distribute only whole U.S. dollars and cents and will round fractional cents to the nearest whole cent. If the exchange rates fluctuate during a time when the depositary cannot convert the foreign currency, you may lose some or all of the value of the distribution.</w:t>
      </w:r>
    </w:p>
    <w:p>
      <w:pPr>
        <w:spacing w:after="0" w:line="17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i w:val="1"/>
          <w:iCs w:val="1"/>
          <w:color w:val="auto"/>
        </w:rPr>
        <w:t>Ordinary Shares</w:t>
      </w:r>
      <w:r>
        <w:rPr>
          <w:rFonts w:ascii="Arial" w:cs="Arial" w:eastAsia="Arial" w:hAnsi="Arial"/>
          <w:sz w:val="18"/>
          <w:szCs w:val="18"/>
          <w:color w:val="auto"/>
        </w:rPr>
        <w:t>. The depositary may distribute additional ADSs representing any ordinary shares we distribute as a dividend or free distribution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reasonably practicable and permissible under law. The depositary will only distribute whole ADSs. If the depositary does not distribute additional ADSs, the outstanding ADSs will also represent the new ordinary shares. The depositary may sell a portion of the distributed ordinary shares sufficient to pay its fees and expenses in connection with that distribution.</w:t>
      </w:r>
    </w:p>
    <w:p>
      <w:pPr>
        <w:spacing w:after="0" w:line="18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i w:val="1"/>
          <w:iCs w:val="1"/>
          <w:color w:val="auto"/>
        </w:rPr>
        <w:t>Elective Distributions in Cash or Shares</w:t>
      </w:r>
      <w:r>
        <w:rPr>
          <w:rFonts w:ascii="Arial" w:cs="Arial" w:eastAsia="Arial" w:hAnsi="Arial"/>
          <w:sz w:val="16"/>
          <w:szCs w:val="16"/>
          <w:color w:val="auto"/>
        </w:rPr>
        <w:t>. If we offer holders of our ordinary shares the option to receive dividends in either cash or shares,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after consultation with us, may make such elective distribution available to you as a holder of the ADSs. We must first instruct the depositary to make such elective distribution available to you. As a condition of making a distribution election available to ADS holders, the depositary may require satisfactory assurances from us that doing so would not require registration of any securities under the Securities Act. There can be no assurance that you will be given the opportunity to receive elective distributions on the same terms and conditions as the holders of ordinary shares, or at all.</w:t>
      </w:r>
    </w:p>
    <w:p>
      <w:pPr>
        <w:spacing w:after="0" w:line="161" w:lineRule="exact"/>
        <w:rPr>
          <w:sz w:val="20"/>
          <w:szCs w:val="20"/>
          <w:color w:val="auto"/>
        </w:rPr>
      </w:pPr>
    </w:p>
    <w:p>
      <w:pPr>
        <w:jc w:val="both"/>
        <w:ind w:left="120" w:right="160"/>
        <w:spacing w:after="0" w:line="301" w:lineRule="auto"/>
        <w:rPr>
          <w:sz w:val="20"/>
          <w:szCs w:val="20"/>
          <w:color w:val="auto"/>
        </w:rPr>
      </w:pPr>
      <w:r>
        <w:rPr>
          <w:rFonts w:ascii="Arial" w:cs="Arial" w:eastAsia="Arial" w:hAnsi="Arial"/>
          <w:sz w:val="16"/>
          <w:szCs w:val="16"/>
          <w:i w:val="1"/>
          <w:iCs w:val="1"/>
          <w:color w:val="auto"/>
        </w:rPr>
        <w:t>Rights to Purchase Additional Ordinary Shares</w:t>
      </w:r>
      <w:r>
        <w:rPr>
          <w:rFonts w:ascii="Arial" w:cs="Arial" w:eastAsia="Arial" w:hAnsi="Arial"/>
          <w:sz w:val="16"/>
          <w:szCs w:val="16"/>
          <w:color w:val="auto"/>
        </w:rPr>
        <w:t>. If we offer holders of our securities any rights to subscribe for additional ordinary shares or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rights, the depositary may make these rights available to ADS holders. If the depositary decides it is not legal and practical to make the rights available but that it is practical to sell the rights, the depositary will use reasonable efforts to sell the rights and distribute the proceeds in the same way as it does with cash distributions. The depositary will allow rights that are not distributed or sold to lapse. In that case, you will receive no value for them.</w:t>
      </w:r>
    </w:p>
    <w:p>
      <w:pPr>
        <w:spacing w:after="0" w:line="15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If the depositary makes rights available to you, it will exercise the rights and purchase the ordinary shares on your behalf and in accordance with your instructions. The depositary will then deposit the ordinary shares and deliver ADSs to you. It will only exercise rights if you pay it the exercise price and any other charges the rights require you to pay and comply with other applicable instructions.</w:t>
      </w:r>
    </w:p>
    <w:p>
      <w:pPr>
        <w:spacing w:after="0" w:line="184" w:lineRule="exact"/>
        <w:rPr>
          <w:sz w:val="20"/>
          <w:szCs w:val="20"/>
          <w:color w:val="auto"/>
        </w:rPr>
      </w:pPr>
    </w:p>
    <w:p>
      <w:pPr>
        <w:jc w:val="both"/>
        <w:ind w:left="120" w:right="300"/>
        <w:spacing w:after="0" w:line="286" w:lineRule="auto"/>
        <w:rPr>
          <w:sz w:val="20"/>
          <w:szCs w:val="20"/>
          <w:color w:val="auto"/>
        </w:rPr>
      </w:pPr>
      <w:r>
        <w:rPr>
          <w:rFonts w:ascii="Arial" w:cs="Arial" w:eastAsia="Arial" w:hAnsi="Arial"/>
          <w:sz w:val="17"/>
          <w:szCs w:val="17"/>
          <w:color w:val="auto"/>
        </w:rPr>
        <w:t>U.S. securities laws may restrict transfers and cancellation of the ADSs representing ordinary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165"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i w:val="1"/>
          <w:iCs w:val="1"/>
          <w:color w:val="auto"/>
        </w:rPr>
        <w:t>Other Distributions</w:t>
      </w:r>
      <w:r>
        <w:rPr>
          <w:rFonts w:ascii="Arial" w:cs="Arial" w:eastAsia="Arial" w:hAnsi="Arial"/>
          <w:sz w:val="18"/>
          <w:szCs w:val="18"/>
          <w:color w:val="auto"/>
        </w:rPr>
        <w:t>. The depositary will send to you anything else we distribute to holders of deposited securities by any means it determines is</w:t>
      </w:r>
      <w:r>
        <w:rPr>
          <w:rFonts w:ascii="Arial" w:cs="Arial" w:eastAsia="Arial" w:hAnsi="Arial"/>
          <w:sz w:val="18"/>
          <w:szCs w:val="18"/>
          <w:i w:val="1"/>
          <w:iCs w:val="1"/>
          <w:color w:val="auto"/>
        </w:rPr>
        <w:t xml:space="preserve"> </w:t>
      </w:r>
      <w:r>
        <w:rPr>
          <w:rFonts w:ascii="Arial" w:cs="Arial" w:eastAsia="Arial" w:hAnsi="Arial"/>
          <w:sz w:val="18"/>
          <w:szCs w:val="18"/>
          <w:color w:val="auto"/>
        </w:rPr>
        <w:t>equitable and practicable. If it cannot make the distribution proportionally among the owners, the depositary may adopt another equitable and practical method. It may decide to sell what we distributed and distribute the net proceeds, in the same way as it does with cash. Or, it may decide to hold what we distributed, in which case ADSs will also represent the newly distributed property.</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However, the depositary is not required to distribute any securities (other than ADSs) to ADS holders unless it receives satisfactory evidence from us that it is legal to make that distribution. In addition, the depositary may sell a portion of the distributed securities or property sufficient to pay its fees and expenses in connection with that distribution.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Neither we nor the depositary are responsible for any failure to determine that it may be lawful or feasible to make a distribution available to any ADS holders. We have no obligation to register ADSs, ordinary shares, rights or other securities under the Securities Act. This means that you may not receive the distributions we make on our ordinary shares or any value for them if it is illegal or impractical for us to make them available to you.</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depositary will deliver ADSs if you or your broker deposit ordinary shares or evidence of rights to receive ordinary shares with the custodian. Upon payment of its fees and expenses and of any taxes or charges, such as stamp taxes or share transfer taxes or fees, and delivery of any required endorsements, certifications or other instruments of transfer required by the depositary, the depositary will register the appropriate number of ADSs in the names you request and will deliver the ADSs to or upon the order of the person or persons that made the deposit.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117"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You may surrender your ADSs at the depositary’s corporate trust office. Upon payment of its fees and expenses and of any taxes or charges, such as stamp taxes or share transfer taxes or fees, the depositary will transfer and deliver the ordinary shares and any other deposited securities underlying the ADSs to you or a person designated by you at the office of the custodian or through a book-entry delivery. Alternatively, at your request, risk and expense, the depositary will transfer and deliver the deposited securities at its corporate trust office, if feasible.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can ADS holders interchange between certificated ADSs and uncertificated ADSs?</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You may surrender your ADRs to the depositary for the purpose of exchanging your ADRs for uncertificated ADSs. The depositary will cancel the ADRs and will send you a statement confirming that you are the owner of uncertificated ADSs. Alternatively, upon receipt by the depositary of a proper instruction from a registered holder of uncertificated ADSs requesting the exchange of uncertificated ADSs for certificated ADSs, the depositary will execute and deliver to you an ADR evidencing those ADSs.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you vote?</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You may instruct the depositary to vote the number of whole deposited ordinary shares your ADSs represent. The depositary will notify you of shareholders’ meetings or other solicitations of consents and arrange to deliver our voting materials to you if we ask it to. Those materials will describe the matters to be voted on and explain how you may instruct the depositary how to vote. For instructions to be valid, they must reach the depositary by a date set by the depositary.</w:t>
      </w:r>
    </w:p>
    <w:p>
      <w:pPr>
        <w:spacing w:after="0" w:line="18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depositary will try, as far as practical, and subject to the laws of Denmark and our Articles of Association, to vote or to have its agents vote the ordinary shares or other deposited securities as instructed by ADS holders.</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depositary will only vote or attempt to vote as you instruct or as described above. If we ask the depositary to solicit the ADS holders’ instructions to vote and an ADS holder fails to instruct the depositary as to the manner in which to vote by the specified date, such ADS holder will be deemed to have given a discretionary proxy to a person designated by us to vote the number of deposited securities represented by its ADSs, unless we notify the depositary that we do not wish to receive a discretionary proxy, there is substantial shareholder opposition to the particular question, or the particular question would have an adverse impact on our shareholders.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cannot assure you that you will receive the voting materials in time to ensure that you can instruct the depositary to vote your ordinary shares. In addition, the depositary and its agents are not responsible for failing to carry out voting instructions or for the manner of carrying out voting instructions provided that any such failure is in good faith. This means that you may not be able to exercise your right to vote and there may be nothing you can do if your ordinary shares are not voted as you requested.</w:t>
      </w:r>
    </w:p>
    <w:p>
      <w:pPr>
        <w:spacing w:after="0" w:line="187"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will try to give the depositary notice of any such meeting and details concerning the matters to be voted upon sufficiently in advance of the meeting date.</w:t>
      </w:r>
    </w:p>
    <w:p>
      <w:pPr>
        <w:spacing w:after="0" w:line="18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Except as described above, you will not be able to exercise your right to vote unless you withdraw the ordinary shares. However, you may not know about the shareholder meeting far enough in advance to withdraw the ordinary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fees and expenses will you be responsible for paying?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the terms of the deposit agreement, the holders of ADSs will be required to pay the following fees:</w:t>
      </w:r>
    </w:p>
    <w:p>
      <w:pPr>
        <w:sectPr>
          <w:pgSz w:w="11900" w:h="16838" w:orient="portrait"/>
          <w:cols w:equalWidth="0" w:num="1">
            <w:col w:w="11120"/>
          </w:cols>
          <w:pgMar w:left="320" w:top="459" w:right="459" w:bottom="1440" w:gutter="0" w:footer="0" w:header="0"/>
        </w:sectPr>
      </w:pPr>
    </w:p>
    <w:p>
      <w:pPr>
        <w:spacing w:after="0" w:line="248" w:lineRule="exact"/>
        <w:rPr>
          <w:sz w:val="20"/>
          <w:szCs w:val="20"/>
          <w:color w:val="auto"/>
        </w:rPr>
      </w:pPr>
    </w:p>
    <w:p>
      <w:pPr>
        <w:ind w:left="120" w:right="180"/>
        <w:spacing w:after="0" w:line="282" w:lineRule="auto"/>
        <w:rPr>
          <w:sz w:val="20"/>
          <w:szCs w:val="20"/>
          <w:color w:val="auto"/>
        </w:rPr>
      </w:pPr>
      <w:r>
        <w:rPr>
          <w:rFonts w:ascii="Arial" w:cs="Arial" w:eastAsia="Arial" w:hAnsi="Arial"/>
          <w:sz w:val="18"/>
          <w:szCs w:val="18"/>
          <w:b w:val="1"/>
          <w:bCs w:val="1"/>
          <w:color w:val="auto"/>
        </w:rPr>
        <w:t>Persons depositing or withdrawing ordinary shares or For: ADSs must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$5.00 (or less) per 100 ADSs (or portion of 100 ADSs)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$0.05 (or less) per ADS</w:t>
      </w:r>
    </w:p>
    <w:p>
      <w:pPr>
        <w:spacing w:after="0" w:line="360" w:lineRule="exact"/>
        <w:rPr>
          <w:sz w:val="20"/>
          <w:szCs w:val="20"/>
          <w:color w:val="auto"/>
        </w:rPr>
      </w:pPr>
    </w:p>
    <w:p>
      <w:pPr>
        <w:jc w:val="both"/>
        <w:ind w:left="120" w:right="160"/>
        <w:spacing w:after="0" w:line="255" w:lineRule="auto"/>
        <w:rPr>
          <w:sz w:val="20"/>
          <w:szCs w:val="20"/>
          <w:color w:val="auto"/>
        </w:rPr>
      </w:pPr>
      <w:r>
        <w:rPr>
          <w:rFonts w:ascii="Arial" w:cs="Arial" w:eastAsia="Arial" w:hAnsi="Arial"/>
          <w:sz w:val="18"/>
          <w:szCs w:val="18"/>
          <w:color w:val="auto"/>
        </w:rPr>
        <w:t>A fee equivalent to the fee that would be payable if securities distributed to you had been ordinary shares and the shares had been deposited for issue of ADSs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$0.05 (or less) per ADS per calendar year</w:t>
      </w:r>
    </w:p>
    <w:p>
      <w:pPr>
        <w:spacing w:after="0" w:line="200" w:lineRule="exact"/>
        <w:rPr>
          <w:sz w:val="20"/>
          <w:szCs w:val="20"/>
          <w:color w:val="auto"/>
        </w:rPr>
      </w:pPr>
    </w:p>
    <w:p>
      <w:pPr>
        <w:spacing w:after="0" w:line="3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Registration or transfer fees</w:t>
      </w:r>
    </w:p>
    <w:p>
      <w:pPr>
        <w:spacing w:after="0" w:line="36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Expenses of the depositary</w:t>
      </w:r>
    </w:p>
    <w:p>
      <w:pPr>
        <w:spacing w:after="0" w:line="14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Taxes and other governmental charges the depositary or the custodian have to pay on any ADS or share underlying an ADS, for example, share transfer taxes, stamp duty or withholding taxes</w:t>
      </w:r>
    </w:p>
    <w:p>
      <w:pPr>
        <w:spacing w:after="0" w:line="76"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359" w:right="260" w:hanging="359"/>
        <w:spacing w:after="0" w:line="277" w:lineRule="auto"/>
        <w:tabs>
          <w:tab w:leader="none" w:pos="3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of ADSs, including issues resulting from a distribution of ordinary shares or rights or other property</w:t>
      </w:r>
    </w:p>
    <w:p>
      <w:pPr>
        <w:spacing w:after="0" w:line="89" w:lineRule="exact"/>
        <w:rPr>
          <w:rFonts w:ascii="Arial" w:cs="Arial" w:eastAsia="Arial" w:hAnsi="Arial"/>
          <w:sz w:val="18"/>
          <w:szCs w:val="18"/>
          <w:color w:val="auto"/>
        </w:rPr>
      </w:pPr>
    </w:p>
    <w:p>
      <w:pPr>
        <w:ind w:left="359" w:right="120" w:hanging="359"/>
        <w:spacing w:after="0" w:line="277" w:lineRule="auto"/>
        <w:tabs>
          <w:tab w:leader="none" w:pos="3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Cancellation of ADSs for the purpose of withdrawal, including if the deposit agreement terminates</w:t>
      </w:r>
    </w:p>
    <w:p>
      <w:pPr>
        <w:spacing w:after="0" w:line="305" w:lineRule="exact"/>
        <w:rPr>
          <w:rFonts w:ascii="Arial" w:cs="Arial" w:eastAsia="Arial" w:hAnsi="Arial"/>
          <w:sz w:val="18"/>
          <w:szCs w:val="18"/>
          <w:color w:val="auto"/>
        </w:rPr>
      </w:pPr>
    </w:p>
    <w:p>
      <w:pPr>
        <w:ind w:left="339" w:hanging="339"/>
        <w:spacing w:after="0"/>
        <w:tabs>
          <w:tab w:leader="none" w:pos="3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cash distribution to you</w:t>
      </w:r>
    </w:p>
    <w:p>
      <w:pPr>
        <w:spacing w:after="0" w:line="144" w:lineRule="exact"/>
        <w:rPr>
          <w:rFonts w:ascii="Arial" w:cs="Arial" w:eastAsia="Arial" w:hAnsi="Arial"/>
          <w:sz w:val="18"/>
          <w:szCs w:val="18"/>
          <w:color w:val="auto"/>
        </w:rPr>
      </w:pPr>
    </w:p>
    <w:p>
      <w:pPr>
        <w:ind w:left="359" w:right="520" w:hanging="359"/>
        <w:spacing w:after="0" w:line="342" w:lineRule="auto"/>
        <w:tabs>
          <w:tab w:leader="none" w:pos="343"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Distribution of securities distributed to holders of deposited securities which are distributed by the depositary to you</w:t>
      </w:r>
    </w:p>
    <w:p>
      <w:pPr>
        <w:spacing w:after="0" w:line="42" w:lineRule="exact"/>
        <w:rPr>
          <w:rFonts w:ascii="Arial" w:cs="Arial" w:eastAsia="Arial" w:hAnsi="Arial"/>
          <w:sz w:val="16"/>
          <w:szCs w:val="16"/>
          <w:color w:val="auto"/>
        </w:rPr>
      </w:pPr>
    </w:p>
    <w:p>
      <w:pPr>
        <w:ind w:left="339" w:hanging="339"/>
        <w:spacing w:after="0"/>
        <w:tabs>
          <w:tab w:leader="none" w:pos="3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Depositary services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59" w:hanging="359"/>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 and registration of ordinary shares on our share register to or from the name of the depositary or its agent when you deposit or withdraw shares</w:t>
      </w:r>
    </w:p>
    <w:p>
      <w:pPr>
        <w:spacing w:after="0" w:line="102" w:lineRule="exact"/>
        <w:rPr>
          <w:rFonts w:ascii="Arial" w:cs="Arial" w:eastAsia="Arial" w:hAnsi="Arial"/>
          <w:sz w:val="18"/>
          <w:szCs w:val="18"/>
          <w:color w:val="auto"/>
        </w:rPr>
      </w:pPr>
    </w:p>
    <w:p>
      <w:pPr>
        <w:ind w:left="359" w:right="20" w:hanging="359"/>
        <w:spacing w:after="0" w:line="277" w:lineRule="auto"/>
        <w:tabs>
          <w:tab w:leader="none" w:pos="3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Cable, telex and facsimile transmissions (when expressly provided in the deposit agreement)</w:t>
      </w:r>
    </w:p>
    <w:p>
      <w:pPr>
        <w:spacing w:after="0" w:line="89" w:lineRule="exact"/>
        <w:rPr>
          <w:rFonts w:ascii="Arial" w:cs="Arial" w:eastAsia="Arial" w:hAnsi="Arial"/>
          <w:sz w:val="18"/>
          <w:szCs w:val="18"/>
          <w:color w:val="auto"/>
        </w:rPr>
      </w:pPr>
    </w:p>
    <w:p>
      <w:pPr>
        <w:ind w:left="339" w:hanging="339"/>
        <w:spacing w:after="0"/>
        <w:tabs>
          <w:tab w:leader="none" w:pos="3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Converting foreign currency to U.S. dollars</w:t>
      </w:r>
    </w:p>
    <w:p>
      <w:pPr>
        <w:spacing w:after="0" w:line="144" w:lineRule="exact"/>
        <w:rPr>
          <w:rFonts w:ascii="Arial" w:cs="Arial" w:eastAsia="Arial" w:hAnsi="Arial"/>
          <w:sz w:val="18"/>
          <w:szCs w:val="18"/>
          <w:color w:val="auto"/>
        </w:rPr>
      </w:pPr>
    </w:p>
    <w:p>
      <w:pPr>
        <w:ind w:left="339" w:hanging="339"/>
        <w:spacing w:after="0"/>
        <w:tabs>
          <w:tab w:leader="none" w:pos="3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necessary</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339" w:hanging="339"/>
        <w:spacing w:after="0"/>
        <w:tabs>
          <w:tab w:leader="none" w:pos="3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necessary</w:t>
      </w:r>
    </w:p>
    <w:p>
      <w:pPr>
        <w:sectPr>
          <w:pgSz w:w="11900" w:h="16838" w:orient="portrait"/>
          <w:cols w:equalWidth="0" w:num="2">
            <w:col w:w="5720" w:space="241"/>
            <w:col w:w="5159"/>
          </w:cols>
          <w:pgMar w:left="320" w:top="459" w:right="4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to ADS holders that are obligated to pay those fees. The depositary may generally refuse to provide for-fee services until its fees for those services are paid.</w:t>
      </w:r>
    </w:p>
    <w:p>
      <w:pPr>
        <w:spacing w:after="0" w:line="17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From time to time, the depositary may make payments to us to reimburse 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left="120" w:right="280"/>
        <w:spacing w:after="0" w:line="296" w:lineRule="auto"/>
        <w:rPr>
          <w:sz w:val="20"/>
          <w:szCs w:val="20"/>
          <w:color w:val="auto"/>
        </w:rPr>
      </w:pPr>
      <w:r>
        <w:rPr>
          <w:rFonts w:ascii="Arial" w:cs="Arial" w:eastAsia="Arial" w:hAnsi="Arial"/>
          <w:sz w:val="16"/>
          <w:szCs w:val="16"/>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registered in your name to reflect the sale and pay you any net proceeds, or send you any property, remaining after it has paid the taxes.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256"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b w:val="1"/>
          <w:bCs w:val="1"/>
          <w:i w:val="1"/>
          <w:iCs w:val="1"/>
          <w:color w:val="auto"/>
        </w:rPr>
        <w:t>If we:</w:t>
      </w:r>
      <w:r>
        <w:rPr>
          <w:sz w:val="20"/>
          <w:szCs w:val="20"/>
          <w:color w:val="auto"/>
        </w:rPr>
        <w:tab/>
      </w:r>
      <w:r>
        <w:rPr>
          <w:rFonts w:ascii="Arial" w:cs="Arial" w:eastAsia="Arial" w:hAnsi="Arial"/>
          <w:sz w:val="16"/>
          <w:szCs w:val="16"/>
          <w:b w:val="1"/>
          <w:bCs w:val="1"/>
          <w:i w:val="1"/>
          <w:iCs w:val="1"/>
          <w:color w:val="auto"/>
        </w:rPr>
        <w:t>Then:</w:t>
      </w:r>
    </w:p>
    <w:p>
      <w:pPr>
        <w:spacing w:after="0" w:line="117" w:lineRule="exact"/>
        <w:rPr>
          <w:sz w:val="20"/>
          <w:szCs w:val="20"/>
          <w:color w:val="auto"/>
        </w:rPr>
      </w:pPr>
    </w:p>
    <w:p>
      <w:pPr>
        <w:ind w:left="560"/>
        <w:spacing w:after="0"/>
        <w:tabs>
          <w:tab w:leader="none" w:pos="800" w:val="left"/>
          <w:tab w:leader="none" w:pos="5940" w:val="left"/>
        </w:tabs>
        <w:rPr>
          <w:sz w:val="20"/>
          <w:szCs w:val="20"/>
          <w:color w:val="auto"/>
        </w:rPr>
      </w:pPr>
      <w:r>
        <w:rPr>
          <w:rFonts w:ascii="Arial" w:cs="Arial" w:eastAsia="Arial" w:hAnsi="Arial"/>
          <w:sz w:val="18"/>
          <w:szCs w:val="18"/>
          <w:color w:val="auto"/>
        </w:rPr>
        <w:t>•</w:t>
        <w:tab/>
        <w:t>Change the nominal or par value of our ordinary shares</w:t>
      </w:r>
      <w:r>
        <w:rPr>
          <w:sz w:val="20"/>
          <w:szCs w:val="20"/>
          <w:color w:val="auto"/>
        </w:rPr>
        <w:tab/>
      </w:r>
      <w:r>
        <w:rPr>
          <w:rFonts w:ascii="Arial" w:cs="Arial" w:eastAsia="Arial" w:hAnsi="Arial"/>
          <w:sz w:val="16"/>
          <w:szCs w:val="16"/>
          <w:color w:val="auto"/>
        </w:rPr>
        <w:t>The cash, ordinary shares or other securities received by the depositary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will become deposited securities.</w:t>
      </w:r>
    </w:p>
    <w:p>
      <w:pPr>
        <w:spacing w:after="0" w:line="103" w:lineRule="exact"/>
        <w:rPr>
          <w:sz w:val="20"/>
          <w:szCs w:val="20"/>
          <w:color w:val="auto"/>
        </w:rPr>
      </w:pPr>
    </w:p>
    <w:p>
      <w:pPr>
        <w:ind w:left="560"/>
        <w:spacing w:after="0"/>
        <w:tabs>
          <w:tab w:leader="none" w:pos="800" w:val="left"/>
          <w:tab w:leader="none" w:pos="5940" w:val="left"/>
        </w:tabs>
        <w:rPr>
          <w:sz w:val="20"/>
          <w:szCs w:val="20"/>
          <w:color w:val="auto"/>
        </w:rPr>
      </w:pPr>
      <w:r>
        <w:rPr>
          <w:rFonts w:ascii="Arial" w:cs="Arial" w:eastAsia="Arial" w:hAnsi="Arial"/>
          <w:sz w:val="18"/>
          <w:szCs w:val="18"/>
          <w:color w:val="auto"/>
        </w:rPr>
        <w:t>•</w:t>
        <w:tab/>
        <w:t>Reclassify, split up or consolidate any of the deposited securities</w:t>
      </w:r>
      <w:r>
        <w:rPr>
          <w:sz w:val="20"/>
          <w:szCs w:val="20"/>
          <w:color w:val="auto"/>
        </w:rPr>
        <w:tab/>
      </w:r>
      <w:r>
        <w:rPr>
          <w:rFonts w:ascii="Arial" w:cs="Arial" w:eastAsia="Arial" w:hAnsi="Arial"/>
          <w:sz w:val="16"/>
          <w:szCs w:val="16"/>
          <w:color w:val="auto"/>
        </w:rPr>
        <w:t>Each ADS will automatically represent its equal share of the new</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deposited securities.</w:t>
      </w:r>
    </w:p>
    <w:p>
      <w:pPr>
        <w:sectPr>
          <w:pgSz w:w="11900" w:h="16838" w:orient="portrait"/>
          <w:cols w:equalWidth="0" w:num="1">
            <w:col w:w="11120"/>
          </w:cols>
          <w:pgMar w:left="320" w:top="459" w:right="459" w:bottom="1440" w:gutter="0" w:footer="0" w:header="0"/>
        </w:sectPr>
      </w:pPr>
    </w:p>
    <w:p>
      <w:pPr>
        <w:spacing w:after="0" w:line="103" w:lineRule="exact"/>
        <w:rPr>
          <w:sz w:val="20"/>
          <w:szCs w:val="20"/>
          <w:color w:val="auto"/>
        </w:rPr>
      </w:pPr>
    </w:p>
    <w:p>
      <w:pPr>
        <w:ind w:left="840" w:hanging="274"/>
        <w:spacing w:after="0" w:line="277" w:lineRule="auto"/>
        <w:tabs>
          <w:tab w:leader="none" w:pos="8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Distribute securities on the ordinary shares that are not distributed to you</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depositary may also deliver new ADSs or ask you to surrender your outstanding ADRs in exchange for new ADRs identifying the new deposited securities. The depositary may also sell the new deposited securities and distribute the net proceeds if we are unable to assure the depositary that the distribution (a) does not require registration under the Securities Act or (b) is exempt from registration under the Securities Act.</w:t>
      </w:r>
    </w:p>
    <w:p>
      <w:pPr>
        <w:spacing w:after="0" w:line="87" w:lineRule="exact"/>
        <w:rPr>
          <w:sz w:val="20"/>
          <w:szCs w:val="20"/>
          <w:color w:val="auto"/>
        </w:rPr>
      </w:pPr>
    </w:p>
    <w:p>
      <w:pPr>
        <w:sectPr>
          <w:pgSz w:w="11900" w:h="16838" w:orient="portrait"/>
          <w:cols w:equalWidth="0" w:num="2">
            <w:col w:w="5580" w:space="380"/>
            <w:col w:w="5160"/>
          </w:cols>
          <w:pgMar w:left="320" w:top="459" w:right="459" w:bottom="1440" w:gutter="0" w:footer="0" w:header="0"/>
          <w:type w:val="continuous"/>
        </w:sectPr>
      </w:pPr>
    </w:p>
    <w:p>
      <w:pPr>
        <w:ind w:left="840" w:right="200" w:hanging="274"/>
        <w:spacing w:after="0" w:line="277" w:lineRule="auto"/>
        <w:tabs>
          <w:tab w:leader="none" w:pos="8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Recapitalize, reorganize, merge, liquidate, sell all or substantially all of our assets, or take any similar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br w:type="column"/>
      </w:r>
    </w:p>
    <w:p>
      <w:pPr>
        <w:ind w:right="120"/>
        <w:spacing w:after="0" w:line="254" w:lineRule="auto"/>
        <w:rPr>
          <w:sz w:val="20"/>
          <w:szCs w:val="20"/>
          <w:color w:val="auto"/>
        </w:rPr>
      </w:pPr>
      <w:r>
        <w:rPr>
          <w:rFonts w:ascii="Arial" w:cs="Arial" w:eastAsia="Arial" w:hAnsi="Arial"/>
          <w:sz w:val="18"/>
          <w:szCs w:val="18"/>
          <w:color w:val="auto"/>
        </w:rPr>
        <w:t>Any replacement securities received by the depositary shall be treated as newly deposited securities and either the existing ADSs or, if necessary, replacement ADSs distributed by the depositary will represent the replacement securities. The depositary may also sell the replacement securities and distribute the net proceeds if the replacement securities may not be lawfully distributed to all ADS holders.</w:t>
      </w:r>
    </w:p>
    <w:p>
      <w:pPr>
        <w:sectPr>
          <w:pgSz w:w="11900" w:h="16838" w:orient="portrait"/>
          <w:cols w:equalWidth="0" w:num="2">
            <w:col w:w="5720" w:space="240"/>
            <w:col w:w="5160"/>
          </w:cols>
          <w:pgMar w:left="320" w:top="459" w:right="4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The depositary will terminate the deposit agreement at our direction by mailing notice of termination to the ADS holders then outstanding at least 30 days prior to the date fixed in such notice for such termination. The depositary may also terminate the deposit agreement by mailing a notice of termination to us and the ADS holders if 60 days have passed since the depositary told us it wants to resign but a successor depositary has not been appointed and accepted its appointment.</w:t>
      </w:r>
    </w:p>
    <w:p>
      <w:pPr>
        <w:spacing w:after="0" w:line="18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Four months after termination, the depositary may sell any remaining deposited securities by public or private sale. 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The depositary’s only obligations will be to account for the money and other cash. After termination our only obligations under the deposit agreement will be to indemnify the depositary and to pay fees and expenses of the depositary that we agreed to pay and we will not have any obligations thereunder to current or former ADS holders.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deposit agreement expressly limits our obligations and the obligations of the depositary. It also limits our liability and the liability of the depositary.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and the depositary:</w:t>
      </w:r>
    </w:p>
    <w:p>
      <w:pPr>
        <w:spacing w:after="0" w:line="116"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are not liable if either of us is prevented or delayed by law or circumstances beyond our control from performing our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ligations under the deposit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are not liable if either of us exercises, or fails to exercise, discretion permitted under the deposit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available to holders of ADSs under the terms of the deposit agreement, or for any special, consequential or punitive damages for any breach of the terms of the deposit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are not liable for any tax consequences to any holders of ADSs on account of their ownership of ADSs;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may rely upon any documents we believe in good faith to be genuine and to have been signed or presented by the proper person.</w:t>
      </w:r>
    </w:p>
    <w:p>
      <w:pPr>
        <w:spacing w:after="0" w:line="23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the deposit agreement, we and the depositary agree to indemnify each other under certain circumstances. Additionally, we, the depositary and each owner and holder, to the fullest extent permitted by applicable law, waive the right to a jury trial in an action against us or the depositary arising out of or relating to the deposit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for Depositary Actions</w:t>
      </w:r>
    </w:p>
    <w:p>
      <w:pPr>
        <w:spacing w:after="0" w:line="121"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Before the depositary will deliver or register a transfer of an ADS, make a distribution on an ADS, or permit withdrawal of ordinary shares, the depositary may require:</w:t>
      </w:r>
    </w:p>
    <w:p>
      <w:pPr>
        <w:spacing w:after="0" w:line="76" w:lineRule="exact"/>
        <w:rPr>
          <w:sz w:val="20"/>
          <w:szCs w:val="20"/>
          <w:color w:val="auto"/>
        </w:rPr>
      </w:pPr>
    </w:p>
    <w:p>
      <w:pPr>
        <w:ind w:left="1080" w:right="3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 of share transfer or other taxes or other governmental charges and transfer or registration fees charged by third parties for the transfer of any ordinary shares or other deposited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depositary may refuse to deliver ADSs or register transfers of ADSs generally when the transfer books of the depositary or our transfer books are closed or at any time if the depositary or we think it advisable to do so.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Your Right to Receive the Ordinary Shares Underlying Your ADSs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ADS holders have the right to cancel their ADSs and withdraw the underlying ordinary shares at any time except:</w:t>
      </w:r>
    </w:p>
    <w:p>
      <w:pPr>
        <w:spacing w:after="0" w:line="131" w:lineRule="exact"/>
        <w:rPr>
          <w:sz w:val="20"/>
          <w:szCs w:val="20"/>
          <w:color w:val="auto"/>
        </w:rPr>
      </w:pPr>
    </w:p>
    <w:p>
      <w:pPr>
        <w:ind w:left="1080" w:right="60" w:hanging="424"/>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when temporary delays arise because: (1) the depositary has closed its transfer books or we have closed our transfer books; (2) the transfer of ordinary shares is blocked to permit voting at a shareholders’ meeting; or (3) we are paying a dividend on our ordinary shares;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and</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ordinary shares or other deposited securities.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right of withdrawal is not limited by any other provision of the deposit agreement.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Pre-release of ADSs</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deposit agreement permits the depositary to deliver ADSs before deposit of the underlying ordinary shares. This is called a pre-release of the ADSs. The depositary may also deliver ordinary shares upon cancellation of pre-released ADSs (even if the ADSs are canceled before the pre-release transaction has been closed out). A pre-release is closed out as soon as the underlying ordinary shares are delivered to the depositary.</w:t>
      </w:r>
    </w:p>
    <w:p>
      <w:pPr>
        <w:spacing w:after="0" w:line="165" w:lineRule="exact"/>
        <w:rPr>
          <w:sz w:val="20"/>
          <w:szCs w:val="20"/>
          <w:color w:val="auto"/>
        </w:rPr>
      </w:pPr>
    </w:p>
    <w:p>
      <w:pPr>
        <w:jc w:val="both"/>
        <w:ind w:left="120" w:right="80"/>
        <w:spacing w:after="0" w:line="279" w:lineRule="auto"/>
        <w:rPr>
          <w:sz w:val="20"/>
          <w:szCs w:val="20"/>
          <w:color w:val="auto"/>
        </w:rPr>
      </w:pPr>
      <w:r>
        <w:rPr>
          <w:rFonts w:ascii="Arial" w:cs="Arial" w:eastAsia="Arial" w:hAnsi="Arial"/>
          <w:sz w:val="17"/>
          <w:szCs w:val="17"/>
          <w:color w:val="auto"/>
        </w:rPr>
        <w:t>The depositary may receive ADSs instead of ordinary shares to close out a pre-release. The depositary may pre-release ADSs only under the following conditions: (1) before or at the time of the pre-release, the person to whom the pre-release is being made represents to the depositary in writing that it or its customer owns the ordinary shares or ADSs to be deposited; (2) the pre-release is fully collateralized with cash or other collateral that the depositary considers appropriate; and (3) the depositary must be able to close out the pre-release on not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more than five business days’ notice. In addition, the depositary will limit the number of ADSs that may be outstanding at any time as a result of prerelease to 30% of the number of deposited shares, although the depositary may disregard this limit from time to time if it determines it is appropriate to do so.</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 Registration System</w:t>
      </w:r>
    </w:p>
    <w:p>
      <w:pPr>
        <w:spacing w:after="0" w:line="121"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In the deposit agreement, all parties to the deposit agreement acknowledge that the DRS and Profile Modification System, or Profile, will apply to uncertificated ADSs upon acceptance thereof to DRS by DTC. DRS is the system administered by DTC under which the depositary may register the ownership of uncertificated ADSs and such ownership will be evidenced by periodic statements sent by the depositary to the registered holders of uncertificated ADSs. Profile is a required feature of DRS that allows a DTC participant, claiming to act on behalf of a registered holder of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78"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Communications; Inspection of Register of Holders of ADSs; ADS Holder Information</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if we ask it to. You have a right to inspect the register of holders of ADSs, but not for the purpose of contacting those holders about a matter unrelated to our business or the ADSs.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71" w:lineRule="exact"/>
        <w:rPr>
          <w:sz w:val="20"/>
          <w:szCs w:val="20"/>
          <w:color w:val="auto"/>
        </w:rPr>
      </w:pPr>
    </w:p>
    <w:p>
      <w:pPr>
        <w:jc w:val="both"/>
        <w:ind w:left="120" w:right="260"/>
        <w:spacing w:after="0" w:line="311" w:lineRule="auto"/>
        <w:rPr>
          <w:sz w:val="20"/>
          <w:szCs w:val="20"/>
          <w:color w:val="auto"/>
        </w:rPr>
      </w:pPr>
      <w:r>
        <w:rPr>
          <w:rFonts w:ascii="Arial" w:cs="Arial" w:eastAsia="Arial" w:hAnsi="Arial"/>
          <w:sz w:val="16"/>
          <w:szCs w:val="16"/>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4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debt securities will be issued under an indenture between us and a third party to be identified therein, as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88"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As used in this section only, “Ascendis,” “we,” “our” or “us” refer to Ascendis Pharma A/S excluding our subsidiaries, unless expressly stated or the context otherwise requires.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49"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1"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30"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92"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75"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70"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75"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29"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9"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depositaries, interest rate calculation agents, exchange rate calculation agents or other agents with respect to the debt securities;</w:t>
      </w:r>
    </w:p>
    <w:p>
      <w:pPr>
        <w:spacing w:after="0" w:line="153" w:lineRule="exact"/>
        <w:rPr>
          <w:rFonts w:ascii="Arial" w:cs="Arial" w:eastAsia="Arial" w:hAnsi="Arial"/>
          <w:sz w:val="16"/>
          <w:szCs w:val="16"/>
          <w:color w:val="auto"/>
        </w:rPr>
      </w:pPr>
    </w:p>
    <w:p>
      <w:pPr>
        <w:ind w:left="1080" w:right="14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9"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4"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8"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4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4"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Global Debt Securities and Book-Entry System. Each global debt security representing book-entry debt securities will be deposited with, or on behalf of, the Depositary, and registered in the name of the Depositary or a nominee of the Depositary. Please see “Global Securities.”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 (Article IV)</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76" w:lineRule="exact"/>
        <w:rPr>
          <w:sz w:val="20"/>
          <w:szCs w:val="20"/>
          <w:color w:val="auto"/>
        </w:rPr>
      </w:pPr>
    </w:p>
    <w:p>
      <w:pPr>
        <w:ind w:left="1080" w:right="12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the surviving corporation or the successor person (if other than Ascendis) is a corporation organized and validly existing under the laws of any U.S. domestic jurisdiction or Denmark and expressly assumes our obligations on the debt securities and under the indenture;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Notwithstanding the above, any of our subsidiaries may consolidate with, merge into or transfer all or part of its properties to us. (Section 5.1)</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30" w:lineRule="exact"/>
        <w:rPr>
          <w:rFonts w:ascii="Arial" w:cs="Arial" w:eastAsia="Arial" w:hAnsi="Arial"/>
          <w:sz w:val="18"/>
          <w:szCs w:val="18"/>
          <w:color w:val="auto"/>
        </w:rPr>
      </w:pPr>
    </w:p>
    <w:p>
      <w:pPr>
        <w:ind w:left="1080" w:right="160" w:hanging="424"/>
        <w:spacing w:after="0" w:line="301"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Ascendis and the trustee receive written notice from the holders of not less than 25% in principal amount of the outstanding debt securities of that series as provided in the indenture;</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Ascendis;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170"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8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66"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7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1080" w:right="1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76"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153" w:lineRule="exact"/>
        <w:rPr>
          <w:rFonts w:ascii="Arial" w:cs="Arial" w:eastAsia="Arial" w:hAnsi="Arial"/>
          <w:sz w:val="16"/>
          <w:szCs w:val="16"/>
          <w:color w:val="auto"/>
        </w:rPr>
      </w:pPr>
    </w:p>
    <w:p>
      <w:pPr>
        <w:ind w:left="1080" w:right="7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9"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make the principal of or premium or interest on any debt security payable in currency other than that stated in the debt security;</w:t>
      </w:r>
    </w:p>
    <w:p>
      <w:pPr>
        <w:spacing w:after="0" w:line="142"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79" w:lineRule="auto"/>
        <w:rPr>
          <w:sz w:val="20"/>
          <w:szCs w:val="20"/>
          <w:color w:val="auto"/>
        </w:rPr>
      </w:pPr>
      <w:r>
        <w:rPr>
          <w:rFonts w:ascii="Arial" w:cs="Arial" w:eastAsia="Arial" w:hAnsi="Arial"/>
          <w:sz w:val="17"/>
          <w:szCs w:val="17"/>
          <w:color w:val="auto"/>
        </w:rPr>
        <w:t>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i w:val="1"/>
          <w:iCs w:val="1"/>
          <w:color w:val="auto"/>
        </w:rPr>
        <w:t>Legal Defeasance</w:t>
      </w:r>
      <w:r>
        <w:rPr>
          <w:rFonts w:ascii="Arial" w:cs="Arial" w:eastAsia="Arial" w:hAnsi="Arial"/>
          <w:sz w:val="17"/>
          <w:szCs w:val="17"/>
          <w:color w:val="auto"/>
        </w:rPr>
        <w:t>. The indenture provides that, unless otherwise provided by the terms of the applicable series of debt securities, we may be discharged</w:t>
      </w:r>
      <w:r>
        <w:rPr>
          <w:rFonts w:ascii="Arial" w:cs="Arial" w:eastAsia="Arial" w:hAnsi="Arial"/>
          <w:sz w:val="17"/>
          <w:szCs w:val="17"/>
          <w:i w:val="1"/>
          <w:iCs w:val="1"/>
          <w:color w:val="auto"/>
        </w:rPr>
        <w:t xml:space="preserve"> </w:t>
      </w:r>
      <w:r>
        <w:rPr>
          <w:rFonts w:ascii="Arial" w:cs="Arial" w:eastAsia="Arial" w:hAnsi="Arial"/>
          <w:sz w:val="17"/>
          <w:szCs w:val="17"/>
          <w:color w:val="auto"/>
        </w:rPr>
        <w:t>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7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or the IRS,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7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76" w:lineRule="exact"/>
        <w:rPr>
          <w:sz w:val="20"/>
          <w:szCs w:val="20"/>
          <w:color w:val="auto"/>
        </w:rPr>
      </w:pPr>
    </w:p>
    <w:p>
      <w:pPr>
        <w:ind w:left="1080" w:right="20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conditions include:</w:t>
      </w:r>
    </w:p>
    <w:p>
      <w:pPr>
        <w:spacing w:after="0" w:line="131" w:lineRule="exact"/>
        <w:rPr>
          <w:sz w:val="20"/>
          <w:szCs w:val="20"/>
          <w:color w:val="auto"/>
        </w:rPr>
      </w:pPr>
    </w:p>
    <w:p>
      <w:pPr>
        <w:ind w:left="1080" w:right="100" w:hanging="424"/>
        <w:spacing w:after="0" w:line="273"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3" w:lineRule="exact"/>
        <w:rPr>
          <w:rFonts w:ascii="Arial" w:cs="Arial" w:eastAsia="Arial" w:hAnsi="Arial"/>
          <w:sz w:val="17"/>
          <w:szCs w:val="17"/>
          <w:color w:val="auto"/>
        </w:rPr>
      </w:pPr>
    </w:p>
    <w:p>
      <w:pPr>
        <w:ind w:left="1080" w:right="120" w:hanging="424"/>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or Securityholder</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70"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4"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DESCRIPTION OF OTHER SECURITIES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any preference shares, warrants, units or depositary shares issued by us that may be offered and sold pursuant to this prospectus.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880"/>
          </w:cols>
          <w:pgMar w:left="320" w:top="459" w:right="6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Unless we indicate differently in any applicable prospectus supplement or free writing prospectus, the securities initially will be issued in book-entry form and certain of the securities may be represented by one or more global notes or global securities, or, collectively, global securities. Any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of such global security to its nominee or by the nominee to the depositary of such global security, or by the depositary or its nominee to a successor depositary of such global security or to a nominee of the successor depositary of such global security.</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78"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77"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So long as the securities are in book-entry form and represented by one or more global securities, you will receive payments and may transfer securities only through the facilities of the depositary of the global securities and its direct and indirect participants. We will maintain an office or agency in the location specified in the prospectus supplement for the applicable securities represented by one or more global securities, where notices and demands in respect of the securities and the indenture may be delivered to us and where certificated securities may be surrendered for payment, registration of transfer or exchange.</w:t>
      </w:r>
    </w:p>
    <w:p>
      <w:pPr>
        <w:spacing w:after="0" w:line="18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Redemption notices with respect to securities represented by one or more global securities will be sent to DTC. If less than all of the securities represented by one or more global securities of a particular series are being redeemed, DTC’s practice is to determine by lot the amount of the interest of each direct participant in the securities of such series to be redeemed.</w:t>
      </w:r>
    </w:p>
    <w:p>
      <w:pPr>
        <w:spacing w:after="0" w:line="184"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Neither DTC nor Cede &amp; Co. (or such other DTC nominee) will consent or vote with respect to the securities represented by one or more global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So long as securities are in book-entry form and represented by one or more global securities, we will make payments on those securities to the depositary of the global securities or its nominee, as the registered owner of such securities, by wire transfer of immediately available funds. If securities represented by one or more global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7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Redemption proceeds, distributions and dividend payments on the securities represented by one or more global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96"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Except under the limited circumstances described below, purchasers of securities represented by one or more global securities will not be entitled to have securities registered in their names and will not receive physical delivery of securities. Accordingly, each beneficial owner of securities represented by one or more global securities must rely on the procedures of DTC and its participants to exercise any rights under the securities and the indenture. The laws of some jurisdictions may require that some purchasers of securities take physical delivery of securities in definitive form. Those laws may impair the ability to transfer or pledge beneficial interests in securities represented by one or more global securities.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DTC may discontinue providing its services as securities depositary with respect to the securities represented by one or more global securities at any time by giving reasonable notice to us. Under such circumstances, in the event that a successor depositary is not obtained, securities certificates are required to be printed and delivered for securities represented by one or more global securities.</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As noted above, beneficial owners of a particular series of securities represented by one or more global securities generally will not receive certificates representing their ownership interests in those securities. However, if:</w:t>
      </w:r>
    </w:p>
    <w:p>
      <w:pPr>
        <w:spacing w:after="0" w:line="76" w:lineRule="exact"/>
        <w:rPr>
          <w:sz w:val="20"/>
          <w:szCs w:val="20"/>
          <w:color w:val="auto"/>
        </w:rPr>
      </w:pPr>
    </w:p>
    <w:p>
      <w:pPr>
        <w:ind w:left="1080" w:right="200" w:hanging="424"/>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 Event of Default has occurred and is continuing with respect to such series of securities represented by one or more global securities,</w:t>
      </w:r>
    </w:p>
    <w:p>
      <w:pPr>
        <w:spacing w:after="0" w:line="24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or book-entry form registered in the names that the depositary of such global security directs. It is expected that these directions will be based upon directions received by the depositary of the global securities from its participants with respect to ownership of beneficial interests in the global securities.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Euroclear and Clearstream</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92"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8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84"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6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Cross-market transfers between participants in DTC, on the one hand, and participants in Euroclear or Clearstream, on the other hand, will be effected through DTC in accordance with the DTC’s rules on behalf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7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80"/>
          </w:cols>
          <w:pgMar w:left="32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40"/>
          </w:cols>
          <w:pgMar w:left="320" w:top="459" w:right="5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Material income tax consequences relating to the purchase, ownership and disposition of any of the securities offered by this prospectus will be set forth in the applicable prospectus supplement(s) relating to the offering of those securities.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or any of the selling securityholders may sell the offered securities from time to time:</w:t>
      </w:r>
    </w:p>
    <w:p>
      <w:pPr>
        <w:spacing w:after="0" w:line="131"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380"/>
          </w:cols>
          <w:pgMar w:left="320" w:top="459" w:right="11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There are no laws or regulations in Denmark that restrict the export or import of capital (except for certain investments in certain domains in accordance with applicable resolutions adopted by the United Nations or the European Union), including, but not limited to, foreign exchange controls, or which affect the remittance of dividends, interest or other payments to non-resident holders of our ordinary shares.</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validity of the issuance of the ordinary shares and preference shares offered in this prospectus and certain other matters of Danish law will be passed upon for us by Mazanti-Andersen Advokatpartnerselskab, Copenhagen, Denmark. The validity of the debt securities, warrants, units and depositary shares and certain other matters will be passed upon for us by Latham &amp; Watkins LLP, Menlo Park, California. Additional legal matters may be passed upon for us, the selling securityholders or any underwriters, dealers or agents, by counsel that we will name in the applicable prospectus supplement.</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CHANGES</w:t>
      </w:r>
    </w:p>
    <w:p>
      <w:pPr>
        <w:spacing w:after="0" w:line="229"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Except as described above or otherwise described in our Annual Report on Form 20-F for the fiscal year ended December 31, 2020 and in our Form 6-Ks incorporated by reference into this prospectus, no reportable material changes have occurred since December 31, 2020.</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financial statements incorporated in this prospectus by reference from the Company’s Annual Report on Form 20-F, and the effectiveness of Ascendis Pharma A/S’s internal control over financial reporting have been audited by Deloitte Statsautoriseret Revisionspartnerselskab, an independent registered public accounting firm, as stated in their reports, which are incorporated herein by reference. Such financial statements have been so incorporated in reliance upon the reports of such firm given upon their authority as experts in accounting and auditing.</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ENFORCEMENT OF CIVIL LIABILITIES</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Ascendis Pharma A/S, as well as its subsidiaries Ascendis Pharma, Endocrinology Division A/S, Ascendis Pharma, Ophthalmology Division A/S, Ascendis Pharma Bone Diseases A/S, Ascendis Pharma Growth Disorders A/S, Ascendis Pharma Oncology Division A/S, are organized under the laws of Denmark, its wholly owned subsidiary Ascendis Pharma GmbH is incorporated under the laws of Germany, and its wholly owned subsidiaries Ascendis Pharma, Inc. and Ascendis Pharma Endocrinology, Inc. were formed under the laws of the State of Delaware, United States. Substantially all of our assets are located outside the United States. On a combined basis, the majority of our directors and officers reside outside the United States. As a result, it may not be possible for investors to effect service of process within the United States upon such persons or to enforce against them or us in U.S. courts, including judgments predicated upon the civil liability provisions of the federal securities laws of the United States.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United States does not have a treaty with Denmark or Germany providing for reciprocal recognition and enforcement of judgments, other than arbitration awards, in civil and commercial matters. Accordingly, a final judgment for the payment of money rendered by a United States court based on civil liability may not be directly enforceable in Denmark or Germany. However, if the party in whose favor such final judgment is rendered brings a new lawsuit in a competent court in Denmark, that party may submit to the Danish court the final judgment that has been rendered in the United States. A judgment by a federal or state court in the United States will neither be recognized nor enforced by a Danish court but such judgment may serve as evidence in a Danish court. In addition, the final judgment of a United States court may be recognized and enforced in Germany in compliance with certain requirements including petitioning a German court to enforce such judgment.</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80"/>
          </w:cols>
          <w:pgMar w:left="320" w:top="459"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are subject to the periodic reporting and other informational requirements of the Exchange Act. Under the Exchange Act, we file annual reports and other information with the SEC. As a foreign private issuer, we are exempt from, among other things, the rules under the Exchange Act prescribing the furnishing and content of proxy statements and our officers, directors and principal shareholders are exempt from the reporting and short-swing profit recovery provisions contained in Section 16 of the Exchange Act.</w:t>
      </w:r>
    </w:p>
    <w:p>
      <w:pPr>
        <w:spacing w:after="0" w:line="18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SEC maintains a web site that contains reports and information statements and other information about issuers, such as us, who file electronically with the SEC. The address of that website is http://www.sec.gov.</w:t>
      </w:r>
    </w:p>
    <w:p>
      <w:pPr>
        <w:spacing w:after="0" w:line="170"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 xml:space="preserve">Our web site address is </w:t>
      </w:r>
      <w:r>
        <w:rPr>
          <w:rFonts w:ascii="Arial" w:cs="Arial" w:eastAsia="Arial" w:hAnsi="Arial"/>
          <w:sz w:val="18"/>
          <w:szCs w:val="18"/>
          <w:i w:val="1"/>
          <w:iCs w:val="1"/>
          <w:color w:val="auto"/>
        </w:rPr>
        <w:t>www.ascendispharma.com</w:t>
      </w:r>
      <w:r>
        <w:rPr>
          <w:rFonts w:ascii="Arial" w:cs="Arial" w:eastAsia="Arial" w:hAnsi="Arial"/>
          <w:sz w:val="18"/>
          <w:szCs w:val="18"/>
          <w:color w:val="auto"/>
        </w:rPr>
        <w:t>. The information on our website, however, is not, and should not be deemed to be, a part of this prospectus.</w:t>
      </w:r>
    </w:p>
    <w:p>
      <w:pPr>
        <w:spacing w:after="0" w:line="170"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of which this prospectus forms a part.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obtain a copy of the registration statement through the SEC’s website, as provided above.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7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76" w:lineRule="exact"/>
        <w:rPr>
          <w:sz w:val="20"/>
          <w:szCs w:val="20"/>
          <w:color w:val="auto"/>
        </w:rPr>
      </w:pPr>
    </w:p>
    <w:p>
      <w:pPr>
        <w:ind w:left="1080" w:right="11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71">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by us with the SEC on March 10, 2021 (File No. 001-36815).</w:t>
      </w:r>
    </w:p>
    <w:p>
      <w:pPr>
        <w:spacing w:after="0" w:line="75" w:lineRule="exact"/>
        <w:rPr>
          <w:rFonts w:ascii="Arial" w:cs="Arial" w:eastAsia="Arial" w:hAnsi="Arial"/>
          <w:sz w:val="18"/>
          <w:szCs w:val="18"/>
          <w:color w:val="auto"/>
        </w:rPr>
      </w:pPr>
    </w:p>
    <w:p>
      <w:pPr>
        <w:ind w:left="1080" w:right="20" w:hanging="424"/>
        <w:spacing w:after="0" w:line="308" w:lineRule="auto"/>
        <w:tabs>
          <w:tab w:leader="none" w:pos="1080" w:val="left"/>
        </w:tabs>
        <w:numPr>
          <w:ilvl w:val="0"/>
          <w:numId w:val="33"/>
        </w:numPr>
        <w:rPr>
          <w:rFonts w:ascii="Arial" w:cs="Arial" w:eastAsia="Arial" w:hAnsi="Arial"/>
          <w:sz w:val="17"/>
          <w:szCs w:val="17"/>
          <w:color w:val="0000EE"/>
        </w:rPr>
      </w:pPr>
      <w:hyperlink r:id="rId72">
        <w:r>
          <w:rPr>
            <w:rFonts w:ascii="Arial" w:cs="Arial" w:eastAsia="Arial" w:hAnsi="Arial"/>
            <w:sz w:val="17"/>
            <w:szCs w:val="17"/>
            <w:color w:val="auto"/>
          </w:rPr>
          <w:t xml:space="preserve">Our Reports on Form 6-K furnished by us with the SEC on </w:t>
        </w:r>
        <w:r>
          <w:rPr>
            <w:rFonts w:ascii="Arial" w:cs="Arial" w:eastAsia="Arial" w:hAnsi="Arial"/>
            <w:sz w:val="17"/>
            <w:szCs w:val="17"/>
            <w:u w:val="single" w:color="auto"/>
            <w:color w:val="0000EE"/>
          </w:rPr>
          <w:t>January 11, 2021</w:t>
        </w:r>
        <w:r>
          <w:rPr>
            <w:rFonts w:ascii="Arial" w:cs="Arial" w:eastAsia="Arial" w:hAnsi="Arial"/>
            <w:sz w:val="17"/>
            <w:szCs w:val="17"/>
            <w:color w:val="auto"/>
          </w:rPr>
          <w:t xml:space="preserve"> (at 06:09:51), </w:t>
        </w:r>
        <w:r>
          <w:rPr>
            <w:rFonts w:ascii="Arial" w:cs="Arial" w:eastAsia="Arial" w:hAnsi="Arial"/>
            <w:sz w:val="17"/>
            <w:szCs w:val="17"/>
            <w:u w:val="single" w:color="auto"/>
            <w:color w:val="0000EE"/>
          </w:rPr>
          <w:t>January 13, 2021</w:t>
        </w:r>
        <w:r>
          <w:rPr>
            <w:rFonts w:ascii="Arial" w:cs="Arial" w:eastAsia="Arial" w:hAnsi="Arial"/>
            <w:sz w:val="17"/>
            <w:szCs w:val="17"/>
            <w:color w:val="auto"/>
          </w:rPr>
          <w:t xml:space="preserve">, </w:t>
        </w:r>
        <w:r>
          <w:rPr>
            <w:rFonts w:ascii="Arial" w:cs="Arial" w:eastAsia="Arial" w:hAnsi="Arial"/>
            <w:sz w:val="17"/>
            <w:szCs w:val="17"/>
            <w:u w:val="single" w:color="auto"/>
            <w:color w:val="0000EE"/>
          </w:rPr>
          <w:t>February 11, 2021</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March 9,</w:t>
        </w:r>
      </w:hyperlink>
      <w:r>
        <w:rPr>
          <w:rFonts w:ascii="Arial" w:cs="Arial" w:eastAsia="Arial" w:hAnsi="Arial"/>
          <w:sz w:val="17"/>
          <w:szCs w:val="17"/>
          <w:color w:val="auto"/>
        </w:rPr>
        <w:t xml:space="preserve"> </w:t>
      </w:r>
      <w:hyperlink r:id="rId72">
        <w:r>
          <w:rPr>
            <w:rFonts w:ascii="Arial" w:cs="Arial" w:eastAsia="Arial" w:hAnsi="Arial"/>
            <w:sz w:val="17"/>
            <w:szCs w:val="17"/>
            <w:u w:val="single" w:color="auto"/>
            <w:color w:val="0000EE"/>
          </w:rPr>
          <w:t>2021</w:t>
        </w:r>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73">
        <w:r>
          <w:rPr>
            <w:rFonts w:ascii="Arial" w:cs="Arial" w:eastAsia="Arial" w:hAnsi="Arial"/>
            <w:sz w:val="17"/>
            <w:szCs w:val="17"/>
            <w:u w:val="single" w:color="auto"/>
            <w:color w:val="0000EE"/>
          </w:rPr>
          <w:t>April 1, 2021</w:t>
        </w:r>
      </w:hyperlink>
      <w:hyperlink r:id="rId72">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74">
        <w:r>
          <w:rPr>
            <w:rFonts w:ascii="Arial" w:cs="Arial" w:eastAsia="Arial" w:hAnsi="Arial"/>
            <w:sz w:val="17"/>
            <w:szCs w:val="17"/>
            <w:u w:val="single" w:color="auto"/>
            <w:color w:val="0000EE"/>
          </w:rPr>
          <w:t>April 15, 2021</w:t>
        </w:r>
      </w:hyperlink>
      <w:hyperlink r:id="rId72">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75">
        <w:r>
          <w:rPr>
            <w:rFonts w:ascii="Arial" w:cs="Arial" w:eastAsia="Arial" w:hAnsi="Arial"/>
            <w:sz w:val="17"/>
            <w:szCs w:val="17"/>
            <w:u w:val="single" w:color="auto"/>
            <w:color w:val="0000EE"/>
          </w:rPr>
          <w:t xml:space="preserve">May 11, 2021 </w:t>
        </w:r>
      </w:hyperlink>
      <w:hyperlink r:id="rId72">
        <w:r>
          <w:rPr>
            <w:rFonts w:ascii="Arial" w:cs="Arial" w:eastAsia="Arial" w:hAnsi="Arial"/>
            <w:sz w:val="17"/>
            <w:szCs w:val="17"/>
            <w:color w:val="000000"/>
          </w:rPr>
          <w:t>(at 06:01:54),</w:t>
        </w:r>
        <w:r>
          <w:rPr>
            <w:rFonts w:ascii="Arial" w:cs="Arial" w:eastAsia="Arial" w:hAnsi="Arial"/>
            <w:sz w:val="17"/>
            <w:szCs w:val="17"/>
            <w:color w:val="0000EE"/>
          </w:rPr>
          <w:t xml:space="preserve"> </w:t>
        </w:r>
      </w:hyperlink>
      <w:hyperlink r:id="rId76">
        <w:r>
          <w:rPr>
            <w:rFonts w:ascii="Arial" w:cs="Arial" w:eastAsia="Arial" w:hAnsi="Arial"/>
            <w:sz w:val="17"/>
            <w:szCs w:val="17"/>
            <w:u w:val="single" w:color="auto"/>
            <w:color w:val="0000EE"/>
          </w:rPr>
          <w:t xml:space="preserve">May 12, 2021 </w:t>
        </w:r>
      </w:hyperlink>
      <w:hyperlink r:id="rId72">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77">
        <w:r>
          <w:rPr>
            <w:rFonts w:ascii="Arial" w:cs="Arial" w:eastAsia="Arial" w:hAnsi="Arial"/>
            <w:sz w:val="17"/>
            <w:szCs w:val="17"/>
            <w:u w:val="single" w:color="auto"/>
            <w:color w:val="0000EE"/>
          </w:rPr>
          <w:t xml:space="preserve">May 13, 2021 </w:t>
        </w:r>
      </w:hyperlink>
      <w:hyperlink r:id="rId72">
        <w:r>
          <w:rPr>
            <w:rFonts w:ascii="Arial" w:cs="Arial" w:eastAsia="Arial" w:hAnsi="Arial"/>
            <w:sz w:val="17"/>
            <w:szCs w:val="17"/>
            <w:color w:val="000000"/>
          </w:rPr>
          <w:t>(File No. 001-36815).</w:t>
        </w:r>
      </w:hyperlink>
    </w:p>
    <w:p>
      <w:pPr>
        <w:spacing w:after="0" w:line="51" w:lineRule="exact"/>
        <w:rPr>
          <w:rFonts w:ascii="Arial" w:cs="Arial" w:eastAsia="Arial" w:hAnsi="Arial"/>
          <w:sz w:val="17"/>
          <w:szCs w:val="17"/>
          <w:color w:val="0000EE"/>
        </w:rPr>
      </w:pPr>
    </w:p>
    <w:p>
      <w:pPr>
        <w:ind w:left="1080" w:hanging="424"/>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The information contained in Exhibits 99.1 and 99.2 of the Report on </w:t>
      </w:r>
      <w:hyperlink r:id="rId78">
        <w:r>
          <w:rPr>
            <w:rFonts w:ascii="Arial" w:cs="Arial" w:eastAsia="Arial" w:hAnsi="Arial"/>
            <w:sz w:val="16"/>
            <w:szCs w:val="16"/>
            <w:u w:val="single" w:color="auto"/>
            <w:color w:val="0000EE"/>
          </w:rPr>
          <w:t>Form 6-K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with the SEC on May 27, 2021 (File No. 001-36815).</w:t>
      </w:r>
    </w:p>
    <w:p>
      <w:pPr>
        <w:spacing w:after="0" w:line="153" w:lineRule="exact"/>
        <w:rPr>
          <w:rFonts w:ascii="Arial" w:cs="Arial" w:eastAsia="Arial" w:hAnsi="Arial"/>
          <w:sz w:val="16"/>
          <w:szCs w:val="16"/>
          <w:color w:val="auto"/>
        </w:rPr>
      </w:pPr>
    </w:p>
    <w:p>
      <w:pPr>
        <w:ind w:left="1080" w:right="26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and American Depositary Shares contained in our registration statement on </w:t>
      </w:r>
      <w:hyperlink r:id="rId79">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001-36815), filed by us with the SEC under Section 12(b) of the Exchange Act, on January 26, 2015, including any amendments or reports filed for the purpose of updating such description.</w:t>
      </w:r>
    </w:p>
    <w:p>
      <w:pPr>
        <w:spacing w:after="0" w:line="184" w:lineRule="exact"/>
        <w:rPr>
          <w:rFonts w:ascii="Arial" w:cs="Arial" w:eastAsia="Arial" w:hAnsi="Arial"/>
          <w:sz w:val="16"/>
          <w:szCs w:val="16"/>
          <w:color w:val="auto"/>
        </w:rPr>
      </w:pPr>
    </w:p>
    <w:p>
      <w:pPr>
        <w:ind w:left="120" w:right="240"/>
        <w:spacing w:after="0" w:line="263" w:lineRule="auto"/>
        <w:rPr>
          <w:sz w:val="20"/>
          <w:szCs w:val="20"/>
          <w:color w:val="auto"/>
        </w:rPr>
      </w:pPr>
      <w:r>
        <w:rPr>
          <w:rFonts w:ascii="Arial" w:cs="Arial" w:eastAsia="Arial" w:hAnsi="Arial"/>
          <w:sz w:val="18"/>
          <w:szCs w:val="18"/>
          <w:color w:val="auto"/>
        </w:rPr>
        <w:t>We are also incorporating by reference all subsequent annual reports on Form 20-F that we file with the SEC and certain reports on Form 6-K that we furnish to the SEC after the date of this prospectus (if such reports on Form 6-K expressly state that they are incorporated by reference into the registration statement of which this</w:t>
      </w:r>
    </w:p>
    <w:p>
      <w:pPr>
        <w:spacing w:after="0" w:line="116" w:lineRule="exact"/>
        <w:rPr>
          <w:rFonts w:ascii="Arial" w:cs="Arial" w:eastAsia="Arial" w:hAnsi="Arial"/>
          <w:sz w:val="16"/>
          <w:szCs w:val="16"/>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prospectus forms a part) prior to the termination of this offering. In all cases, you should rely on the later information over different information included in this prospectus or any accompanying prospectus supplement.</w:t>
      </w:r>
    </w:p>
    <w:p>
      <w:pPr>
        <w:spacing w:after="0" w:line="170"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Ascendis Pharma A/S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Tuborg Boulevard 12</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DK-2900 Hellerup, Denmark</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+45 70 22 22 44</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Attention: Investor Relations</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left="120" w:right="300"/>
        <w:spacing w:after="0" w:line="286" w:lineRule="auto"/>
        <w:rPr>
          <w:sz w:val="20"/>
          <w:szCs w:val="20"/>
          <w:color w:val="auto"/>
        </w:rPr>
      </w:pPr>
      <w:r>
        <w:rPr>
          <w:rFonts w:ascii="Arial" w:cs="Arial" w:eastAsia="Arial" w:hAnsi="Arial"/>
          <w:sz w:val="17"/>
          <w:szCs w:val="17"/>
          <w:color w:val="auto"/>
        </w:rPr>
        <w:t>The following table sets forth the expenses, other than any underwriting commissions or agency fees and other items constituting underwriters’ or agents’ compensation, expected to be incurred by us in connection with a possible offering of securities registered under the registration statement of which this prospectus is a part. All amounts are expected to be estimated other than the SEC registration fee.</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FINRA filing fees</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The Nasdaq Global Market Listing Fee</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Printing expenses</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680" w:hanging="424"/>
        <w:spacing w:after="0" w:line="25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Pursuant to Rules 456(b) and 457(r) under the Securities Act of 1933, as amended, the SEC registration fee will be paid at the time of any particular offering of securities under the registration statement, and is therefore not currently determinable.</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These fees are calculated based on the securities offered and the number of issuances and accordingly cannot be estimated at this time</w:t>
      </w:r>
      <w:r>
        <w:rPr>
          <w:rFonts w:ascii="Arial" w:cs="Arial" w:eastAsia="Arial" w:hAnsi="Arial"/>
          <w:sz w:val="17"/>
          <w:szCs w:val="17"/>
          <w:b w:val="1"/>
          <w:bCs w:val="1"/>
          <w:color w:val="auto"/>
        </w:rPr>
        <w:t>.</w:t>
      </w:r>
    </w:p>
    <w:p>
      <w:pPr>
        <w:spacing w:after="0" w:line="1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Indemnification of Directors and Officers.</w:t>
      </w:r>
    </w:p>
    <w:p>
      <w:pPr>
        <w:spacing w:after="0" w:line="121" w:lineRule="exact"/>
        <w:rPr>
          <w:sz w:val="20"/>
          <w:szCs w:val="20"/>
          <w:color w:val="auto"/>
        </w:rPr>
      </w:pPr>
    </w:p>
    <w:p>
      <w:pPr>
        <w:jc w:val="both"/>
        <w:ind w:left="120" w:right="160"/>
        <w:spacing w:after="0" w:line="279" w:lineRule="auto"/>
        <w:rPr>
          <w:sz w:val="20"/>
          <w:szCs w:val="20"/>
          <w:color w:val="auto"/>
        </w:rPr>
      </w:pPr>
      <w:r>
        <w:rPr>
          <w:rFonts w:ascii="Arial" w:cs="Arial" w:eastAsia="Arial" w:hAnsi="Arial"/>
          <w:sz w:val="17"/>
          <w:szCs w:val="17"/>
          <w:color w:val="auto"/>
        </w:rPr>
        <w:t>According to the Danish Companies Act, the general meeting is allowed to discharge the Registrant’s board members and members of the Registrant’s senior management from liability for any particular financial year based on a resolution relating to the financial statements. This discharge means that the general meeting will discharge such board members and members of the Registrant’s senior management from liability to the Registrant; however, the general meeting cannot discharge any claims by individual shareholders or other third parties.</w:t>
      </w:r>
    </w:p>
    <w:p>
      <w:pPr>
        <w:spacing w:after="0" w:line="17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Additionally, the Registrant intends to enter, or has entered, into agreements with its board members and members of its senior management, pursuant to which, subject to limited exceptions, the Registrant will agree, or has agreed, to indemnify such board members and members of its senior management from civil liability, including (i) any damages or fines payable by them as a result of an act or failure to act in the exercise of their duties currently or previously performed by them; (ii) any reasonable costs of conducting a defense against a claim; and (iii) any reasonable costs of appearing in other legal proceedings in which such individuals are involved as current or former board members or members of senior management.</w:t>
      </w:r>
    </w:p>
    <w:p>
      <w:pPr>
        <w:spacing w:after="0" w:line="161"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There is a risk that such agreement will be deemed void under Danish law, either because the agreement is deemed contrary to the rules on discharge of liability in the Danish Companies Act, as set forth above, because the agreement is deemed contrary to sections 19 and 23 of the Danish Act on Damages, which contain mandatory provisions on recourse claims between an employee (including members of the Registrant’s senior management) and the Registrant, or because the agreement is deemed contrary to the general provisions of the Danish Contracts Act.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addition to such indemnification, the Registrant provides its board members and senior management with directors’ and officers’ liability insurance.</w:t>
      </w:r>
    </w:p>
    <w:p>
      <w:pPr>
        <w:spacing w:after="0" w:line="24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Insofar as indemnification of liabilities arising under the Securities Act may be permitted to board members and senior management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Exhibits.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3"/>
              </w:rPr>
              <w:t>Incorporated by Reference to Filings Indicated</w:t>
            </w:r>
          </w:p>
        </w:tc>
        <w:tc>
          <w:tcPr>
            <w:tcW w:w="500" w:type="dxa"/>
            <w:vAlign w:val="bottom"/>
            <w:gridSpan w:val="2"/>
          </w:tcPr>
          <w:p>
            <w:pPr>
              <w:spacing w:after="0"/>
              <w:rPr>
                <w:sz w:val="16"/>
                <w:szCs w:val="16"/>
                <w:color w:val="auto"/>
              </w:rPr>
            </w:pPr>
          </w:p>
        </w:tc>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w w:val="93"/>
              </w:rPr>
              <w:t>Provided</w:t>
            </w:r>
          </w:p>
        </w:tc>
        <w:tc>
          <w:tcPr>
            <w:tcW w:w="0" w:type="dxa"/>
            <w:vAlign w:val="bottom"/>
          </w:tcPr>
          <w:p>
            <w:pPr>
              <w:spacing w:after="0"/>
              <w:rPr>
                <w:sz w:val="1"/>
                <w:szCs w:val="1"/>
                <w:color w:val="auto"/>
              </w:rPr>
            </w:pPr>
          </w:p>
        </w:tc>
      </w:tr>
      <w:tr>
        <w:trPr>
          <w:trHeight w:val="99"/>
        </w:trPr>
        <w:tc>
          <w:tcPr>
            <w:tcW w:w="500" w:type="dxa"/>
            <w:vAlign w:val="bottom"/>
          </w:tcPr>
          <w:p>
            <w:pPr>
              <w:ind w:left="20"/>
              <w:spacing w:after="0" w:line="100" w:lineRule="exact"/>
              <w:rPr>
                <w:sz w:val="20"/>
                <w:szCs w:val="20"/>
                <w:color w:val="auto"/>
              </w:rPr>
            </w:pPr>
            <w:r>
              <w:rPr>
                <w:rFonts w:ascii="Arial" w:cs="Arial" w:eastAsia="Arial" w:hAnsi="Arial"/>
                <w:sz w:val="11"/>
                <w:szCs w:val="11"/>
                <w:b w:val="1"/>
                <w:bCs w:val="1"/>
                <w:color w:val="auto"/>
              </w:rPr>
              <w:t>Exhibit</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Exhibit Description</w:t>
            </w:r>
          </w:p>
        </w:tc>
        <w:tc>
          <w:tcPr>
            <w:tcW w:w="2480" w:type="dxa"/>
            <w:vAlign w:val="bottom"/>
            <w:gridSpan w:val="5"/>
            <w:vMerge w:val="restart"/>
          </w:tcPr>
          <w:p>
            <w:pPr>
              <w:spacing w:after="0"/>
              <w:rPr>
                <w:sz w:val="8"/>
                <w:szCs w:val="8"/>
                <w:color w:val="auto"/>
              </w:rPr>
            </w:pPr>
          </w:p>
        </w:tc>
        <w:tc>
          <w:tcPr>
            <w:tcW w:w="5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1"/>
              </w:rPr>
              <w:t>Form</w:t>
            </w:r>
          </w:p>
        </w:tc>
        <w:tc>
          <w:tcPr>
            <w:tcW w:w="13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File No.</w:t>
            </w:r>
          </w:p>
        </w:tc>
        <w:tc>
          <w:tcPr>
            <w:tcW w:w="780" w:type="dxa"/>
            <w:vAlign w:val="bottom"/>
            <w:gridSpan w:val="2"/>
          </w:tcPr>
          <w:p>
            <w:pPr>
              <w:jc w:val="right"/>
              <w:ind w:right="320"/>
              <w:spacing w:after="0" w:line="100" w:lineRule="exact"/>
              <w:rPr>
                <w:sz w:val="20"/>
                <w:szCs w:val="20"/>
                <w:color w:val="auto"/>
              </w:rPr>
            </w:pPr>
            <w:r>
              <w:rPr>
                <w:rFonts w:ascii="Arial" w:cs="Arial" w:eastAsia="Arial" w:hAnsi="Arial"/>
                <w:sz w:val="11"/>
                <w:szCs w:val="11"/>
                <w:b w:val="1"/>
                <w:bCs w:val="1"/>
                <w:color w:val="auto"/>
              </w:rPr>
              <w:t>Exhibit</w:t>
            </w:r>
          </w:p>
        </w:tc>
        <w:tc>
          <w:tcPr>
            <w:tcW w:w="102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2"/>
              </w:rPr>
              <w:t>Filing Date</w:t>
            </w: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480" w:type="dxa"/>
            <w:vAlign w:val="bottom"/>
            <w:gridSpan w:val="5"/>
            <w:vMerge w:val="continue"/>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No.</w:t>
            </w:r>
          </w:p>
        </w:tc>
        <w:tc>
          <w:tcPr>
            <w:tcW w:w="1020" w:type="dxa"/>
            <w:vAlign w:val="bottom"/>
            <w:gridSpan w:val="3"/>
            <w:vMerge w:val="continue"/>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18"/>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Underwriting Agreement.</w:t>
            </w:r>
          </w:p>
        </w:tc>
        <w:tc>
          <w:tcPr>
            <w:tcW w:w="1220" w:type="dxa"/>
            <w:vAlign w:val="bottom"/>
            <w:tcBorders>
              <w:top w:val="single" w:sz="8" w:color="auto"/>
            </w:tcBorders>
          </w:tcPr>
          <w:p>
            <w:pPr>
              <w:spacing w:after="0"/>
              <w:rPr>
                <w:sz w:val="24"/>
                <w:szCs w:val="24"/>
                <w:color w:val="auto"/>
              </w:rPr>
            </w:pPr>
          </w:p>
        </w:tc>
        <w:tc>
          <w:tcPr>
            <w:tcW w:w="2480" w:type="dxa"/>
            <w:vAlign w:val="bottom"/>
            <w:gridSpan w:val="5"/>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4600" w:type="dxa"/>
            <w:vAlign w:val="bottom"/>
            <w:tcBorders>
              <w:bottom w:val="single" w:sz="8" w:color="0000EE"/>
            </w:tcBorders>
            <w:gridSpan w:val="4"/>
          </w:tcPr>
          <w:p>
            <w:pPr>
              <w:spacing w:after="0"/>
              <w:rPr>
                <w:rFonts w:ascii="Arial" w:cs="Arial" w:eastAsia="Arial" w:hAnsi="Arial"/>
                <w:sz w:val="18"/>
                <w:szCs w:val="18"/>
                <w:color w:val="0000EE"/>
                <w:w w:val="93"/>
              </w:rPr>
            </w:pPr>
            <w:hyperlink r:id="rId82">
              <w:r>
                <w:rPr>
                  <w:rFonts w:ascii="Arial" w:cs="Arial" w:eastAsia="Arial" w:hAnsi="Arial"/>
                  <w:sz w:val="18"/>
                  <w:szCs w:val="18"/>
                  <w:color w:val="0000EE"/>
                  <w:w w:val="93"/>
                </w:rPr>
                <w:t>Articles of Association, currently in effect (English translation).</w:t>
              </w:r>
            </w:hyperlink>
          </w:p>
        </w:tc>
        <w:tc>
          <w:tcPr>
            <w:tcW w:w="1340" w:type="dxa"/>
            <w:vAlign w:val="bottom"/>
            <w:gridSpan w:val="4"/>
          </w:tcPr>
          <w:p>
            <w:pPr>
              <w:spacing w:after="0"/>
              <w:rPr>
                <w:sz w:val="24"/>
                <w:szCs w:val="24"/>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6-K</w:t>
            </w: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001-36815</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w w:val="89"/>
              </w:rPr>
              <w:t>5/13/2021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5640" w:type="dxa"/>
            <w:vAlign w:val="bottom"/>
            <w:tcBorders>
              <w:bottom w:val="single" w:sz="8" w:color="0000EE"/>
            </w:tcBorders>
            <w:gridSpan w:val="7"/>
          </w:tcPr>
          <w:p>
            <w:pPr>
              <w:spacing w:after="0"/>
              <w:rPr>
                <w:rFonts w:ascii="Arial" w:cs="Arial" w:eastAsia="Arial" w:hAnsi="Arial"/>
                <w:sz w:val="18"/>
                <w:szCs w:val="18"/>
                <w:color w:val="0000EE"/>
                <w:w w:val="90"/>
              </w:rPr>
            </w:pPr>
            <w:hyperlink r:id="rId83">
              <w:r>
                <w:rPr>
                  <w:rFonts w:ascii="Arial" w:cs="Arial" w:eastAsia="Arial" w:hAnsi="Arial"/>
                  <w:sz w:val="18"/>
                  <w:szCs w:val="18"/>
                  <w:color w:val="0000EE"/>
                  <w:w w:val="90"/>
                </w:rPr>
                <w:t>Deposit Agreement dated January 27, 2015 among Ascendis Pharma A/S The</w:t>
              </w:r>
            </w:hyperlink>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940" w:type="dxa"/>
            <w:vAlign w:val="bottom"/>
            <w:gridSpan w:val="8"/>
          </w:tcPr>
          <w:p>
            <w:pPr>
              <w:spacing w:after="0" w:line="196" w:lineRule="exact"/>
              <w:rPr>
                <w:rFonts w:ascii="Arial" w:cs="Arial" w:eastAsia="Arial" w:hAnsi="Arial"/>
                <w:sz w:val="18"/>
                <w:szCs w:val="18"/>
                <w:color w:val="0000EE"/>
                <w:w w:val="98"/>
              </w:rPr>
            </w:pPr>
            <w:hyperlink r:id="rId83">
              <w:r>
                <w:rPr>
                  <w:rFonts w:ascii="Arial" w:cs="Arial" w:eastAsia="Arial" w:hAnsi="Arial"/>
                  <w:sz w:val="18"/>
                  <w:szCs w:val="18"/>
                  <w:color w:val="0000EE"/>
                  <w:w w:val="98"/>
                </w:rPr>
                <w:t>Bank of New York Mellon and Owners and Holders of American Depositary</w:t>
              </w:r>
            </w:hyperlink>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0"/>
              </w:rPr>
            </w:pPr>
            <w:hyperlink r:id="rId83">
              <w:r>
                <w:rPr>
                  <w:rFonts w:ascii="Arial" w:cs="Arial" w:eastAsia="Arial" w:hAnsi="Arial"/>
                  <w:sz w:val="18"/>
                  <w:szCs w:val="18"/>
                  <w:color w:val="0000EE"/>
                  <w:w w:val="80"/>
                </w:rPr>
                <w:t>Shares.</w:t>
              </w:r>
            </w:hyperlink>
          </w:p>
        </w:tc>
        <w:tc>
          <w:tcPr>
            <w:tcW w:w="5000" w:type="dxa"/>
            <w:vAlign w:val="bottom"/>
            <w:tcBorders>
              <w:top w:val="single" w:sz="8" w:color="0000EE"/>
            </w:tcBorders>
            <w:gridSpan w:val="5"/>
          </w:tcPr>
          <w:p>
            <w:pPr>
              <w:spacing w:after="0"/>
              <w:rPr>
                <w:sz w:val="17"/>
                <w:szCs w:val="17"/>
                <w:color w:val="auto"/>
              </w:rPr>
            </w:pPr>
          </w:p>
        </w:tc>
        <w:tc>
          <w:tcPr>
            <w:tcW w:w="420" w:type="dxa"/>
            <w:vAlign w:val="bottom"/>
            <w:gridSpan w:val="2"/>
          </w:tcPr>
          <w:p>
            <w:pPr>
              <w:spacing w:after="0"/>
              <w:rPr>
                <w:sz w:val="17"/>
                <w:szCs w:val="17"/>
                <w:color w:val="auto"/>
              </w:rPr>
            </w:pPr>
          </w:p>
        </w:tc>
        <w:tc>
          <w:tcPr>
            <w:tcW w:w="520" w:type="dxa"/>
            <w:vAlign w:val="bottom"/>
            <w:gridSpan w:val="3"/>
          </w:tcPr>
          <w:p>
            <w:pPr>
              <w:jc w:val="right"/>
              <w:ind w:right="180"/>
              <w:spacing w:after="0" w:line="196" w:lineRule="exact"/>
              <w:rPr>
                <w:sz w:val="20"/>
                <w:szCs w:val="20"/>
                <w:color w:val="auto"/>
              </w:rPr>
            </w:pPr>
            <w:r>
              <w:rPr>
                <w:rFonts w:ascii="Arial" w:cs="Arial" w:eastAsia="Arial" w:hAnsi="Arial"/>
                <w:sz w:val="18"/>
                <w:szCs w:val="18"/>
                <w:color w:val="auto"/>
              </w:rPr>
              <w:t>F-3</w:t>
            </w:r>
          </w:p>
        </w:tc>
        <w:tc>
          <w:tcPr>
            <w:tcW w:w="1300" w:type="dxa"/>
            <w:vAlign w:val="bottom"/>
            <w:gridSpan w:val="3"/>
          </w:tcPr>
          <w:p>
            <w:pPr>
              <w:jc w:val="right"/>
              <w:ind w:right="280"/>
              <w:spacing w:after="0" w:line="196" w:lineRule="exact"/>
              <w:rPr>
                <w:sz w:val="20"/>
                <w:szCs w:val="20"/>
                <w:color w:val="auto"/>
              </w:rPr>
            </w:pPr>
            <w:r>
              <w:rPr>
                <w:rFonts w:ascii="Arial" w:cs="Arial" w:eastAsia="Arial" w:hAnsi="Arial"/>
                <w:sz w:val="18"/>
                <w:szCs w:val="18"/>
                <w:color w:val="auto"/>
              </w:rPr>
              <w:t>333-209336</w:t>
            </w:r>
          </w:p>
        </w:tc>
        <w:tc>
          <w:tcPr>
            <w:tcW w:w="78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4.2</w:t>
            </w:r>
          </w:p>
        </w:tc>
        <w:tc>
          <w:tcPr>
            <w:tcW w:w="1020" w:type="dxa"/>
            <w:vAlign w:val="bottom"/>
            <w:gridSpan w:val="3"/>
          </w:tcPr>
          <w:p>
            <w:pPr>
              <w:jc w:val="right"/>
              <w:ind w:right="280"/>
              <w:spacing w:after="0" w:line="196" w:lineRule="exact"/>
              <w:rPr>
                <w:sz w:val="20"/>
                <w:szCs w:val="20"/>
                <w:color w:val="auto"/>
              </w:rPr>
            </w:pPr>
            <w:r>
              <w:rPr>
                <w:rFonts w:ascii="Arial" w:cs="Arial" w:eastAsia="Arial" w:hAnsi="Arial"/>
                <w:sz w:val="18"/>
                <w:szCs w:val="18"/>
                <w:color w:val="auto"/>
              </w:rPr>
              <w:t>2/2/2016</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4620" w:type="dxa"/>
            <w:vAlign w:val="bottom"/>
            <w:tcBorders>
              <w:bottom w:val="single" w:sz="8" w:color="0000EE"/>
            </w:tcBorders>
            <w:gridSpan w:val="5"/>
          </w:tcPr>
          <w:p>
            <w:pPr>
              <w:spacing w:after="0"/>
              <w:rPr>
                <w:rFonts w:ascii="Arial" w:cs="Arial" w:eastAsia="Arial" w:hAnsi="Arial"/>
                <w:sz w:val="18"/>
                <w:szCs w:val="18"/>
                <w:color w:val="0000EE"/>
                <w:w w:val="92"/>
              </w:rPr>
            </w:pPr>
            <w:hyperlink r:id="rId83">
              <w:r>
                <w:rPr>
                  <w:rFonts w:ascii="Arial" w:cs="Arial" w:eastAsia="Arial" w:hAnsi="Arial"/>
                  <w:sz w:val="18"/>
                  <w:szCs w:val="18"/>
                  <w:color w:val="0000EE"/>
                  <w:w w:val="92"/>
                </w:rPr>
                <w:t>Form of American Depositary Receipt (included in Exhibit 4.2).</w:t>
              </w:r>
            </w:hyperlink>
          </w:p>
        </w:tc>
        <w:tc>
          <w:tcPr>
            <w:tcW w:w="132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80" w:type="dxa"/>
            <w:vAlign w:val="bottom"/>
            <w:gridSpan w:val="5"/>
          </w:tcPr>
          <w:p>
            <w:pPr>
              <w:ind w:left="1060"/>
              <w:spacing w:after="0"/>
              <w:rPr>
                <w:sz w:val="20"/>
                <w:szCs w:val="20"/>
                <w:color w:val="auto"/>
              </w:rPr>
            </w:pPr>
            <w:r>
              <w:rPr>
                <w:rFonts w:ascii="Arial" w:cs="Arial" w:eastAsia="Arial" w:hAnsi="Arial"/>
                <w:sz w:val="18"/>
                <w:szCs w:val="18"/>
                <w:color w:val="auto"/>
              </w:rPr>
              <w:t>II-1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51" w:name="page52"/>
    <w:bookmarkEnd w:id="5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493"/>
        </w:trPr>
        <w:tc>
          <w:tcPr>
            <w:tcW w:w="1360" w:type="dxa"/>
            <w:vAlign w:val="bottom"/>
          </w:tcPr>
          <w:p>
            <w:pPr>
              <w:ind w:left="12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7160" w:type="dxa"/>
            <w:vAlign w:val="bottom"/>
            <w:gridSpan w:val="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Form of Indenture.</w:t>
              </w:r>
            </w:hyperlink>
          </w:p>
        </w:tc>
        <w:tc>
          <w:tcPr>
            <w:tcW w:w="2280" w:type="dxa"/>
            <w:vAlign w:val="bottom"/>
          </w:tcPr>
          <w:p>
            <w:pPr>
              <w:ind w:left="2140"/>
              <w:spacing w:after="0"/>
              <w:rPr>
                <w:sz w:val="20"/>
                <w:szCs w:val="20"/>
                <w:color w:val="auto"/>
              </w:rPr>
            </w:pPr>
            <w:r>
              <w:rPr>
                <w:rFonts w:ascii="Arial" w:cs="Arial" w:eastAsia="Arial" w:hAnsi="Arial"/>
                <w:sz w:val="18"/>
                <w:szCs w:val="18"/>
                <w:color w:val="auto"/>
                <w:w w:val="99"/>
              </w:rPr>
              <w:t>X</w:t>
            </w:r>
          </w:p>
        </w:tc>
      </w:tr>
      <w:tr>
        <w:trPr>
          <w:trHeight w:val="344"/>
        </w:trPr>
        <w:tc>
          <w:tcPr>
            <w:tcW w:w="1360" w:type="dxa"/>
            <w:vAlign w:val="bottom"/>
          </w:tcPr>
          <w:p>
            <w:pPr>
              <w:ind w:left="12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13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Form of Note.</w:t>
            </w:r>
          </w:p>
        </w:tc>
        <w:tc>
          <w:tcPr>
            <w:tcW w:w="5800" w:type="dxa"/>
            <w:vAlign w:val="bottom"/>
            <w:gridSpan w:val="7"/>
          </w:tcPr>
          <w:p>
            <w:pPr>
              <w:spacing w:after="0"/>
              <w:rPr>
                <w:sz w:val="24"/>
                <w:szCs w:val="24"/>
                <w:color w:val="auto"/>
              </w:rPr>
            </w:pPr>
          </w:p>
        </w:tc>
        <w:tc>
          <w:tcPr>
            <w:tcW w:w="2280" w:type="dxa"/>
            <w:vAlign w:val="bottom"/>
          </w:tcPr>
          <w:p>
            <w:pPr>
              <w:spacing w:after="0"/>
              <w:rPr>
                <w:sz w:val="24"/>
                <w:szCs w:val="24"/>
                <w:color w:val="auto"/>
              </w:rPr>
            </w:pPr>
          </w:p>
        </w:tc>
      </w:tr>
      <w:tr>
        <w:trPr>
          <w:trHeight w:val="324"/>
        </w:trPr>
        <w:tc>
          <w:tcPr>
            <w:tcW w:w="1360" w:type="dxa"/>
            <w:vAlign w:val="bottom"/>
          </w:tcPr>
          <w:p>
            <w:pPr>
              <w:ind w:left="12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4"/>
                <w:szCs w:val="24"/>
                <w:color w:val="auto"/>
              </w:rPr>
            </w:pPr>
          </w:p>
        </w:tc>
        <w:tc>
          <w:tcPr>
            <w:tcW w:w="7160" w:type="dxa"/>
            <w:vAlign w:val="bottom"/>
            <w:gridSpan w:val="9"/>
          </w:tcPr>
          <w:p>
            <w:pPr>
              <w:spacing w:after="0"/>
              <w:rPr>
                <w:sz w:val="20"/>
                <w:szCs w:val="20"/>
                <w:color w:val="auto"/>
              </w:rPr>
            </w:pPr>
            <w:r>
              <w:rPr>
                <w:rFonts w:ascii="Arial" w:cs="Arial" w:eastAsia="Arial" w:hAnsi="Arial"/>
                <w:sz w:val="18"/>
                <w:szCs w:val="18"/>
                <w:color w:val="auto"/>
              </w:rPr>
              <w:t>Form of Warrant.</w:t>
            </w:r>
          </w:p>
        </w:tc>
        <w:tc>
          <w:tcPr>
            <w:tcW w:w="2280" w:type="dxa"/>
            <w:vAlign w:val="bottom"/>
          </w:tcPr>
          <w:p>
            <w:pPr>
              <w:spacing w:after="0"/>
              <w:rPr>
                <w:sz w:val="24"/>
                <w:szCs w:val="24"/>
                <w:color w:val="auto"/>
              </w:rPr>
            </w:pPr>
          </w:p>
        </w:tc>
      </w:tr>
      <w:tr>
        <w:trPr>
          <w:trHeight w:val="324"/>
        </w:trPr>
        <w:tc>
          <w:tcPr>
            <w:tcW w:w="1360" w:type="dxa"/>
            <w:vAlign w:val="bottom"/>
          </w:tcPr>
          <w:p>
            <w:pPr>
              <w:ind w:left="12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7160" w:type="dxa"/>
            <w:vAlign w:val="bottom"/>
            <w:gridSpan w:val="9"/>
          </w:tcPr>
          <w:p>
            <w:pPr>
              <w:spacing w:after="0"/>
              <w:rPr>
                <w:sz w:val="20"/>
                <w:szCs w:val="20"/>
                <w:color w:val="auto"/>
              </w:rPr>
            </w:pPr>
            <w:r>
              <w:rPr>
                <w:rFonts w:ascii="Arial" w:cs="Arial" w:eastAsia="Arial" w:hAnsi="Arial"/>
                <w:sz w:val="18"/>
                <w:szCs w:val="18"/>
                <w:color w:val="auto"/>
              </w:rPr>
              <w:t>Form of Warrant Agreement.</w:t>
            </w:r>
          </w:p>
        </w:tc>
        <w:tc>
          <w:tcPr>
            <w:tcW w:w="2280" w:type="dxa"/>
            <w:vAlign w:val="bottom"/>
          </w:tcPr>
          <w:p>
            <w:pPr>
              <w:spacing w:after="0"/>
              <w:rPr>
                <w:sz w:val="24"/>
                <w:szCs w:val="24"/>
                <w:color w:val="auto"/>
              </w:rPr>
            </w:pPr>
          </w:p>
        </w:tc>
      </w:tr>
      <w:tr>
        <w:trPr>
          <w:trHeight w:val="324"/>
        </w:trPr>
        <w:tc>
          <w:tcPr>
            <w:tcW w:w="1360" w:type="dxa"/>
            <w:vAlign w:val="bottom"/>
          </w:tcPr>
          <w:p>
            <w:pPr>
              <w:ind w:left="12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4"/>
                <w:szCs w:val="24"/>
                <w:color w:val="auto"/>
              </w:rPr>
            </w:pPr>
          </w:p>
        </w:tc>
        <w:tc>
          <w:tcPr>
            <w:tcW w:w="7160" w:type="dxa"/>
            <w:vAlign w:val="bottom"/>
            <w:gridSpan w:val="9"/>
          </w:tcPr>
          <w:p>
            <w:pPr>
              <w:spacing w:after="0"/>
              <w:rPr>
                <w:sz w:val="20"/>
                <w:szCs w:val="20"/>
                <w:color w:val="auto"/>
              </w:rPr>
            </w:pPr>
            <w:r>
              <w:rPr>
                <w:rFonts w:ascii="Arial" w:cs="Arial" w:eastAsia="Arial" w:hAnsi="Arial"/>
                <w:sz w:val="18"/>
                <w:szCs w:val="18"/>
                <w:color w:val="auto"/>
              </w:rPr>
              <w:t>Form of Unit Agreement.</w:t>
            </w:r>
          </w:p>
        </w:tc>
        <w:tc>
          <w:tcPr>
            <w:tcW w:w="2280" w:type="dxa"/>
            <w:vAlign w:val="bottom"/>
          </w:tcPr>
          <w:p>
            <w:pPr>
              <w:spacing w:after="0"/>
              <w:rPr>
                <w:sz w:val="24"/>
                <w:szCs w:val="24"/>
                <w:color w:val="auto"/>
              </w:rPr>
            </w:pPr>
          </w:p>
        </w:tc>
      </w:tr>
      <w:tr>
        <w:trPr>
          <w:trHeight w:val="324"/>
        </w:trPr>
        <w:tc>
          <w:tcPr>
            <w:tcW w:w="1360" w:type="dxa"/>
            <w:vAlign w:val="bottom"/>
          </w:tcPr>
          <w:p>
            <w:pPr>
              <w:ind w:left="12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4"/>
                <w:szCs w:val="24"/>
                <w:color w:val="auto"/>
              </w:rPr>
            </w:pPr>
          </w:p>
        </w:tc>
        <w:tc>
          <w:tcPr>
            <w:tcW w:w="7160" w:type="dxa"/>
            <w:vAlign w:val="bottom"/>
            <w:gridSpan w:val="9"/>
          </w:tcPr>
          <w:p>
            <w:pPr>
              <w:spacing w:after="0"/>
              <w:rPr>
                <w:sz w:val="20"/>
                <w:szCs w:val="20"/>
                <w:color w:val="auto"/>
              </w:rPr>
            </w:pPr>
            <w:r>
              <w:rPr>
                <w:rFonts w:ascii="Arial" w:cs="Arial" w:eastAsia="Arial" w:hAnsi="Arial"/>
                <w:sz w:val="18"/>
                <w:szCs w:val="18"/>
                <w:color w:val="auto"/>
              </w:rPr>
              <w:t>Form of Deposit Agreement.</w:t>
            </w:r>
          </w:p>
        </w:tc>
        <w:tc>
          <w:tcPr>
            <w:tcW w:w="2280" w:type="dxa"/>
            <w:vAlign w:val="bottom"/>
          </w:tcPr>
          <w:p>
            <w:pPr>
              <w:spacing w:after="0"/>
              <w:rPr>
                <w:sz w:val="24"/>
                <w:szCs w:val="24"/>
                <w:color w:val="auto"/>
              </w:rPr>
            </w:pPr>
          </w:p>
        </w:tc>
      </w:tr>
      <w:tr>
        <w:trPr>
          <w:trHeight w:val="283"/>
        </w:trPr>
        <w:tc>
          <w:tcPr>
            <w:tcW w:w="1360" w:type="dxa"/>
            <w:vAlign w:val="bottom"/>
          </w:tcPr>
          <w:p>
            <w:pPr>
              <w:ind w:left="120"/>
              <w:spacing w:after="0"/>
              <w:rPr>
                <w:sz w:val="20"/>
                <w:szCs w:val="20"/>
                <w:color w:val="auto"/>
              </w:rPr>
            </w:pPr>
            <w:r>
              <w:rPr>
                <w:rFonts w:ascii="Arial" w:cs="Arial" w:eastAsia="Arial" w:hAnsi="Arial"/>
                <w:sz w:val="18"/>
                <w:szCs w:val="18"/>
                <w:color w:val="auto"/>
              </w:rPr>
              <w:t>5.1(a)</w:t>
            </w:r>
          </w:p>
        </w:tc>
        <w:tc>
          <w:tcPr>
            <w:tcW w:w="240" w:type="dxa"/>
            <w:vAlign w:val="bottom"/>
          </w:tcPr>
          <w:p>
            <w:pPr>
              <w:spacing w:after="0"/>
              <w:rPr>
                <w:sz w:val="24"/>
                <w:szCs w:val="24"/>
                <w:color w:val="auto"/>
              </w:rPr>
            </w:pPr>
          </w:p>
        </w:tc>
        <w:tc>
          <w:tcPr>
            <w:tcW w:w="22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08">
              <w:r>
                <w:rPr>
                  <w:rFonts w:ascii="Arial" w:cs="Arial" w:eastAsia="Arial" w:hAnsi="Arial"/>
                  <w:sz w:val="18"/>
                  <w:szCs w:val="18"/>
                  <w:color w:val="0000EE"/>
                  <w:w w:val="92"/>
                </w:rPr>
                <w:t>Opinion of Mazanti-Andersen.</w:t>
              </w:r>
            </w:hyperlink>
          </w:p>
        </w:tc>
        <w:tc>
          <w:tcPr>
            <w:tcW w:w="4940" w:type="dxa"/>
            <w:vAlign w:val="bottom"/>
            <w:gridSpan w:val="6"/>
          </w:tcPr>
          <w:p>
            <w:pPr>
              <w:spacing w:after="0"/>
              <w:rPr>
                <w:sz w:val="24"/>
                <w:szCs w:val="24"/>
                <w:color w:val="auto"/>
              </w:rPr>
            </w:pPr>
          </w:p>
        </w:tc>
        <w:tc>
          <w:tcPr>
            <w:tcW w:w="2280" w:type="dxa"/>
            <w:vAlign w:val="bottom"/>
          </w:tcPr>
          <w:p>
            <w:pPr>
              <w:ind w:left="2140"/>
              <w:spacing w:after="0"/>
              <w:rPr>
                <w:sz w:val="20"/>
                <w:szCs w:val="20"/>
                <w:color w:val="auto"/>
              </w:rPr>
            </w:pPr>
            <w:r>
              <w:rPr>
                <w:rFonts w:ascii="Arial" w:cs="Arial" w:eastAsia="Arial" w:hAnsi="Arial"/>
                <w:sz w:val="18"/>
                <w:szCs w:val="18"/>
                <w:color w:val="auto"/>
                <w:w w:val="99"/>
              </w:rPr>
              <w:t>X</w:t>
            </w: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5.1(b)</w:t>
            </w:r>
          </w:p>
        </w:tc>
        <w:tc>
          <w:tcPr>
            <w:tcW w:w="240" w:type="dxa"/>
            <w:vAlign w:val="bottom"/>
          </w:tcPr>
          <w:p>
            <w:pPr>
              <w:spacing w:after="0"/>
              <w:rPr>
                <w:sz w:val="24"/>
                <w:szCs w:val="24"/>
                <w:color w:val="auto"/>
              </w:rPr>
            </w:pPr>
          </w:p>
        </w:tc>
        <w:tc>
          <w:tcPr>
            <w:tcW w:w="7160" w:type="dxa"/>
            <w:vAlign w:val="bottom"/>
            <w:gridSpan w:val="9"/>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Opinion of Latham &amp; Watkins LLP.</w:t>
              </w:r>
            </w:hyperlink>
          </w:p>
        </w:tc>
        <w:tc>
          <w:tcPr>
            <w:tcW w:w="2280" w:type="dxa"/>
            <w:vAlign w:val="bottom"/>
          </w:tcPr>
          <w:p>
            <w:pPr>
              <w:ind w:left="2140"/>
              <w:spacing w:after="0"/>
              <w:rPr>
                <w:sz w:val="20"/>
                <w:szCs w:val="20"/>
                <w:color w:val="auto"/>
              </w:rPr>
            </w:pPr>
            <w:r>
              <w:rPr>
                <w:rFonts w:ascii="Arial" w:cs="Arial" w:eastAsia="Arial" w:hAnsi="Arial"/>
                <w:sz w:val="18"/>
                <w:szCs w:val="18"/>
                <w:color w:val="auto"/>
                <w:w w:val="99"/>
              </w:rPr>
              <w:t>X</w:t>
            </w:r>
          </w:p>
        </w:tc>
      </w:tr>
      <w:tr>
        <w:trPr>
          <w:trHeight w:val="20"/>
        </w:trPr>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7160" w:type="dxa"/>
            <w:vAlign w:val="bottom"/>
            <w:gridSpan w:val="9"/>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Consent of Independent Registered Public Accounting Firm.</w:t>
              </w:r>
            </w:hyperlink>
          </w:p>
        </w:tc>
        <w:tc>
          <w:tcPr>
            <w:tcW w:w="2280" w:type="dxa"/>
            <w:vAlign w:val="bottom"/>
          </w:tcPr>
          <w:p>
            <w:pPr>
              <w:ind w:left="2140"/>
              <w:spacing w:after="0"/>
              <w:rPr>
                <w:sz w:val="20"/>
                <w:szCs w:val="20"/>
                <w:color w:val="auto"/>
              </w:rPr>
            </w:pPr>
            <w:r>
              <w:rPr>
                <w:rFonts w:ascii="Arial" w:cs="Arial" w:eastAsia="Arial" w:hAnsi="Arial"/>
                <w:sz w:val="18"/>
                <w:szCs w:val="18"/>
                <w:color w:val="auto"/>
                <w:w w:val="99"/>
              </w:rPr>
              <w:t>X</w:t>
            </w: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c>
          <w:tcPr>
            <w:tcW w:w="4360" w:type="dxa"/>
            <w:vAlign w:val="bottom"/>
            <w:tcBorders>
              <w:top w:val="single" w:sz="8" w:color="0000EE"/>
            </w:tcBorders>
            <w:gridSpan w:val="6"/>
          </w:tcPr>
          <w:p>
            <w:pPr>
              <w:spacing w:after="0"/>
              <w:rPr>
                <w:rFonts w:ascii="Arial" w:cs="Arial" w:eastAsia="Arial" w:hAnsi="Arial"/>
                <w:sz w:val="18"/>
                <w:szCs w:val="18"/>
                <w:color w:val="0000EE"/>
                <w:w w:val="94"/>
              </w:rPr>
            </w:pPr>
            <w:hyperlink w:anchor="page108">
              <w:r>
                <w:rPr>
                  <w:rFonts w:ascii="Arial" w:cs="Arial" w:eastAsia="Arial" w:hAnsi="Arial"/>
                  <w:sz w:val="18"/>
                  <w:szCs w:val="18"/>
                  <w:color w:val="0000EE"/>
                  <w:w w:val="94"/>
                </w:rPr>
                <w:t>Consent of Mazanti-Andersen (included in Exhibit 5.1(a)).</w:t>
              </w:r>
            </w:hyperlink>
          </w:p>
        </w:tc>
        <w:tc>
          <w:tcPr>
            <w:tcW w:w="2800" w:type="dxa"/>
            <w:vAlign w:val="bottom"/>
            <w:gridSpan w:val="3"/>
          </w:tcPr>
          <w:p>
            <w:pPr>
              <w:spacing w:after="0"/>
              <w:rPr>
                <w:sz w:val="24"/>
                <w:szCs w:val="24"/>
                <w:color w:val="auto"/>
              </w:rPr>
            </w:pPr>
          </w:p>
        </w:tc>
        <w:tc>
          <w:tcPr>
            <w:tcW w:w="2280" w:type="dxa"/>
            <w:vAlign w:val="bottom"/>
          </w:tcPr>
          <w:p>
            <w:pPr>
              <w:ind w:left="2140"/>
              <w:spacing w:after="0"/>
              <w:rPr>
                <w:sz w:val="20"/>
                <w:szCs w:val="20"/>
                <w:color w:val="auto"/>
              </w:rPr>
            </w:pPr>
            <w:r>
              <w:rPr>
                <w:rFonts w:ascii="Arial" w:cs="Arial" w:eastAsia="Arial" w:hAnsi="Arial"/>
                <w:sz w:val="18"/>
                <w:szCs w:val="18"/>
                <w:color w:val="auto"/>
                <w:w w:val="99"/>
              </w:rPr>
              <w:t>X</w:t>
            </w:r>
          </w:p>
        </w:tc>
      </w:tr>
      <w:tr>
        <w:trPr>
          <w:trHeight w:val="20"/>
        </w:trPr>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24"/>
                <w:szCs w:val="24"/>
                <w:color w:val="auto"/>
              </w:rPr>
            </w:pPr>
          </w:p>
        </w:tc>
        <w:tc>
          <w:tcPr>
            <w:tcW w:w="7160" w:type="dxa"/>
            <w:vAlign w:val="bottom"/>
            <w:gridSpan w:val="9"/>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Consent of Latham &amp; Watkins LLP (included in Exhibit 5.1(b)).</w:t>
              </w:r>
            </w:hyperlink>
          </w:p>
        </w:tc>
        <w:tc>
          <w:tcPr>
            <w:tcW w:w="2280" w:type="dxa"/>
            <w:vAlign w:val="bottom"/>
          </w:tcPr>
          <w:p>
            <w:pPr>
              <w:ind w:left="2140"/>
              <w:spacing w:after="0"/>
              <w:rPr>
                <w:sz w:val="20"/>
                <w:szCs w:val="20"/>
                <w:color w:val="auto"/>
              </w:rPr>
            </w:pPr>
            <w:r>
              <w:rPr>
                <w:rFonts w:ascii="Arial" w:cs="Arial" w:eastAsia="Arial" w:hAnsi="Arial"/>
                <w:sz w:val="18"/>
                <w:szCs w:val="18"/>
                <w:color w:val="auto"/>
                <w:w w:val="99"/>
              </w:rPr>
              <w:t>X</w:t>
            </w:r>
          </w:p>
        </w:tc>
      </w:tr>
      <w:tr>
        <w:trPr>
          <w:trHeight w:val="20"/>
        </w:trPr>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60" w:type="dxa"/>
            <w:vAlign w:val="bottom"/>
            <w:gridSpan w:val="6"/>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4"/>
                <w:szCs w:val="24"/>
                <w:color w:val="auto"/>
              </w:rPr>
            </w:pPr>
          </w:p>
        </w:tc>
        <w:tc>
          <w:tcPr>
            <w:tcW w:w="7160" w:type="dxa"/>
            <w:vAlign w:val="bottom"/>
            <w:gridSpan w:val="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Powers of Attorney (incorporated by reference to the signature page</w:t>
              </w:r>
            </w:hyperlink>
          </w:p>
        </w:tc>
        <w:tc>
          <w:tcPr>
            <w:tcW w:w="228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w:anchor="page55">
              <w:r>
                <w:rPr>
                  <w:rFonts w:ascii="Arial" w:cs="Arial" w:eastAsia="Arial" w:hAnsi="Arial"/>
                  <w:sz w:val="18"/>
                  <w:szCs w:val="18"/>
                  <w:color w:val="0000EE"/>
                  <w:w w:val="86"/>
                </w:rPr>
                <w:t>hereto).</w:t>
              </w:r>
            </w:hyperlink>
          </w:p>
        </w:tc>
        <w:tc>
          <w:tcPr>
            <w:tcW w:w="4340" w:type="dxa"/>
            <w:vAlign w:val="bottom"/>
            <w:tcBorders>
              <w:top w:val="single" w:sz="8" w:color="0000EE"/>
            </w:tcBorders>
            <w:gridSpan w:val="7"/>
          </w:tcPr>
          <w:p>
            <w:pPr>
              <w:spacing w:after="0"/>
              <w:rPr>
                <w:sz w:val="17"/>
                <w:szCs w:val="17"/>
                <w:color w:val="auto"/>
              </w:rPr>
            </w:pPr>
          </w:p>
        </w:tc>
        <w:tc>
          <w:tcPr>
            <w:tcW w:w="2260" w:type="dxa"/>
            <w:vAlign w:val="bottom"/>
          </w:tcPr>
          <w:p>
            <w:pPr>
              <w:spacing w:after="0"/>
              <w:rPr>
                <w:sz w:val="17"/>
                <w:szCs w:val="17"/>
                <w:color w:val="auto"/>
              </w:rPr>
            </w:pPr>
          </w:p>
        </w:tc>
        <w:tc>
          <w:tcPr>
            <w:tcW w:w="2280" w:type="dxa"/>
            <w:vAlign w:val="bottom"/>
          </w:tcPr>
          <w:p>
            <w:pPr>
              <w:ind w:left="2140"/>
              <w:spacing w:after="0" w:line="196" w:lineRule="exact"/>
              <w:rPr>
                <w:sz w:val="20"/>
                <w:szCs w:val="20"/>
                <w:color w:val="auto"/>
              </w:rPr>
            </w:pPr>
            <w:r>
              <w:rPr>
                <w:rFonts w:ascii="Arial" w:cs="Arial" w:eastAsia="Arial" w:hAnsi="Arial"/>
                <w:sz w:val="18"/>
                <w:szCs w:val="18"/>
                <w:color w:val="auto"/>
                <w:w w:val="99"/>
              </w:rPr>
              <w:t>X</w:t>
            </w:r>
          </w:p>
        </w:tc>
      </w:tr>
      <w:tr>
        <w:trPr>
          <w:trHeight w:val="330"/>
        </w:trPr>
        <w:tc>
          <w:tcPr>
            <w:tcW w:w="1360" w:type="dxa"/>
            <w:vAlign w:val="bottom"/>
          </w:tcPr>
          <w:p>
            <w:pPr>
              <w:ind w:left="120"/>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24"/>
                <w:szCs w:val="24"/>
                <w:color w:val="auto"/>
              </w:rPr>
            </w:pPr>
          </w:p>
        </w:tc>
        <w:tc>
          <w:tcPr>
            <w:tcW w:w="7160" w:type="dxa"/>
            <w:vAlign w:val="bottom"/>
            <w:gridSpan w:val="9"/>
          </w:tcPr>
          <w:p>
            <w:pPr>
              <w:spacing w:after="0"/>
              <w:rPr>
                <w:sz w:val="20"/>
                <w:szCs w:val="20"/>
                <w:color w:val="auto"/>
              </w:rPr>
            </w:pPr>
            <w:r>
              <w:rPr>
                <w:rFonts w:ascii="Arial" w:cs="Arial" w:eastAsia="Arial" w:hAnsi="Arial"/>
                <w:sz w:val="18"/>
                <w:szCs w:val="18"/>
                <w:color w:val="auto"/>
              </w:rPr>
              <w:t>Statement of Eligibility on Form T-1 under the Trust Indenture Act of</w:t>
            </w:r>
          </w:p>
        </w:tc>
        <w:tc>
          <w:tcPr>
            <w:tcW w:w="228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60" w:type="dxa"/>
            <w:vAlign w:val="bottom"/>
            <w:gridSpan w:val="9"/>
          </w:tcPr>
          <w:p>
            <w:pPr>
              <w:spacing w:after="0"/>
              <w:rPr>
                <w:sz w:val="20"/>
                <w:szCs w:val="20"/>
                <w:color w:val="auto"/>
              </w:rPr>
            </w:pPr>
            <w:r>
              <w:rPr>
                <w:rFonts w:ascii="Arial" w:cs="Arial" w:eastAsia="Arial" w:hAnsi="Arial"/>
                <w:sz w:val="18"/>
                <w:szCs w:val="18"/>
                <w:color w:val="auto"/>
              </w:rPr>
              <w:t>1939, as amended, of the trustee, as trustee under the indenture filed</w:t>
            </w:r>
          </w:p>
        </w:tc>
        <w:tc>
          <w:tcPr>
            <w:tcW w:w="228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60" w:type="dxa"/>
            <w:vAlign w:val="bottom"/>
            <w:gridSpan w:val="9"/>
          </w:tcPr>
          <w:p>
            <w:pPr>
              <w:spacing w:after="0"/>
              <w:rPr>
                <w:sz w:val="20"/>
                <w:szCs w:val="20"/>
                <w:color w:val="auto"/>
              </w:rPr>
            </w:pPr>
            <w:r>
              <w:rPr>
                <w:rFonts w:ascii="Arial" w:cs="Arial" w:eastAsia="Arial" w:hAnsi="Arial"/>
                <w:sz w:val="18"/>
                <w:szCs w:val="18"/>
                <w:color w:val="auto"/>
              </w:rPr>
              <w:t>herewith.</w:t>
            </w:r>
          </w:p>
        </w:tc>
        <w:tc>
          <w:tcPr>
            <w:tcW w:w="2280" w:type="dxa"/>
            <w:vAlign w:val="bottom"/>
          </w:tcPr>
          <w:p>
            <w:pPr>
              <w:spacing w:after="0"/>
              <w:rPr>
                <w:sz w:val="20"/>
                <w:szCs w:val="20"/>
                <w:color w:val="auto"/>
              </w:rPr>
            </w:pPr>
          </w:p>
        </w:tc>
      </w:tr>
    </w:tbl>
    <w:p>
      <w:pPr>
        <w:spacing w:after="0" w:line="107"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be filed by amendment or incorporated by reference in connection with the offering of the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Undertakings.</w:t>
      </w:r>
    </w:p>
    <w:p>
      <w:pPr>
        <w:spacing w:after="0" w:line="135"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42" w:lineRule="exact"/>
        <w:rPr>
          <w:rFonts w:ascii="Arial" w:cs="Arial" w:eastAsia="Arial" w:hAnsi="Arial"/>
          <w:sz w:val="17"/>
          <w:szCs w:val="17"/>
          <w:color w:val="auto"/>
        </w:rPr>
      </w:pPr>
    </w:p>
    <w:p>
      <w:pPr>
        <w:ind w:left="2080" w:hanging="533"/>
        <w:spacing w:after="0"/>
        <w:tabs>
          <w:tab w:leader="none" w:pos="2080" w:val="left"/>
        </w:tabs>
        <w:numPr>
          <w:ilvl w:val="2"/>
          <w:numId w:val="3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130" w:lineRule="exact"/>
        <w:rPr>
          <w:rFonts w:ascii="Arial" w:cs="Arial" w:eastAsia="Arial" w:hAnsi="Arial"/>
          <w:sz w:val="18"/>
          <w:szCs w:val="18"/>
          <w:color w:val="auto"/>
        </w:rPr>
      </w:pPr>
    </w:p>
    <w:p>
      <w:pPr>
        <w:jc w:val="both"/>
        <w:ind w:left="2080" w:hanging="533"/>
        <w:spacing w:after="0" w:line="263" w:lineRule="auto"/>
        <w:tabs>
          <w:tab w:leader="none" w:pos="2080" w:val="left"/>
        </w:tabs>
        <w:numPr>
          <w:ilvl w:val="2"/>
          <w:numId w:val="3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89" w:lineRule="exact"/>
        <w:rPr>
          <w:rFonts w:ascii="Arial" w:cs="Arial" w:eastAsia="Arial" w:hAnsi="Arial"/>
          <w:sz w:val="18"/>
          <w:szCs w:val="18"/>
          <w:color w:val="auto"/>
        </w:rPr>
      </w:pPr>
    </w:p>
    <w:p>
      <w:pPr>
        <w:ind w:left="2080" w:right="540" w:hanging="533"/>
        <w:spacing w:after="0" w:line="277" w:lineRule="auto"/>
        <w:tabs>
          <w:tab w:leader="none" w:pos="2080" w:val="left"/>
        </w:tabs>
        <w:numPr>
          <w:ilvl w:val="2"/>
          <w:numId w:val="3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120" w:right="260"/>
        <w:spacing w:after="0" w:line="301"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paragraphs (a)(1)(i), (a)(1)(ii), and (a)(1)(iii) above do not apply if the information required to be included in a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by those paragraphs is contained in periodic reports filed with or furnished to the Securities and Exchange Commission by the Registrant pursuant to Section 13 or Section 15(d) of the Securities Exchange Act of 1934, as amended, that are incorporated by reference in this registration statement, or is contained in a form of prospectus filed pursuant to Rule 424(b) that is part of this registration statement.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46"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540" w:right="20" w:hanging="439"/>
        <w:spacing w:after="0" w:line="263" w:lineRule="auto"/>
        <w:tabs>
          <w:tab w:leader="none" w:pos="1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540" w:right="160" w:hanging="439"/>
        <w:spacing w:after="0" w:line="277" w:lineRule="auto"/>
        <w:tabs>
          <w:tab w:leader="none" w:pos="1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540" w:hanging="439"/>
        <w:spacing w:after="0" w:line="269" w:lineRule="auto"/>
        <w:tabs>
          <w:tab w:leader="none" w:pos="1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as amended,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of 1933, as amended, or Rule 3-19 of Regulation S-X if such financial statements and information are contained in periodic reports filed with or furnished to the Securities and Exchange Commission by the Registrant pursuant to Section 13 or Section 15(d) of the Exchange Act of 1934, as amended, that are incorporated by reference in this Form F-3.</w:t>
      </w:r>
    </w:p>
    <w:p>
      <w:pPr>
        <w:spacing w:after="0" w:line="90" w:lineRule="exact"/>
        <w:rPr>
          <w:rFonts w:ascii="Arial" w:cs="Arial" w:eastAsia="Arial" w:hAnsi="Arial"/>
          <w:sz w:val="17"/>
          <w:szCs w:val="17"/>
          <w:color w:val="auto"/>
        </w:rPr>
      </w:pPr>
    </w:p>
    <w:p>
      <w:pPr>
        <w:ind w:left="1540" w:hanging="439"/>
        <w:spacing w:after="0"/>
        <w:tabs>
          <w:tab w:leader="none" w:pos="1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130" w:lineRule="exact"/>
        <w:rPr>
          <w:rFonts w:ascii="Arial" w:cs="Arial" w:eastAsia="Arial" w:hAnsi="Arial"/>
          <w:sz w:val="18"/>
          <w:szCs w:val="18"/>
          <w:color w:val="auto"/>
        </w:rPr>
      </w:pPr>
    </w:p>
    <w:p>
      <w:pPr>
        <w:ind w:left="2080" w:right="40" w:hanging="533"/>
        <w:spacing w:after="0" w:line="277" w:lineRule="auto"/>
        <w:tabs>
          <w:tab w:leader="none" w:pos="2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2080" w:hanging="533"/>
        <w:spacing w:after="0" w:line="286" w:lineRule="auto"/>
        <w:tabs>
          <w:tab w:leader="none" w:pos="20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9" w:lineRule="exact"/>
        <w:rPr>
          <w:rFonts w:ascii="Arial" w:cs="Arial" w:eastAsia="Arial" w:hAnsi="Arial"/>
          <w:sz w:val="16"/>
          <w:szCs w:val="16"/>
          <w:color w:val="auto"/>
        </w:rPr>
      </w:pPr>
    </w:p>
    <w:p>
      <w:pPr>
        <w:ind w:left="1540" w:right="60" w:hanging="439"/>
        <w:spacing w:after="0" w:line="277" w:lineRule="auto"/>
        <w:tabs>
          <w:tab w:leader="none" w:pos="1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as amended, to any purchaser in the initial distribution of the securities:</w:t>
      </w:r>
    </w:p>
    <w:p>
      <w:pPr>
        <w:spacing w:after="0" w:line="75" w:lineRule="exact"/>
        <w:rPr>
          <w:rFonts w:ascii="Arial" w:cs="Arial" w:eastAsia="Arial" w:hAnsi="Arial"/>
          <w:sz w:val="18"/>
          <w:szCs w:val="18"/>
          <w:color w:val="auto"/>
        </w:rPr>
      </w:pPr>
    </w:p>
    <w:p>
      <w:pPr>
        <w:jc w:val="both"/>
        <w:ind w:left="2080" w:right="100" w:hanging="533"/>
        <w:spacing w:after="0" w:line="263" w:lineRule="auto"/>
        <w:tabs>
          <w:tab w:leader="none" w:pos="2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80" w:right="20"/>
        <w:spacing w:after="0" w:line="277" w:lineRule="auto"/>
        <w:rPr>
          <w:sz w:val="20"/>
          <w:szCs w:val="20"/>
          <w:color w:val="auto"/>
        </w:rPr>
      </w:pPr>
      <w:r>
        <w:rPr>
          <w:rFonts w:ascii="Arial" w:cs="Arial" w:eastAsia="Arial" w:hAnsi="Arial"/>
          <w:sz w:val="18"/>
          <w:szCs w:val="18"/>
          <w:color w:val="auto"/>
        </w:rPr>
        <w:t>purchaser by means of any of the following communications, the undersigned Registrant will be a seller to the purchaser and will be considered to offer or sell such securities to such purchaser:</w:t>
      </w:r>
    </w:p>
    <w:p>
      <w:pPr>
        <w:spacing w:after="0" w:line="76" w:lineRule="exact"/>
        <w:rPr>
          <w:sz w:val="20"/>
          <w:szCs w:val="20"/>
          <w:color w:val="auto"/>
        </w:rPr>
      </w:pPr>
    </w:p>
    <w:p>
      <w:pPr>
        <w:ind w:left="2520" w:right="300" w:hanging="433"/>
        <w:spacing w:after="0" w:line="277" w:lineRule="auto"/>
        <w:tabs>
          <w:tab w:leader="none" w:pos="25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2520" w:right="160" w:hanging="433"/>
        <w:spacing w:after="0" w:line="277" w:lineRule="auto"/>
        <w:tabs>
          <w:tab w:leader="none" w:pos="25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2520" w:right="400" w:hanging="433"/>
        <w:spacing w:after="0" w:line="308" w:lineRule="auto"/>
        <w:tabs>
          <w:tab w:leader="none" w:pos="252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51" w:lineRule="exact"/>
        <w:rPr>
          <w:rFonts w:ascii="Arial" w:cs="Arial" w:eastAsia="Arial" w:hAnsi="Arial"/>
          <w:sz w:val="17"/>
          <w:szCs w:val="17"/>
          <w:color w:val="auto"/>
        </w:rPr>
      </w:pPr>
    </w:p>
    <w:p>
      <w:pPr>
        <w:ind w:left="2520" w:hanging="433"/>
        <w:spacing w:after="0"/>
        <w:tabs>
          <w:tab w:leader="none" w:pos="252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236" w:lineRule="exact"/>
        <w:rPr>
          <w:rFonts w:ascii="Arial" w:cs="Arial" w:eastAsia="Arial" w:hAnsi="Arial"/>
          <w:sz w:val="17"/>
          <w:szCs w:val="17"/>
          <w:color w:val="auto"/>
        </w:rPr>
      </w:pPr>
    </w:p>
    <w:p>
      <w:pPr>
        <w:ind w:left="120" w:firstLine="436"/>
        <w:spacing w:after="0" w:line="275" w:lineRule="auto"/>
        <w:tabs>
          <w:tab w:leader="none" w:pos="815"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The undersigned Registrant hereby undertakes that, for purposes of determining any liability under the Securities Act of 1933, as amended, each filing of the Registrant’s annual report pursuant to Section 13(a) or Section 15(d) of the Exchange Act of 1934, as amended (and, where applicable, each filing of an employee benefit plan’s annual report pursuant to section 15(d) of the Exchange Act of 1934, as amended)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76" w:lineRule="exact"/>
        <w:rPr>
          <w:sz w:val="20"/>
          <w:szCs w:val="20"/>
          <w:color w:val="auto"/>
        </w:rPr>
      </w:pPr>
    </w:p>
    <w:p>
      <w:pPr>
        <w:ind w:left="120" w:right="100" w:firstLine="436"/>
        <w:spacing w:after="0" w:line="290" w:lineRule="auto"/>
        <w:tabs>
          <w:tab w:leader="none" w:pos="815"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165" w:lineRule="exact"/>
        <w:rPr>
          <w:sz w:val="20"/>
          <w:szCs w:val="20"/>
          <w:color w:val="auto"/>
        </w:rPr>
      </w:pPr>
    </w:p>
    <w:p>
      <w:pPr>
        <w:ind w:left="120" w:right="240" w:firstLine="436"/>
        <w:spacing w:after="0" w:line="263" w:lineRule="auto"/>
        <w:tabs>
          <w:tab w:leader="none" w:pos="7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(the “Act”) in accordance with the rules and regulations prescribed by the SEC under section 305(b)(2) of the Act.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on Form F-3 to be signed on its behalf by the undersigned, thereunto duly authorized, in the City of Hellerup, Denmark, on May 27, 2021.</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ASCENDIS PHARMA A/S</w:t>
      </w:r>
    </w:p>
    <w:p>
      <w:pPr>
        <w:spacing w:after="0" w:line="22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Jan Møller Mikkelsen</w:t>
      </w:r>
    </w:p>
    <w:p>
      <w:pPr>
        <w:spacing w:after="0" w:line="7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-130175</wp:posOffset>
            </wp:positionV>
            <wp:extent cx="24599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Jan Møller Mikkelsen, Scott T. Smith and Michael Wolff Jensen, or any of them,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w:t>
      </w:r>
    </w:p>
    <w:p>
      <w:pPr>
        <w:spacing w:after="0" w:line="19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340" w:type="dxa"/>
            <w:vAlign w:val="bottom"/>
          </w:tcPr>
          <w:p>
            <w:pPr>
              <w:jc w:val="center"/>
              <w:ind w:right="91"/>
              <w:spacing w:after="0"/>
              <w:rPr>
                <w:sz w:val="20"/>
                <w:szCs w:val="20"/>
                <w:color w:val="auto"/>
              </w:rPr>
            </w:pPr>
            <w:r>
              <w:rPr>
                <w:rFonts w:ascii="Arial" w:cs="Arial" w:eastAsia="Arial" w:hAnsi="Arial"/>
                <w:sz w:val="14"/>
                <w:szCs w:val="14"/>
                <w:b w:val="1"/>
                <w:bCs w:val="1"/>
                <w:color w:val="auto"/>
                <w:w w:val="92"/>
              </w:rPr>
              <w:t>Signature</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1560" w:type="dxa"/>
            <w:vAlign w:val="bottom"/>
          </w:tcPr>
          <w:p>
            <w:pPr>
              <w:jc w:val="center"/>
              <w:ind w:left="472"/>
              <w:spacing w:after="0"/>
              <w:rPr>
                <w:sz w:val="20"/>
                <w:szCs w:val="20"/>
                <w:color w:val="auto"/>
              </w:rPr>
            </w:pPr>
            <w:r>
              <w:rPr>
                <w:rFonts w:ascii="Arial" w:cs="Arial" w:eastAsia="Arial" w:hAnsi="Arial"/>
                <w:sz w:val="14"/>
                <w:szCs w:val="14"/>
                <w:b w:val="1"/>
                <w:bCs w:val="1"/>
                <w:color w:val="auto"/>
                <w:w w:val="92"/>
              </w:rPr>
              <w:t>Date</w:t>
            </w:r>
          </w:p>
        </w:tc>
      </w:tr>
      <w:tr>
        <w:trPr>
          <w:trHeight w:val="417"/>
        </w:trPr>
        <w:tc>
          <w:tcPr>
            <w:tcW w:w="43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93"/>
              </w:rPr>
              <w:t>/s/ Jan Møller Mikkelsen</w:t>
            </w:r>
          </w:p>
        </w:tc>
        <w:tc>
          <w:tcPr>
            <w:tcW w:w="4500" w:type="dxa"/>
            <w:vAlign w:val="bottom"/>
          </w:tcPr>
          <w:p>
            <w:pPr>
              <w:jc w:val="center"/>
              <w:spacing w:after="0"/>
              <w:rPr>
                <w:sz w:val="20"/>
                <w:szCs w:val="20"/>
                <w:color w:val="auto"/>
              </w:rPr>
            </w:pPr>
            <w:r>
              <w:rPr>
                <w:rFonts w:ascii="Arial" w:cs="Arial" w:eastAsia="Arial" w:hAnsi="Arial"/>
                <w:sz w:val="18"/>
                <w:szCs w:val="18"/>
                <w:color w:val="auto"/>
                <w:w w:val="91"/>
              </w:rPr>
              <w:t>President, Chief Executive Officer,</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27, 2021</w:t>
            </w:r>
          </w:p>
        </w:tc>
      </w:tr>
      <w:tr>
        <w:trPr>
          <w:trHeight w:val="182"/>
        </w:trPr>
        <w:tc>
          <w:tcPr>
            <w:tcW w:w="4340" w:type="dxa"/>
            <w:vAlign w:val="bottom"/>
          </w:tcPr>
          <w:p>
            <w:pPr>
              <w:jc w:val="center"/>
              <w:ind w:right="111"/>
              <w:spacing w:after="0" w:line="182" w:lineRule="exact"/>
              <w:rPr>
                <w:sz w:val="20"/>
                <w:szCs w:val="20"/>
                <w:color w:val="auto"/>
              </w:rPr>
            </w:pPr>
            <w:r>
              <w:rPr>
                <w:rFonts w:ascii="Arial" w:cs="Arial" w:eastAsia="Arial" w:hAnsi="Arial"/>
                <w:sz w:val="18"/>
                <w:szCs w:val="18"/>
                <w:color w:val="auto"/>
                <w:w w:val="93"/>
              </w:rPr>
              <w:t>Jan Møller Mikkelsen</w:t>
            </w:r>
          </w:p>
        </w:tc>
        <w:tc>
          <w:tcPr>
            <w:tcW w:w="4500" w:type="dxa"/>
            <w:vAlign w:val="bottom"/>
          </w:tcPr>
          <w:p>
            <w:pPr>
              <w:jc w:val="center"/>
              <w:spacing w:after="0" w:line="182" w:lineRule="exact"/>
              <w:rPr>
                <w:sz w:val="20"/>
                <w:szCs w:val="20"/>
                <w:color w:val="auto"/>
              </w:rPr>
            </w:pPr>
            <w:r>
              <w:rPr>
                <w:rFonts w:ascii="Arial" w:cs="Arial" w:eastAsia="Arial" w:hAnsi="Arial"/>
                <w:sz w:val="18"/>
                <w:szCs w:val="18"/>
                <w:color w:val="auto"/>
                <w:w w:val="92"/>
              </w:rPr>
              <w:t>Board Member and Executive Director</w:t>
            </w:r>
          </w:p>
        </w:tc>
        <w:tc>
          <w:tcPr>
            <w:tcW w:w="1560" w:type="dxa"/>
            <w:vAlign w:val="bottom"/>
          </w:tcPr>
          <w:p>
            <w:pPr>
              <w:spacing w:after="0"/>
              <w:rPr>
                <w:sz w:val="15"/>
                <w:szCs w:val="15"/>
                <w:color w:val="auto"/>
              </w:rPr>
            </w:pPr>
          </w:p>
        </w:tc>
      </w:tr>
      <w:tr>
        <w:trPr>
          <w:trHeight w:val="230"/>
        </w:trPr>
        <w:tc>
          <w:tcPr>
            <w:tcW w:w="434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560" w:type="dxa"/>
            <w:vAlign w:val="bottom"/>
          </w:tcPr>
          <w:p>
            <w:pPr>
              <w:spacing w:after="0"/>
              <w:rPr>
                <w:sz w:val="20"/>
                <w:szCs w:val="20"/>
                <w:color w:val="auto"/>
              </w:rPr>
            </w:pPr>
          </w:p>
        </w:tc>
      </w:tr>
      <w:tr>
        <w:trPr>
          <w:trHeight w:val="432"/>
        </w:trPr>
        <w:tc>
          <w:tcPr>
            <w:tcW w:w="43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90"/>
              </w:rPr>
              <w:t>/s/ Scott T. Smith</w:t>
            </w:r>
          </w:p>
        </w:tc>
        <w:tc>
          <w:tcPr>
            <w:tcW w:w="4500" w:type="dxa"/>
            <w:vAlign w:val="bottom"/>
          </w:tcPr>
          <w:p>
            <w:pPr>
              <w:jc w:val="center"/>
              <w:spacing w:after="0"/>
              <w:rPr>
                <w:sz w:val="20"/>
                <w:szCs w:val="20"/>
                <w:color w:val="auto"/>
              </w:rPr>
            </w:pPr>
            <w:r>
              <w:rPr>
                <w:rFonts w:ascii="Arial" w:cs="Arial" w:eastAsia="Arial" w:hAnsi="Arial"/>
                <w:sz w:val="18"/>
                <w:szCs w:val="18"/>
                <w:color w:val="auto"/>
                <w:w w:val="92"/>
              </w:rPr>
              <w:t>Senior Vice President, Chief Financial Officer</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27, 2021</w:t>
            </w:r>
          </w:p>
        </w:tc>
      </w:tr>
      <w:tr>
        <w:trPr>
          <w:trHeight w:val="224"/>
        </w:trPr>
        <w:tc>
          <w:tcPr>
            <w:tcW w:w="4340" w:type="dxa"/>
            <w:vAlign w:val="bottom"/>
          </w:tcPr>
          <w:p>
            <w:pPr>
              <w:jc w:val="center"/>
              <w:ind w:right="91"/>
              <w:spacing w:after="0"/>
              <w:rPr>
                <w:sz w:val="20"/>
                <w:szCs w:val="20"/>
                <w:color w:val="auto"/>
              </w:rPr>
            </w:pPr>
            <w:r>
              <w:rPr>
                <w:rFonts w:ascii="Arial" w:cs="Arial" w:eastAsia="Arial" w:hAnsi="Arial"/>
                <w:sz w:val="18"/>
                <w:szCs w:val="18"/>
                <w:color w:val="auto"/>
                <w:w w:val="91"/>
              </w:rPr>
              <w:t>Scott T. Smith</w:t>
            </w:r>
          </w:p>
        </w:tc>
        <w:tc>
          <w:tcPr>
            <w:tcW w:w="450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c>
          <w:tcPr>
            <w:tcW w:w="1560" w:type="dxa"/>
            <w:vAlign w:val="bottom"/>
          </w:tcPr>
          <w:p>
            <w:pPr>
              <w:spacing w:after="0"/>
              <w:rPr>
                <w:sz w:val="19"/>
                <w:szCs w:val="19"/>
                <w:color w:val="auto"/>
              </w:rPr>
            </w:pPr>
          </w:p>
        </w:tc>
      </w:tr>
      <w:tr>
        <w:trPr>
          <w:trHeight w:val="431"/>
        </w:trPr>
        <w:tc>
          <w:tcPr>
            <w:tcW w:w="43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86"/>
              </w:rPr>
              <w:t>/s/ Peter Rasmussen</w:t>
            </w:r>
          </w:p>
        </w:tc>
        <w:tc>
          <w:tcPr>
            <w:tcW w:w="4500" w:type="dxa"/>
            <w:vAlign w:val="bottom"/>
          </w:tcPr>
          <w:p>
            <w:pPr>
              <w:jc w:val="center"/>
              <w:spacing w:after="0"/>
              <w:rPr>
                <w:sz w:val="20"/>
                <w:szCs w:val="20"/>
                <w:color w:val="auto"/>
              </w:rPr>
            </w:pPr>
            <w:r>
              <w:rPr>
                <w:rFonts w:ascii="Arial" w:cs="Arial" w:eastAsia="Arial" w:hAnsi="Arial"/>
                <w:sz w:val="18"/>
                <w:szCs w:val="18"/>
                <w:color w:val="auto"/>
                <w:w w:val="89"/>
              </w:rPr>
              <w:t>Vice President, Finance</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27, 2021</w:t>
            </w:r>
          </w:p>
        </w:tc>
      </w:tr>
      <w:tr>
        <w:trPr>
          <w:trHeight w:val="224"/>
        </w:trPr>
        <w:tc>
          <w:tcPr>
            <w:tcW w:w="4340" w:type="dxa"/>
            <w:vAlign w:val="bottom"/>
          </w:tcPr>
          <w:p>
            <w:pPr>
              <w:jc w:val="center"/>
              <w:ind w:right="111"/>
              <w:spacing w:after="0"/>
              <w:rPr>
                <w:sz w:val="20"/>
                <w:szCs w:val="20"/>
                <w:color w:val="auto"/>
              </w:rPr>
            </w:pPr>
            <w:r>
              <w:rPr>
                <w:rFonts w:ascii="Arial" w:cs="Arial" w:eastAsia="Arial" w:hAnsi="Arial"/>
                <w:sz w:val="18"/>
                <w:szCs w:val="18"/>
                <w:color w:val="auto"/>
                <w:w w:val="85"/>
              </w:rPr>
              <w:t>Peter Rasmussen</w:t>
            </w:r>
          </w:p>
        </w:tc>
        <w:tc>
          <w:tcPr>
            <w:tcW w:w="450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c>
          <w:tcPr>
            <w:tcW w:w="1560" w:type="dxa"/>
            <w:vAlign w:val="bottom"/>
          </w:tcPr>
          <w:p>
            <w:pPr>
              <w:spacing w:after="0"/>
              <w:rPr>
                <w:sz w:val="19"/>
                <w:szCs w:val="19"/>
                <w:color w:val="auto"/>
              </w:rPr>
            </w:pPr>
          </w:p>
        </w:tc>
      </w:tr>
      <w:tr>
        <w:trPr>
          <w:trHeight w:val="431"/>
        </w:trPr>
        <w:tc>
          <w:tcPr>
            <w:tcW w:w="43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92"/>
              </w:rPr>
              <w:t>/s/ Michael Wolff Jensen</w:t>
            </w:r>
          </w:p>
        </w:tc>
        <w:tc>
          <w:tcPr>
            <w:tcW w:w="450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27, 2021</w:t>
            </w:r>
          </w:p>
        </w:tc>
      </w:tr>
      <w:tr>
        <w:trPr>
          <w:trHeight w:val="224"/>
        </w:trPr>
        <w:tc>
          <w:tcPr>
            <w:tcW w:w="4340" w:type="dxa"/>
            <w:vAlign w:val="bottom"/>
          </w:tcPr>
          <w:p>
            <w:pPr>
              <w:jc w:val="center"/>
              <w:ind w:right="111"/>
              <w:spacing w:after="0"/>
              <w:rPr>
                <w:sz w:val="20"/>
                <w:szCs w:val="20"/>
                <w:color w:val="auto"/>
              </w:rPr>
            </w:pPr>
            <w:r>
              <w:rPr>
                <w:rFonts w:ascii="Arial" w:cs="Arial" w:eastAsia="Arial" w:hAnsi="Arial"/>
                <w:sz w:val="18"/>
                <w:szCs w:val="18"/>
                <w:color w:val="auto"/>
                <w:w w:val="94"/>
              </w:rPr>
              <w:t>Michael Wolff Jensen, L.L.M.</w:t>
            </w:r>
          </w:p>
        </w:tc>
        <w:tc>
          <w:tcPr>
            <w:tcW w:w="4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31"/>
        </w:trPr>
        <w:tc>
          <w:tcPr>
            <w:tcW w:w="43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95"/>
              </w:rPr>
              <w:t>/s/ Lisa Bright</w:t>
            </w:r>
          </w:p>
        </w:tc>
        <w:tc>
          <w:tcPr>
            <w:tcW w:w="4500" w:type="dxa"/>
            <w:vAlign w:val="bottom"/>
          </w:tcPr>
          <w:p>
            <w:pPr>
              <w:jc w:val="center"/>
              <w:spacing w:after="0"/>
              <w:rPr>
                <w:sz w:val="20"/>
                <w:szCs w:val="20"/>
                <w:color w:val="auto"/>
              </w:rPr>
            </w:pPr>
            <w:r>
              <w:rPr>
                <w:rFonts w:ascii="Arial" w:cs="Arial" w:eastAsia="Arial" w:hAnsi="Arial"/>
                <w:sz w:val="18"/>
                <w:szCs w:val="18"/>
                <w:color w:val="auto"/>
                <w:w w:val="92"/>
              </w:rPr>
              <w:t>Board Member</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27, 2021</w:t>
            </w:r>
          </w:p>
        </w:tc>
      </w:tr>
      <w:tr>
        <w:trPr>
          <w:trHeight w:val="224"/>
        </w:trPr>
        <w:tc>
          <w:tcPr>
            <w:tcW w:w="4340" w:type="dxa"/>
            <w:vAlign w:val="bottom"/>
          </w:tcPr>
          <w:p>
            <w:pPr>
              <w:jc w:val="center"/>
              <w:ind w:right="91"/>
              <w:spacing w:after="0"/>
              <w:rPr>
                <w:sz w:val="20"/>
                <w:szCs w:val="20"/>
                <w:color w:val="auto"/>
              </w:rPr>
            </w:pPr>
            <w:r>
              <w:rPr>
                <w:rFonts w:ascii="Arial" w:cs="Arial" w:eastAsia="Arial" w:hAnsi="Arial"/>
                <w:sz w:val="18"/>
                <w:szCs w:val="18"/>
                <w:color w:val="auto"/>
                <w:w w:val="94"/>
              </w:rPr>
              <w:t>Lisa Bright</w:t>
            </w:r>
          </w:p>
        </w:tc>
        <w:tc>
          <w:tcPr>
            <w:tcW w:w="4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31"/>
        </w:trPr>
        <w:tc>
          <w:tcPr>
            <w:tcW w:w="43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91"/>
              </w:rPr>
              <w:t>/s/ Albert Cha</w:t>
            </w:r>
          </w:p>
        </w:tc>
        <w:tc>
          <w:tcPr>
            <w:tcW w:w="4500" w:type="dxa"/>
            <w:vAlign w:val="bottom"/>
          </w:tcPr>
          <w:p>
            <w:pPr>
              <w:jc w:val="center"/>
              <w:spacing w:after="0"/>
              <w:rPr>
                <w:sz w:val="20"/>
                <w:szCs w:val="20"/>
                <w:color w:val="auto"/>
              </w:rPr>
            </w:pPr>
            <w:r>
              <w:rPr>
                <w:rFonts w:ascii="Arial" w:cs="Arial" w:eastAsia="Arial" w:hAnsi="Arial"/>
                <w:sz w:val="18"/>
                <w:szCs w:val="18"/>
                <w:color w:val="auto"/>
                <w:w w:val="92"/>
              </w:rPr>
              <w:t>Board Member</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27, 2021</w:t>
            </w:r>
          </w:p>
        </w:tc>
      </w:tr>
      <w:tr>
        <w:trPr>
          <w:trHeight w:val="224"/>
        </w:trPr>
        <w:tc>
          <w:tcPr>
            <w:tcW w:w="4340" w:type="dxa"/>
            <w:vAlign w:val="bottom"/>
          </w:tcPr>
          <w:p>
            <w:pPr>
              <w:jc w:val="center"/>
              <w:ind w:right="91"/>
              <w:spacing w:after="0"/>
              <w:rPr>
                <w:sz w:val="20"/>
                <w:szCs w:val="20"/>
                <w:color w:val="auto"/>
              </w:rPr>
            </w:pPr>
            <w:r>
              <w:rPr>
                <w:rFonts w:ascii="Arial" w:cs="Arial" w:eastAsia="Arial" w:hAnsi="Arial"/>
                <w:sz w:val="18"/>
                <w:szCs w:val="18"/>
                <w:color w:val="auto"/>
                <w:w w:val="93"/>
              </w:rPr>
              <w:t>Albert Cha, M.D., Ph.D.</w:t>
            </w:r>
          </w:p>
        </w:tc>
        <w:tc>
          <w:tcPr>
            <w:tcW w:w="4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31"/>
        </w:trPr>
        <w:tc>
          <w:tcPr>
            <w:tcW w:w="43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89"/>
              </w:rPr>
              <w:t>/s/ James I. Healy</w:t>
            </w:r>
          </w:p>
        </w:tc>
        <w:tc>
          <w:tcPr>
            <w:tcW w:w="4500" w:type="dxa"/>
            <w:vAlign w:val="bottom"/>
          </w:tcPr>
          <w:p>
            <w:pPr>
              <w:jc w:val="center"/>
              <w:spacing w:after="0"/>
              <w:rPr>
                <w:sz w:val="20"/>
                <w:szCs w:val="20"/>
                <w:color w:val="auto"/>
              </w:rPr>
            </w:pPr>
            <w:r>
              <w:rPr>
                <w:rFonts w:ascii="Arial" w:cs="Arial" w:eastAsia="Arial" w:hAnsi="Arial"/>
                <w:sz w:val="18"/>
                <w:szCs w:val="18"/>
                <w:color w:val="auto"/>
                <w:w w:val="92"/>
              </w:rPr>
              <w:t>Board Member</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27, 2021</w:t>
            </w:r>
          </w:p>
        </w:tc>
      </w:tr>
      <w:tr>
        <w:trPr>
          <w:trHeight w:val="224"/>
        </w:trPr>
        <w:tc>
          <w:tcPr>
            <w:tcW w:w="4340" w:type="dxa"/>
            <w:vAlign w:val="bottom"/>
          </w:tcPr>
          <w:p>
            <w:pPr>
              <w:jc w:val="center"/>
              <w:ind w:right="111"/>
              <w:spacing w:after="0"/>
              <w:rPr>
                <w:sz w:val="20"/>
                <w:szCs w:val="20"/>
                <w:color w:val="auto"/>
              </w:rPr>
            </w:pPr>
            <w:r>
              <w:rPr>
                <w:rFonts w:ascii="Arial" w:cs="Arial" w:eastAsia="Arial" w:hAnsi="Arial"/>
                <w:sz w:val="18"/>
                <w:szCs w:val="18"/>
                <w:color w:val="auto"/>
                <w:w w:val="90"/>
              </w:rPr>
              <w:t>James I. Healy, M.D., Ph.D.</w:t>
            </w:r>
          </w:p>
        </w:tc>
        <w:tc>
          <w:tcPr>
            <w:tcW w:w="4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31"/>
        </w:trPr>
        <w:tc>
          <w:tcPr>
            <w:tcW w:w="43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93"/>
              </w:rPr>
              <w:t>/s/ Lars Holtug</w:t>
            </w:r>
          </w:p>
        </w:tc>
        <w:tc>
          <w:tcPr>
            <w:tcW w:w="4500" w:type="dxa"/>
            <w:vAlign w:val="bottom"/>
          </w:tcPr>
          <w:p>
            <w:pPr>
              <w:jc w:val="center"/>
              <w:spacing w:after="0"/>
              <w:rPr>
                <w:sz w:val="20"/>
                <w:szCs w:val="20"/>
                <w:color w:val="auto"/>
              </w:rPr>
            </w:pPr>
            <w:r>
              <w:rPr>
                <w:rFonts w:ascii="Arial" w:cs="Arial" w:eastAsia="Arial" w:hAnsi="Arial"/>
                <w:sz w:val="18"/>
                <w:szCs w:val="18"/>
                <w:color w:val="auto"/>
                <w:w w:val="92"/>
              </w:rPr>
              <w:t>Board Member</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27, 2021</w:t>
            </w:r>
          </w:p>
        </w:tc>
      </w:tr>
      <w:tr>
        <w:trPr>
          <w:trHeight w:val="224"/>
        </w:trPr>
        <w:tc>
          <w:tcPr>
            <w:tcW w:w="4340" w:type="dxa"/>
            <w:vAlign w:val="bottom"/>
          </w:tcPr>
          <w:p>
            <w:pPr>
              <w:jc w:val="center"/>
              <w:ind w:right="111"/>
              <w:spacing w:after="0"/>
              <w:rPr>
                <w:sz w:val="20"/>
                <w:szCs w:val="20"/>
                <w:color w:val="auto"/>
              </w:rPr>
            </w:pPr>
            <w:r>
              <w:rPr>
                <w:rFonts w:ascii="Arial" w:cs="Arial" w:eastAsia="Arial" w:hAnsi="Arial"/>
                <w:sz w:val="18"/>
                <w:szCs w:val="18"/>
                <w:color w:val="auto"/>
                <w:w w:val="93"/>
              </w:rPr>
              <w:t>Lars Holtug, M.Sc.</w:t>
            </w:r>
          </w:p>
        </w:tc>
        <w:tc>
          <w:tcPr>
            <w:tcW w:w="4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31"/>
        </w:trPr>
        <w:tc>
          <w:tcPr>
            <w:tcW w:w="434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94"/>
              </w:rPr>
              <w:t>/s/ Birgitte Volck</w:t>
            </w:r>
          </w:p>
        </w:tc>
        <w:tc>
          <w:tcPr>
            <w:tcW w:w="4500" w:type="dxa"/>
            <w:vAlign w:val="bottom"/>
          </w:tcPr>
          <w:p>
            <w:pPr>
              <w:jc w:val="center"/>
              <w:spacing w:after="0"/>
              <w:rPr>
                <w:sz w:val="20"/>
                <w:szCs w:val="20"/>
                <w:color w:val="auto"/>
              </w:rPr>
            </w:pPr>
            <w:r>
              <w:rPr>
                <w:rFonts w:ascii="Arial" w:cs="Arial" w:eastAsia="Arial" w:hAnsi="Arial"/>
                <w:sz w:val="18"/>
                <w:szCs w:val="18"/>
                <w:color w:val="auto"/>
                <w:w w:val="92"/>
              </w:rPr>
              <w:t>Board Member</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27, 2021</w:t>
            </w:r>
          </w:p>
        </w:tc>
      </w:tr>
      <w:tr>
        <w:trPr>
          <w:trHeight w:val="224"/>
        </w:trPr>
        <w:tc>
          <w:tcPr>
            <w:tcW w:w="4340" w:type="dxa"/>
            <w:vAlign w:val="bottom"/>
          </w:tcPr>
          <w:p>
            <w:pPr>
              <w:jc w:val="center"/>
              <w:ind w:right="111"/>
              <w:spacing w:after="0"/>
              <w:rPr>
                <w:sz w:val="20"/>
                <w:szCs w:val="20"/>
                <w:color w:val="auto"/>
              </w:rPr>
            </w:pPr>
            <w:r>
              <w:rPr>
                <w:rFonts w:ascii="Arial" w:cs="Arial" w:eastAsia="Arial" w:hAnsi="Arial"/>
                <w:sz w:val="18"/>
                <w:szCs w:val="18"/>
                <w:color w:val="auto"/>
                <w:w w:val="95"/>
              </w:rPr>
              <w:t>Birgitte Volck, M.D., Ph.D.</w:t>
            </w:r>
          </w:p>
        </w:tc>
        <w:tc>
          <w:tcPr>
            <w:tcW w:w="450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60"/>
          </w:cols>
          <w:pgMar w:left="320" w:top="459" w:right="5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AUTHORIZED REPRESENTATIVE IN THE UNITED STATES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F-3 has been signed by the undersigned as the duly authorized representative in the United States of Ascendis Pharma A/S in the City of Palo Alto, State of California, on May 27,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Ascendis Pharma, Inc.</w:t>
      </w:r>
    </w:p>
    <w:p>
      <w:pPr>
        <w:spacing w:after="0" w:line="225"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T. Smith</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 Scott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-130175</wp:posOffset>
            </wp:positionV>
            <wp:extent cx="24599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Title:</w:t>
        <w:tab/>
        <w:t>Senior Vice President, Chief Financial Officer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020"/>
          </w:cols>
          <w:pgMar w:left="320" w:top="459" w:right="5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1885950</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ASCENDIS PHARMA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Dated as of</w:t>
            </w:r>
          </w:p>
        </w:tc>
        <w:tc>
          <w:tcPr>
            <w:tcW w:w="720" w:type="dxa"/>
            <w:vAlign w:val="bottom"/>
          </w:tcPr>
          <w:p>
            <w:pPr>
              <w:jc w:val="right"/>
              <w:spacing w:after="0"/>
              <w:rPr>
                <w:sz w:val="20"/>
                <w:szCs w:val="20"/>
                <w:color w:val="auto"/>
              </w:rPr>
            </w:pPr>
            <w:r>
              <w:rPr>
                <w:rFonts w:ascii="Arial" w:cs="Arial" w:eastAsia="Arial" w:hAnsi="Arial"/>
                <w:sz w:val="18"/>
                <w:szCs w:val="18"/>
                <w:color w:val="auto"/>
              </w:rPr>
              <w:t>,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231140</wp:posOffset>
            </wp:positionV>
            <wp:extent cx="1474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420" w:hanging="102"/>
        <w:spacing w:after="0"/>
        <w:tabs>
          <w:tab w:leader="none" w:pos="4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203200</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68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95"/>
        </w:trPr>
        <w:tc>
          <w:tcPr>
            <w:tcW w:w="10680" w:type="dxa"/>
            <w:vAlign w:val="bottom"/>
            <w:gridSpan w:val="2"/>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916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9160" w:type="dxa"/>
            <w:vAlign w:val="bottom"/>
          </w:tcPr>
          <w:p>
            <w:pPr>
              <w:ind w:left="220"/>
              <w:spacing w:after="0"/>
              <w:rPr>
                <w:sz w:val="20"/>
                <w:szCs w:val="20"/>
                <w:color w:val="auto"/>
              </w:rPr>
            </w:pPr>
            <w:r>
              <w:rPr>
                <w:rFonts w:ascii="Arial" w:cs="Arial" w:eastAsia="Arial" w:hAnsi="Arial"/>
                <w:sz w:val="18"/>
                <w:szCs w:val="18"/>
                <w:color w:val="auto"/>
              </w:rPr>
              <w:t>Other 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9160" w:type="dxa"/>
            <w:vAlign w:val="bottom"/>
          </w:tcPr>
          <w:p>
            <w:pPr>
              <w:ind w:left="220"/>
              <w:spacing w:after="0"/>
              <w:rPr>
                <w:sz w:val="20"/>
                <w:szCs w:val="20"/>
                <w:color w:val="auto"/>
              </w:rPr>
            </w:pPr>
            <w:r>
              <w:rPr>
                <w:rFonts w:ascii="Arial" w:cs="Arial" w:eastAsia="Arial" w:hAnsi="Arial"/>
                <w:sz w:val="18"/>
                <w:szCs w:val="18"/>
                <w:color w:val="auto"/>
              </w:rPr>
              <w:t>Incorporation by Reference of Trust Indenture 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9160" w:type="dxa"/>
            <w:vAlign w:val="bottom"/>
          </w:tcPr>
          <w:p>
            <w:pPr>
              <w:ind w:left="220"/>
              <w:spacing w:after="0"/>
              <w:rPr>
                <w:sz w:val="20"/>
                <w:szCs w:val="20"/>
                <w:color w:val="auto"/>
              </w:rPr>
            </w:pPr>
            <w:r>
              <w:rPr>
                <w:rFonts w:ascii="Arial" w:cs="Arial" w:eastAsia="Arial" w:hAnsi="Arial"/>
                <w:sz w:val="18"/>
                <w:szCs w:val="18"/>
                <w:color w:val="auto"/>
              </w:rPr>
              <w:t>Rules of Construction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0"/>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 THE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9160" w:type="dxa"/>
            <w:vAlign w:val="bottom"/>
          </w:tcPr>
          <w:p>
            <w:pPr>
              <w:ind w:left="220"/>
              <w:spacing w:after="0"/>
              <w:rPr>
                <w:sz w:val="20"/>
                <w:szCs w:val="20"/>
                <w:color w:val="auto"/>
              </w:rPr>
            </w:pPr>
            <w:r>
              <w:rPr>
                <w:rFonts w:ascii="Arial" w:cs="Arial" w:eastAsia="Arial" w:hAnsi="Arial"/>
                <w:sz w:val="18"/>
                <w:szCs w:val="18"/>
                <w:color w:val="auto"/>
              </w:rPr>
              <w:t>Issuable in Series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9160" w:type="dxa"/>
            <w:vAlign w:val="bottom"/>
          </w:tcPr>
          <w:p>
            <w:pPr>
              <w:ind w:left="220"/>
              <w:spacing w:after="0"/>
              <w:rPr>
                <w:sz w:val="20"/>
                <w:szCs w:val="20"/>
                <w:color w:val="auto"/>
              </w:rPr>
            </w:pPr>
            <w:r>
              <w:rPr>
                <w:rFonts w:ascii="Arial" w:cs="Arial" w:eastAsia="Arial" w:hAnsi="Arial"/>
                <w:sz w:val="18"/>
                <w:szCs w:val="18"/>
                <w:color w:val="auto"/>
              </w:rPr>
              <w:t>Establishment of Terms of Series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9160" w:type="dxa"/>
            <w:vAlign w:val="bottom"/>
          </w:tcPr>
          <w:p>
            <w:pPr>
              <w:ind w:left="220"/>
              <w:spacing w:after="0"/>
              <w:rPr>
                <w:sz w:val="20"/>
                <w:szCs w:val="20"/>
                <w:color w:val="auto"/>
              </w:rPr>
            </w:pPr>
            <w:r>
              <w:rPr>
                <w:rFonts w:ascii="Arial" w:cs="Arial" w:eastAsia="Arial" w:hAnsi="Arial"/>
                <w:sz w:val="18"/>
                <w:szCs w:val="18"/>
                <w:color w:val="auto"/>
              </w:rPr>
              <w:t>Execution and Authentication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9160" w:type="dxa"/>
            <w:vAlign w:val="bottom"/>
          </w:tcPr>
          <w:p>
            <w:pPr>
              <w:ind w:left="220"/>
              <w:spacing w:after="0"/>
              <w:rPr>
                <w:sz w:val="20"/>
                <w:szCs w:val="20"/>
                <w:color w:val="auto"/>
              </w:rPr>
            </w:pPr>
            <w:r>
              <w:rPr>
                <w:rFonts w:ascii="Arial" w:cs="Arial" w:eastAsia="Arial" w:hAnsi="Arial"/>
                <w:sz w:val="18"/>
                <w:szCs w:val="18"/>
                <w:color w:val="auto"/>
              </w:rPr>
              <w:t>Registrar and Paying Agent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9160" w:type="dxa"/>
            <w:vAlign w:val="bottom"/>
          </w:tcPr>
          <w:p>
            <w:pPr>
              <w:ind w:left="220"/>
              <w:spacing w:after="0"/>
              <w:rPr>
                <w:sz w:val="20"/>
                <w:szCs w:val="20"/>
                <w:color w:val="auto"/>
              </w:rPr>
            </w:pPr>
            <w:r>
              <w:rPr>
                <w:rFonts w:ascii="Arial" w:cs="Arial" w:eastAsia="Arial" w:hAnsi="Arial"/>
                <w:sz w:val="18"/>
                <w:szCs w:val="18"/>
                <w:color w:val="auto"/>
              </w:rPr>
              <w:t>Paying Agent to Hold Money in Trust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9160" w:type="dxa"/>
            <w:vAlign w:val="bottom"/>
          </w:tcPr>
          <w:p>
            <w:pPr>
              <w:ind w:left="220"/>
              <w:spacing w:after="0"/>
              <w:rPr>
                <w:sz w:val="20"/>
                <w:szCs w:val="20"/>
                <w:color w:val="auto"/>
              </w:rPr>
            </w:pPr>
            <w:r>
              <w:rPr>
                <w:rFonts w:ascii="Arial" w:cs="Arial" w:eastAsia="Arial" w:hAnsi="Arial"/>
                <w:sz w:val="18"/>
                <w:szCs w:val="18"/>
                <w:color w:val="auto"/>
              </w:rPr>
              <w:t>Securityholder Lists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9160" w:type="dxa"/>
            <w:vAlign w:val="bottom"/>
          </w:tcPr>
          <w:p>
            <w:pPr>
              <w:ind w:left="220"/>
              <w:spacing w:after="0"/>
              <w:rPr>
                <w:sz w:val="20"/>
                <w:szCs w:val="20"/>
                <w:color w:val="auto"/>
              </w:rPr>
            </w:pPr>
            <w:r>
              <w:rPr>
                <w:rFonts w:ascii="Arial" w:cs="Arial" w:eastAsia="Arial" w:hAnsi="Arial"/>
                <w:sz w:val="18"/>
                <w:szCs w:val="18"/>
                <w:color w:val="auto"/>
              </w:rPr>
              <w:t>Transfer and Exchange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9160" w:type="dxa"/>
            <w:vAlign w:val="bottom"/>
          </w:tcPr>
          <w:p>
            <w:pPr>
              <w:ind w:left="220"/>
              <w:spacing w:after="0"/>
              <w:rPr>
                <w:sz w:val="20"/>
                <w:szCs w:val="20"/>
                <w:color w:val="auto"/>
              </w:rPr>
            </w:pPr>
            <w:r>
              <w:rPr>
                <w:rFonts w:ascii="Arial" w:cs="Arial" w:eastAsia="Arial" w:hAnsi="Arial"/>
                <w:sz w:val="18"/>
                <w:szCs w:val="18"/>
                <w:color w:val="auto"/>
              </w:rPr>
              <w:t>Mutilated, Destroyed, Lost and Stolen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9160" w:type="dxa"/>
            <w:vAlign w:val="bottom"/>
          </w:tcPr>
          <w:p>
            <w:pPr>
              <w:ind w:left="220"/>
              <w:spacing w:after="0"/>
              <w:rPr>
                <w:sz w:val="20"/>
                <w:szCs w:val="20"/>
                <w:color w:val="auto"/>
              </w:rPr>
            </w:pPr>
            <w:r>
              <w:rPr>
                <w:rFonts w:ascii="Arial" w:cs="Arial" w:eastAsia="Arial" w:hAnsi="Arial"/>
                <w:sz w:val="18"/>
                <w:szCs w:val="18"/>
                <w:color w:val="auto"/>
              </w:rPr>
              <w:t>Outstanding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9160" w:type="dxa"/>
            <w:vAlign w:val="bottom"/>
          </w:tcPr>
          <w:p>
            <w:pPr>
              <w:ind w:left="220"/>
              <w:spacing w:after="0"/>
              <w:rPr>
                <w:sz w:val="20"/>
                <w:szCs w:val="20"/>
                <w:color w:val="auto"/>
              </w:rPr>
            </w:pPr>
            <w:r>
              <w:rPr>
                <w:rFonts w:ascii="Arial" w:cs="Arial" w:eastAsia="Arial" w:hAnsi="Arial"/>
                <w:sz w:val="18"/>
                <w:szCs w:val="18"/>
                <w:color w:val="auto"/>
              </w:rPr>
              <w:t>Treasury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9160" w:type="dxa"/>
            <w:vAlign w:val="bottom"/>
          </w:tcPr>
          <w:p>
            <w:pPr>
              <w:ind w:left="220"/>
              <w:spacing w:after="0"/>
              <w:rPr>
                <w:sz w:val="20"/>
                <w:szCs w:val="20"/>
                <w:color w:val="auto"/>
              </w:rPr>
            </w:pPr>
            <w:r>
              <w:rPr>
                <w:rFonts w:ascii="Arial" w:cs="Arial" w:eastAsia="Arial" w:hAnsi="Arial"/>
                <w:sz w:val="18"/>
                <w:szCs w:val="18"/>
                <w:color w:val="auto"/>
              </w:rPr>
              <w:t>Temporary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2.12.</w:t>
            </w:r>
          </w:p>
        </w:tc>
        <w:tc>
          <w:tcPr>
            <w:tcW w:w="9160" w:type="dxa"/>
            <w:vAlign w:val="bottom"/>
          </w:tcPr>
          <w:p>
            <w:pPr>
              <w:ind w:left="220"/>
              <w:spacing w:after="0"/>
              <w:rPr>
                <w:sz w:val="20"/>
                <w:szCs w:val="20"/>
                <w:color w:val="auto"/>
              </w:rPr>
            </w:pPr>
            <w:r>
              <w:rPr>
                <w:rFonts w:ascii="Arial" w:cs="Arial" w:eastAsia="Arial" w:hAnsi="Arial"/>
                <w:sz w:val="18"/>
                <w:szCs w:val="18"/>
                <w:color w:val="auto"/>
              </w:rPr>
              <w:t>Cancellation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2.13.</w:t>
            </w:r>
          </w:p>
        </w:tc>
        <w:tc>
          <w:tcPr>
            <w:tcW w:w="9160" w:type="dxa"/>
            <w:vAlign w:val="bottom"/>
          </w:tcPr>
          <w:p>
            <w:pPr>
              <w:ind w:left="220"/>
              <w:spacing w:after="0"/>
              <w:rPr>
                <w:sz w:val="20"/>
                <w:szCs w:val="20"/>
                <w:color w:val="auto"/>
              </w:rPr>
            </w:pPr>
            <w:r>
              <w:rPr>
                <w:rFonts w:ascii="Arial" w:cs="Arial" w:eastAsia="Arial" w:hAnsi="Arial"/>
                <w:sz w:val="18"/>
                <w:szCs w:val="18"/>
                <w:color w:val="auto"/>
              </w:rPr>
              <w:t>Defaulted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2.14.</w:t>
            </w:r>
          </w:p>
        </w:tc>
        <w:tc>
          <w:tcPr>
            <w:tcW w:w="9160" w:type="dxa"/>
            <w:vAlign w:val="bottom"/>
          </w:tcPr>
          <w:p>
            <w:pPr>
              <w:ind w:left="220"/>
              <w:spacing w:after="0"/>
              <w:rPr>
                <w:sz w:val="20"/>
                <w:szCs w:val="20"/>
                <w:color w:val="auto"/>
              </w:rPr>
            </w:pPr>
            <w:r>
              <w:rPr>
                <w:rFonts w:ascii="Arial" w:cs="Arial" w:eastAsia="Arial" w:hAnsi="Arial"/>
                <w:sz w:val="18"/>
                <w:szCs w:val="18"/>
                <w:color w:val="auto"/>
              </w:rPr>
              <w:t>Global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2.15.</w:t>
            </w:r>
          </w:p>
        </w:tc>
        <w:tc>
          <w:tcPr>
            <w:tcW w:w="9160" w:type="dxa"/>
            <w:vAlign w:val="bottom"/>
          </w:tcPr>
          <w:p>
            <w:pPr>
              <w:ind w:left="220"/>
              <w:spacing w:after="0"/>
              <w:rPr>
                <w:sz w:val="20"/>
                <w:szCs w:val="20"/>
                <w:color w:val="auto"/>
              </w:rPr>
            </w:pPr>
            <w:r>
              <w:rPr>
                <w:rFonts w:ascii="Arial" w:cs="Arial" w:eastAsia="Arial" w:hAnsi="Arial"/>
                <w:sz w:val="18"/>
                <w:szCs w:val="18"/>
                <w:color w:val="auto"/>
              </w:rPr>
              <w:t>CUSIP Numbers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2.16</w:t>
            </w:r>
          </w:p>
        </w:tc>
        <w:tc>
          <w:tcPr>
            <w:tcW w:w="9160" w:type="dxa"/>
            <w:vAlign w:val="bottom"/>
          </w:tcPr>
          <w:p>
            <w:pPr>
              <w:ind w:left="220"/>
              <w:spacing w:after="0"/>
              <w:rPr>
                <w:sz w:val="20"/>
                <w:szCs w:val="20"/>
                <w:color w:val="auto"/>
              </w:rPr>
            </w:pPr>
            <w:r>
              <w:rPr>
                <w:rFonts w:ascii="Arial" w:cs="Arial" w:eastAsia="Arial" w:hAnsi="Arial"/>
                <w:sz w:val="18"/>
                <w:szCs w:val="18"/>
                <w:color w:val="auto"/>
              </w:rPr>
              <w:t>Trustee Not Responsible for Securities Laws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10"/>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III. REDEMPTION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9160" w:type="dxa"/>
            <w:vAlign w:val="bottom"/>
          </w:tcPr>
          <w:p>
            <w:pPr>
              <w:ind w:left="220"/>
              <w:spacing w:after="0"/>
              <w:rPr>
                <w:sz w:val="20"/>
                <w:szCs w:val="20"/>
                <w:color w:val="auto"/>
              </w:rPr>
            </w:pPr>
            <w:r>
              <w:rPr>
                <w:rFonts w:ascii="Arial" w:cs="Arial" w:eastAsia="Arial" w:hAnsi="Arial"/>
                <w:sz w:val="18"/>
                <w:szCs w:val="18"/>
                <w:color w:val="auto"/>
              </w:rPr>
              <w:t>Notice to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9160" w:type="dxa"/>
            <w:vAlign w:val="bottom"/>
          </w:tcPr>
          <w:p>
            <w:pPr>
              <w:ind w:left="220"/>
              <w:spacing w:after="0"/>
              <w:rPr>
                <w:sz w:val="20"/>
                <w:szCs w:val="20"/>
                <w:color w:val="auto"/>
              </w:rPr>
            </w:pPr>
            <w:r>
              <w:rPr>
                <w:rFonts w:ascii="Arial" w:cs="Arial" w:eastAsia="Arial" w:hAnsi="Arial"/>
                <w:sz w:val="18"/>
                <w:szCs w:val="18"/>
                <w:color w:val="auto"/>
              </w:rPr>
              <w:t>Selection of Securities to be Redeemed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9160" w:type="dxa"/>
            <w:vAlign w:val="bottom"/>
          </w:tcPr>
          <w:p>
            <w:pPr>
              <w:ind w:left="220"/>
              <w:spacing w:after="0"/>
              <w:rPr>
                <w:sz w:val="20"/>
                <w:szCs w:val="20"/>
                <w:color w:val="auto"/>
              </w:rPr>
            </w:pPr>
            <w:r>
              <w:rPr>
                <w:rFonts w:ascii="Arial" w:cs="Arial" w:eastAsia="Arial" w:hAnsi="Arial"/>
                <w:sz w:val="18"/>
                <w:szCs w:val="18"/>
                <w:color w:val="auto"/>
              </w:rPr>
              <w:t>Notice of Redemption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9160" w:type="dxa"/>
            <w:vAlign w:val="bottom"/>
          </w:tcPr>
          <w:p>
            <w:pPr>
              <w:ind w:left="220"/>
              <w:spacing w:after="0"/>
              <w:rPr>
                <w:sz w:val="20"/>
                <w:szCs w:val="20"/>
                <w:color w:val="auto"/>
              </w:rPr>
            </w:pPr>
            <w:r>
              <w:rPr>
                <w:rFonts w:ascii="Arial" w:cs="Arial" w:eastAsia="Arial" w:hAnsi="Arial"/>
                <w:sz w:val="18"/>
                <w:szCs w:val="18"/>
                <w:color w:val="auto"/>
              </w:rPr>
              <w:t>Effect of Notice of Redemption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9160" w:type="dxa"/>
            <w:vAlign w:val="bottom"/>
          </w:tcPr>
          <w:p>
            <w:pPr>
              <w:ind w:left="220"/>
              <w:spacing w:after="0"/>
              <w:rPr>
                <w:sz w:val="20"/>
                <w:szCs w:val="20"/>
                <w:color w:val="auto"/>
              </w:rPr>
            </w:pPr>
            <w:r>
              <w:rPr>
                <w:rFonts w:ascii="Arial" w:cs="Arial" w:eastAsia="Arial" w:hAnsi="Arial"/>
                <w:sz w:val="18"/>
                <w:szCs w:val="18"/>
                <w:color w:val="auto"/>
              </w:rPr>
              <w:t>Deposit of Redemption Price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9160" w:type="dxa"/>
            <w:vAlign w:val="bottom"/>
          </w:tcPr>
          <w:p>
            <w:pPr>
              <w:ind w:left="220"/>
              <w:spacing w:after="0"/>
              <w:rPr>
                <w:sz w:val="20"/>
                <w:szCs w:val="20"/>
                <w:color w:val="auto"/>
              </w:rPr>
            </w:pPr>
            <w:r>
              <w:rPr>
                <w:rFonts w:ascii="Arial" w:cs="Arial" w:eastAsia="Arial" w:hAnsi="Arial"/>
                <w:sz w:val="18"/>
                <w:szCs w:val="18"/>
                <w:color w:val="auto"/>
              </w:rPr>
              <w:t>Securities Redeemed in Part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IV. COVENANTS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9160" w:type="dxa"/>
            <w:vAlign w:val="bottom"/>
          </w:tcPr>
          <w:p>
            <w:pPr>
              <w:ind w:left="220"/>
              <w:spacing w:after="0"/>
              <w:rPr>
                <w:sz w:val="20"/>
                <w:szCs w:val="20"/>
                <w:color w:val="auto"/>
              </w:rPr>
            </w:pPr>
            <w:r>
              <w:rPr>
                <w:rFonts w:ascii="Arial" w:cs="Arial" w:eastAsia="Arial" w:hAnsi="Arial"/>
                <w:sz w:val="18"/>
                <w:szCs w:val="18"/>
                <w:color w:val="auto"/>
              </w:rPr>
              <w:t>Payment of Principal and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9160" w:type="dxa"/>
            <w:vAlign w:val="bottom"/>
          </w:tcPr>
          <w:p>
            <w:pPr>
              <w:ind w:left="220"/>
              <w:spacing w:after="0"/>
              <w:rPr>
                <w:sz w:val="20"/>
                <w:szCs w:val="20"/>
                <w:color w:val="auto"/>
              </w:rPr>
            </w:pPr>
            <w:r>
              <w:rPr>
                <w:rFonts w:ascii="Arial" w:cs="Arial" w:eastAsia="Arial" w:hAnsi="Arial"/>
                <w:sz w:val="18"/>
                <w:szCs w:val="18"/>
                <w:color w:val="auto"/>
              </w:rPr>
              <w:t>SEC Reports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9160" w:type="dxa"/>
            <w:vAlign w:val="bottom"/>
          </w:tcPr>
          <w:p>
            <w:pPr>
              <w:ind w:left="220"/>
              <w:spacing w:after="0"/>
              <w:rPr>
                <w:sz w:val="20"/>
                <w:szCs w:val="20"/>
                <w:color w:val="auto"/>
              </w:rPr>
            </w:pPr>
            <w:r>
              <w:rPr>
                <w:rFonts w:ascii="Arial" w:cs="Arial" w:eastAsia="Arial" w:hAnsi="Arial"/>
                <w:sz w:val="18"/>
                <w:szCs w:val="18"/>
                <w:color w:val="auto"/>
              </w:rPr>
              <w:t>Compliance Certificate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9160" w:type="dxa"/>
            <w:vAlign w:val="bottom"/>
          </w:tcPr>
          <w:p>
            <w:pPr>
              <w:ind w:left="220"/>
              <w:spacing w:after="0"/>
              <w:rPr>
                <w:sz w:val="20"/>
                <w:szCs w:val="20"/>
                <w:color w:val="auto"/>
              </w:rPr>
            </w:pPr>
            <w:r>
              <w:rPr>
                <w:rFonts w:ascii="Arial" w:cs="Arial" w:eastAsia="Arial" w:hAnsi="Arial"/>
                <w:sz w:val="18"/>
                <w:szCs w:val="18"/>
                <w:color w:val="auto"/>
              </w:rPr>
              <w:t>Stay, Extension and Usury Laws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0"/>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 SUCCESSORS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9160" w:type="dxa"/>
            <w:vAlign w:val="bottom"/>
          </w:tcPr>
          <w:p>
            <w:pPr>
              <w:ind w:left="220"/>
              <w:spacing w:after="0"/>
              <w:rPr>
                <w:sz w:val="20"/>
                <w:szCs w:val="20"/>
                <w:color w:val="auto"/>
              </w:rPr>
            </w:pPr>
            <w:r>
              <w:rPr>
                <w:rFonts w:ascii="Arial" w:cs="Arial" w:eastAsia="Arial" w:hAnsi="Arial"/>
                <w:sz w:val="18"/>
                <w:szCs w:val="18"/>
                <w:color w:val="auto"/>
              </w:rPr>
              <w:t>When Company May Merge,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9160" w:type="dxa"/>
            <w:vAlign w:val="bottom"/>
          </w:tcPr>
          <w:p>
            <w:pPr>
              <w:ind w:left="220"/>
              <w:spacing w:after="0"/>
              <w:rPr>
                <w:sz w:val="20"/>
                <w:szCs w:val="20"/>
                <w:color w:val="auto"/>
              </w:rPr>
            </w:pPr>
            <w:r>
              <w:rPr>
                <w:rFonts w:ascii="Arial" w:cs="Arial" w:eastAsia="Arial" w:hAnsi="Arial"/>
                <w:sz w:val="18"/>
                <w:szCs w:val="18"/>
                <w:color w:val="auto"/>
              </w:rPr>
              <w:t>Successor Corporation Substituted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ARTICLE VI. DEFAULTS AND REMEDIES</w:t>
            </w:r>
          </w:p>
        </w:tc>
        <w:tc>
          <w:tcPr>
            <w:tcW w:w="2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708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2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7080" w:type="dxa"/>
            <w:vAlign w:val="bottom"/>
          </w:tcPr>
          <w:p>
            <w:pPr>
              <w:ind w:left="220"/>
              <w:spacing w:after="0"/>
              <w:rPr>
                <w:sz w:val="20"/>
                <w:szCs w:val="20"/>
                <w:color w:val="auto"/>
              </w:rPr>
            </w:pPr>
            <w:r>
              <w:rPr>
                <w:rFonts w:ascii="Arial" w:cs="Arial" w:eastAsia="Arial" w:hAnsi="Arial"/>
                <w:sz w:val="18"/>
                <w:szCs w:val="18"/>
                <w:color w:val="auto"/>
              </w:rPr>
              <w:t>Acceleration of Maturity; Rescission and Annulment</w:t>
            </w:r>
          </w:p>
        </w:tc>
        <w:tc>
          <w:tcPr>
            <w:tcW w:w="2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7080" w:type="dxa"/>
            <w:vAlign w:val="bottom"/>
          </w:tcPr>
          <w:p>
            <w:pPr>
              <w:ind w:left="220"/>
              <w:spacing w:after="0"/>
              <w:rPr>
                <w:sz w:val="20"/>
                <w:szCs w:val="20"/>
                <w:color w:val="auto"/>
              </w:rPr>
            </w:pPr>
            <w:r>
              <w:rPr>
                <w:rFonts w:ascii="Arial" w:cs="Arial" w:eastAsia="Arial" w:hAnsi="Arial"/>
                <w:sz w:val="18"/>
                <w:szCs w:val="18"/>
                <w:color w:val="auto"/>
              </w:rPr>
              <w:t>Collection of Indebtedness and Suits for Enforcement by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7080" w:type="dxa"/>
            <w:vAlign w:val="bottom"/>
          </w:tcPr>
          <w:p>
            <w:pPr>
              <w:ind w:left="220"/>
              <w:spacing w:after="0"/>
              <w:rPr>
                <w:sz w:val="20"/>
                <w:szCs w:val="20"/>
                <w:color w:val="auto"/>
              </w:rPr>
            </w:pPr>
            <w:r>
              <w:rPr>
                <w:rFonts w:ascii="Arial" w:cs="Arial" w:eastAsia="Arial" w:hAnsi="Arial"/>
                <w:sz w:val="18"/>
                <w:szCs w:val="18"/>
                <w:color w:val="auto"/>
              </w:rPr>
              <w:t>Trustee May File Proofs of Claim</w:t>
            </w:r>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7080" w:type="dxa"/>
            <w:vAlign w:val="bottom"/>
          </w:tcPr>
          <w:p>
            <w:pPr>
              <w:ind w:left="220"/>
              <w:spacing w:after="0"/>
              <w:rPr>
                <w:sz w:val="20"/>
                <w:szCs w:val="20"/>
                <w:color w:val="auto"/>
              </w:rPr>
            </w:pPr>
            <w:r>
              <w:rPr>
                <w:rFonts w:ascii="Arial" w:cs="Arial" w:eastAsia="Arial" w:hAnsi="Arial"/>
                <w:sz w:val="18"/>
                <w:szCs w:val="18"/>
                <w:color w:val="auto"/>
              </w:rPr>
              <w:t>Trustee May Enforce Claims Without Possession of Securities</w:t>
            </w:r>
          </w:p>
        </w:tc>
        <w:tc>
          <w:tcPr>
            <w:tcW w:w="2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7080" w:type="dxa"/>
            <w:vAlign w:val="bottom"/>
          </w:tcPr>
          <w:p>
            <w:pPr>
              <w:ind w:left="220"/>
              <w:spacing w:after="0"/>
              <w:rPr>
                <w:sz w:val="20"/>
                <w:szCs w:val="20"/>
                <w:color w:val="auto"/>
              </w:rPr>
            </w:pPr>
            <w:r>
              <w:rPr>
                <w:rFonts w:ascii="Arial" w:cs="Arial" w:eastAsia="Arial" w:hAnsi="Arial"/>
                <w:sz w:val="18"/>
                <w:szCs w:val="18"/>
                <w:color w:val="auto"/>
              </w:rPr>
              <w:t>Application of Money Collected</w:t>
            </w:r>
          </w:p>
        </w:tc>
        <w:tc>
          <w:tcPr>
            <w:tcW w:w="2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7080" w:type="dxa"/>
            <w:vAlign w:val="bottom"/>
          </w:tcPr>
          <w:p>
            <w:pPr>
              <w:ind w:left="220"/>
              <w:spacing w:after="0"/>
              <w:rPr>
                <w:sz w:val="20"/>
                <w:szCs w:val="20"/>
                <w:color w:val="auto"/>
              </w:rPr>
            </w:pPr>
            <w:r>
              <w:rPr>
                <w:rFonts w:ascii="Arial" w:cs="Arial" w:eastAsia="Arial" w:hAnsi="Arial"/>
                <w:sz w:val="18"/>
                <w:szCs w:val="18"/>
                <w:color w:val="auto"/>
              </w:rPr>
              <w:t>Limitation on Suits</w:t>
            </w:r>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6.8.</w:t>
            </w:r>
          </w:p>
        </w:tc>
        <w:tc>
          <w:tcPr>
            <w:tcW w:w="7080" w:type="dxa"/>
            <w:vAlign w:val="bottom"/>
          </w:tcPr>
          <w:p>
            <w:pPr>
              <w:ind w:left="220"/>
              <w:spacing w:after="0"/>
              <w:rPr>
                <w:sz w:val="20"/>
                <w:szCs w:val="20"/>
                <w:color w:val="auto"/>
              </w:rPr>
            </w:pPr>
            <w:r>
              <w:rPr>
                <w:rFonts w:ascii="Arial" w:cs="Arial" w:eastAsia="Arial" w:hAnsi="Arial"/>
                <w:sz w:val="18"/>
                <w:szCs w:val="18"/>
                <w:color w:val="auto"/>
              </w:rPr>
              <w:t>Unconditional Right of Holders to Receive Principal and Interest</w:t>
            </w:r>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6.9.</w:t>
            </w:r>
          </w:p>
        </w:tc>
        <w:tc>
          <w:tcPr>
            <w:tcW w:w="7080" w:type="dxa"/>
            <w:vAlign w:val="bottom"/>
          </w:tcPr>
          <w:p>
            <w:pPr>
              <w:ind w:left="220"/>
              <w:spacing w:after="0"/>
              <w:rPr>
                <w:sz w:val="20"/>
                <w:szCs w:val="20"/>
                <w:color w:val="auto"/>
              </w:rPr>
            </w:pPr>
            <w:r>
              <w:rPr>
                <w:rFonts w:ascii="Arial" w:cs="Arial" w:eastAsia="Arial" w:hAnsi="Arial"/>
                <w:sz w:val="18"/>
                <w:szCs w:val="18"/>
                <w:color w:val="auto"/>
              </w:rPr>
              <w:t>Restoration of Rights and Remedies</w:t>
            </w:r>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7080" w:type="dxa"/>
            <w:vAlign w:val="bottom"/>
          </w:tcPr>
          <w:p>
            <w:pPr>
              <w:ind w:left="220"/>
              <w:spacing w:after="0"/>
              <w:rPr>
                <w:sz w:val="20"/>
                <w:szCs w:val="20"/>
                <w:color w:val="auto"/>
              </w:rPr>
            </w:pPr>
            <w:r>
              <w:rPr>
                <w:rFonts w:ascii="Arial" w:cs="Arial" w:eastAsia="Arial" w:hAnsi="Arial"/>
                <w:sz w:val="18"/>
                <w:szCs w:val="18"/>
                <w:color w:val="auto"/>
              </w:rPr>
              <w:t>Rights and Remedies Cumulative</w:t>
            </w:r>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7080" w:type="dxa"/>
            <w:vAlign w:val="bottom"/>
          </w:tcPr>
          <w:p>
            <w:pPr>
              <w:ind w:left="220"/>
              <w:spacing w:after="0"/>
              <w:rPr>
                <w:sz w:val="20"/>
                <w:szCs w:val="20"/>
                <w:color w:val="auto"/>
              </w:rPr>
            </w:pPr>
            <w:r>
              <w:rPr>
                <w:rFonts w:ascii="Arial" w:cs="Arial" w:eastAsia="Arial" w:hAnsi="Arial"/>
                <w:sz w:val="18"/>
                <w:szCs w:val="18"/>
                <w:color w:val="auto"/>
              </w:rPr>
              <w:t>Delay or Omission Not Waiver</w:t>
            </w:r>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7080" w:type="dxa"/>
            <w:vAlign w:val="bottom"/>
          </w:tcPr>
          <w:p>
            <w:pPr>
              <w:ind w:left="220"/>
              <w:spacing w:after="0"/>
              <w:rPr>
                <w:sz w:val="20"/>
                <w:szCs w:val="20"/>
                <w:color w:val="auto"/>
              </w:rPr>
            </w:pPr>
            <w:r>
              <w:rPr>
                <w:rFonts w:ascii="Arial" w:cs="Arial" w:eastAsia="Arial" w:hAnsi="Arial"/>
                <w:sz w:val="18"/>
                <w:szCs w:val="18"/>
                <w:color w:val="auto"/>
              </w:rPr>
              <w:t>Control by Holders</w:t>
            </w:r>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7080" w:type="dxa"/>
            <w:vAlign w:val="bottom"/>
          </w:tcPr>
          <w:p>
            <w:pPr>
              <w:ind w:left="220"/>
              <w:spacing w:after="0"/>
              <w:rPr>
                <w:sz w:val="20"/>
                <w:szCs w:val="20"/>
                <w:color w:val="auto"/>
              </w:rPr>
            </w:pPr>
            <w:r>
              <w:rPr>
                <w:rFonts w:ascii="Arial" w:cs="Arial" w:eastAsia="Arial" w:hAnsi="Arial"/>
                <w:sz w:val="18"/>
                <w:szCs w:val="18"/>
                <w:color w:val="auto"/>
              </w:rPr>
              <w:t>Waiver of Past Defaults</w:t>
            </w:r>
          </w:p>
        </w:tc>
        <w:tc>
          <w:tcPr>
            <w:tcW w:w="2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6.14.</w:t>
            </w:r>
          </w:p>
        </w:tc>
        <w:tc>
          <w:tcPr>
            <w:tcW w:w="7080" w:type="dxa"/>
            <w:vAlign w:val="bottom"/>
          </w:tcPr>
          <w:p>
            <w:pPr>
              <w:ind w:left="220"/>
              <w:spacing w:after="0"/>
              <w:rPr>
                <w:sz w:val="20"/>
                <w:szCs w:val="20"/>
                <w:color w:val="auto"/>
              </w:rPr>
            </w:pPr>
            <w:r>
              <w:rPr>
                <w:rFonts w:ascii="Arial" w:cs="Arial" w:eastAsia="Arial" w:hAnsi="Arial"/>
                <w:sz w:val="18"/>
                <w:szCs w:val="18"/>
                <w:color w:val="auto"/>
              </w:rPr>
              <w:t>Undertaking for Costs</w:t>
            </w:r>
          </w:p>
        </w:tc>
        <w:tc>
          <w:tcPr>
            <w:tcW w:w="2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0"/>
        </w:trPr>
        <w:tc>
          <w:tcPr>
            <w:tcW w:w="8600" w:type="dxa"/>
            <w:vAlign w:val="bottom"/>
            <w:gridSpan w:val="2"/>
          </w:tcPr>
          <w:p>
            <w:pPr>
              <w:spacing w:after="0"/>
              <w:rPr>
                <w:sz w:val="20"/>
                <w:szCs w:val="20"/>
                <w:color w:val="auto"/>
              </w:rPr>
            </w:pPr>
            <w:r>
              <w:rPr>
                <w:rFonts w:ascii="Arial" w:cs="Arial" w:eastAsia="Arial" w:hAnsi="Arial"/>
                <w:sz w:val="18"/>
                <w:szCs w:val="18"/>
                <w:color w:val="auto"/>
              </w:rPr>
              <w:t>ARTICLE VII.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7080" w:type="dxa"/>
            <w:vAlign w:val="bottom"/>
          </w:tcPr>
          <w:p>
            <w:pPr>
              <w:ind w:left="220"/>
              <w:spacing w:after="0"/>
              <w:rPr>
                <w:sz w:val="20"/>
                <w:szCs w:val="20"/>
                <w:color w:val="auto"/>
              </w:rPr>
            </w:pPr>
            <w:r>
              <w:rPr>
                <w:rFonts w:ascii="Arial" w:cs="Arial" w:eastAsia="Arial" w:hAnsi="Arial"/>
                <w:sz w:val="18"/>
                <w:szCs w:val="18"/>
                <w:color w:val="auto"/>
              </w:rPr>
              <w:t>Duties of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7080" w:type="dxa"/>
            <w:vAlign w:val="bottom"/>
          </w:tcPr>
          <w:p>
            <w:pPr>
              <w:ind w:left="220"/>
              <w:spacing w:after="0"/>
              <w:rPr>
                <w:sz w:val="20"/>
                <w:szCs w:val="20"/>
                <w:color w:val="auto"/>
              </w:rPr>
            </w:pPr>
            <w:r>
              <w:rPr>
                <w:rFonts w:ascii="Arial" w:cs="Arial" w:eastAsia="Arial" w:hAnsi="Arial"/>
                <w:sz w:val="18"/>
                <w:szCs w:val="18"/>
                <w:color w:val="auto"/>
              </w:rPr>
              <w:t>Rights of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7080" w:type="dxa"/>
            <w:vAlign w:val="bottom"/>
          </w:tcPr>
          <w:p>
            <w:pPr>
              <w:ind w:left="220"/>
              <w:spacing w:after="0"/>
              <w:rPr>
                <w:sz w:val="20"/>
                <w:szCs w:val="20"/>
                <w:color w:val="auto"/>
              </w:rPr>
            </w:pPr>
            <w:r>
              <w:rPr>
                <w:rFonts w:ascii="Arial" w:cs="Arial" w:eastAsia="Arial" w:hAnsi="Arial"/>
                <w:sz w:val="18"/>
                <w:szCs w:val="18"/>
                <w:color w:val="auto"/>
              </w:rPr>
              <w:t>Individual Rights of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7080" w:type="dxa"/>
            <w:vAlign w:val="bottom"/>
          </w:tcPr>
          <w:p>
            <w:pPr>
              <w:ind w:left="220"/>
              <w:spacing w:after="0"/>
              <w:rPr>
                <w:sz w:val="20"/>
                <w:szCs w:val="20"/>
                <w:color w:val="auto"/>
              </w:rPr>
            </w:pPr>
            <w:r>
              <w:rPr>
                <w:rFonts w:ascii="Arial" w:cs="Arial" w:eastAsia="Arial" w:hAnsi="Arial"/>
                <w:sz w:val="18"/>
                <w:szCs w:val="18"/>
                <w:color w:val="auto"/>
              </w:rPr>
              <w:t>Trustee’s Disclaimer</w:t>
            </w:r>
          </w:p>
        </w:tc>
        <w:tc>
          <w:tcPr>
            <w:tcW w:w="2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7080" w:type="dxa"/>
            <w:vAlign w:val="bottom"/>
          </w:tcPr>
          <w:p>
            <w:pPr>
              <w:ind w:left="220"/>
              <w:spacing w:after="0"/>
              <w:rPr>
                <w:sz w:val="20"/>
                <w:szCs w:val="20"/>
                <w:color w:val="auto"/>
              </w:rPr>
            </w:pPr>
            <w:r>
              <w:rPr>
                <w:rFonts w:ascii="Arial" w:cs="Arial" w:eastAsia="Arial" w:hAnsi="Arial"/>
                <w:sz w:val="18"/>
                <w:szCs w:val="18"/>
                <w:color w:val="auto"/>
              </w:rPr>
              <w:t>Notice of Defaults</w:t>
            </w:r>
          </w:p>
        </w:tc>
        <w:tc>
          <w:tcPr>
            <w:tcW w:w="2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7080" w:type="dxa"/>
            <w:vAlign w:val="bottom"/>
          </w:tcPr>
          <w:p>
            <w:pPr>
              <w:ind w:left="220"/>
              <w:spacing w:after="0"/>
              <w:rPr>
                <w:sz w:val="20"/>
                <w:szCs w:val="20"/>
                <w:color w:val="auto"/>
              </w:rPr>
            </w:pPr>
            <w:r>
              <w:rPr>
                <w:rFonts w:ascii="Arial" w:cs="Arial" w:eastAsia="Arial" w:hAnsi="Arial"/>
                <w:sz w:val="18"/>
                <w:szCs w:val="18"/>
                <w:color w:val="auto"/>
              </w:rPr>
              <w:t>Reports by Trustee to Holders</w:t>
            </w:r>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7080" w:type="dxa"/>
            <w:vAlign w:val="bottom"/>
          </w:tcPr>
          <w:p>
            <w:pPr>
              <w:ind w:left="220"/>
              <w:spacing w:after="0"/>
              <w:rPr>
                <w:sz w:val="20"/>
                <w:szCs w:val="20"/>
                <w:color w:val="auto"/>
              </w:rPr>
            </w:pPr>
            <w:r>
              <w:rPr>
                <w:rFonts w:ascii="Arial" w:cs="Arial" w:eastAsia="Arial" w:hAnsi="Arial"/>
                <w:sz w:val="18"/>
                <w:szCs w:val="18"/>
                <w:color w:val="auto"/>
              </w:rPr>
              <w:t>Compensation and Indemnity</w:t>
            </w:r>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7080" w:type="dxa"/>
            <w:vAlign w:val="bottom"/>
          </w:tcPr>
          <w:p>
            <w:pPr>
              <w:ind w:left="220"/>
              <w:spacing w:after="0"/>
              <w:rPr>
                <w:sz w:val="20"/>
                <w:szCs w:val="20"/>
                <w:color w:val="auto"/>
              </w:rPr>
            </w:pPr>
            <w:r>
              <w:rPr>
                <w:rFonts w:ascii="Arial" w:cs="Arial" w:eastAsia="Arial" w:hAnsi="Arial"/>
                <w:sz w:val="18"/>
                <w:szCs w:val="18"/>
                <w:color w:val="auto"/>
              </w:rPr>
              <w:t>Replacement of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7.9.</w:t>
            </w:r>
          </w:p>
        </w:tc>
        <w:tc>
          <w:tcPr>
            <w:tcW w:w="7080" w:type="dxa"/>
            <w:vAlign w:val="bottom"/>
          </w:tcPr>
          <w:p>
            <w:pPr>
              <w:ind w:left="220"/>
              <w:spacing w:after="0"/>
              <w:rPr>
                <w:sz w:val="20"/>
                <w:szCs w:val="20"/>
                <w:color w:val="auto"/>
              </w:rPr>
            </w:pPr>
            <w:r>
              <w:rPr>
                <w:rFonts w:ascii="Arial" w:cs="Arial" w:eastAsia="Arial" w:hAnsi="Arial"/>
                <w:sz w:val="18"/>
                <w:szCs w:val="18"/>
                <w:color w:val="auto"/>
              </w:rPr>
              <w:t>Successor Trustee by Merger, Etc.</w:t>
            </w: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7080" w:type="dxa"/>
            <w:vAlign w:val="bottom"/>
          </w:tcPr>
          <w:p>
            <w:pPr>
              <w:ind w:left="220"/>
              <w:spacing w:after="0"/>
              <w:rPr>
                <w:sz w:val="20"/>
                <w:szCs w:val="20"/>
                <w:color w:val="auto"/>
              </w:rPr>
            </w:pPr>
            <w:r>
              <w:rPr>
                <w:rFonts w:ascii="Arial" w:cs="Arial" w:eastAsia="Arial" w:hAnsi="Arial"/>
                <w:sz w:val="18"/>
                <w:szCs w:val="18"/>
                <w:color w:val="auto"/>
              </w:rPr>
              <w:t>Eligibility; Disqualification</w:t>
            </w: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7080" w:type="dxa"/>
            <w:vAlign w:val="bottom"/>
          </w:tcPr>
          <w:p>
            <w:pPr>
              <w:ind w:left="220"/>
              <w:spacing w:after="0"/>
              <w:rPr>
                <w:sz w:val="20"/>
                <w:szCs w:val="20"/>
                <w:color w:val="auto"/>
              </w:rPr>
            </w:pPr>
            <w:r>
              <w:rPr>
                <w:rFonts w:ascii="Arial" w:cs="Arial" w:eastAsia="Arial" w:hAnsi="Arial"/>
                <w:sz w:val="18"/>
                <w:szCs w:val="18"/>
                <w:color w:val="auto"/>
              </w:rPr>
              <w:t>Preferential Collection of Claims Against Company</w:t>
            </w: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0"/>
        </w:trPr>
        <w:tc>
          <w:tcPr>
            <w:tcW w:w="8600" w:type="dxa"/>
            <w:vAlign w:val="bottom"/>
            <w:gridSpan w:val="2"/>
          </w:tcPr>
          <w:p>
            <w:pPr>
              <w:spacing w:after="0"/>
              <w:rPr>
                <w:sz w:val="20"/>
                <w:szCs w:val="20"/>
                <w:color w:val="auto"/>
              </w:rPr>
            </w:pPr>
            <w:r>
              <w:rPr>
                <w:rFonts w:ascii="Arial" w:cs="Arial" w:eastAsia="Arial" w:hAnsi="Arial"/>
                <w:sz w:val="18"/>
                <w:szCs w:val="18"/>
                <w:color w:val="auto"/>
              </w:rPr>
              <w:t>ARTICLE VIII. SATISFACTION AND DISCHARGE; DEFEASANCE</w:t>
            </w: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7080" w:type="dxa"/>
            <w:vAlign w:val="bottom"/>
          </w:tcPr>
          <w:p>
            <w:pPr>
              <w:ind w:left="220"/>
              <w:spacing w:after="0"/>
              <w:rPr>
                <w:sz w:val="20"/>
                <w:szCs w:val="20"/>
                <w:color w:val="auto"/>
              </w:rPr>
            </w:pPr>
            <w:r>
              <w:rPr>
                <w:rFonts w:ascii="Arial" w:cs="Arial" w:eastAsia="Arial" w:hAnsi="Arial"/>
                <w:sz w:val="18"/>
                <w:szCs w:val="18"/>
                <w:color w:val="auto"/>
              </w:rPr>
              <w:t>Satisfaction and Discharge of Indenture</w:t>
            </w: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7080" w:type="dxa"/>
            <w:vAlign w:val="bottom"/>
          </w:tcPr>
          <w:p>
            <w:pPr>
              <w:ind w:left="220"/>
              <w:spacing w:after="0"/>
              <w:rPr>
                <w:sz w:val="20"/>
                <w:szCs w:val="20"/>
                <w:color w:val="auto"/>
              </w:rPr>
            </w:pPr>
            <w:r>
              <w:rPr>
                <w:rFonts w:ascii="Arial" w:cs="Arial" w:eastAsia="Arial" w:hAnsi="Arial"/>
                <w:sz w:val="18"/>
                <w:szCs w:val="18"/>
                <w:color w:val="auto"/>
              </w:rPr>
              <w:t>Application of Trust Funds; Indemnification</w:t>
            </w:r>
          </w:p>
        </w:tc>
        <w:tc>
          <w:tcPr>
            <w:tcW w:w="2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7080" w:type="dxa"/>
            <w:vAlign w:val="bottom"/>
          </w:tcPr>
          <w:p>
            <w:pPr>
              <w:ind w:left="220"/>
              <w:spacing w:after="0"/>
              <w:rPr>
                <w:sz w:val="20"/>
                <w:szCs w:val="20"/>
                <w:color w:val="auto"/>
              </w:rPr>
            </w:pPr>
            <w:r>
              <w:rPr>
                <w:rFonts w:ascii="Arial" w:cs="Arial" w:eastAsia="Arial" w:hAnsi="Arial"/>
                <w:sz w:val="18"/>
                <w:szCs w:val="18"/>
                <w:color w:val="auto"/>
              </w:rPr>
              <w:t>Legal Defeasance of Securities of any Series</w:t>
            </w:r>
          </w:p>
        </w:tc>
        <w:tc>
          <w:tcPr>
            <w:tcW w:w="2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8.4.</w:t>
            </w:r>
          </w:p>
        </w:tc>
        <w:tc>
          <w:tcPr>
            <w:tcW w:w="7080" w:type="dxa"/>
            <w:vAlign w:val="bottom"/>
          </w:tcPr>
          <w:p>
            <w:pPr>
              <w:ind w:left="220"/>
              <w:spacing w:after="0"/>
              <w:rPr>
                <w:sz w:val="20"/>
                <w:szCs w:val="20"/>
                <w:color w:val="auto"/>
              </w:rPr>
            </w:pPr>
            <w:r>
              <w:rPr>
                <w:rFonts w:ascii="Arial" w:cs="Arial" w:eastAsia="Arial" w:hAnsi="Arial"/>
                <w:sz w:val="18"/>
                <w:szCs w:val="18"/>
                <w:color w:val="auto"/>
              </w:rPr>
              <w:t>Covenant Defeasance</w:t>
            </w:r>
          </w:p>
        </w:tc>
        <w:tc>
          <w:tcPr>
            <w:tcW w:w="2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8.5.</w:t>
            </w:r>
          </w:p>
        </w:tc>
        <w:tc>
          <w:tcPr>
            <w:tcW w:w="7080" w:type="dxa"/>
            <w:vAlign w:val="bottom"/>
          </w:tcPr>
          <w:p>
            <w:pPr>
              <w:ind w:left="220"/>
              <w:spacing w:after="0"/>
              <w:rPr>
                <w:sz w:val="20"/>
                <w:szCs w:val="20"/>
                <w:color w:val="auto"/>
              </w:rPr>
            </w:pPr>
            <w:r>
              <w:rPr>
                <w:rFonts w:ascii="Arial" w:cs="Arial" w:eastAsia="Arial" w:hAnsi="Arial"/>
                <w:sz w:val="18"/>
                <w:szCs w:val="18"/>
                <w:color w:val="auto"/>
              </w:rPr>
              <w:t>Repayment to Company</w:t>
            </w:r>
          </w:p>
        </w:tc>
        <w:tc>
          <w:tcPr>
            <w:tcW w:w="2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8.6.</w:t>
            </w:r>
          </w:p>
        </w:tc>
        <w:tc>
          <w:tcPr>
            <w:tcW w:w="7080" w:type="dxa"/>
            <w:vAlign w:val="bottom"/>
          </w:tcPr>
          <w:p>
            <w:pPr>
              <w:ind w:left="220"/>
              <w:spacing w:after="0"/>
              <w:rPr>
                <w:sz w:val="20"/>
                <w:szCs w:val="20"/>
                <w:color w:val="auto"/>
              </w:rPr>
            </w:pPr>
            <w:r>
              <w:rPr>
                <w:rFonts w:ascii="Arial" w:cs="Arial" w:eastAsia="Arial" w:hAnsi="Arial"/>
                <w:sz w:val="18"/>
                <w:szCs w:val="18"/>
                <w:color w:val="auto"/>
              </w:rPr>
              <w:t>Reinstatement</w:t>
            </w:r>
          </w:p>
        </w:tc>
        <w:tc>
          <w:tcPr>
            <w:tcW w:w="2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8600" w:type="dxa"/>
            <w:vAlign w:val="bottom"/>
            <w:gridSpan w:val="2"/>
          </w:tcPr>
          <w:p>
            <w:pPr>
              <w:spacing w:after="0"/>
              <w:rPr>
                <w:sz w:val="20"/>
                <w:szCs w:val="20"/>
                <w:color w:val="auto"/>
              </w:rPr>
            </w:pPr>
            <w:r>
              <w:rPr>
                <w:rFonts w:ascii="Arial" w:cs="Arial" w:eastAsia="Arial" w:hAnsi="Arial"/>
                <w:sz w:val="18"/>
                <w:szCs w:val="18"/>
                <w:color w:val="auto"/>
              </w:rPr>
              <w:t>ARTICLE IX. AMENDMENTS AND WAIVERS</w:t>
            </w:r>
          </w:p>
        </w:tc>
        <w:tc>
          <w:tcPr>
            <w:tcW w:w="2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7080" w:type="dxa"/>
            <w:vAlign w:val="bottom"/>
          </w:tcPr>
          <w:p>
            <w:pPr>
              <w:ind w:left="220"/>
              <w:spacing w:after="0"/>
              <w:rPr>
                <w:sz w:val="20"/>
                <w:szCs w:val="20"/>
                <w:color w:val="auto"/>
              </w:rPr>
            </w:pPr>
            <w:r>
              <w:rPr>
                <w:rFonts w:ascii="Arial" w:cs="Arial" w:eastAsia="Arial" w:hAnsi="Arial"/>
                <w:sz w:val="18"/>
                <w:szCs w:val="18"/>
                <w:color w:val="auto"/>
              </w:rPr>
              <w:t>Without Consent of Holders</w:t>
            </w:r>
          </w:p>
        </w:tc>
        <w:tc>
          <w:tcPr>
            <w:tcW w:w="2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7080" w:type="dxa"/>
            <w:vAlign w:val="bottom"/>
          </w:tcPr>
          <w:p>
            <w:pPr>
              <w:ind w:left="220"/>
              <w:spacing w:after="0"/>
              <w:rPr>
                <w:sz w:val="20"/>
                <w:szCs w:val="20"/>
                <w:color w:val="auto"/>
              </w:rPr>
            </w:pPr>
            <w:r>
              <w:rPr>
                <w:rFonts w:ascii="Arial" w:cs="Arial" w:eastAsia="Arial" w:hAnsi="Arial"/>
                <w:sz w:val="18"/>
                <w:szCs w:val="18"/>
                <w:color w:val="auto"/>
              </w:rPr>
              <w:t>With Consent of Holders</w:t>
            </w:r>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7080" w:type="dxa"/>
            <w:vAlign w:val="bottom"/>
          </w:tcPr>
          <w:p>
            <w:pPr>
              <w:ind w:left="220"/>
              <w:spacing w:after="0"/>
              <w:rPr>
                <w:sz w:val="20"/>
                <w:szCs w:val="20"/>
                <w:color w:val="auto"/>
              </w:rPr>
            </w:pPr>
            <w:r>
              <w:rPr>
                <w:rFonts w:ascii="Arial" w:cs="Arial" w:eastAsia="Arial" w:hAnsi="Arial"/>
                <w:sz w:val="18"/>
                <w:szCs w:val="18"/>
                <w:color w:val="auto"/>
              </w:rPr>
              <w:t>Limitations</w:t>
            </w:r>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7080" w:type="dxa"/>
            <w:vAlign w:val="bottom"/>
          </w:tcPr>
          <w:p>
            <w:pPr>
              <w:ind w:left="220"/>
              <w:spacing w:after="0"/>
              <w:rPr>
                <w:sz w:val="20"/>
                <w:szCs w:val="20"/>
                <w:color w:val="auto"/>
              </w:rPr>
            </w:pPr>
            <w:r>
              <w:rPr>
                <w:rFonts w:ascii="Arial" w:cs="Arial" w:eastAsia="Arial" w:hAnsi="Arial"/>
                <w:sz w:val="18"/>
                <w:szCs w:val="18"/>
                <w:color w:val="auto"/>
              </w:rPr>
              <w:t>Compliance with Trust Indenture Act.</w:t>
            </w:r>
          </w:p>
        </w:tc>
        <w:tc>
          <w:tcPr>
            <w:tcW w:w="2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9.5.</w:t>
            </w:r>
          </w:p>
        </w:tc>
        <w:tc>
          <w:tcPr>
            <w:tcW w:w="7080" w:type="dxa"/>
            <w:vAlign w:val="bottom"/>
          </w:tcPr>
          <w:p>
            <w:pPr>
              <w:ind w:left="220"/>
              <w:spacing w:after="0"/>
              <w:rPr>
                <w:sz w:val="20"/>
                <w:szCs w:val="20"/>
                <w:color w:val="auto"/>
              </w:rPr>
            </w:pPr>
            <w:r>
              <w:rPr>
                <w:rFonts w:ascii="Arial" w:cs="Arial" w:eastAsia="Arial" w:hAnsi="Arial"/>
                <w:sz w:val="18"/>
                <w:szCs w:val="18"/>
                <w:color w:val="auto"/>
              </w:rPr>
              <w:t>Revocation and Effect of Consents</w:t>
            </w:r>
          </w:p>
        </w:tc>
        <w:tc>
          <w:tcPr>
            <w:tcW w:w="2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9.6.</w:t>
            </w:r>
          </w:p>
        </w:tc>
        <w:tc>
          <w:tcPr>
            <w:tcW w:w="7080" w:type="dxa"/>
            <w:vAlign w:val="bottom"/>
          </w:tcPr>
          <w:p>
            <w:pPr>
              <w:ind w:left="220"/>
              <w:spacing w:after="0"/>
              <w:rPr>
                <w:sz w:val="20"/>
                <w:szCs w:val="20"/>
                <w:color w:val="auto"/>
              </w:rPr>
            </w:pPr>
            <w:r>
              <w:rPr>
                <w:rFonts w:ascii="Arial" w:cs="Arial" w:eastAsia="Arial" w:hAnsi="Arial"/>
                <w:sz w:val="18"/>
                <w:szCs w:val="18"/>
                <w:color w:val="auto"/>
              </w:rPr>
              <w:t>Notation on or Exchange of Securities</w:t>
            </w:r>
          </w:p>
        </w:tc>
        <w:tc>
          <w:tcPr>
            <w:tcW w:w="2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9.7.</w:t>
            </w:r>
          </w:p>
        </w:tc>
        <w:tc>
          <w:tcPr>
            <w:tcW w:w="7080" w:type="dxa"/>
            <w:vAlign w:val="bottom"/>
          </w:tcPr>
          <w:p>
            <w:pPr>
              <w:ind w:left="220"/>
              <w:spacing w:after="0"/>
              <w:rPr>
                <w:sz w:val="20"/>
                <w:szCs w:val="20"/>
                <w:color w:val="auto"/>
              </w:rPr>
            </w:pPr>
            <w:r>
              <w:rPr>
                <w:rFonts w:ascii="Arial" w:cs="Arial" w:eastAsia="Arial" w:hAnsi="Arial"/>
                <w:sz w:val="18"/>
                <w:szCs w:val="18"/>
                <w:color w:val="auto"/>
              </w:rPr>
              <w:t>Trustee Protected</w:t>
            </w:r>
          </w:p>
        </w:tc>
        <w:tc>
          <w:tcPr>
            <w:tcW w:w="236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382" w:right="49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6920" w:type="dxa"/>
            <w:vAlign w:val="bottom"/>
          </w:tcPr>
          <w:p>
            <w:pPr>
              <w:ind w:left="180"/>
              <w:spacing w:after="0"/>
              <w:rPr>
                <w:sz w:val="20"/>
                <w:szCs w:val="20"/>
                <w:color w:val="auto"/>
              </w:rPr>
            </w:pPr>
            <w:r>
              <w:rPr>
                <w:rFonts w:ascii="Arial" w:cs="Arial" w:eastAsia="Arial" w:hAnsi="Arial"/>
                <w:sz w:val="18"/>
                <w:szCs w:val="18"/>
                <w:color w:val="auto"/>
              </w:rPr>
              <w:t>Trust Indenture Act Controls</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6920" w:type="dxa"/>
            <w:vAlign w:val="bottom"/>
          </w:tcPr>
          <w:p>
            <w:pPr>
              <w:ind w:left="180"/>
              <w:spacing w:after="0"/>
              <w:rPr>
                <w:sz w:val="20"/>
                <w:szCs w:val="20"/>
                <w:color w:val="auto"/>
              </w:rPr>
            </w:pPr>
            <w:r>
              <w:rPr>
                <w:rFonts w:ascii="Arial" w:cs="Arial" w:eastAsia="Arial" w:hAnsi="Arial"/>
                <w:sz w:val="18"/>
                <w:szCs w:val="18"/>
                <w:color w:val="auto"/>
              </w:rPr>
              <w:t>Notices</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6920" w:type="dxa"/>
            <w:vAlign w:val="bottom"/>
          </w:tcPr>
          <w:p>
            <w:pPr>
              <w:ind w:left="180"/>
              <w:spacing w:after="0"/>
              <w:rPr>
                <w:sz w:val="20"/>
                <w:szCs w:val="20"/>
                <w:color w:val="auto"/>
              </w:rPr>
            </w:pPr>
            <w:r>
              <w:rPr>
                <w:rFonts w:ascii="Arial" w:cs="Arial" w:eastAsia="Arial" w:hAnsi="Arial"/>
                <w:sz w:val="18"/>
                <w:szCs w:val="18"/>
                <w:color w:val="auto"/>
              </w:rPr>
              <w:t>Communication by Holders with Other Holders</w:t>
            </w:r>
          </w:p>
        </w:tc>
        <w:tc>
          <w:tcPr>
            <w:tcW w:w="2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6920" w:type="dxa"/>
            <w:vAlign w:val="bottom"/>
          </w:tcPr>
          <w:p>
            <w:pPr>
              <w:ind w:left="180"/>
              <w:spacing w:after="0"/>
              <w:rPr>
                <w:sz w:val="20"/>
                <w:szCs w:val="20"/>
                <w:color w:val="auto"/>
              </w:rPr>
            </w:pPr>
            <w:r>
              <w:rPr>
                <w:rFonts w:ascii="Arial" w:cs="Arial" w:eastAsia="Arial" w:hAnsi="Arial"/>
                <w:sz w:val="18"/>
                <w:szCs w:val="18"/>
                <w:color w:val="auto"/>
              </w:rPr>
              <w:t>Certificate and Opinion as to Conditions Precedent</w:t>
            </w:r>
          </w:p>
        </w:tc>
        <w:tc>
          <w:tcPr>
            <w:tcW w:w="2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6920" w:type="dxa"/>
            <w:vAlign w:val="bottom"/>
          </w:tcPr>
          <w:p>
            <w:pPr>
              <w:ind w:left="180"/>
              <w:spacing w:after="0"/>
              <w:rPr>
                <w:sz w:val="20"/>
                <w:szCs w:val="20"/>
                <w:color w:val="auto"/>
              </w:rPr>
            </w:pPr>
            <w:r>
              <w:rPr>
                <w:rFonts w:ascii="Arial" w:cs="Arial" w:eastAsia="Arial" w:hAnsi="Arial"/>
                <w:sz w:val="18"/>
                <w:szCs w:val="18"/>
                <w:color w:val="auto"/>
              </w:rPr>
              <w:t>Statements Required in Certificate or Opinion</w:t>
            </w:r>
          </w:p>
        </w:tc>
        <w:tc>
          <w:tcPr>
            <w:tcW w:w="2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6920" w:type="dxa"/>
            <w:vAlign w:val="bottom"/>
          </w:tcPr>
          <w:p>
            <w:pPr>
              <w:ind w:left="180"/>
              <w:spacing w:after="0"/>
              <w:rPr>
                <w:sz w:val="20"/>
                <w:szCs w:val="20"/>
                <w:color w:val="auto"/>
              </w:rPr>
            </w:pPr>
            <w:r>
              <w:rPr>
                <w:rFonts w:ascii="Arial" w:cs="Arial" w:eastAsia="Arial" w:hAnsi="Arial"/>
                <w:sz w:val="18"/>
                <w:szCs w:val="18"/>
                <w:color w:val="auto"/>
              </w:rPr>
              <w:t>Rules by Trustee and Agents</w:t>
            </w:r>
          </w:p>
        </w:tc>
        <w:tc>
          <w:tcPr>
            <w:tcW w:w="2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6920" w:type="dxa"/>
            <w:vAlign w:val="bottom"/>
          </w:tcPr>
          <w:p>
            <w:pPr>
              <w:ind w:left="180"/>
              <w:spacing w:after="0"/>
              <w:rPr>
                <w:sz w:val="20"/>
                <w:szCs w:val="20"/>
                <w:color w:val="auto"/>
              </w:rPr>
            </w:pPr>
            <w:r>
              <w:rPr>
                <w:rFonts w:ascii="Arial" w:cs="Arial" w:eastAsia="Arial" w:hAnsi="Arial"/>
                <w:sz w:val="18"/>
                <w:szCs w:val="18"/>
                <w:color w:val="auto"/>
              </w:rPr>
              <w:t>Legal Holidays</w:t>
            </w:r>
          </w:p>
        </w:tc>
        <w:tc>
          <w:tcPr>
            <w:tcW w:w="2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6920" w:type="dxa"/>
            <w:vAlign w:val="bottom"/>
          </w:tcPr>
          <w:p>
            <w:pPr>
              <w:ind w:left="180"/>
              <w:spacing w:after="0"/>
              <w:rPr>
                <w:sz w:val="20"/>
                <w:szCs w:val="20"/>
                <w:color w:val="auto"/>
              </w:rPr>
            </w:pPr>
            <w:r>
              <w:rPr>
                <w:rFonts w:ascii="Arial" w:cs="Arial" w:eastAsia="Arial" w:hAnsi="Arial"/>
                <w:sz w:val="18"/>
                <w:szCs w:val="18"/>
                <w:color w:val="auto"/>
              </w:rPr>
              <w:t>No Recourse Against Others</w:t>
            </w:r>
          </w:p>
        </w:tc>
        <w:tc>
          <w:tcPr>
            <w:tcW w:w="2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692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2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10.10.</w:t>
            </w:r>
          </w:p>
        </w:tc>
        <w:tc>
          <w:tcPr>
            <w:tcW w:w="6920" w:type="dxa"/>
            <w:vAlign w:val="bottom"/>
          </w:tcPr>
          <w:p>
            <w:pPr>
              <w:ind w:left="180"/>
              <w:spacing w:after="0"/>
              <w:rPr>
                <w:sz w:val="20"/>
                <w:szCs w:val="20"/>
                <w:color w:val="auto"/>
              </w:rPr>
            </w:pPr>
            <w:r>
              <w:rPr>
                <w:rFonts w:ascii="Arial" w:cs="Arial" w:eastAsia="Arial" w:hAnsi="Arial"/>
                <w:sz w:val="18"/>
                <w:szCs w:val="18"/>
                <w:color w:val="auto"/>
              </w:rPr>
              <w:t>Governing Law; Waiver of Jury Trial; Consent to Jurisdiction</w:t>
            </w:r>
          </w:p>
        </w:tc>
        <w:tc>
          <w:tcPr>
            <w:tcW w:w="2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10.11.</w:t>
            </w:r>
          </w:p>
        </w:tc>
        <w:tc>
          <w:tcPr>
            <w:tcW w:w="6920" w:type="dxa"/>
            <w:vAlign w:val="bottom"/>
          </w:tcPr>
          <w:p>
            <w:pPr>
              <w:ind w:left="180"/>
              <w:spacing w:after="0"/>
              <w:rPr>
                <w:sz w:val="20"/>
                <w:szCs w:val="20"/>
                <w:color w:val="auto"/>
              </w:rPr>
            </w:pPr>
            <w:r>
              <w:rPr>
                <w:rFonts w:ascii="Arial" w:cs="Arial" w:eastAsia="Arial" w:hAnsi="Arial"/>
                <w:sz w:val="18"/>
                <w:szCs w:val="18"/>
                <w:color w:val="auto"/>
              </w:rPr>
              <w:t>No Adverse Interpretation of Other Agreements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10.12.</w:t>
            </w:r>
          </w:p>
        </w:tc>
        <w:tc>
          <w:tcPr>
            <w:tcW w:w="6920" w:type="dxa"/>
            <w:vAlign w:val="bottom"/>
          </w:tcPr>
          <w:p>
            <w:pPr>
              <w:ind w:left="180"/>
              <w:spacing w:after="0"/>
              <w:rPr>
                <w:sz w:val="20"/>
                <w:szCs w:val="20"/>
                <w:color w:val="auto"/>
              </w:rPr>
            </w:pPr>
            <w:r>
              <w:rPr>
                <w:rFonts w:ascii="Arial" w:cs="Arial" w:eastAsia="Arial" w:hAnsi="Arial"/>
                <w:sz w:val="18"/>
                <w:szCs w:val="18"/>
                <w:color w:val="auto"/>
              </w:rPr>
              <w:t>Successors</w:t>
            </w:r>
          </w:p>
        </w:tc>
        <w:tc>
          <w:tcPr>
            <w:tcW w:w="2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10.13.</w:t>
            </w:r>
          </w:p>
        </w:tc>
        <w:tc>
          <w:tcPr>
            <w:tcW w:w="692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10.14.</w:t>
            </w:r>
          </w:p>
        </w:tc>
        <w:tc>
          <w:tcPr>
            <w:tcW w:w="6920" w:type="dxa"/>
            <w:vAlign w:val="bottom"/>
          </w:tcPr>
          <w:p>
            <w:pPr>
              <w:ind w:left="180"/>
              <w:spacing w:after="0"/>
              <w:rPr>
                <w:sz w:val="20"/>
                <w:szCs w:val="20"/>
                <w:color w:val="auto"/>
              </w:rPr>
            </w:pPr>
            <w:r>
              <w:rPr>
                <w:rFonts w:ascii="Arial" w:cs="Arial" w:eastAsia="Arial" w:hAnsi="Arial"/>
                <w:sz w:val="18"/>
                <w:szCs w:val="18"/>
                <w:color w:val="auto"/>
              </w:rPr>
              <w:t>Table of Contents, Headings, Etc.</w:t>
            </w:r>
          </w:p>
        </w:tc>
        <w:tc>
          <w:tcPr>
            <w:tcW w:w="2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10.15.</w:t>
            </w:r>
          </w:p>
        </w:tc>
        <w:tc>
          <w:tcPr>
            <w:tcW w:w="6920" w:type="dxa"/>
            <w:vAlign w:val="bottom"/>
          </w:tcPr>
          <w:p>
            <w:pPr>
              <w:ind w:left="180"/>
              <w:spacing w:after="0"/>
              <w:rPr>
                <w:sz w:val="20"/>
                <w:szCs w:val="20"/>
                <w:color w:val="auto"/>
              </w:rPr>
            </w:pPr>
            <w:r>
              <w:rPr>
                <w:rFonts w:ascii="Arial" w:cs="Arial" w:eastAsia="Arial" w:hAnsi="Arial"/>
                <w:sz w:val="18"/>
                <w:szCs w:val="18"/>
                <w:color w:val="auto"/>
              </w:rPr>
              <w:t>Securities in a Foreign Currency</w:t>
            </w:r>
          </w:p>
        </w:tc>
        <w:tc>
          <w:tcPr>
            <w:tcW w:w="2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10.16.</w:t>
            </w:r>
          </w:p>
        </w:tc>
        <w:tc>
          <w:tcPr>
            <w:tcW w:w="6920" w:type="dxa"/>
            <w:vAlign w:val="bottom"/>
          </w:tcPr>
          <w:p>
            <w:pPr>
              <w:ind w:left="180"/>
              <w:spacing w:after="0"/>
              <w:rPr>
                <w:sz w:val="20"/>
                <w:szCs w:val="20"/>
                <w:color w:val="auto"/>
              </w:rPr>
            </w:pPr>
            <w:r>
              <w:rPr>
                <w:rFonts w:ascii="Arial" w:cs="Arial" w:eastAsia="Arial" w:hAnsi="Arial"/>
                <w:sz w:val="18"/>
                <w:szCs w:val="18"/>
                <w:color w:val="auto"/>
              </w:rPr>
              <w:t>Judgment Currency</w:t>
            </w:r>
          </w:p>
        </w:tc>
        <w:tc>
          <w:tcPr>
            <w:tcW w:w="2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10.17.</w:t>
            </w:r>
          </w:p>
        </w:tc>
        <w:tc>
          <w:tcPr>
            <w:tcW w:w="6920" w:type="dxa"/>
            <w:vAlign w:val="bottom"/>
          </w:tcPr>
          <w:p>
            <w:pPr>
              <w:ind w:left="180"/>
              <w:spacing w:after="0"/>
              <w:rPr>
                <w:sz w:val="20"/>
                <w:szCs w:val="20"/>
                <w:color w:val="auto"/>
              </w:rPr>
            </w:pPr>
            <w:r>
              <w:rPr>
                <w:rFonts w:ascii="Arial" w:cs="Arial" w:eastAsia="Arial" w:hAnsi="Arial"/>
                <w:sz w:val="18"/>
                <w:szCs w:val="18"/>
                <w:color w:val="auto"/>
              </w:rPr>
              <w:t>Force Majeure</w:t>
            </w:r>
          </w:p>
        </w:tc>
        <w:tc>
          <w:tcPr>
            <w:tcW w:w="2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10.18.</w:t>
            </w:r>
          </w:p>
        </w:tc>
        <w:tc>
          <w:tcPr>
            <w:tcW w:w="6920" w:type="dxa"/>
            <w:vAlign w:val="bottom"/>
          </w:tcPr>
          <w:p>
            <w:pPr>
              <w:ind w:left="180"/>
              <w:spacing w:after="0"/>
              <w:rPr>
                <w:sz w:val="20"/>
                <w:szCs w:val="20"/>
                <w:color w:val="auto"/>
              </w:rPr>
            </w:pPr>
            <w:r>
              <w:rPr>
                <w:rFonts w:ascii="Arial" w:cs="Arial" w:eastAsia="Arial" w:hAnsi="Arial"/>
                <w:sz w:val="18"/>
                <w:szCs w:val="18"/>
                <w:color w:val="auto"/>
              </w:rPr>
              <w:t>U.S.A. Patriot Act.</w:t>
            </w:r>
          </w:p>
        </w:tc>
        <w:tc>
          <w:tcPr>
            <w:tcW w:w="2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0"/>
        </w:trPr>
        <w:tc>
          <w:tcPr>
            <w:tcW w:w="8480" w:type="dxa"/>
            <w:vAlign w:val="bottom"/>
            <w:gridSpan w:val="2"/>
          </w:tcPr>
          <w:p>
            <w:pPr>
              <w:spacing w:after="0"/>
              <w:rPr>
                <w:sz w:val="20"/>
                <w:szCs w:val="20"/>
                <w:color w:val="auto"/>
              </w:rPr>
            </w:pPr>
            <w:r>
              <w:rPr>
                <w:rFonts w:ascii="Arial" w:cs="Arial" w:eastAsia="Arial" w:hAnsi="Arial"/>
                <w:sz w:val="18"/>
                <w:szCs w:val="18"/>
                <w:color w:val="auto"/>
              </w:rPr>
              <w:t>ARTICLE XI. SINKING FUNDS</w:t>
            </w:r>
          </w:p>
        </w:tc>
        <w:tc>
          <w:tcPr>
            <w:tcW w:w="2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6920" w:type="dxa"/>
            <w:vAlign w:val="bottom"/>
          </w:tcPr>
          <w:p>
            <w:pPr>
              <w:ind w:left="180"/>
              <w:spacing w:after="0"/>
              <w:rPr>
                <w:sz w:val="20"/>
                <w:szCs w:val="20"/>
                <w:color w:val="auto"/>
              </w:rPr>
            </w:pPr>
            <w:r>
              <w:rPr>
                <w:rFonts w:ascii="Arial" w:cs="Arial" w:eastAsia="Arial" w:hAnsi="Arial"/>
                <w:sz w:val="18"/>
                <w:szCs w:val="18"/>
                <w:color w:val="auto"/>
              </w:rPr>
              <w:t>Applicability of Article</w:t>
            </w:r>
          </w:p>
        </w:tc>
        <w:tc>
          <w:tcPr>
            <w:tcW w:w="2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6920" w:type="dxa"/>
            <w:vAlign w:val="bottom"/>
          </w:tcPr>
          <w:p>
            <w:pPr>
              <w:ind w:left="180"/>
              <w:spacing w:after="0"/>
              <w:rPr>
                <w:sz w:val="20"/>
                <w:szCs w:val="20"/>
                <w:color w:val="auto"/>
              </w:rPr>
            </w:pPr>
            <w:r>
              <w:rPr>
                <w:rFonts w:ascii="Arial" w:cs="Arial" w:eastAsia="Arial" w:hAnsi="Arial"/>
                <w:sz w:val="18"/>
                <w:szCs w:val="18"/>
                <w:color w:val="auto"/>
              </w:rPr>
              <w:t>Satisfaction of Sinking Fund Payments with Securities</w:t>
            </w:r>
          </w:p>
        </w:tc>
        <w:tc>
          <w:tcPr>
            <w:tcW w:w="24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6920" w:type="dxa"/>
            <w:vAlign w:val="bottom"/>
          </w:tcPr>
          <w:p>
            <w:pPr>
              <w:ind w:left="180"/>
              <w:spacing w:after="0"/>
              <w:rPr>
                <w:sz w:val="20"/>
                <w:szCs w:val="20"/>
                <w:color w:val="auto"/>
              </w:rPr>
            </w:pPr>
            <w:r>
              <w:rPr>
                <w:rFonts w:ascii="Arial" w:cs="Arial" w:eastAsia="Arial" w:hAnsi="Arial"/>
                <w:sz w:val="18"/>
                <w:szCs w:val="18"/>
                <w:color w:val="auto"/>
              </w:rPr>
              <w:t>Redemption of Securities for Sinking Fund</w:t>
            </w:r>
          </w:p>
        </w:tc>
        <w:tc>
          <w:tcPr>
            <w:tcW w:w="248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382" w:right="499" w:bottom="1440" w:gutter="0" w:footer="0" w:header="0"/>
        </w:sectPr>
      </w:pPr>
    </w:p>
    <w:bookmarkStart w:id="60" w:name="page61"/>
    <w:bookmarkEnd w:id="60"/>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ASCENDIS PHARMA A/S</w:t>
      </w:r>
    </w:p>
    <w:p>
      <w:pPr>
        <w:spacing w:after="0" w:line="22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Reconciliation and tie between Trust Indenture Act of 1939 and</w:t>
      </w:r>
    </w:p>
    <w:p>
      <w:pPr>
        <w:spacing w:after="0" w:line="23" w:lineRule="exact"/>
        <w:rPr>
          <w:sz w:val="20"/>
          <w:szCs w:val="20"/>
          <w:color w:val="auto"/>
        </w:rPr>
      </w:pPr>
    </w:p>
    <w:tbl>
      <w:tblPr>
        <w:tblLayout w:type="fixed"/>
        <w:tblInd w:w="2060" w:type="dxa"/>
        <w:tblCellMar>
          <w:top w:w="0" w:type="dxa"/>
          <w:left w:w="0" w:type="dxa"/>
          <w:bottom w:w="0" w:type="dxa"/>
          <w:right w:w="0" w:type="dxa"/>
        </w:tblCellMar>
      </w:tblPr>
      <w:tr>
        <w:trPr>
          <w:trHeight w:val="230"/>
        </w:trPr>
        <w:tc>
          <w:tcPr>
            <w:tcW w:w="4000" w:type="dxa"/>
            <w:vAlign w:val="bottom"/>
          </w:tcPr>
          <w:p>
            <w:pPr>
              <w:jc w:val="right"/>
              <w:ind w:right="370"/>
              <w:spacing w:after="0"/>
              <w:rPr>
                <w:sz w:val="20"/>
                <w:szCs w:val="20"/>
                <w:color w:val="auto"/>
              </w:rPr>
            </w:pPr>
            <w:r>
              <w:rPr>
                <w:rFonts w:ascii="Arial" w:cs="Arial" w:eastAsia="Arial" w:hAnsi="Arial"/>
                <w:sz w:val="18"/>
                <w:szCs w:val="18"/>
                <w:color w:val="auto"/>
              </w:rPr>
              <w:t>Indenture, dated as of</w:t>
            </w:r>
          </w:p>
        </w:tc>
        <w:tc>
          <w:tcPr>
            <w:tcW w:w="3420" w:type="dxa"/>
            <w:vAlign w:val="bottom"/>
          </w:tcPr>
          <w:p>
            <w:pPr>
              <w:ind w:left="440"/>
              <w:spacing w:after="0"/>
              <w:rPr>
                <w:sz w:val="20"/>
                <w:szCs w:val="20"/>
                <w:color w:val="auto"/>
              </w:rPr>
            </w:pPr>
            <w:r>
              <w:rPr>
                <w:rFonts w:ascii="Arial" w:cs="Arial" w:eastAsia="Arial" w:hAnsi="Arial"/>
                <w:sz w:val="18"/>
                <w:szCs w:val="18"/>
                <w:color w:val="auto"/>
              </w:rPr>
              <w:t>, 20</w:t>
            </w:r>
          </w:p>
        </w:tc>
      </w:tr>
      <w:tr>
        <w:trPr>
          <w:trHeight w:val="430"/>
        </w:trPr>
        <w:tc>
          <w:tcPr>
            <w:tcW w:w="4000" w:type="dxa"/>
            <w:vAlign w:val="bottom"/>
          </w:tcPr>
          <w:p>
            <w:pPr>
              <w:jc w:val="right"/>
              <w:ind w:right="3090"/>
              <w:spacing w:after="0"/>
              <w:rPr>
                <w:sz w:val="20"/>
                <w:szCs w:val="20"/>
                <w:color w:val="auto"/>
              </w:rPr>
            </w:pPr>
            <w:r>
              <w:rPr>
                <w:rFonts w:ascii="Arial" w:cs="Arial" w:eastAsia="Arial" w:hAnsi="Arial"/>
                <w:sz w:val="18"/>
                <w:szCs w:val="18"/>
                <w:color w:val="auto"/>
                <w:w w:val="89"/>
              </w:rPr>
              <w:t>§ 310(a)(1)</w:t>
            </w:r>
          </w:p>
        </w:tc>
        <w:tc>
          <w:tcPr>
            <w:tcW w:w="3420" w:type="dxa"/>
            <w:vAlign w:val="bottom"/>
          </w:tcPr>
          <w:p>
            <w:pPr>
              <w:ind w:left="2320"/>
              <w:spacing w:after="0"/>
              <w:rPr>
                <w:sz w:val="20"/>
                <w:szCs w:val="20"/>
                <w:color w:val="auto"/>
              </w:rPr>
            </w:pPr>
            <w:r>
              <w:rPr>
                <w:rFonts w:ascii="Arial" w:cs="Arial" w:eastAsia="Arial" w:hAnsi="Arial"/>
                <w:sz w:val="18"/>
                <w:szCs w:val="18"/>
                <w:color w:val="auto"/>
              </w:rPr>
              <w:t>7.10</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(a)(2)</w:t>
            </w:r>
          </w:p>
        </w:tc>
        <w:tc>
          <w:tcPr>
            <w:tcW w:w="3420" w:type="dxa"/>
            <w:vAlign w:val="bottom"/>
          </w:tcPr>
          <w:p>
            <w:pPr>
              <w:ind w:left="2320"/>
              <w:spacing w:after="0"/>
              <w:rPr>
                <w:sz w:val="20"/>
                <w:szCs w:val="20"/>
                <w:color w:val="auto"/>
              </w:rPr>
            </w:pPr>
            <w:r>
              <w:rPr>
                <w:rFonts w:ascii="Arial" w:cs="Arial" w:eastAsia="Arial" w:hAnsi="Arial"/>
                <w:sz w:val="18"/>
                <w:szCs w:val="18"/>
                <w:color w:val="auto"/>
              </w:rPr>
              <w:t>7.10</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(a)(3)</w:t>
            </w:r>
          </w:p>
        </w:tc>
        <w:tc>
          <w:tcPr>
            <w:tcW w:w="3420" w:type="dxa"/>
            <w:vAlign w:val="bottom"/>
          </w:tcPr>
          <w:p>
            <w:pPr>
              <w:ind w:left="2320"/>
              <w:spacing w:after="0"/>
              <w:rPr>
                <w:sz w:val="20"/>
                <w:szCs w:val="20"/>
                <w:color w:val="auto"/>
              </w:rPr>
            </w:pPr>
            <w:r>
              <w:rPr>
                <w:rFonts w:ascii="Arial" w:cs="Arial" w:eastAsia="Arial" w:hAnsi="Arial"/>
                <w:sz w:val="18"/>
                <w:szCs w:val="18"/>
                <w:color w:val="auto"/>
                <w:w w:val="93"/>
              </w:rPr>
              <w:t>Not Applicable</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(a)(4)</w:t>
            </w:r>
          </w:p>
        </w:tc>
        <w:tc>
          <w:tcPr>
            <w:tcW w:w="3420" w:type="dxa"/>
            <w:vAlign w:val="bottom"/>
          </w:tcPr>
          <w:p>
            <w:pPr>
              <w:ind w:left="2320"/>
              <w:spacing w:after="0"/>
              <w:rPr>
                <w:sz w:val="20"/>
                <w:szCs w:val="20"/>
                <w:color w:val="auto"/>
              </w:rPr>
            </w:pPr>
            <w:r>
              <w:rPr>
                <w:rFonts w:ascii="Arial" w:cs="Arial" w:eastAsia="Arial" w:hAnsi="Arial"/>
                <w:sz w:val="18"/>
                <w:szCs w:val="18"/>
                <w:color w:val="auto"/>
                <w:w w:val="93"/>
              </w:rPr>
              <w:t>Not Applicable</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(a)(5)</w:t>
            </w:r>
          </w:p>
        </w:tc>
        <w:tc>
          <w:tcPr>
            <w:tcW w:w="3420" w:type="dxa"/>
            <w:vAlign w:val="bottom"/>
          </w:tcPr>
          <w:p>
            <w:pPr>
              <w:ind w:left="2320"/>
              <w:spacing w:after="0"/>
              <w:rPr>
                <w:sz w:val="20"/>
                <w:szCs w:val="20"/>
                <w:color w:val="auto"/>
              </w:rPr>
            </w:pPr>
            <w:r>
              <w:rPr>
                <w:rFonts w:ascii="Arial" w:cs="Arial" w:eastAsia="Arial" w:hAnsi="Arial"/>
                <w:sz w:val="18"/>
                <w:szCs w:val="18"/>
                <w:color w:val="auto"/>
              </w:rPr>
              <w:t>7.10</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(b)</w:t>
            </w:r>
          </w:p>
        </w:tc>
        <w:tc>
          <w:tcPr>
            <w:tcW w:w="3420" w:type="dxa"/>
            <w:vAlign w:val="bottom"/>
          </w:tcPr>
          <w:p>
            <w:pPr>
              <w:ind w:left="2320"/>
              <w:spacing w:after="0"/>
              <w:rPr>
                <w:sz w:val="20"/>
                <w:szCs w:val="20"/>
                <w:color w:val="auto"/>
              </w:rPr>
            </w:pPr>
            <w:r>
              <w:rPr>
                <w:rFonts w:ascii="Arial" w:cs="Arial" w:eastAsia="Arial" w:hAnsi="Arial"/>
                <w:sz w:val="18"/>
                <w:szCs w:val="18"/>
                <w:color w:val="auto"/>
              </w:rPr>
              <w:t>7.10</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 311(a)</w:t>
            </w:r>
          </w:p>
        </w:tc>
        <w:tc>
          <w:tcPr>
            <w:tcW w:w="3420" w:type="dxa"/>
            <w:vAlign w:val="bottom"/>
          </w:tcPr>
          <w:p>
            <w:pPr>
              <w:ind w:left="2320"/>
              <w:spacing w:after="0"/>
              <w:rPr>
                <w:sz w:val="20"/>
                <w:szCs w:val="20"/>
                <w:color w:val="auto"/>
              </w:rPr>
            </w:pPr>
            <w:r>
              <w:rPr>
                <w:rFonts w:ascii="Arial" w:cs="Arial" w:eastAsia="Arial" w:hAnsi="Arial"/>
                <w:sz w:val="18"/>
                <w:szCs w:val="18"/>
                <w:color w:val="auto"/>
              </w:rPr>
              <w:t>7.11</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(b)</w:t>
            </w:r>
          </w:p>
        </w:tc>
        <w:tc>
          <w:tcPr>
            <w:tcW w:w="3420" w:type="dxa"/>
            <w:vAlign w:val="bottom"/>
          </w:tcPr>
          <w:p>
            <w:pPr>
              <w:ind w:left="2320"/>
              <w:spacing w:after="0"/>
              <w:rPr>
                <w:sz w:val="20"/>
                <w:szCs w:val="20"/>
                <w:color w:val="auto"/>
              </w:rPr>
            </w:pPr>
            <w:r>
              <w:rPr>
                <w:rFonts w:ascii="Arial" w:cs="Arial" w:eastAsia="Arial" w:hAnsi="Arial"/>
                <w:sz w:val="18"/>
                <w:szCs w:val="18"/>
                <w:color w:val="auto"/>
              </w:rPr>
              <w:t>7.11</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(c)</w:t>
            </w:r>
          </w:p>
        </w:tc>
        <w:tc>
          <w:tcPr>
            <w:tcW w:w="3420" w:type="dxa"/>
            <w:vAlign w:val="bottom"/>
          </w:tcPr>
          <w:p>
            <w:pPr>
              <w:ind w:left="2320"/>
              <w:spacing w:after="0"/>
              <w:rPr>
                <w:sz w:val="20"/>
                <w:szCs w:val="20"/>
                <w:color w:val="auto"/>
              </w:rPr>
            </w:pPr>
            <w:r>
              <w:rPr>
                <w:rFonts w:ascii="Arial" w:cs="Arial" w:eastAsia="Arial" w:hAnsi="Arial"/>
                <w:sz w:val="18"/>
                <w:szCs w:val="18"/>
                <w:color w:val="auto"/>
                <w:w w:val="93"/>
              </w:rPr>
              <w:t>Not Applicable</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 312(a)</w:t>
            </w:r>
          </w:p>
        </w:tc>
        <w:tc>
          <w:tcPr>
            <w:tcW w:w="3420" w:type="dxa"/>
            <w:vAlign w:val="bottom"/>
          </w:tcPr>
          <w:p>
            <w:pPr>
              <w:ind w:left="2320"/>
              <w:spacing w:after="0"/>
              <w:rPr>
                <w:sz w:val="20"/>
                <w:szCs w:val="20"/>
                <w:color w:val="auto"/>
              </w:rPr>
            </w:pPr>
            <w:r>
              <w:rPr>
                <w:rFonts w:ascii="Arial" w:cs="Arial" w:eastAsia="Arial" w:hAnsi="Arial"/>
                <w:sz w:val="18"/>
                <w:szCs w:val="18"/>
                <w:color w:val="auto"/>
              </w:rPr>
              <w:t>2.6</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(b)</w:t>
            </w:r>
          </w:p>
        </w:tc>
        <w:tc>
          <w:tcPr>
            <w:tcW w:w="3420" w:type="dxa"/>
            <w:vAlign w:val="bottom"/>
          </w:tcPr>
          <w:p>
            <w:pPr>
              <w:ind w:left="2320"/>
              <w:spacing w:after="0"/>
              <w:rPr>
                <w:sz w:val="20"/>
                <w:szCs w:val="20"/>
                <w:color w:val="auto"/>
              </w:rPr>
            </w:pPr>
            <w:r>
              <w:rPr>
                <w:rFonts w:ascii="Arial" w:cs="Arial" w:eastAsia="Arial" w:hAnsi="Arial"/>
                <w:sz w:val="18"/>
                <w:szCs w:val="18"/>
                <w:color w:val="auto"/>
              </w:rPr>
              <w:t>10.3</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(c)</w:t>
            </w:r>
          </w:p>
        </w:tc>
        <w:tc>
          <w:tcPr>
            <w:tcW w:w="3420" w:type="dxa"/>
            <w:vAlign w:val="bottom"/>
          </w:tcPr>
          <w:p>
            <w:pPr>
              <w:ind w:left="2320"/>
              <w:spacing w:after="0"/>
              <w:rPr>
                <w:sz w:val="20"/>
                <w:szCs w:val="20"/>
                <w:color w:val="auto"/>
              </w:rPr>
            </w:pPr>
            <w:r>
              <w:rPr>
                <w:rFonts w:ascii="Arial" w:cs="Arial" w:eastAsia="Arial" w:hAnsi="Arial"/>
                <w:sz w:val="18"/>
                <w:szCs w:val="18"/>
                <w:color w:val="auto"/>
              </w:rPr>
              <w:t>10.3</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 313(a)</w:t>
            </w:r>
          </w:p>
        </w:tc>
        <w:tc>
          <w:tcPr>
            <w:tcW w:w="3420" w:type="dxa"/>
            <w:vAlign w:val="bottom"/>
          </w:tcPr>
          <w:p>
            <w:pPr>
              <w:ind w:left="2320"/>
              <w:spacing w:after="0"/>
              <w:rPr>
                <w:sz w:val="20"/>
                <w:szCs w:val="20"/>
                <w:color w:val="auto"/>
              </w:rPr>
            </w:pPr>
            <w:r>
              <w:rPr>
                <w:rFonts w:ascii="Arial" w:cs="Arial" w:eastAsia="Arial" w:hAnsi="Arial"/>
                <w:sz w:val="18"/>
                <w:szCs w:val="18"/>
                <w:color w:val="auto"/>
              </w:rPr>
              <w:t>7.6</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(b)(1)</w:t>
            </w:r>
          </w:p>
        </w:tc>
        <w:tc>
          <w:tcPr>
            <w:tcW w:w="3420" w:type="dxa"/>
            <w:vAlign w:val="bottom"/>
          </w:tcPr>
          <w:p>
            <w:pPr>
              <w:ind w:left="2320"/>
              <w:spacing w:after="0"/>
              <w:rPr>
                <w:sz w:val="20"/>
                <w:szCs w:val="20"/>
                <w:color w:val="auto"/>
              </w:rPr>
            </w:pPr>
            <w:r>
              <w:rPr>
                <w:rFonts w:ascii="Arial" w:cs="Arial" w:eastAsia="Arial" w:hAnsi="Arial"/>
                <w:sz w:val="18"/>
                <w:szCs w:val="18"/>
                <w:color w:val="auto"/>
              </w:rPr>
              <w:t>7.6</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(b)(2)</w:t>
            </w:r>
          </w:p>
        </w:tc>
        <w:tc>
          <w:tcPr>
            <w:tcW w:w="3420" w:type="dxa"/>
            <w:vAlign w:val="bottom"/>
          </w:tcPr>
          <w:p>
            <w:pPr>
              <w:ind w:left="2320"/>
              <w:spacing w:after="0"/>
              <w:rPr>
                <w:sz w:val="20"/>
                <w:szCs w:val="20"/>
                <w:color w:val="auto"/>
              </w:rPr>
            </w:pPr>
            <w:r>
              <w:rPr>
                <w:rFonts w:ascii="Arial" w:cs="Arial" w:eastAsia="Arial" w:hAnsi="Arial"/>
                <w:sz w:val="18"/>
                <w:szCs w:val="18"/>
                <w:color w:val="auto"/>
              </w:rPr>
              <w:t>7.6</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(c)(1)</w:t>
            </w:r>
          </w:p>
        </w:tc>
        <w:tc>
          <w:tcPr>
            <w:tcW w:w="3420" w:type="dxa"/>
            <w:vAlign w:val="bottom"/>
          </w:tcPr>
          <w:p>
            <w:pPr>
              <w:ind w:left="2320"/>
              <w:spacing w:after="0"/>
              <w:rPr>
                <w:sz w:val="20"/>
                <w:szCs w:val="20"/>
                <w:color w:val="auto"/>
              </w:rPr>
            </w:pPr>
            <w:r>
              <w:rPr>
                <w:rFonts w:ascii="Arial" w:cs="Arial" w:eastAsia="Arial" w:hAnsi="Arial"/>
                <w:sz w:val="18"/>
                <w:szCs w:val="18"/>
                <w:color w:val="auto"/>
              </w:rPr>
              <w:t>7.6</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(d)</w:t>
            </w:r>
          </w:p>
        </w:tc>
        <w:tc>
          <w:tcPr>
            <w:tcW w:w="3420" w:type="dxa"/>
            <w:vAlign w:val="bottom"/>
          </w:tcPr>
          <w:p>
            <w:pPr>
              <w:ind w:left="2320"/>
              <w:spacing w:after="0"/>
              <w:rPr>
                <w:sz w:val="20"/>
                <w:szCs w:val="20"/>
                <w:color w:val="auto"/>
              </w:rPr>
            </w:pPr>
            <w:r>
              <w:rPr>
                <w:rFonts w:ascii="Arial" w:cs="Arial" w:eastAsia="Arial" w:hAnsi="Arial"/>
                <w:sz w:val="18"/>
                <w:szCs w:val="18"/>
                <w:color w:val="auto"/>
              </w:rPr>
              <w:t>7.6</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 314(a)</w:t>
            </w:r>
          </w:p>
        </w:tc>
        <w:tc>
          <w:tcPr>
            <w:tcW w:w="3420" w:type="dxa"/>
            <w:vAlign w:val="bottom"/>
          </w:tcPr>
          <w:p>
            <w:pPr>
              <w:ind w:left="2320"/>
              <w:spacing w:after="0"/>
              <w:rPr>
                <w:sz w:val="20"/>
                <w:szCs w:val="20"/>
                <w:color w:val="auto"/>
              </w:rPr>
            </w:pPr>
            <w:r>
              <w:rPr>
                <w:rFonts w:ascii="Arial" w:cs="Arial" w:eastAsia="Arial" w:hAnsi="Arial"/>
                <w:sz w:val="18"/>
                <w:szCs w:val="18"/>
                <w:color w:val="auto"/>
              </w:rPr>
              <w:t>4.2, 10.5</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(b)</w:t>
            </w:r>
          </w:p>
        </w:tc>
        <w:tc>
          <w:tcPr>
            <w:tcW w:w="3420" w:type="dxa"/>
            <w:vAlign w:val="bottom"/>
          </w:tcPr>
          <w:p>
            <w:pPr>
              <w:ind w:left="2320"/>
              <w:spacing w:after="0"/>
              <w:rPr>
                <w:sz w:val="20"/>
                <w:szCs w:val="20"/>
                <w:color w:val="auto"/>
              </w:rPr>
            </w:pPr>
            <w:r>
              <w:rPr>
                <w:rFonts w:ascii="Arial" w:cs="Arial" w:eastAsia="Arial" w:hAnsi="Arial"/>
                <w:sz w:val="18"/>
                <w:szCs w:val="18"/>
                <w:color w:val="auto"/>
                <w:w w:val="93"/>
              </w:rPr>
              <w:t>Not Applicable</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(c)(1)</w:t>
            </w:r>
          </w:p>
        </w:tc>
        <w:tc>
          <w:tcPr>
            <w:tcW w:w="3420" w:type="dxa"/>
            <w:vAlign w:val="bottom"/>
          </w:tcPr>
          <w:p>
            <w:pPr>
              <w:ind w:left="2320"/>
              <w:spacing w:after="0"/>
              <w:rPr>
                <w:sz w:val="20"/>
                <w:szCs w:val="20"/>
                <w:color w:val="auto"/>
              </w:rPr>
            </w:pPr>
            <w:r>
              <w:rPr>
                <w:rFonts w:ascii="Arial" w:cs="Arial" w:eastAsia="Arial" w:hAnsi="Arial"/>
                <w:sz w:val="18"/>
                <w:szCs w:val="18"/>
                <w:color w:val="auto"/>
              </w:rPr>
              <w:t>10.4</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(c)(2)</w:t>
            </w:r>
          </w:p>
        </w:tc>
        <w:tc>
          <w:tcPr>
            <w:tcW w:w="3420" w:type="dxa"/>
            <w:vAlign w:val="bottom"/>
          </w:tcPr>
          <w:p>
            <w:pPr>
              <w:ind w:left="2320"/>
              <w:spacing w:after="0"/>
              <w:rPr>
                <w:sz w:val="20"/>
                <w:szCs w:val="20"/>
                <w:color w:val="auto"/>
              </w:rPr>
            </w:pPr>
            <w:r>
              <w:rPr>
                <w:rFonts w:ascii="Arial" w:cs="Arial" w:eastAsia="Arial" w:hAnsi="Arial"/>
                <w:sz w:val="18"/>
                <w:szCs w:val="18"/>
                <w:color w:val="auto"/>
              </w:rPr>
              <w:t>10.4</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(c)(3)</w:t>
            </w:r>
          </w:p>
        </w:tc>
        <w:tc>
          <w:tcPr>
            <w:tcW w:w="3420" w:type="dxa"/>
            <w:vAlign w:val="bottom"/>
          </w:tcPr>
          <w:p>
            <w:pPr>
              <w:ind w:left="2320"/>
              <w:spacing w:after="0"/>
              <w:rPr>
                <w:sz w:val="20"/>
                <w:szCs w:val="20"/>
                <w:color w:val="auto"/>
              </w:rPr>
            </w:pPr>
            <w:r>
              <w:rPr>
                <w:rFonts w:ascii="Arial" w:cs="Arial" w:eastAsia="Arial" w:hAnsi="Arial"/>
                <w:sz w:val="18"/>
                <w:szCs w:val="18"/>
                <w:color w:val="auto"/>
                <w:w w:val="93"/>
              </w:rPr>
              <w:t>Not Applicable</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(d)</w:t>
            </w:r>
          </w:p>
        </w:tc>
        <w:tc>
          <w:tcPr>
            <w:tcW w:w="3420" w:type="dxa"/>
            <w:vAlign w:val="bottom"/>
          </w:tcPr>
          <w:p>
            <w:pPr>
              <w:ind w:left="2320"/>
              <w:spacing w:after="0"/>
              <w:rPr>
                <w:sz w:val="20"/>
                <w:szCs w:val="20"/>
                <w:color w:val="auto"/>
              </w:rPr>
            </w:pPr>
            <w:r>
              <w:rPr>
                <w:rFonts w:ascii="Arial" w:cs="Arial" w:eastAsia="Arial" w:hAnsi="Arial"/>
                <w:sz w:val="18"/>
                <w:szCs w:val="18"/>
                <w:color w:val="auto"/>
                <w:w w:val="93"/>
              </w:rPr>
              <w:t>Not Applicable</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(e)</w:t>
            </w:r>
          </w:p>
        </w:tc>
        <w:tc>
          <w:tcPr>
            <w:tcW w:w="3420" w:type="dxa"/>
            <w:vAlign w:val="bottom"/>
          </w:tcPr>
          <w:p>
            <w:pPr>
              <w:ind w:left="2320"/>
              <w:spacing w:after="0"/>
              <w:rPr>
                <w:sz w:val="20"/>
                <w:szCs w:val="20"/>
                <w:color w:val="auto"/>
              </w:rPr>
            </w:pPr>
            <w:r>
              <w:rPr>
                <w:rFonts w:ascii="Arial" w:cs="Arial" w:eastAsia="Arial" w:hAnsi="Arial"/>
                <w:sz w:val="18"/>
                <w:szCs w:val="18"/>
                <w:color w:val="auto"/>
              </w:rPr>
              <w:t>10.5</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(f)</w:t>
            </w:r>
          </w:p>
        </w:tc>
        <w:tc>
          <w:tcPr>
            <w:tcW w:w="3420" w:type="dxa"/>
            <w:vAlign w:val="bottom"/>
          </w:tcPr>
          <w:p>
            <w:pPr>
              <w:ind w:left="2320"/>
              <w:spacing w:after="0"/>
              <w:rPr>
                <w:sz w:val="20"/>
                <w:szCs w:val="20"/>
                <w:color w:val="auto"/>
              </w:rPr>
            </w:pPr>
            <w:r>
              <w:rPr>
                <w:rFonts w:ascii="Arial" w:cs="Arial" w:eastAsia="Arial" w:hAnsi="Arial"/>
                <w:sz w:val="18"/>
                <w:szCs w:val="18"/>
                <w:color w:val="auto"/>
                <w:w w:val="93"/>
              </w:rPr>
              <w:t>Not Applicable</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 315(a)</w:t>
            </w:r>
          </w:p>
        </w:tc>
        <w:tc>
          <w:tcPr>
            <w:tcW w:w="3420" w:type="dxa"/>
            <w:vAlign w:val="bottom"/>
          </w:tcPr>
          <w:p>
            <w:pPr>
              <w:ind w:left="2320"/>
              <w:spacing w:after="0"/>
              <w:rPr>
                <w:sz w:val="20"/>
                <w:szCs w:val="20"/>
                <w:color w:val="auto"/>
              </w:rPr>
            </w:pPr>
            <w:r>
              <w:rPr>
                <w:rFonts w:ascii="Arial" w:cs="Arial" w:eastAsia="Arial" w:hAnsi="Arial"/>
                <w:sz w:val="18"/>
                <w:szCs w:val="18"/>
                <w:color w:val="auto"/>
              </w:rPr>
              <w:t>7.1</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(b)</w:t>
            </w:r>
          </w:p>
        </w:tc>
        <w:tc>
          <w:tcPr>
            <w:tcW w:w="3420" w:type="dxa"/>
            <w:vAlign w:val="bottom"/>
          </w:tcPr>
          <w:p>
            <w:pPr>
              <w:ind w:left="2320"/>
              <w:spacing w:after="0"/>
              <w:rPr>
                <w:sz w:val="20"/>
                <w:szCs w:val="20"/>
                <w:color w:val="auto"/>
              </w:rPr>
            </w:pPr>
            <w:r>
              <w:rPr>
                <w:rFonts w:ascii="Arial" w:cs="Arial" w:eastAsia="Arial" w:hAnsi="Arial"/>
                <w:sz w:val="18"/>
                <w:szCs w:val="18"/>
                <w:color w:val="auto"/>
              </w:rPr>
              <w:t>7.5</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(c)</w:t>
            </w:r>
          </w:p>
        </w:tc>
        <w:tc>
          <w:tcPr>
            <w:tcW w:w="3420" w:type="dxa"/>
            <w:vAlign w:val="bottom"/>
          </w:tcPr>
          <w:p>
            <w:pPr>
              <w:ind w:left="2320"/>
              <w:spacing w:after="0"/>
              <w:rPr>
                <w:sz w:val="20"/>
                <w:szCs w:val="20"/>
                <w:color w:val="auto"/>
              </w:rPr>
            </w:pPr>
            <w:r>
              <w:rPr>
                <w:rFonts w:ascii="Arial" w:cs="Arial" w:eastAsia="Arial" w:hAnsi="Arial"/>
                <w:sz w:val="18"/>
                <w:szCs w:val="18"/>
                <w:color w:val="auto"/>
              </w:rPr>
              <w:t>7.1</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(d)</w:t>
            </w:r>
          </w:p>
        </w:tc>
        <w:tc>
          <w:tcPr>
            <w:tcW w:w="3420" w:type="dxa"/>
            <w:vAlign w:val="bottom"/>
          </w:tcPr>
          <w:p>
            <w:pPr>
              <w:ind w:left="2320"/>
              <w:spacing w:after="0"/>
              <w:rPr>
                <w:sz w:val="20"/>
                <w:szCs w:val="20"/>
                <w:color w:val="auto"/>
              </w:rPr>
            </w:pPr>
            <w:r>
              <w:rPr>
                <w:rFonts w:ascii="Arial" w:cs="Arial" w:eastAsia="Arial" w:hAnsi="Arial"/>
                <w:sz w:val="18"/>
                <w:szCs w:val="18"/>
                <w:color w:val="auto"/>
              </w:rPr>
              <w:t>7.1</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(e)</w:t>
            </w:r>
          </w:p>
        </w:tc>
        <w:tc>
          <w:tcPr>
            <w:tcW w:w="3420" w:type="dxa"/>
            <w:vAlign w:val="bottom"/>
          </w:tcPr>
          <w:p>
            <w:pPr>
              <w:ind w:left="2320"/>
              <w:spacing w:after="0"/>
              <w:rPr>
                <w:sz w:val="20"/>
                <w:szCs w:val="20"/>
                <w:color w:val="auto"/>
              </w:rPr>
            </w:pPr>
            <w:r>
              <w:rPr>
                <w:rFonts w:ascii="Arial" w:cs="Arial" w:eastAsia="Arial" w:hAnsi="Arial"/>
                <w:sz w:val="18"/>
                <w:szCs w:val="18"/>
                <w:color w:val="auto"/>
              </w:rPr>
              <w:t>6.14</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 316(a)</w:t>
            </w:r>
          </w:p>
        </w:tc>
        <w:tc>
          <w:tcPr>
            <w:tcW w:w="3420" w:type="dxa"/>
            <w:vAlign w:val="bottom"/>
          </w:tcPr>
          <w:p>
            <w:pPr>
              <w:ind w:left="2320"/>
              <w:spacing w:after="0"/>
              <w:rPr>
                <w:sz w:val="20"/>
                <w:szCs w:val="20"/>
                <w:color w:val="auto"/>
              </w:rPr>
            </w:pPr>
            <w:r>
              <w:rPr>
                <w:rFonts w:ascii="Arial" w:cs="Arial" w:eastAsia="Arial" w:hAnsi="Arial"/>
                <w:sz w:val="18"/>
                <w:szCs w:val="18"/>
                <w:color w:val="auto"/>
              </w:rPr>
              <w:t>2.10</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(a)(1)(A)</w:t>
            </w:r>
          </w:p>
        </w:tc>
        <w:tc>
          <w:tcPr>
            <w:tcW w:w="3420" w:type="dxa"/>
            <w:vAlign w:val="bottom"/>
          </w:tcPr>
          <w:p>
            <w:pPr>
              <w:ind w:left="2320"/>
              <w:spacing w:after="0"/>
              <w:rPr>
                <w:sz w:val="20"/>
                <w:szCs w:val="20"/>
                <w:color w:val="auto"/>
              </w:rPr>
            </w:pPr>
            <w:r>
              <w:rPr>
                <w:rFonts w:ascii="Arial" w:cs="Arial" w:eastAsia="Arial" w:hAnsi="Arial"/>
                <w:sz w:val="18"/>
                <w:szCs w:val="18"/>
                <w:color w:val="auto"/>
              </w:rPr>
              <w:t>6.12</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(a)(1)(B)</w:t>
            </w:r>
          </w:p>
        </w:tc>
        <w:tc>
          <w:tcPr>
            <w:tcW w:w="3420" w:type="dxa"/>
            <w:vAlign w:val="bottom"/>
          </w:tcPr>
          <w:p>
            <w:pPr>
              <w:ind w:left="2320"/>
              <w:spacing w:after="0"/>
              <w:rPr>
                <w:sz w:val="20"/>
                <w:szCs w:val="20"/>
                <w:color w:val="auto"/>
              </w:rPr>
            </w:pPr>
            <w:r>
              <w:rPr>
                <w:rFonts w:ascii="Arial" w:cs="Arial" w:eastAsia="Arial" w:hAnsi="Arial"/>
                <w:sz w:val="18"/>
                <w:szCs w:val="18"/>
                <w:color w:val="auto"/>
              </w:rPr>
              <w:t>6.13</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(b)</w:t>
            </w:r>
          </w:p>
        </w:tc>
        <w:tc>
          <w:tcPr>
            <w:tcW w:w="3420" w:type="dxa"/>
            <w:vAlign w:val="bottom"/>
          </w:tcPr>
          <w:p>
            <w:pPr>
              <w:ind w:left="2320"/>
              <w:spacing w:after="0"/>
              <w:rPr>
                <w:sz w:val="20"/>
                <w:szCs w:val="20"/>
                <w:color w:val="auto"/>
              </w:rPr>
            </w:pPr>
            <w:r>
              <w:rPr>
                <w:rFonts w:ascii="Arial" w:cs="Arial" w:eastAsia="Arial" w:hAnsi="Arial"/>
                <w:sz w:val="18"/>
                <w:szCs w:val="18"/>
                <w:color w:val="auto"/>
              </w:rPr>
              <w:t>6.8</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w w:val="89"/>
              </w:rPr>
              <w:t>§ 317(a)(1)</w:t>
            </w:r>
          </w:p>
        </w:tc>
        <w:tc>
          <w:tcPr>
            <w:tcW w:w="3420" w:type="dxa"/>
            <w:vAlign w:val="bottom"/>
          </w:tcPr>
          <w:p>
            <w:pPr>
              <w:ind w:left="2320"/>
              <w:spacing w:after="0"/>
              <w:rPr>
                <w:sz w:val="20"/>
                <w:szCs w:val="20"/>
                <w:color w:val="auto"/>
              </w:rPr>
            </w:pPr>
            <w:r>
              <w:rPr>
                <w:rFonts w:ascii="Arial" w:cs="Arial" w:eastAsia="Arial" w:hAnsi="Arial"/>
                <w:sz w:val="18"/>
                <w:szCs w:val="18"/>
                <w:color w:val="auto"/>
              </w:rPr>
              <w:t>6.3</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(a)(2)</w:t>
            </w:r>
          </w:p>
        </w:tc>
        <w:tc>
          <w:tcPr>
            <w:tcW w:w="3420" w:type="dxa"/>
            <w:vAlign w:val="bottom"/>
          </w:tcPr>
          <w:p>
            <w:pPr>
              <w:ind w:left="2320"/>
              <w:spacing w:after="0"/>
              <w:rPr>
                <w:sz w:val="20"/>
                <w:szCs w:val="20"/>
                <w:color w:val="auto"/>
              </w:rPr>
            </w:pPr>
            <w:r>
              <w:rPr>
                <w:rFonts w:ascii="Arial" w:cs="Arial" w:eastAsia="Arial" w:hAnsi="Arial"/>
                <w:sz w:val="18"/>
                <w:szCs w:val="18"/>
                <w:color w:val="auto"/>
              </w:rPr>
              <w:t>6.4</w:t>
            </w:r>
          </w:p>
        </w:tc>
      </w:tr>
      <w:tr>
        <w:trPr>
          <w:trHeight w:val="216"/>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(b)</w:t>
            </w:r>
          </w:p>
        </w:tc>
        <w:tc>
          <w:tcPr>
            <w:tcW w:w="3420" w:type="dxa"/>
            <w:vAlign w:val="bottom"/>
          </w:tcPr>
          <w:p>
            <w:pPr>
              <w:ind w:left="2320"/>
              <w:spacing w:after="0"/>
              <w:rPr>
                <w:sz w:val="20"/>
                <w:szCs w:val="20"/>
                <w:color w:val="auto"/>
              </w:rPr>
            </w:pPr>
            <w:r>
              <w:rPr>
                <w:rFonts w:ascii="Arial" w:cs="Arial" w:eastAsia="Arial" w:hAnsi="Arial"/>
                <w:sz w:val="18"/>
                <w:szCs w:val="18"/>
                <w:color w:val="auto"/>
              </w:rPr>
              <w:t>2.5</w:t>
            </w:r>
          </w:p>
        </w:tc>
      </w:tr>
      <w:tr>
        <w:trPr>
          <w:trHeight w:val="230"/>
        </w:trPr>
        <w:tc>
          <w:tcPr>
            <w:tcW w:w="4000" w:type="dxa"/>
            <w:vAlign w:val="bottom"/>
          </w:tcPr>
          <w:p>
            <w:pPr>
              <w:jc w:val="right"/>
              <w:ind w:right="3090"/>
              <w:spacing w:after="0"/>
              <w:rPr>
                <w:sz w:val="20"/>
                <w:szCs w:val="20"/>
                <w:color w:val="auto"/>
              </w:rPr>
            </w:pPr>
            <w:r>
              <w:rPr>
                <w:rFonts w:ascii="Arial" w:cs="Arial" w:eastAsia="Arial" w:hAnsi="Arial"/>
                <w:sz w:val="18"/>
                <w:szCs w:val="18"/>
                <w:color w:val="auto"/>
              </w:rPr>
              <w:t>§ 318(a)</w:t>
            </w:r>
          </w:p>
        </w:tc>
        <w:tc>
          <w:tcPr>
            <w:tcW w:w="3420" w:type="dxa"/>
            <w:vAlign w:val="bottom"/>
          </w:tcPr>
          <w:p>
            <w:pPr>
              <w:ind w:left="2320"/>
              <w:spacing w:after="0"/>
              <w:rPr>
                <w:sz w:val="20"/>
                <w:szCs w:val="20"/>
                <w:color w:val="auto"/>
              </w:rPr>
            </w:pPr>
            <w:r>
              <w:rPr>
                <w:rFonts w:ascii="Arial" w:cs="Arial" w:eastAsia="Arial" w:hAnsi="Arial"/>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715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019"/>
          </w:cols>
          <w:pgMar w:left="440" w:top="270" w:right="1440" w:bottom="1440" w:gutter="0" w:footer="0" w:header="0"/>
        </w:sectPr>
      </w:pPr>
    </w:p>
    <w:bookmarkStart w:id="61" w:name="page62"/>
    <w:bookmarkEnd w:id="6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__________, 20__ between Ascendis Pharma A/S, a company incorporated under the laws of Denmark</w:t>
      </w:r>
    </w:p>
    <w:p>
      <w:pPr>
        <w:spacing w:after="0" w:line="2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and [</w:t>
      </w:r>
      <w:r>
        <w:rPr>
          <w:sz w:val="20"/>
          <w:szCs w:val="20"/>
          <w:color w:val="auto"/>
        </w:rPr>
        <w:tab/>
      </w:r>
      <w:r>
        <w:rPr>
          <w:rFonts w:ascii="Arial" w:cs="Arial" w:eastAsia="Arial" w:hAnsi="Arial"/>
          <w:sz w:val="16"/>
          <w:szCs w:val="16"/>
          <w:i w:val="1"/>
          <w:iCs w:val="1"/>
          <w:color w:val="auto"/>
        </w:rPr>
        <w:t>], as trustee (“Trustee”).</w:t>
      </w:r>
    </w:p>
    <w:p>
      <w:pPr>
        <w:spacing w:after="0" w:line="211"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Notice Agent.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ind w:right="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Board Resolution</w:t>
      </w:r>
      <w:r>
        <w:rPr>
          <w:rFonts w:ascii="Arial" w:cs="Arial" w:eastAsia="Arial" w:hAnsi="Arial"/>
          <w:sz w:val="16"/>
          <w:szCs w:val="16"/>
          <w:color w:val="auto"/>
        </w:rPr>
        <w:t>” means a copy of a resolution certified by an officer of the Company to have been adopted by the Board of Directors or pursuant to authorization by the Board of Directors and to be in full force and effect on the date of the certificate and delivered to the Trustee.</w:t>
      </w:r>
    </w:p>
    <w:p>
      <w:pPr>
        <w:spacing w:after="0" w:line="124" w:lineRule="exact"/>
        <w:rPr>
          <w:sz w:val="20"/>
          <w:szCs w:val="20"/>
          <w:color w:val="auto"/>
        </w:rPr>
      </w:pPr>
    </w:p>
    <w:p>
      <w:pPr>
        <w:jc w:val="both"/>
        <w:ind w:right="3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except a Saturday, Sunday or a legal holiday in The City of New York, New York or in the Country of Denmark (or in connection with any payment, the place of payment) on which banking institutions are authorized or required by law, regulation or executive order to close.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Stock</w:t>
      </w:r>
      <w:r>
        <w:rPr>
          <w:rFonts w:ascii="Arial" w:cs="Arial" w:eastAsia="Arial" w:hAnsi="Arial"/>
          <w:sz w:val="16"/>
          <w:szCs w:val="16"/>
          <w:color w:val="auto"/>
        </w:rPr>
        <w:t>” means any and all shares, interests, participations, rights or other equivalents (however designated) of corporate stock.</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the party named as such above until a successor replaces it and thereafter means the successor.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Order</w:t>
      </w:r>
      <w:r>
        <w:rPr>
          <w:rFonts w:ascii="Arial" w:cs="Arial" w:eastAsia="Arial" w:hAnsi="Arial"/>
          <w:sz w:val="18"/>
          <w:szCs w:val="18"/>
          <w:color w:val="auto"/>
        </w:rPr>
        <w:t>” means a written order signed in the name of the Company by an Officer.</w:t>
      </w:r>
    </w:p>
    <w:p>
      <w:pPr>
        <w:spacing w:after="0" w:line="225" w:lineRule="exact"/>
        <w:rPr>
          <w:sz w:val="20"/>
          <w:szCs w:val="20"/>
          <w:color w:val="auto"/>
        </w:rPr>
      </w:pPr>
    </w:p>
    <w:p>
      <w:pPr>
        <w:ind w:right="7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office of the Trustee at which at any particular time its corporate trust business related to this Indenture shall be principally administered.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ectPr>
          <w:pgSz w:w="11900" w:h="16838" w:orient="portrait"/>
          <w:cols w:equalWidth="0" w:num="1">
            <w:col w:w="11000"/>
          </w:cols>
          <w:pgMar w:left="440" w:top="274" w:right="459" w:bottom="1440" w:gutter="0" w:footer="0" w:header="0"/>
        </w:sectPr>
      </w:pPr>
    </w:p>
    <w:bookmarkStart w:id="62" w:name="page63"/>
    <w:bookmarkEnd w:id="62"/>
    <w:p>
      <w:pPr>
        <w:ind w:right="24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7"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Foreign Currency</w:t>
      </w:r>
      <w:r>
        <w:rPr>
          <w:rFonts w:ascii="Arial" w:cs="Arial" w:eastAsia="Arial" w:hAnsi="Arial"/>
          <w:sz w:val="17"/>
          <w:szCs w:val="17"/>
          <w:color w:val="auto"/>
        </w:rPr>
        <w:t>” means any currency or currency unit issued by a government other than the government of The United States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America.</w:t>
      </w:r>
    </w:p>
    <w:p>
      <w:pPr>
        <w:spacing w:after="0" w:line="211" w:lineRule="exact"/>
        <w:rPr>
          <w:sz w:val="20"/>
          <w:szCs w:val="20"/>
          <w:color w:val="auto"/>
        </w:rPr>
      </w:pPr>
    </w:p>
    <w:p>
      <w:pPr>
        <w:ind w:right="28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Foreign Government Obligations</w:t>
      </w:r>
      <w:r>
        <w:rPr>
          <w:rFonts w:ascii="Arial" w:cs="Arial" w:eastAsia="Arial" w:hAnsi="Arial"/>
          <w:sz w:val="17"/>
          <w:szCs w:val="17"/>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65" w:lineRule="exact"/>
        <w:rPr>
          <w:sz w:val="20"/>
          <w:szCs w:val="20"/>
          <w:color w:val="auto"/>
        </w:rPr>
      </w:pPr>
    </w:p>
    <w:p>
      <w:pPr>
        <w:ind w:right="3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Security</w:t>
      </w:r>
      <w:r>
        <w:rPr>
          <w:rFonts w:ascii="Arial" w:cs="Arial" w:eastAsia="Arial" w:hAnsi="Arial"/>
          <w:sz w:val="18"/>
          <w:szCs w:val="18"/>
          <w:color w:val="auto"/>
        </w:rPr>
        <w:t>” or “</w:t>
      </w:r>
      <w:r>
        <w:rPr>
          <w:rFonts w:ascii="Arial" w:cs="Arial" w:eastAsia="Arial" w:hAnsi="Arial"/>
          <w:sz w:val="18"/>
          <w:szCs w:val="18"/>
          <w:i w:val="1"/>
          <w:iCs w:val="1"/>
          <w:color w:val="auto"/>
        </w:rPr>
        <w:t>Global Securities</w:t>
      </w:r>
      <w:r>
        <w:rPr>
          <w:rFonts w:ascii="Arial" w:cs="Arial" w:eastAsia="Arial" w:hAnsi="Arial"/>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Securityholder</w:t>
      </w:r>
      <w:r>
        <w:rPr>
          <w:rFonts w:ascii="Arial" w:cs="Arial" w:eastAsia="Arial" w:hAnsi="Arial"/>
          <w:sz w:val="18"/>
          <w:szCs w:val="18"/>
          <w:color w:val="auto"/>
        </w:rPr>
        <w:t>” means a person in whose name a Security is registered.</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IFRS</w:t>
      </w:r>
      <w:r>
        <w:rPr>
          <w:rFonts w:ascii="Arial" w:cs="Arial" w:eastAsia="Arial" w:hAnsi="Arial"/>
          <w:sz w:val="18"/>
          <w:szCs w:val="18"/>
          <w:color w:val="auto"/>
        </w:rPr>
        <w:t>” means International Financial Reporting Standards, as issued by the International Accounting Standards Board and as adopted by the European Union.</w:t>
      </w:r>
    </w:p>
    <w:p>
      <w:pPr>
        <w:spacing w:after="0" w:line="170"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interest</w:t>
      </w:r>
      <w:r>
        <w:rPr>
          <w:rFonts w:ascii="Arial" w:cs="Arial" w:eastAsia="Arial" w:hAnsi="Arial"/>
          <w:sz w:val="16"/>
          <w:szCs w:val="16"/>
          <w:color w:val="auto"/>
        </w:rPr>
        <w:t>” with respect to any Discount Security which by its terms bears interest only after Maturity, means interest payable after Maturity.</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2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Maturity</w:t>
      </w:r>
      <w:r>
        <w:rPr>
          <w:rFonts w:ascii="Arial" w:cs="Arial" w:eastAsia="Arial" w:hAnsi="Arial"/>
          <w:sz w:val="17"/>
          <w:szCs w:val="17"/>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63" w:name="page64"/>
    <w:bookmarkEnd w:id="63"/>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Officer</w:t>
      </w:r>
      <w:r>
        <w:rPr>
          <w:rFonts w:ascii="Arial" w:cs="Arial" w:eastAsia="Arial" w:hAnsi="Arial"/>
          <w:sz w:val="18"/>
          <w:szCs w:val="18"/>
          <w:color w:val="auto"/>
        </w:rPr>
        <w:t>” means the Chief Executive Officer, President, the Chief Financial Officer, the Treasurer or any Assistant Treasurer, the Secretary or any Assistant Secretary, and any Vice President of the Company, whether or not designated by a number or numbers or a word or words added after the title “Vice President”.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any Officer.</w:t>
      </w:r>
    </w:p>
    <w:p>
      <w:pPr>
        <w:spacing w:after="0" w:line="22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who is acceptable to the Trustee. The counsel may be an employee of or counsel to the Company. The opinion may contain customary limitations, conditions and exceptions.</w:t>
      </w:r>
    </w:p>
    <w:p>
      <w:pPr>
        <w:spacing w:after="0" w:line="170"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the Security.</w:t>
      </w:r>
    </w:p>
    <w:p>
      <w:pPr>
        <w:spacing w:after="0" w:line="22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and also means, with respect to a particular corporate trust matter, any other officer to whom any corporate trust matter is referred because of his or her knowledge of and familiarity with a particular subject, and, in each case, who shall have direct responsibility for the administration of this Indenture.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w:t>
      </w:r>
      <w:r>
        <w:rPr>
          <w:rFonts w:ascii="Arial" w:cs="Arial" w:eastAsia="Arial" w:hAnsi="Arial"/>
          <w:sz w:val="16"/>
          <w:szCs w:val="16"/>
          <w:color w:val="auto"/>
        </w:rPr>
        <w:t>” means the debentures, notes or other debt instruments of the Company of any Series authenticated and delivered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means each series of debentures, notes or other debt instruments of the Company created pursuant to Sections 2.1 and 2.2 hereof.</w:t>
      </w:r>
    </w:p>
    <w:p>
      <w:pPr>
        <w:spacing w:after="0" w:line="170"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70"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7"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xml:space="preserve">” means the Trust Indenture Act of 1939 (15 U.S. Code §§ 77aaa-77bbbb) as in effect on the date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“TIA” means, to the extent required by any such amendment, the Trust Indenture Act as so amended.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64" w:name="page65"/>
    <w:bookmarkEnd w:id="64"/>
    <w:p>
      <w:pPr>
        <w:ind w:right="4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i w:val="1"/>
          <w:iCs w:val="1"/>
          <w:color w:val="auto"/>
        </w:rPr>
        <w:t>Trustee</w:t>
      </w:r>
      <w:r>
        <w:rPr>
          <w:rFonts w:ascii="Arial" w:cs="Arial" w:eastAsia="Arial" w:hAnsi="Arial"/>
          <w:sz w:val="17"/>
          <w:szCs w:val="17"/>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 which shall be appointed pursuant to a supplemental indenture.</w:t>
      </w:r>
    </w:p>
    <w:p>
      <w:pPr>
        <w:spacing w:after="0" w:line="171"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Government Obligations</w:t>
      </w:r>
      <w:r>
        <w:rPr>
          <w:rFonts w:ascii="Arial" w:cs="Arial" w:eastAsia="Arial" w:hAnsi="Arial"/>
          <w:sz w:val="16"/>
          <w:szCs w:val="16"/>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Definitions</w:t>
      </w:r>
      <w:r>
        <w:rPr>
          <w:rFonts w:ascii="Arial" w:cs="Arial" w:eastAsia="Arial" w:hAnsi="Arial"/>
          <w:sz w:val="18"/>
          <w:szCs w:val="18"/>
          <w:color w:val="auto"/>
        </w:rPr>
        <w:t>.</w:t>
      </w:r>
    </w:p>
    <w:p>
      <w:pPr>
        <w:spacing w:after="0" w:line="23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680" w:type="dxa"/>
            <w:vAlign w:val="bottom"/>
            <w:gridSpan w:val="2"/>
            <w:vMerge w:val="restart"/>
          </w:tcPr>
          <w:p>
            <w:pPr>
              <w:spacing w:after="0"/>
              <w:rPr>
                <w:sz w:val="20"/>
                <w:szCs w:val="20"/>
                <w:color w:val="auto"/>
              </w:rPr>
            </w:pPr>
            <w:r>
              <w:rPr>
                <w:rFonts w:ascii="Arial" w:cs="Arial" w:eastAsia="Arial" w:hAnsi="Arial"/>
                <w:sz w:val="14"/>
                <w:szCs w:val="14"/>
                <w:color w:val="auto"/>
              </w:rPr>
              <w:t>TERM</w:t>
            </w:r>
          </w:p>
        </w:tc>
        <w:tc>
          <w:tcPr>
            <w:tcW w:w="800" w:type="dxa"/>
            <w:vAlign w:val="bottom"/>
          </w:tcPr>
          <w:p>
            <w:pPr>
              <w:jc w:val="center"/>
              <w:spacing w:after="0"/>
              <w:rPr>
                <w:sz w:val="20"/>
                <w:szCs w:val="20"/>
                <w:color w:val="auto"/>
              </w:rPr>
            </w:pPr>
            <w:r>
              <w:rPr>
                <w:rFonts w:ascii="Arial" w:cs="Arial" w:eastAsia="Arial" w:hAnsi="Arial"/>
                <w:sz w:val="14"/>
                <w:szCs w:val="14"/>
                <w:color w:val="auto"/>
              </w:rPr>
              <w:t>DEFINED IN</w:t>
            </w:r>
          </w:p>
        </w:tc>
        <w:tc>
          <w:tcPr>
            <w:tcW w:w="0" w:type="dxa"/>
            <w:vAlign w:val="bottom"/>
          </w:tcPr>
          <w:p>
            <w:pPr>
              <w:spacing w:after="0"/>
              <w:rPr>
                <w:sz w:val="1"/>
                <w:szCs w:val="1"/>
                <w:color w:val="auto"/>
              </w:rPr>
            </w:pPr>
          </w:p>
        </w:tc>
      </w:tr>
      <w:tr>
        <w:trPr>
          <w:trHeight w:val="154"/>
        </w:trPr>
        <w:tc>
          <w:tcPr>
            <w:tcW w:w="6680" w:type="dxa"/>
            <w:vAlign w:val="bottom"/>
            <w:gridSpan w:val="2"/>
            <w:vMerge w:val="continue"/>
          </w:tcPr>
          <w:p>
            <w:pPr>
              <w:spacing w:after="0"/>
              <w:rPr>
                <w:sz w:val="13"/>
                <w:szCs w:val="13"/>
                <w:color w:val="auto"/>
              </w:rPr>
            </w:pPr>
          </w:p>
        </w:tc>
        <w:tc>
          <w:tcPr>
            <w:tcW w:w="800" w:type="dxa"/>
            <w:vAlign w:val="bottom"/>
          </w:tcPr>
          <w:p>
            <w:pPr>
              <w:jc w:val="center"/>
              <w:spacing w:after="0" w:line="154" w:lineRule="exact"/>
              <w:rPr>
                <w:sz w:val="20"/>
                <w:szCs w:val="20"/>
                <w:color w:val="auto"/>
              </w:rPr>
            </w:pPr>
            <w:r>
              <w:rPr>
                <w:rFonts w:ascii="Arial" w:cs="Arial" w:eastAsia="Arial" w:hAnsi="Arial"/>
                <w:sz w:val="14"/>
                <w:szCs w:val="14"/>
                <w:color w:val="auto"/>
                <w:w w:val="96"/>
              </w:rPr>
              <w:t>SECTION</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80" w:type="dxa"/>
            <w:vAlign w:val="bottom"/>
            <w:gridSpan w:val="2"/>
          </w:tcPr>
          <w:p>
            <w:pPr>
              <w:spacing w:after="0" w:line="189" w:lineRule="exact"/>
              <w:rPr>
                <w:sz w:val="20"/>
                <w:szCs w:val="20"/>
                <w:color w:val="auto"/>
              </w:rPr>
            </w:pPr>
            <w:r>
              <w:rPr>
                <w:rFonts w:ascii="Arial" w:cs="Arial" w:eastAsia="Arial" w:hAnsi="Arial"/>
                <w:sz w:val="18"/>
                <w:szCs w:val="18"/>
                <w:i w:val="1"/>
                <w:iCs w:val="1"/>
                <w:color w:val="auto"/>
              </w:rPr>
              <w:t>“Bankruptcy Law”</w:t>
            </w:r>
          </w:p>
        </w:tc>
        <w:tc>
          <w:tcPr>
            <w:tcW w:w="800" w:type="dxa"/>
            <w:vAlign w:val="bottom"/>
          </w:tcPr>
          <w:p>
            <w:pPr>
              <w:jc w:val="center"/>
              <w:spacing w:after="0" w:line="189" w:lineRule="exact"/>
              <w:rPr>
                <w:sz w:val="20"/>
                <w:szCs w:val="20"/>
                <w:color w:val="auto"/>
              </w:rPr>
            </w:pPr>
            <w:r>
              <w:rPr>
                <w:rFonts w:ascii="Arial" w:cs="Arial" w:eastAsia="Arial" w:hAnsi="Arial"/>
                <w:sz w:val="18"/>
                <w:szCs w:val="18"/>
                <w:color w:val="auto"/>
                <w:w w:val="95"/>
              </w:rPr>
              <w:t>6.1</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i w:val="1"/>
                <w:iCs w:val="1"/>
                <w:color w:val="auto"/>
              </w:rPr>
              <w:t>“Custodian”</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6.1</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i w:val="1"/>
                <w:iCs w:val="1"/>
                <w:color w:val="auto"/>
              </w:rPr>
              <w:t>“Event of Default”</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6.1</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i w:val="1"/>
                <w:iCs w:val="1"/>
                <w:color w:val="auto"/>
              </w:rPr>
              <w:t>“Judgment Currency”</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i w:val="1"/>
                <w:iCs w:val="1"/>
                <w:color w:val="auto"/>
              </w:rPr>
              <w:t>“Legal Holiday”</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i w:val="1"/>
                <w:iCs w:val="1"/>
                <w:color w:val="auto"/>
              </w:rPr>
              <w:t>“mandatory sinking fund payment”</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11.1</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i w:val="1"/>
                <w:iCs w:val="1"/>
                <w:color w:val="auto"/>
              </w:rPr>
              <w:t>“New York Banking Day”</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i w:val="1"/>
                <w:iCs w:val="1"/>
                <w:color w:val="auto"/>
              </w:rPr>
              <w:t>“Notice Agent”</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i w:val="1"/>
                <w:iCs w:val="1"/>
                <w:color w:val="auto"/>
              </w:rPr>
              <w:t>“optional sinking fund payment”</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11.1</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i w:val="1"/>
                <w:iCs w:val="1"/>
                <w:color w:val="auto"/>
              </w:rPr>
              <w:t>“Paying Agent”</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i w:val="1"/>
                <w:iCs w:val="1"/>
                <w:color w:val="auto"/>
              </w:rPr>
              <w:t>“Registrar”</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i w:val="1"/>
                <w:iCs w:val="1"/>
                <w:color w:val="auto"/>
              </w:rPr>
              <w:t>“Required Currency”</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i w:val="1"/>
                <w:iCs w:val="1"/>
                <w:color w:val="auto"/>
              </w:rPr>
              <w:t>“Specified Courts”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i w:val="1"/>
                <w:iCs w:val="1"/>
                <w:color w:val="auto"/>
              </w:rPr>
              <w:t>“successor person”</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5.1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Incorporation by Reference of Trust Indenture Act</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Whenever this Indenture refers to a provision of the TIA, the provision is incorporated by reference in and made a part of this Indenture.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TIA terms used in this Indenture have the following meanings:</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65" w:name="page66"/>
    <w:bookmarkEnd w:id="6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indenture security holder</w:t>
      </w:r>
      <w:r>
        <w:rPr>
          <w:rFonts w:ascii="Arial" w:cs="Arial" w:eastAsia="Arial" w:hAnsi="Arial"/>
          <w:sz w:val="18"/>
          <w:szCs w:val="18"/>
          <w:color w:val="auto"/>
        </w:rPr>
        <w:t>” means a Securityholder.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trustee</w:t>
      </w:r>
      <w:r>
        <w:rPr>
          <w:rFonts w:ascii="Arial" w:cs="Arial" w:eastAsia="Arial" w:hAnsi="Arial"/>
          <w:sz w:val="18"/>
          <w:szCs w:val="18"/>
          <w:color w:val="auto"/>
        </w:rPr>
        <w:t>” or “</w:t>
      </w:r>
      <w:r>
        <w:rPr>
          <w:rFonts w:ascii="Arial" w:cs="Arial" w:eastAsia="Arial" w:hAnsi="Arial"/>
          <w:sz w:val="18"/>
          <w:szCs w:val="18"/>
          <w:i w:val="1"/>
          <w:iCs w:val="1"/>
          <w:color w:val="auto"/>
        </w:rPr>
        <w:t>institutional trustee</w:t>
      </w:r>
      <w:r>
        <w:rPr>
          <w:rFonts w:ascii="Arial" w:cs="Arial" w:eastAsia="Arial" w:hAnsi="Arial"/>
          <w:sz w:val="18"/>
          <w:szCs w:val="18"/>
          <w:color w:val="auto"/>
        </w:rPr>
        <w:t>” means the Trustee.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indenture securities means the Company and any successor obligor upon the Securities.</w:t>
      </w:r>
    </w:p>
    <w:p>
      <w:pPr>
        <w:spacing w:after="0" w:line="225"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1100" w:hanging="241"/>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IFRS;</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r>
        <w:rPr>
          <w:rFonts w:ascii="Arial" w:cs="Arial" w:eastAsia="Arial" w:hAnsi="Arial"/>
          <w:sz w:val="18"/>
          <w:szCs w:val="18"/>
          <w:color w:val="auto"/>
        </w:rPr>
        <w:t>” is not exclusive;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Issuable in Series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66" w:name="page67"/>
    <w:bookmarkEnd w:id="6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 </w:t>
      </w:r>
      <w:r>
        <w:rPr>
          <w:rFonts w:ascii="Arial" w:cs="Arial" w:eastAsia="Arial" w:hAnsi="Arial"/>
          <w:sz w:val="18"/>
          <w:szCs w:val="18"/>
          <w:u w:val="single" w:color="auto"/>
          <w:color w:val="auto"/>
        </w:rPr>
        <w:t>Establishment of Terms of Series of Securities</w:t>
      </w:r>
      <w:r>
        <w:rPr>
          <w:rFonts w:ascii="Arial" w:cs="Arial" w:eastAsia="Arial" w:hAnsi="Arial"/>
          <w:sz w:val="18"/>
          <w:szCs w:val="18"/>
          <w:color w:val="auto"/>
        </w:rPr>
        <w:t>.</w:t>
      </w:r>
    </w:p>
    <w:p>
      <w:pPr>
        <w:spacing w:after="0" w:line="225" w:lineRule="exact"/>
        <w:rPr>
          <w:sz w:val="20"/>
          <w:szCs w:val="20"/>
          <w:color w:val="auto"/>
        </w:rPr>
      </w:pPr>
    </w:p>
    <w:p>
      <w:pPr>
        <w:ind w:right="240" w:firstLine="991"/>
        <w:spacing w:after="0" w:line="259" w:lineRule="auto"/>
        <w:rPr>
          <w:sz w:val="20"/>
          <w:szCs w:val="20"/>
          <w:color w:val="auto"/>
        </w:rPr>
      </w:pPr>
      <w:r>
        <w:rPr>
          <w:rFonts w:ascii="Arial" w:cs="Arial" w:eastAsia="Arial" w:hAnsi="Arial"/>
          <w:sz w:val="18"/>
          <w:szCs w:val="18"/>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79" w:lineRule="exact"/>
        <w:rPr>
          <w:sz w:val="20"/>
          <w:szCs w:val="20"/>
          <w:color w:val="auto"/>
        </w:rPr>
      </w:pPr>
    </w:p>
    <w:p>
      <w:pPr>
        <w:ind w:right="740" w:firstLine="991"/>
        <w:spacing w:after="0" w:line="277" w:lineRule="auto"/>
        <w:rPr>
          <w:sz w:val="20"/>
          <w:szCs w:val="20"/>
          <w:color w:val="auto"/>
        </w:rPr>
      </w:pPr>
      <w:r>
        <w:rPr>
          <w:rFonts w:ascii="Arial" w:cs="Arial" w:eastAsia="Arial" w:hAnsi="Arial"/>
          <w:sz w:val="18"/>
          <w:szCs w:val="18"/>
          <w:color w:val="auto"/>
        </w:rPr>
        <w:t>2.2.1. the title (which shall distinguish the Securities of that particular Series from the Securities of any other Series) and ranking (including the terms of any subordination provisions) of the Series;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2.2.2. the price or prices (expressed as a percentage of the principal amount thereof) at which the Securities of the Series will be issued;</w:t>
      </w:r>
    </w:p>
    <w:p>
      <w:pPr>
        <w:spacing w:after="0" w:line="248"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2.2.4. the date or dates on which the principal of the Securities of the Series is payable;</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7"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49"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170" w:lineRule="exact"/>
        <w:rPr>
          <w:sz w:val="20"/>
          <w:szCs w:val="20"/>
          <w:color w:val="auto"/>
        </w:rPr>
      </w:pPr>
    </w:p>
    <w:p>
      <w:pPr>
        <w:ind w:right="160" w:firstLine="991"/>
        <w:spacing w:after="0" w:line="286" w:lineRule="auto"/>
        <w:rPr>
          <w:sz w:val="20"/>
          <w:szCs w:val="20"/>
          <w:color w:val="auto"/>
        </w:rPr>
      </w:pPr>
      <w:r>
        <w:rPr>
          <w:rFonts w:ascii="Arial" w:cs="Arial" w:eastAsia="Arial" w:hAnsi="Arial"/>
          <w:sz w:val="17"/>
          <w:szCs w:val="17"/>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67" w:name="page68"/>
    <w:bookmarkEnd w:id="67"/>
    <w:p>
      <w:pPr>
        <w:ind w:right="2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2.2.9. 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2.2.10. if other than denominations of $1,000 and any integral multiple thereof, the denominations in which the Securities of the Series shall be issuable;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2.2.11. the forms of the Securities of the Series and whether the Securities will be issuable as Global Securities;</w:t>
      </w:r>
    </w:p>
    <w:p>
      <w:pPr>
        <w:spacing w:after="0" w:line="225" w:lineRule="exact"/>
        <w:rPr>
          <w:sz w:val="20"/>
          <w:szCs w:val="20"/>
          <w:color w:val="auto"/>
        </w:rPr>
      </w:pPr>
    </w:p>
    <w:p>
      <w:pPr>
        <w:jc w:val="both"/>
        <w:ind w:right="200" w:firstLine="991"/>
        <w:spacing w:after="0" w:line="277" w:lineRule="auto"/>
        <w:rPr>
          <w:sz w:val="20"/>
          <w:szCs w:val="20"/>
          <w:color w:val="auto"/>
        </w:rPr>
      </w:pPr>
      <w:r>
        <w:rPr>
          <w:rFonts w:ascii="Arial" w:cs="Arial" w:eastAsia="Arial" w:hAnsi="Arial"/>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70" w:lineRule="exact"/>
        <w:rPr>
          <w:sz w:val="20"/>
          <w:szCs w:val="20"/>
          <w:color w:val="auto"/>
        </w:rPr>
      </w:pPr>
    </w:p>
    <w:p>
      <w:pPr>
        <w:ind w:right="140" w:firstLine="991"/>
        <w:spacing w:after="0" w:line="308" w:lineRule="auto"/>
        <w:rPr>
          <w:sz w:val="20"/>
          <w:szCs w:val="20"/>
          <w:color w:val="auto"/>
        </w:rPr>
      </w:pPr>
      <w:r>
        <w:rPr>
          <w:rFonts w:ascii="Arial" w:cs="Arial" w:eastAsia="Arial" w:hAnsi="Arial"/>
          <w:sz w:val="17"/>
          <w:szCs w:val="17"/>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46"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2.2.14. the designation of the currency, currencies or currency units in which payment of the principal of and interest, if any, on the Securities of the Series will be made;</w:t>
      </w:r>
    </w:p>
    <w:p>
      <w:pPr>
        <w:spacing w:after="0" w:line="170"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84"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2.2.17. the provisions, if any, relating to any security provided for the Securities of the Series;</w:t>
      </w:r>
    </w:p>
    <w:p>
      <w:pPr>
        <w:spacing w:after="0" w:line="225" w:lineRule="exact"/>
        <w:rPr>
          <w:sz w:val="20"/>
          <w:szCs w:val="20"/>
          <w:color w:val="auto"/>
        </w:rPr>
      </w:pPr>
    </w:p>
    <w:p>
      <w:pPr>
        <w:ind w:right="160" w:firstLine="991"/>
        <w:spacing w:after="0" w:line="342" w:lineRule="auto"/>
        <w:rPr>
          <w:sz w:val="20"/>
          <w:szCs w:val="20"/>
          <w:color w:val="auto"/>
        </w:rPr>
      </w:pPr>
      <w:r>
        <w:rPr>
          <w:rFonts w:ascii="Arial" w:cs="Arial" w:eastAsia="Arial" w:hAnsi="Arial"/>
          <w:sz w:val="16"/>
          <w:szCs w:val="16"/>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2.2.19. any addition to, deletion of or change in the covenants set forth in Articles IV or V which applies to Securities of the Series;</w:t>
      </w:r>
    </w:p>
    <w:p>
      <w:pPr>
        <w:spacing w:after="0" w:line="23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2.2.20. any Depositaries, interest rate calculation agents, exchange rate calculation agents or other agents with respect to Securities of such Series if other than those appointed herein;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68" w:name="page69"/>
    <w:bookmarkEnd w:id="68"/>
    <w:p>
      <w:pPr>
        <w:ind w:right="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87"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84"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2.2.23. whether any of the Company’s direct or indirect Subsidiaries will guarantee the Securities of that Series, including the terms of subordination, if any, of such guarantees.</w:t>
      </w:r>
    </w:p>
    <w:p>
      <w:pPr>
        <w:spacing w:after="0" w:line="170" w:lineRule="exact"/>
        <w:rPr>
          <w:sz w:val="20"/>
          <w:szCs w:val="20"/>
          <w:color w:val="auto"/>
        </w:rPr>
      </w:pPr>
    </w:p>
    <w:p>
      <w:pPr>
        <w:ind w:right="60" w:firstLine="991"/>
        <w:spacing w:after="0" w:line="308" w:lineRule="auto"/>
        <w:rPr>
          <w:sz w:val="20"/>
          <w:szCs w:val="20"/>
          <w:color w:val="auto"/>
        </w:rPr>
      </w:pPr>
      <w:r>
        <w:rPr>
          <w:rFonts w:ascii="Arial" w:cs="Arial" w:eastAsia="Arial" w:hAnsi="Arial"/>
          <w:sz w:val="17"/>
          <w:szCs w:val="17"/>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 Officer shall sign the Securities for the Company by manual or electronic signature.</w:t>
      </w:r>
    </w:p>
    <w:p>
      <w:pPr>
        <w:spacing w:after="0" w:line="225"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If an Officer whose signature is on a Security no longer holds that office at the time the Security is authenticated, the Security shall nevertheless be valid.</w:t>
      </w:r>
    </w:p>
    <w:p>
      <w:pPr>
        <w:spacing w:after="0" w:line="170"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70"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84"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Prior to the issuance of Securities of any Series, the Trustee shall have received and (subject to Section 7.2) shall be fully protected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relying on: (a) the Board Resolution, supplemental indenture hereto or Officer’s Certificate establishing the form of the Securities of that Series or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within that Series and the terms of the Securities of that Series or of Securities within that Series, (b) an Officer’s Certificate complying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10.4, and (c) an Opinion of Counsel complying with Section 10.4.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69" w:name="page70"/>
    <w:bookmarkEnd w:id="69"/>
    <w:p>
      <w:pPr>
        <w:ind w:firstLine="99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vice-presidents or a committee of Responsible Officers shall determine that such action would expose the Trustee to personal liability to Holders of any then outstanding Series of Securities; or (c) if the Trustee in good faith shall determine that the terms of any such Securities as set forth in the Board Resolution or Officer’s Certificate would adversely affect it.</w:t>
      </w:r>
    </w:p>
    <w:p>
      <w:pPr>
        <w:spacing w:after="0" w:line="176"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Registrar Paying Agent and Notice Agent</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88" w:lineRule="auto"/>
        <w:rPr>
          <w:sz w:val="20"/>
          <w:szCs w:val="20"/>
          <w:color w:val="auto"/>
        </w:rPr>
      </w:pPr>
      <w:r>
        <w:rPr>
          <w:rFonts w:ascii="Arial" w:cs="Arial" w:eastAsia="Arial" w:hAnsi="Arial"/>
          <w:sz w:val="16"/>
          <w:szCs w:val="16"/>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Arial" w:cs="Arial" w:eastAsia="Arial" w:hAnsi="Arial"/>
          <w:sz w:val="16"/>
          <w:szCs w:val="16"/>
          <w:i w:val="1"/>
          <w:iCs w:val="1"/>
          <w:color w:val="auto"/>
        </w:rPr>
        <w:t>Paying Agent</w:t>
      </w:r>
      <w:r>
        <w:rPr>
          <w:rFonts w:ascii="Arial" w:cs="Arial" w:eastAsia="Arial" w:hAnsi="Arial"/>
          <w:sz w:val="16"/>
          <w:szCs w:val="16"/>
          <w:color w:val="auto"/>
        </w:rPr>
        <w:t>”), where Securities of such Series may be surrendered for registration of transfer or exchange (“</w:t>
      </w:r>
      <w:r>
        <w:rPr>
          <w:rFonts w:ascii="Arial" w:cs="Arial" w:eastAsia="Arial" w:hAnsi="Arial"/>
          <w:sz w:val="16"/>
          <w:szCs w:val="16"/>
          <w:i w:val="1"/>
          <w:iCs w:val="1"/>
          <w:color w:val="auto"/>
        </w:rPr>
        <w:t>Registrar</w:t>
      </w:r>
      <w:r>
        <w:rPr>
          <w:rFonts w:ascii="Arial" w:cs="Arial" w:eastAsia="Arial" w:hAnsi="Arial"/>
          <w:sz w:val="16"/>
          <w:szCs w:val="16"/>
          <w:color w:val="auto"/>
        </w:rPr>
        <w:t>”) and where notices and demands to or upon the Company in respect of the Securities of such Series and this Indenture may be delivered (“</w:t>
      </w:r>
      <w:r>
        <w:rPr>
          <w:rFonts w:ascii="Arial" w:cs="Arial" w:eastAsia="Arial" w:hAnsi="Arial"/>
          <w:sz w:val="16"/>
          <w:szCs w:val="16"/>
          <w:i w:val="1"/>
          <w:iCs w:val="1"/>
          <w:color w:val="auto"/>
        </w:rPr>
        <w:t>Notice Agent</w:t>
      </w:r>
      <w:r>
        <w:rPr>
          <w:rFonts w:ascii="Arial" w:cs="Arial" w:eastAsia="Arial" w:hAnsi="Arial"/>
          <w:sz w:val="16"/>
          <w:szCs w:val="16"/>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appointment of the Trustee as the Notice Agent shall exclude the appointment of the Trustee or any office of the Trustee as an agent to receive the service of legal process on the Company.</w:t>
      </w:r>
    </w:p>
    <w:p>
      <w:pPr>
        <w:spacing w:after="0" w:line="168" w:lineRule="exact"/>
        <w:rPr>
          <w:sz w:val="20"/>
          <w:szCs w:val="20"/>
          <w:color w:val="auto"/>
        </w:rPr>
      </w:pPr>
    </w:p>
    <w:p>
      <w:pPr>
        <w:ind w:right="80" w:firstLine="991"/>
        <w:spacing w:after="0" w:line="254" w:lineRule="auto"/>
        <w:rPr>
          <w:sz w:val="20"/>
          <w:szCs w:val="20"/>
          <w:color w:val="auto"/>
        </w:rPr>
      </w:pPr>
      <w:r>
        <w:rPr>
          <w:rFonts w:ascii="Arial" w:cs="Arial" w:eastAsia="Arial" w:hAnsi="Arial"/>
          <w:sz w:val="18"/>
          <w:szCs w:val="18"/>
          <w:color w:val="auto"/>
        </w:rPr>
        <w:t xml:space="preserve">The Company may also from time to time designate one or more co-registrars, additional paying agents or additional notice agents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Arial" w:cs="Arial" w:eastAsia="Arial" w:hAnsi="Arial"/>
          <w:sz w:val="18"/>
          <w:szCs w:val="18"/>
          <w:i w:val="1"/>
          <w:iCs w:val="1"/>
          <w:color w:val="auto"/>
        </w:rPr>
        <w:t>Registrar</w:t>
      </w:r>
      <w:r>
        <w:rPr>
          <w:rFonts w:ascii="Arial" w:cs="Arial" w:eastAsia="Arial" w:hAnsi="Arial"/>
          <w:sz w:val="18"/>
          <w:szCs w:val="18"/>
          <w:color w:val="auto"/>
        </w:rPr>
        <w:t>” includes any co-registrar; the term “</w:t>
      </w:r>
      <w:r>
        <w:rPr>
          <w:rFonts w:ascii="Arial" w:cs="Arial" w:eastAsia="Arial" w:hAnsi="Arial"/>
          <w:sz w:val="18"/>
          <w:szCs w:val="18"/>
          <w:i w:val="1"/>
          <w:iCs w:val="1"/>
          <w:color w:val="auto"/>
        </w:rPr>
        <w:t>Paying</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includes any additional paying agent; and the term “</w:t>
      </w:r>
      <w:r>
        <w:rPr>
          <w:rFonts w:ascii="Arial" w:cs="Arial" w:eastAsia="Arial" w:hAnsi="Arial"/>
          <w:sz w:val="18"/>
          <w:szCs w:val="18"/>
          <w:i w:val="1"/>
          <w:iCs w:val="1"/>
          <w:color w:val="auto"/>
        </w:rPr>
        <w:t>Notice Agent</w:t>
      </w:r>
      <w:r>
        <w:rPr>
          <w:rFonts w:ascii="Arial" w:cs="Arial" w:eastAsia="Arial" w:hAnsi="Arial"/>
          <w:sz w:val="18"/>
          <w:szCs w:val="18"/>
          <w:color w:val="auto"/>
        </w:rPr>
        <w:t>” includes any additional notice agent. The Company or any of its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may serve as Registrar or Paying Agent.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70" w:name="page71"/>
    <w:bookmarkEnd w:id="70"/>
    <w:p>
      <w:pPr>
        <w:ind w:right="20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Paying Agent to Hold Money in Trust</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Securityholder Lists</w:t>
      </w:r>
      <w:r>
        <w:rPr>
          <w:rFonts w:ascii="Arial" w:cs="Arial" w:eastAsia="Arial" w:hAnsi="Arial"/>
          <w:sz w:val="18"/>
          <w:szCs w:val="18"/>
          <w:color w:val="auto"/>
        </w:rPr>
        <w:t>.</w:t>
      </w:r>
    </w:p>
    <w:p>
      <w:pPr>
        <w:spacing w:after="0" w:line="225" w:lineRule="exact"/>
        <w:rPr>
          <w:sz w:val="20"/>
          <w:szCs w:val="20"/>
          <w:color w:val="auto"/>
        </w:rPr>
      </w:pPr>
    </w:p>
    <w:p>
      <w:pPr>
        <w:jc w:val="both"/>
        <w:ind w:right="20" w:firstLine="991"/>
        <w:spacing w:after="0" w:line="301" w:lineRule="auto"/>
        <w:rPr>
          <w:sz w:val="20"/>
          <w:szCs w:val="20"/>
          <w:color w:val="auto"/>
        </w:rPr>
      </w:pPr>
      <w:r>
        <w:rPr>
          <w:rFonts w:ascii="Arial" w:cs="Arial" w:eastAsia="Arial" w:hAnsi="Arial"/>
          <w:sz w:val="16"/>
          <w:szCs w:val="16"/>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78"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71" w:name="page72"/>
    <w:bookmarkEnd w:id="7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2.8.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342" w:lineRule="auto"/>
        <w:rPr>
          <w:sz w:val="20"/>
          <w:szCs w:val="20"/>
          <w:color w:val="auto"/>
        </w:rPr>
      </w:pPr>
      <w:r>
        <w:rPr>
          <w:rFonts w:ascii="Arial" w:cs="Arial" w:eastAsia="Arial" w:hAnsi="Arial"/>
          <w:sz w:val="16"/>
          <w:szCs w:val="16"/>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24"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76"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4"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9"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Outstanding Securities</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84"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bona fide purchaser.</w:t>
      </w:r>
    </w:p>
    <w:p>
      <w:pPr>
        <w:spacing w:after="0" w:line="170"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72" w:name="page73"/>
    <w:bookmarkEnd w:id="72"/>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may purchase or otherwise acquire the Securities, whether by open market purchases, negotiated transactions or otherwise.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 Security does not cease to be outstanding because the Company or an Affiliate of the Company holds the Security (but see Section 2.10 below).</w:t>
      </w:r>
    </w:p>
    <w:p>
      <w:pPr>
        <w:spacing w:after="0" w:line="234"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Treasury Securities</w:t>
      </w:r>
      <w:r>
        <w:rPr>
          <w:rFonts w:ascii="Arial" w:cs="Arial" w:eastAsia="Arial" w:hAnsi="Arial"/>
          <w:sz w:val="18"/>
          <w:szCs w:val="18"/>
          <w:color w:val="auto"/>
        </w:rPr>
        <w:t>.</w:t>
      </w:r>
    </w:p>
    <w:p>
      <w:pPr>
        <w:spacing w:after="0" w:line="225" w:lineRule="exact"/>
        <w:rPr>
          <w:sz w:val="20"/>
          <w:szCs w:val="20"/>
          <w:color w:val="auto"/>
        </w:rPr>
      </w:pPr>
    </w:p>
    <w:p>
      <w:pPr>
        <w:ind w:right="180" w:firstLine="991"/>
        <w:spacing w:after="0" w:line="301" w:lineRule="auto"/>
        <w:rPr>
          <w:sz w:val="20"/>
          <w:szCs w:val="20"/>
          <w:color w:val="auto"/>
        </w:rPr>
      </w:pPr>
      <w:r>
        <w:rPr>
          <w:rFonts w:ascii="Arial" w:cs="Arial" w:eastAsia="Arial" w:hAnsi="Arial"/>
          <w:sz w:val="16"/>
          <w:szCs w:val="16"/>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75" w:lineRule="auto"/>
        <w:rPr>
          <w:sz w:val="20"/>
          <w:szCs w:val="20"/>
          <w:color w:val="auto"/>
        </w:rPr>
      </w:pPr>
      <w:r>
        <w:rPr>
          <w:rFonts w:ascii="Arial" w:cs="Arial" w:eastAsia="Arial" w:hAnsi="Arial"/>
          <w:sz w:val="17"/>
          <w:szCs w:val="17"/>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225" w:lineRule="exact"/>
        <w:rPr>
          <w:sz w:val="20"/>
          <w:szCs w:val="20"/>
          <w:color w:val="auto"/>
        </w:rPr>
      </w:pPr>
    </w:p>
    <w:p>
      <w:pPr>
        <w:ind w:right="180" w:firstLine="991"/>
        <w:spacing w:after="0" w:line="275" w:lineRule="auto"/>
        <w:rPr>
          <w:sz w:val="20"/>
          <w:szCs w:val="20"/>
          <w:color w:val="auto"/>
        </w:rPr>
      </w:pPr>
      <w:r>
        <w:rPr>
          <w:rFonts w:ascii="Arial" w:cs="Arial" w:eastAsia="Arial" w:hAnsi="Arial"/>
          <w:sz w:val="17"/>
          <w:szCs w:val="17"/>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73" w:name="page74"/>
    <w:bookmarkEnd w:id="7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2.13. </w:t>
      </w:r>
      <w:r>
        <w:rPr>
          <w:rFonts w:ascii="Arial" w:cs="Arial" w:eastAsia="Arial" w:hAnsi="Arial"/>
          <w:sz w:val="18"/>
          <w:szCs w:val="18"/>
          <w:u w:val="single" w:color="auto"/>
          <w:color w:val="auto"/>
        </w:rPr>
        <w:t>Defaulted Interest</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225" w:lineRule="exact"/>
        <w:rPr>
          <w:sz w:val="20"/>
          <w:szCs w:val="20"/>
          <w:color w:val="auto"/>
        </w:rPr>
      </w:pPr>
    </w:p>
    <w:p>
      <w:pPr>
        <w:jc w:val="both"/>
        <w:ind w:right="300" w:firstLine="991"/>
        <w:spacing w:after="0" w:line="263" w:lineRule="auto"/>
        <w:rPr>
          <w:sz w:val="20"/>
          <w:szCs w:val="20"/>
          <w:color w:val="auto"/>
        </w:rPr>
      </w:pPr>
      <w:r>
        <w:rPr>
          <w:rFonts w:ascii="Arial" w:cs="Arial" w:eastAsia="Arial" w:hAnsi="Arial"/>
          <w:sz w:val="18"/>
          <w:szCs w:val="18"/>
          <w:color w:val="auto"/>
        </w:rPr>
        <w:t xml:space="preserve">2.14.1. </w:t>
      </w:r>
      <w:r>
        <w:rPr>
          <w:rFonts w:ascii="Arial" w:cs="Arial" w:eastAsia="Arial" w:hAnsi="Arial"/>
          <w:sz w:val="18"/>
          <w:szCs w:val="18"/>
          <w:u w:val="single" w:color="auto"/>
          <w:color w:val="auto"/>
        </w:rPr>
        <w:t>Terms of Securities</w:t>
      </w:r>
      <w:r>
        <w:rPr>
          <w:rFonts w:ascii="Arial" w:cs="Arial" w:eastAsia="Arial" w:hAnsi="Arial"/>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84" w:lineRule="exact"/>
        <w:rPr>
          <w:sz w:val="20"/>
          <w:szCs w:val="20"/>
          <w:color w:val="auto"/>
        </w:rPr>
      </w:pPr>
    </w:p>
    <w:p>
      <w:pPr>
        <w:ind w:right="100" w:firstLine="991"/>
        <w:spacing w:after="0" w:line="290" w:lineRule="auto"/>
        <w:rPr>
          <w:sz w:val="20"/>
          <w:szCs w:val="20"/>
          <w:color w:val="auto"/>
        </w:rPr>
      </w:pPr>
      <w:r>
        <w:rPr>
          <w:rFonts w:ascii="Arial" w:cs="Arial" w:eastAsia="Arial" w:hAnsi="Arial"/>
          <w:sz w:val="16"/>
          <w:szCs w:val="16"/>
          <w:color w:val="auto"/>
        </w:rPr>
        <w:t xml:space="preserve">2.14.2. </w:t>
      </w:r>
      <w:r>
        <w:rPr>
          <w:rFonts w:ascii="Arial" w:cs="Arial" w:eastAsia="Arial" w:hAnsi="Arial"/>
          <w:sz w:val="16"/>
          <w:szCs w:val="16"/>
          <w:u w:val="single" w:color="auto"/>
          <w:color w:val="auto"/>
        </w:rPr>
        <w:t>Transfer and Exchange</w:t>
      </w:r>
      <w:r>
        <w:rPr>
          <w:rFonts w:ascii="Arial" w:cs="Arial" w:eastAsia="Arial" w:hAnsi="Arial"/>
          <w:sz w:val="16"/>
          <w:szCs w:val="16"/>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6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2.14.3. </w:t>
      </w:r>
      <w:r>
        <w:rPr>
          <w:rFonts w:ascii="Arial" w:cs="Arial" w:eastAsia="Arial" w:hAnsi="Arial"/>
          <w:sz w:val="18"/>
          <w:szCs w:val="18"/>
          <w:u w:val="single" w:color="auto"/>
          <w:color w:val="auto"/>
        </w:rPr>
        <w:t>Legends</w:t>
      </w:r>
      <w:r>
        <w:rPr>
          <w:rFonts w:ascii="Arial" w:cs="Arial" w:eastAsia="Arial" w:hAnsi="Arial"/>
          <w:sz w:val="18"/>
          <w:szCs w:val="18"/>
          <w:color w:val="auto"/>
        </w:rPr>
        <w:t>. Any Global Security issued hereunder shall bear a legend in substantially the following form:</w:t>
      </w:r>
    </w:p>
    <w:p>
      <w:pPr>
        <w:spacing w:after="0" w:line="117"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74" w:name="page75"/>
    <w:bookmarkEnd w:id="74"/>
    <w:p>
      <w:pPr>
        <w:ind w:right="1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so long as the Depository Trust Company (“DTC”) is the Depositary, each Global Note registered in the name of DTC or its nominee shall bear a legend in substantially the following form:</w:t>
      </w:r>
    </w:p>
    <w:p>
      <w:pPr>
        <w:spacing w:after="0" w:line="62" w:lineRule="exact"/>
        <w:rPr>
          <w:sz w:val="20"/>
          <w:szCs w:val="20"/>
          <w:color w:val="auto"/>
        </w:rPr>
      </w:pPr>
    </w:p>
    <w:p>
      <w:pPr>
        <w:ind w:right="300" w:firstLine="991"/>
        <w:spacing w:after="0" w:line="254" w:lineRule="auto"/>
        <w:rPr>
          <w:sz w:val="20"/>
          <w:szCs w:val="20"/>
          <w:color w:val="auto"/>
        </w:rPr>
      </w:pPr>
      <w:r>
        <w:rPr>
          <w:rFonts w:ascii="Arial" w:cs="Arial" w:eastAsia="Arial" w:hAnsi="Arial"/>
          <w:sz w:val="18"/>
          <w:szCs w:val="18"/>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5" w:lineRule="exact"/>
        <w:rPr>
          <w:sz w:val="20"/>
          <w:szCs w:val="20"/>
          <w:color w:val="auto"/>
        </w:rPr>
      </w:pPr>
    </w:p>
    <w:p>
      <w:pPr>
        <w:ind w:right="60" w:firstLine="991"/>
        <w:spacing w:after="0" w:line="308" w:lineRule="auto"/>
        <w:rPr>
          <w:sz w:val="20"/>
          <w:szCs w:val="20"/>
          <w:color w:val="auto"/>
        </w:rPr>
      </w:pPr>
      <w:r>
        <w:rPr>
          <w:rFonts w:ascii="Arial" w:cs="Arial" w:eastAsia="Arial" w:hAnsi="Arial"/>
          <w:sz w:val="17"/>
          <w:szCs w:val="17"/>
          <w:color w:val="auto"/>
        </w:rPr>
        <w:t xml:space="preserve">2.14.4. </w:t>
      </w:r>
      <w:r>
        <w:rPr>
          <w:rFonts w:ascii="Arial" w:cs="Arial" w:eastAsia="Arial" w:hAnsi="Arial"/>
          <w:sz w:val="17"/>
          <w:szCs w:val="17"/>
          <w:u w:val="single" w:color="auto"/>
          <w:color w:val="auto"/>
        </w:rPr>
        <w:t>Acts of Holders</w:t>
      </w:r>
      <w:r>
        <w:rPr>
          <w:rFonts w:ascii="Arial" w:cs="Arial" w:eastAsia="Arial" w:hAnsi="Arial"/>
          <w:sz w:val="17"/>
          <w:szCs w:val="17"/>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46"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 xml:space="preserve">2.14.5. </w:t>
      </w: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2.14.6. </w:t>
      </w:r>
      <w:r>
        <w:rPr>
          <w:rFonts w:ascii="Arial" w:cs="Arial" w:eastAsia="Arial" w:hAnsi="Arial"/>
          <w:sz w:val="18"/>
          <w:szCs w:val="18"/>
          <w:u w:val="single" w:color="auto"/>
          <w:color w:val="auto"/>
        </w:rPr>
        <w:t>Consents, Declaration and Directions</w:t>
      </w:r>
      <w:r>
        <w:rPr>
          <w:rFonts w:ascii="Arial" w:cs="Arial" w:eastAsia="Arial" w:hAnsi="Arial"/>
          <w:sz w:val="18"/>
          <w:szCs w:val="18"/>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CUSIP Numbers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The Company in issuing the Securities may use “CUSIP” numbers (if then generally in use), and, if so, the Trustee shall use “CUSIP” numbers in notices of redemption as a convenience to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75" w:name="page76"/>
    <w:bookmarkEnd w:id="7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2.16. </w:t>
      </w:r>
      <w:r>
        <w:rPr>
          <w:rFonts w:ascii="Arial" w:cs="Arial" w:eastAsia="Arial" w:hAnsi="Arial"/>
          <w:sz w:val="18"/>
          <w:szCs w:val="18"/>
          <w:u w:val="single" w:color="auto"/>
          <w:color w:val="auto"/>
        </w:rPr>
        <w:t>Trustee Not Responsible for Securities Laws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Notwithstanding anything herein to the contrary, neither the Trustee nor the Registrar shall be responsible for ascertaining whether any transfer complies with the registration provisions of or exemptions from the Securities Act of 1933, as amended, applicable state securities laws or other applicable laws.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Notice to Trustee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15 days before the redemption date, unless a shorter period is satisfactory to the Trustee.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Selection of Securities to be Redeemed</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86" w:lineRule="auto"/>
        <w:rPr>
          <w:sz w:val="20"/>
          <w:szCs w:val="20"/>
          <w:color w:val="auto"/>
        </w:rPr>
      </w:pPr>
      <w:r>
        <w:rPr>
          <w:rFonts w:ascii="Arial" w:cs="Arial" w:eastAsia="Arial" w:hAnsi="Arial"/>
          <w:sz w:val="17"/>
          <w:szCs w:val="17"/>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76" w:name="page77"/>
    <w:bookmarkEnd w:id="7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notice shall identify the Securities of the Series to be redeemed and shall state:</w:t>
      </w:r>
    </w:p>
    <w:p>
      <w:pPr>
        <w:spacing w:after="0" w:line="117" w:lineRule="exact"/>
        <w:rPr>
          <w:sz w:val="20"/>
          <w:szCs w:val="20"/>
          <w:color w:val="auto"/>
        </w:rPr>
      </w:pPr>
    </w:p>
    <w:p>
      <w:pPr>
        <w:ind w:left="1100" w:hanging="241"/>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jc w:val="both"/>
        <w:ind w:left="440" w:right="340" w:firstLine="419"/>
        <w:spacing w:after="0" w:line="286" w:lineRule="auto"/>
        <w:tabs>
          <w:tab w:leader="none" w:pos="1118"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57" w:lineRule="exact"/>
        <w:rPr>
          <w:rFonts w:ascii="Arial" w:cs="Arial" w:eastAsia="Arial" w:hAnsi="Arial"/>
          <w:sz w:val="17"/>
          <w:szCs w:val="17"/>
          <w:color w:val="auto"/>
        </w:rPr>
      </w:pPr>
    </w:p>
    <w:p>
      <w:pPr>
        <w:ind w:left="1100" w:hanging="241"/>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440" w:right="440" w:firstLine="419"/>
        <w:spacing w:after="0" w:line="277" w:lineRule="auto"/>
        <w:tabs>
          <w:tab w:leader="none" w:pos="10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interest on Securities of the Series called for redemption ceases to accrue on and after the redemption date unless the Company defaults in the deposit of the redemption price;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ind w:right="140" w:firstLine="991"/>
        <w:spacing w:after="0" w:line="286" w:lineRule="auto"/>
        <w:rPr>
          <w:sz w:val="20"/>
          <w:szCs w:val="20"/>
          <w:color w:val="auto"/>
        </w:rPr>
      </w:pPr>
      <w:r>
        <w:rPr>
          <w:rFonts w:ascii="Arial" w:cs="Arial" w:eastAsia="Arial" w:hAnsi="Arial"/>
          <w:sz w:val="17"/>
          <w:szCs w:val="17"/>
          <w:color w:val="auto"/>
        </w:rPr>
        <w:t>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77" w:name="page78"/>
    <w:bookmarkEnd w:id="7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38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Payment of Principal and Interest</w:t>
      </w:r>
      <w:r>
        <w:rPr>
          <w:rFonts w:ascii="Arial" w:cs="Arial" w:eastAsia="Arial" w:hAnsi="Arial"/>
          <w:sz w:val="18"/>
          <w:szCs w:val="18"/>
          <w:color w:val="auto"/>
        </w:rPr>
        <w:t>.</w:t>
      </w:r>
    </w:p>
    <w:p>
      <w:pPr>
        <w:spacing w:after="0" w:line="225" w:lineRule="exact"/>
        <w:rPr>
          <w:sz w:val="20"/>
          <w:szCs w:val="20"/>
          <w:color w:val="auto"/>
        </w:rPr>
      </w:pPr>
    </w:p>
    <w:p>
      <w:pPr>
        <w:ind w:right="220" w:firstLine="991"/>
        <w:spacing w:after="0" w:line="279" w:lineRule="auto"/>
        <w:rPr>
          <w:sz w:val="20"/>
          <w:szCs w:val="20"/>
          <w:color w:val="auto"/>
        </w:rPr>
      </w:pPr>
      <w:r>
        <w:rPr>
          <w:rFonts w:ascii="Arial" w:cs="Arial" w:eastAsia="Arial" w:hAnsi="Arial"/>
          <w:sz w:val="17"/>
          <w:szCs w:val="17"/>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SEC Reports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spacing w:after="0" w:line="176"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78" w:name="page79"/>
    <w:bookmarkEnd w:id="7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When Company May Merge, Etc</w:t>
      </w:r>
      <w:r>
        <w:rPr>
          <w:rFonts w:ascii="Arial" w:cs="Arial" w:eastAsia="Arial" w:hAnsi="Arial"/>
          <w:sz w:val="18"/>
          <w:szCs w:val="18"/>
          <w:color w:val="auto"/>
        </w:rPr>
        <w:t>.</w:t>
      </w:r>
    </w:p>
    <w:p>
      <w:pPr>
        <w:spacing w:after="0" w:line="225"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(a “</w:t>
      </w:r>
      <w:r>
        <w:rPr>
          <w:rFonts w:ascii="Arial" w:cs="Arial" w:eastAsia="Arial" w:hAnsi="Arial"/>
          <w:sz w:val="18"/>
          <w:szCs w:val="18"/>
          <w:i w:val="1"/>
          <w:iCs w:val="1"/>
          <w:color w:val="auto"/>
        </w:rPr>
        <w:t>successor person</w:t>
      </w:r>
      <w:r>
        <w:rPr>
          <w:rFonts w:ascii="Arial" w:cs="Arial" w:eastAsia="Arial" w:hAnsi="Arial"/>
          <w:sz w:val="18"/>
          <w:szCs w:val="18"/>
          <w:color w:val="auto"/>
        </w:rPr>
        <w:t>”) unless:</w:t>
      </w:r>
    </w:p>
    <w:p>
      <w:pPr>
        <w:spacing w:after="0" w:line="62" w:lineRule="exact"/>
        <w:rPr>
          <w:sz w:val="20"/>
          <w:szCs w:val="20"/>
          <w:color w:val="auto"/>
        </w:rPr>
      </w:pPr>
    </w:p>
    <w:p>
      <w:pPr>
        <w:jc w:val="both"/>
        <w:ind w:left="440" w:right="300" w:firstLine="419"/>
        <w:spacing w:after="0" w:line="263" w:lineRule="auto"/>
        <w:tabs>
          <w:tab w:leader="none" w:pos="110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is the surviving corporation or the successor person (if other than the Company) is a corporation organized and validly existing under the laws of any U.S. domestic jurisdiction or Denmark and expressly assumes the Company’s obligations on the Securities and under this Indenture; and</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right="120" w:firstLine="991"/>
        <w:spacing w:after="0" w:line="308" w:lineRule="auto"/>
        <w:rPr>
          <w:sz w:val="20"/>
          <w:szCs w:val="20"/>
          <w:color w:val="auto"/>
        </w:rPr>
      </w:pPr>
      <w:r>
        <w:rPr>
          <w:rFonts w:ascii="Arial" w:cs="Arial" w:eastAsia="Arial" w:hAnsi="Arial"/>
          <w:sz w:val="17"/>
          <w:szCs w:val="17"/>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46" w:lineRule="exact"/>
        <w:rPr>
          <w:sz w:val="20"/>
          <w:szCs w:val="20"/>
          <w:color w:val="auto"/>
        </w:rPr>
      </w:pPr>
    </w:p>
    <w:p>
      <w:pPr>
        <w:ind w:right="40" w:firstLine="991"/>
        <w:spacing w:after="0" w:line="308" w:lineRule="auto"/>
        <w:rPr>
          <w:sz w:val="20"/>
          <w:szCs w:val="20"/>
          <w:color w:val="auto"/>
        </w:rPr>
      </w:pPr>
      <w:r>
        <w:rPr>
          <w:rFonts w:ascii="Arial" w:cs="Arial" w:eastAsia="Arial" w:hAnsi="Arial"/>
          <w:sz w:val="17"/>
          <w:szCs w:val="17"/>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440" w:top="274" w:right="519" w:bottom="1440" w:gutter="0" w:footer="0" w:header="0"/>
        </w:sectPr>
      </w:pPr>
    </w:p>
    <w:bookmarkStart w:id="79" w:name="page80"/>
    <w:bookmarkEnd w:id="7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5.2. </w:t>
      </w:r>
      <w:r>
        <w:rPr>
          <w:rFonts w:ascii="Arial" w:cs="Arial" w:eastAsia="Arial" w:hAnsi="Arial"/>
          <w:sz w:val="18"/>
          <w:szCs w:val="18"/>
          <w:u w:val="single" w:color="auto"/>
          <w:color w:val="auto"/>
        </w:rPr>
        <w:t>Successor Corporation Substituted</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predecessor Company in the case of a sale, conveyance or other disposition (other than a lease) shall be released from all obligations and covenants under this Indenture and the Securities.</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76" w:lineRule="exact"/>
        <w:rPr>
          <w:sz w:val="20"/>
          <w:szCs w:val="20"/>
          <w:color w:val="auto"/>
        </w:rPr>
      </w:pPr>
    </w:p>
    <w:p>
      <w:pPr>
        <w:jc w:val="both"/>
        <w:ind w:left="440" w:right="100" w:firstLine="419"/>
        <w:spacing w:after="0" w:line="263" w:lineRule="auto"/>
        <w:tabs>
          <w:tab w:leader="none" w:pos="1108"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Arial" w:cs="Arial" w:eastAsia="Arial" w:hAnsi="Arial"/>
          <w:sz w:val="15"/>
          <w:szCs w:val="15"/>
          <w:color w:val="auto"/>
        </w:rPr>
        <w:t>th</w:t>
      </w:r>
      <w:r>
        <w:rPr>
          <w:rFonts w:ascii="Arial" w:cs="Arial" w:eastAsia="Arial" w:hAnsi="Arial"/>
          <w:sz w:val="18"/>
          <w:szCs w:val="18"/>
          <w:color w:val="auto"/>
        </w:rPr>
        <w:t xml:space="preserve"> day of such period); or</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 or</w:t>
      </w:r>
    </w:p>
    <w:p>
      <w:pPr>
        <w:spacing w:after="0" w:line="117" w:lineRule="exact"/>
        <w:rPr>
          <w:rFonts w:ascii="Arial" w:cs="Arial" w:eastAsia="Arial" w:hAnsi="Arial"/>
          <w:sz w:val="18"/>
          <w:szCs w:val="18"/>
          <w:color w:val="auto"/>
        </w:rPr>
      </w:pPr>
    </w:p>
    <w:p>
      <w:pPr>
        <w:ind w:left="440" w:firstLine="419"/>
        <w:spacing w:after="0" w:line="255" w:lineRule="auto"/>
        <w:tabs>
          <w:tab w:leader="none" w:pos="1108"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84" w:lineRule="exact"/>
        <w:rPr>
          <w:rFonts w:ascii="Arial" w:cs="Arial" w:eastAsia="Arial" w:hAnsi="Arial"/>
          <w:sz w:val="18"/>
          <w:szCs w:val="18"/>
          <w:color w:val="auto"/>
        </w:rPr>
      </w:pPr>
    </w:p>
    <w:p>
      <w:pPr>
        <w:ind w:left="1120" w:hanging="261"/>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0"/>
          </w:cols>
          <w:pgMar w:left="440" w:top="274" w:right="559" w:bottom="1440" w:gutter="0" w:footer="0" w:header="0"/>
        </w:sectPr>
      </w:pPr>
    </w:p>
    <w:bookmarkStart w:id="80" w:name="page81"/>
    <w:bookmarkEnd w:id="80"/>
    <w:p>
      <w:pPr>
        <w:ind w:left="1640" w:hanging="252"/>
        <w:spacing w:after="0"/>
        <w:tabs>
          <w:tab w:leader="none" w:pos="1640" w:val="left"/>
        </w:tabs>
        <w:numPr>
          <w:ilvl w:val="1"/>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generally is unable to pay its debts as the same become due; or</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117" w:lineRule="exact"/>
        <w:rPr>
          <w:sz w:val="20"/>
          <w:szCs w:val="20"/>
          <w:color w:val="auto"/>
        </w:rPr>
      </w:pPr>
    </w:p>
    <w:p>
      <w:pPr>
        <w:ind w:left="1660" w:hanging="272"/>
        <w:spacing w:after="0"/>
        <w:tabs>
          <w:tab w:leader="none" w:pos="1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orders the liquidation of the Company,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 the order or decree remains unstayed and in effect for 60 days; or</w:t>
      </w:r>
    </w:p>
    <w:p>
      <w:pPr>
        <w:spacing w:after="0" w:line="117" w:lineRule="exact"/>
        <w:rPr>
          <w:sz w:val="20"/>
          <w:szCs w:val="20"/>
          <w:color w:val="auto"/>
        </w:rPr>
      </w:pPr>
    </w:p>
    <w:p>
      <w:pPr>
        <w:ind w:left="440" w:right="140" w:firstLine="419"/>
        <w:spacing w:after="0" w:line="277" w:lineRule="auto"/>
        <w:tabs>
          <w:tab w:leader="none" w:pos="10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170"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Bankruptcy Law</w:t>
      </w:r>
      <w:r>
        <w:rPr>
          <w:rFonts w:ascii="Arial" w:cs="Arial" w:eastAsia="Arial" w:hAnsi="Arial"/>
          <w:sz w:val="18"/>
          <w:szCs w:val="18"/>
          <w:color w:val="auto"/>
        </w:rPr>
        <w:t>” means the relevant law in Denmark relating to the capability of a debtor to pay its debts, the debtor’s over-indebtedness or lack of assets to cover a debtor’s outstanding debt or relating to moratorium, bankruptcy, insolvency, receivership, winding up, examinership, liquidation, reorganization or relief of debtors. The term “</w:t>
      </w:r>
      <w:r>
        <w:rPr>
          <w:rFonts w:ascii="Arial" w:cs="Arial" w:eastAsia="Arial" w:hAnsi="Arial"/>
          <w:sz w:val="18"/>
          <w:szCs w:val="18"/>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87"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Arial" w:cs="Arial" w:eastAsia="Arial" w:hAnsi="Arial"/>
          <w:sz w:val="16"/>
          <w:szCs w:val="16"/>
          <w:i w:val="1"/>
          <w:iCs w:val="1"/>
          <w:color w:val="auto"/>
        </w:rPr>
        <w:t>ipso facto</w:t>
      </w:r>
      <w:r>
        <w:rPr>
          <w:rFonts w:ascii="Arial" w:cs="Arial" w:eastAsia="Arial" w:hAnsi="Arial"/>
          <w:sz w:val="16"/>
          <w:szCs w:val="16"/>
          <w:color w:val="auto"/>
        </w:rPr>
        <w:t xml:space="preserve"> become and be immediately due and payable without any declaration or other act on the part of the Trustee or any Holder.</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60"/>
          </w:cols>
          <w:pgMar w:left="440" w:top="274" w:right="599" w:bottom="1440" w:gutter="0" w:footer="0" w:header="0"/>
        </w:sectPr>
      </w:pPr>
    </w:p>
    <w:bookmarkStart w:id="81" w:name="page82"/>
    <w:bookmarkEnd w:id="81"/>
    <w:p>
      <w:pPr>
        <w:ind w:right="80" w:firstLine="88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covenants that if</w:t>
      </w:r>
    </w:p>
    <w:p>
      <w:pPr>
        <w:spacing w:after="0" w:line="117" w:lineRule="exact"/>
        <w:rPr>
          <w:sz w:val="20"/>
          <w:szCs w:val="20"/>
          <w:color w:val="auto"/>
        </w:rPr>
      </w:pPr>
    </w:p>
    <w:p>
      <w:pPr>
        <w:ind w:left="440" w:right="200" w:firstLine="419"/>
        <w:spacing w:after="0" w:line="277" w:lineRule="auto"/>
        <w:tabs>
          <w:tab w:leader="none" w:pos="1108"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if any, when and as due by the terms of a Security,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then, </w:t>
      </w:r>
      <w:r>
        <w:rPr>
          <w:rFonts w:ascii="Arial" w:cs="Arial" w:eastAsia="Arial" w:hAnsi="Arial"/>
          <w:sz w:val="18"/>
          <w:szCs w:val="18"/>
          <w:color w:val="auto"/>
        </w:rPr>
        <w:t>the Company will, upon demand of the Trustee, pay to it, for the benefit of the Holders of such Securities, the whole amount then due and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88" w:lineRule="exact"/>
        <w:rPr>
          <w:sz w:val="20"/>
          <w:szCs w:val="20"/>
          <w:color w:val="auto"/>
        </w:rPr>
      </w:pPr>
    </w:p>
    <w:p>
      <w:pPr>
        <w:ind w:right="100" w:firstLine="881"/>
        <w:spacing w:after="0" w:line="279" w:lineRule="auto"/>
        <w:rPr>
          <w:sz w:val="20"/>
          <w:szCs w:val="20"/>
          <w:color w:val="auto"/>
        </w:rPr>
      </w:pPr>
      <w:r>
        <w:rPr>
          <w:rFonts w:ascii="Arial" w:cs="Arial" w:eastAsia="Arial" w:hAnsi="Arial"/>
          <w:sz w:val="17"/>
          <w:szCs w:val="17"/>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71"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82" w:name="page83"/>
    <w:bookmarkEnd w:id="8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225" w:lineRule="exact"/>
        <w:rPr>
          <w:sz w:val="20"/>
          <w:szCs w:val="20"/>
          <w:color w:val="auto"/>
        </w:rPr>
      </w:pPr>
    </w:p>
    <w:p>
      <w:pPr>
        <w:ind w:firstLine="881"/>
        <w:spacing w:after="0" w:line="275" w:lineRule="auto"/>
        <w:rPr>
          <w:sz w:val="20"/>
          <w:szCs w:val="20"/>
          <w:color w:val="auto"/>
        </w:rPr>
      </w:pPr>
      <w:r>
        <w:rPr>
          <w:rFonts w:ascii="Arial" w:cs="Arial" w:eastAsia="Arial" w:hAnsi="Arial"/>
          <w:sz w:val="17"/>
          <w:szCs w:val="17"/>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68" w:lineRule="exact"/>
        <w:rPr>
          <w:sz w:val="20"/>
          <w:szCs w:val="20"/>
          <w:color w:val="auto"/>
        </w:rPr>
      </w:pPr>
    </w:p>
    <w:p>
      <w:pPr>
        <w:ind w:left="440" w:right="40" w:firstLine="419"/>
        <w:spacing w:after="0" w:line="259" w:lineRule="auto"/>
        <w:tabs>
          <w:tab w:leader="none" w:pos="110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87" w:lineRule="exact"/>
        <w:rPr>
          <w:sz w:val="20"/>
          <w:szCs w:val="20"/>
          <w:color w:val="auto"/>
        </w:rPr>
      </w:pPr>
    </w:p>
    <w:p>
      <w:pPr>
        <w:jc w:val="both"/>
        <w:ind w:firstLine="881"/>
        <w:spacing w:after="0" w:line="263"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Trustee May Enforce Claims Without Possession of Securities</w:t>
      </w:r>
      <w:r>
        <w:rPr>
          <w:rFonts w:ascii="Arial" w:cs="Arial" w:eastAsia="Arial" w:hAnsi="Arial"/>
          <w:sz w:val="18"/>
          <w:szCs w:val="18"/>
          <w:color w:val="auto"/>
        </w:rPr>
        <w:t>.</w:t>
      </w:r>
    </w:p>
    <w:p>
      <w:pPr>
        <w:spacing w:after="0" w:line="225" w:lineRule="exact"/>
        <w:rPr>
          <w:sz w:val="20"/>
          <w:szCs w:val="20"/>
          <w:color w:val="auto"/>
        </w:rPr>
      </w:pPr>
    </w:p>
    <w:p>
      <w:pPr>
        <w:ind w:right="60" w:firstLine="881"/>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Application of Money Collected.</w:t>
      </w:r>
    </w:p>
    <w:p>
      <w:pPr>
        <w:spacing w:after="0" w:line="225" w:lineRule="exact"/>
        <w:rPr>
          <w:sz w:val="20"/>
          <w:szCs w:val="20"/>
          <w:color w:val="auto"/>
        </w:rPr>
      </w:pPr>
    </w:p>
    <w:p>
      <w:pPr>
        <w:ind w:right="40" w:firstLine="881"/>
        <w:spacing w:after="0" w:line="263" w:lineRule="auto"/>
        <w:rPr>
          <w:sz w:val="20"/>
          <w:szCs w:val="20"/>
          <w:color w:val="auto"/>
        </w:rPr>
      </w:pPr>
      <w:r>
        <w:rPr>
          <w:rFonts w:ascii="Arial" w:cs="Arial" w:eastAsia="Arial" w:hAnsi="Arial"/>
          <w:sz w:val="18"/>
          <w:szCs w:val="18"/>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440" w:top="274" w:right="519" w:bottom="1440" w:gutter="0" w:footer="0" w:header="0"/>
        </w:sectPr>
      </w:pPr>
    </w:p>
    <w:bookmarkStart w:id="83" w:name="page84"/>
    <w:bookmarkEnd w:id="83"/>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To the payment of all amounts due the Trustee under Section 7.7; and</w:t>
      </w:r>
    </w:p>
    <w:p>
      <w:pPr>
        <w:spacing w:after="0" w:line="225" w:lineRule="exact"/>
        <w:rPr>
          <w:sz w:val="20"/>
          <w:szCs w:val="20"/>
          <w:color w:val="auto"/>
        </w:rPr>
      </w:pPr>
    </w:p>
    <w:p>
      <w:pPr>
        <w:ind w:right="160" w:firstLine="881"/>
        <w:spacing w:after="0" w:line="263" w:lineRule="auto"/>
        <w:rPr>
          <w:sz w:val="20"/>
          <w:szCs w:val="20"/>
          <w:color w:val="auto"/>
        </w:rPr>
      </w:pPr>
      <w:r>
        <w:rPr>
          <w:rFonts w:ascii="Arial" w:cs="Arial" w:eastAsia="Arial" w:hAnsi="Arial"/>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Third: To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225"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62" w:lineRule="exact"/>
        <w:rPr>
          <w:sz w:val="20"/>
          <w:szCs w:val="20"/>
          <w:color w:val="auto"/>
        </w:rPr>
      </w:pPr>
    </w:p>
    <w:p>
      <w:pPr>
        <w:ind w:left="1100" w:hanging="241"/>
        <w:spacing w:after="0"/>
        <w:tabs>
          <w:tab w:leader="none" w:pos="11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such Holder has previously given written notice to the Trustee of a continuing Event of Default with respect to the Securities of that</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Series;</w:t>
      </w:r>
    </w:p>
    <w:p>
      <w:pPr>
        <w:spacing w:after="0" w:line="102" w:lineRule="exact"/>
        <w:rPr>
          <w:rFonts w:ascii="Arial" w:cs="Arial" w:eastAsia="Arial" w:hAnsi="Arial"/>
          <w:sz w:val="17"/>
          <w:szCs w:val="17"/>
          <w:color w:val="auto"/>
        </w:rPr>
      </w:pPr>
    </w:p>
    <w:p>
      <w:pPr>
        <w:ind w:left="440" w:right="220" w:firstLine="419"/>
        <w:spacing w:after="0" w:line="277" w:lineRule="auto"/>
        <w:tabs>
          <w:tab w:leader="none" w:pos="111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62" w:lineRule="exact"/>
        <w:rPr>
          <w:rFonts w:ascii="Arial" w:cs="Arial" w:eastAsia="Arial" w:hAnsi="Arial"/>
          <w:sz w:val="18"/>
          <w:szCs w:val="18"/>
          <w:color w:val="auto"/>
        </w:rPr>
      </w:pPr>
    </w:p>
    <w:p>
      <w:pPr>
        <w:ind w:left="440" w:right="480" w:firstLine="419"/>
        <w:spacing w:after="0" w:line="277" w:lineRule="auto"/>
        <w:tabs>
          <w:tab w:leader="none" w:pos="11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or security satisfactory to the Trustee against the costs, expenses and liabilities which might be incurred by the Trustee in compliance with such request;</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140" w:lineRule="exact"/>
        <w:rPr>
          <w:rFonts w:ascii="Arial" w:cs="Arial" w:eastAsia="Arial" w:hAnsi="Arial"/>
          <w:sz w:val="16"/>
          <w:szCs w:val="16"/>
          <w:color w:val="auto"/>
        </w:rPr>
      </w:pPr>
    </w:p>
    <w:p>
      <w:pPr>
        <w:ind w:left="440" w:right="100" w:firstLine="419"/>
        <w:spacing w:after="0" w:line="277" w:lineRule="auto"/>
        <w:tabs>
          <w:tab w:leader="none" w:pos="11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Unconditional Right of Holders to Receive Principal and Interest</w:t>
      </w:r>
      <w:r>
        <w:rPr>
          <w:rFonts w:ascii="Arial" w:cs="Arial" w:eastAsia="Arial" w:hAnsi="Arial"/>
          <w:sz w:val="18"/>
          <w:szCs w:val="18"/>
          <w:color w:val="auto"/>
        </w:rPr>
        <w:t>.</w:t>
      </w:r>
    </w:p>
    <w:p>
      <w:pPr>
        <w:spacing w:after="0" w:line="225" w:lineRule="exact"/>
        <w:rPr>
          <w:sz w:val="20"/>
          <w:szCs w:val="20"/>
          <w:color w:val="auto"/>
        </w:rPr>
      </w:pPr>
    </w:p>
    <w:p>
      <w:pPr>
        <w:jc w:val="both"/>
        <w:ind w:right="80" w:firstLine="881"/>
        <w:spacing w:after="0" w:line="259"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84" w:name="page85"/>
    <w:bookmarkEnd w:id="8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225" w:lineRule="exact"/>
        <w:rPr>
          <w:sz w:val="20"/>
          <w:szCs w:val="20"/>
          <w:color w:val="auto"/>
        </w:rPr>
      </w:pPr>
    </w:p>
    <w:p>
      <w:pPr>
        <w:ind w:right="20" w:firstLine="881"/>
        <w:spacing w:after="0" w:line="301"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225" w:lineRule="exact"/>
        <w:rPr>
          <w:sz w:val="20"/>
          <w:szCs w:val="20"/>
          <w:color w:val="auto"/>
        </w:rPr>
      </w:pPr>
    </w:p>
    <w:p>
      <w:pPr>
        <w:ind w:right="60" w:firstLine="881"/>
        <w:spacing w:after="0" w:line="275" w:lineRule="auto"/>
        <w:rPr>
          <w:sz w:val="20"/>
          <w:szCs w:val="20"/>
          <w:color w:val="auto"/>
        </w:rPr>
      </w:pPr>
      <w:r>
        <w:rPr>
          <w:rFonts w:ascii="Arial" w:cs="Arial" w:eastAsia="Arial" w:hAnsi="Arial"/>
          <w:sz w:val="17"/>
          <w:szCs w:val="17"/>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225" w:lineRule="exact"/>
        <w:rPr>
          <w:sz w:val="20"/>
          <w:szCs w:val="20"/>
          <w:color w:val="auto"/>
        </w:rPr>
      </w:pPr>
    </w:p>
    <w:p>
      <w:pPr>
        <w:jc w:val="both"/>
        <w:ind w:right="140" w:firstLine="881"/>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w:t>
      </w:r>
    </w:p>
    <w:p>
      <w:pPr>
        <w:spacing w:after="0" w:line="225" w:lineRule="exact"/>
        <w:rPr>
          <w:sz w:val="20"/>
          <w:szCs w:val="20"/>
          <w:color w:val="auto"/>
        </w:rPr>
      </w:pPr>
    </w:p>
    <w:p>
      <w:pPr>
        <w:ind w:right="100" w:firstLine="881"/>
        <w:spacing w:after="0" w:line="263"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76" w:lineRule="exact"/>
        <w:rPr>
          <w:sz w:val="20"/>
          <w:szCs w:val="20"/>
          <w:color w:val="auto"/>
        </w:rPr>
      </w:pPr>
    </w:p>
    <w:p>
      <w:pPr>
        <w:ind w:left="1100" w:hanging="241"/>
        <w:spacing w:after="0"/>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117" w:lineRule="exact"/>
        <w:rPr>
          <w:rFonts w:ascii="Arial" w:cs="Arial" w:eastAsia="Arial" w:hAnsi="Arial"/>
          <w:sz w:val="18"/>
          <w:szCs w:val="18"/>
          <w:color w:val="auto"/>
        </w:rPr>
      </w:pPr>
    </w:p>
    <w:p>
      <w:pPr>
        <w:ind w:left="440" w:firstLine="419"/>
        <w:spacing w:after="0" w:line="342" w:lineRule="auto"/>
        <w:tabs>
          <w:tab w:leader="none" w:pos="1108" w:val="left"/>
        </w:tabs>
        <w:numPr>
          <w:ilvl w:val="0"/>
          <w:numId w:val="54"/>
        </w:numPr>
        <w:rPr>
          <w:rFonts w:ascii="Arial" w:cs="Arial" w:eastAsia="Arial" w:hAnsi="Arial"/>
          <w:sz w:val="16"/>
          <w:szCs w:val="16"/>
          <w:color w:val="auto"/>
        </w:rPr>
      </w:pPr>
      <w:r>
        <w:rPr>
          <w:rFonts w:ascii="Arial" w:cs="Arial" w:eastAsia="Arial" w:hAnsi="Arial"/>
          <w:sz w:val="16"/>
          <w:szCs w:val="16"/>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85" w:name="page86"/>
    <w:bookmarkEnd w:id="85"/>
    <w:p>
      <w:pPr>
        <w:ind w:left="440" w:right="40" w:firstLine="419"/>
        <w:spacing w:after="0" w:line="277" w:lineRule="auto"/>
        <w:tabs>
          <w:tab w:leader="none" w:pos="1118"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w:t>
      </w:r>
    </w:p>
    <w:p>
      <w:pPr>
        <w:spacing w:after="0" w:line="225" w:lineRule="exact"/>
        <w:rPr>
          <w:sz w:val="20"/>
          <w:szCs w:val="20"/>
          <w:color w:val="auto"/>
        </w:rPr>
      </w:pPr>
    </w:p>
    <w:p>
      <w:pPr>
        <w:ind w:firstLine="881"/>
        <w:spacing w:after="0" w:line="254"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pacing w:after="0" w:line="225" w:lineRule="exact"/>
        <w:rPr>
          <w:sz w:val="20"/>
          <w:szCs w:val="20"/>
          <w:color w:val="auto"/>
        </w:rPr>
      </w:pPr>
    </w:p>
    <w:p>
      <w:pPr>
        <w:ind w:right="40" w:firstLine="881"/>
        <w:spacing w:after="0" w:line="270" w:lineRule="auto"/>
        <w:rPr>
          <w:sz w:val="20"/>
          <w:szCs w:val="20"/>
          <w:color w:val="auto"/>
        </w:rPr>
      </w:pPr>
      <w:r>
        <w:rPr>
          <w:rFonts w:ascii="Arial" w:cs="Arial" w:eastAsia="Arial" w:hAnsi="Arial"/>
          <w:sz w:val="17"/>
          <w:szCs w:val="17"/>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117" w:lineRule="exact"/>
        <w:rPr>
          <w:sz w:val="20"/>
          <w:szCs w:val="20"/>
          <w:color w:val="auto"/>
        </w:rPr>
      </w:pPr>
    </w:p>
    <w:p>
      <w:pPr>
        <w:ind w:left="440" w:right="180" w:firstLine="419"/>
        <w:spacing w:after="0" w:line="263" w:lineRule="auto"/>
        <w:tabs>
          <w:tab w:leader="none" w:pos="1108"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86" w:name="page87"/>
    <w:bookmarkEnd w:id="86"/>
    <w:p>
      <w:pPr>
        <w:ind w:left="540" w:right="240" w:firstLine="408"/>
        <w:spacing w:after="0" w:line="275" w:lineRule="auto"/>
        <w:tabs>
          <w:tab w:leader="none" w:pos="1206" w:val="left"/>
        </w:tabs>
        <w:numPr>
          <w:ilvl w:val="1"/>
          <w:numId w:val="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Arial" w:cs="Arial" w:eastAsia="Arial" w:hAnsi="Arial"/>
          <w:sz w:val="17"/>
          <w:szCs w:val="17"/>
          <w:u w:val="single" w:color="auto"/>
          <w:color w:val="auto"/>
        </w:rPr>
        <w:t>however</w:t>
      </w:r>
      <w:r>
        <w:rPr>
          <w:rFonts w:ascii="Arial" w:cs="Arial" w:eastAsia="Arial" w:hAnsi="Arial"/>
          <w:sz w:val="17"/>
          <w:szCs w:val="17"/>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68" w:lineRule="exact"/>
        <w:rPr>
          <w:rFonts w:ascii="Arial" w:cs="Arial" w:eastAsia="Arial" w:hAnsi="Arial"/>
          <w:sz w:val="17"/>
          <w:szCs w:val="17"/>
          <w:color w:val="auto"/>
        </w:rPr>
      </w:pPr>
    </w:p>
    <w:p>
      <w:pPr>
        <w:ind w:right="80" w:firstLine="419"/>
        <w:spacing w:after="0" w:line="277" w:lineRule="auto"/>
        <w:tabs>
          <w:tab w:leader="none" w:pos="66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may not be relieved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160" w:hanging="212"/>
        <w:spacing w:after="0"/>
        <w:tabs>
          <w:tab w:leader="none" w:pos="11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117" w:lineRule="exact"/>
        <w:rPr>
          <w:sz w:val="20"/>
          <w:szCs w:val="20"/>
          <w:color w:val="auto"/>
        </w:rPr>
      </w:pPr>
    </w:p>
    <w:p>
      <w:pPr>
        <w:ind w:left="540" w:right="120" w:firstLine="408"/>
        <w:spacing w:after="0" w:line="277" w:lineRule="auto"/>
        <w:tabs>
          <w:tab w:leader="none" w:pos="1206"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w:t>
      </w:r>
    </w:p>
    <w:p>
      <w:pPr>
        <w:spacing w:after="0" w:line="62" w:lineRule="exact"/>
        <w:rPr>
          <w:rFonts w:ascii="Arial" w:cs="Arial" w:eastAsia="Arial" w:hAnsi="Arial"/>
          <w:sz w:val="18"/>
          <w:szCs w:val="18"/>
          <w:color w:val="auto"/>
        </w:rPr>
      </w:pPr>
    </w:p>
    <w:p>
      <w:pPr>
        <w:ind w:left="540" w:right="60" w:firstLine="408"/>
        <w:spacing w:after="0" w:line="286" w:lineRule="auto"/>
        <w:tabs>
          <w:tab w:leader="none" w:pos="1256"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Section 6.12.</w:t>
      </w:r>
    </w:p>
    <w:p>
      <w:pPr>
        <w:spacing w:after="0" w:line="102" w:lineRule="exact"/>
        <w:rPr>
          <w:rFonts w:ascii="Arial" w:cs="Arial" w:eastAsia="Arial" w:hAnsi="Arial"/>
          <w:sz w:val="16"/>
          <w:szCs w:val="16"/>
          <w:color w:val="auto"/>
        </w:rPr>
      </w:pPr>
    </w:p>
    <w:p>
      <w:pPr>
        <w:ind w:left="680" w:hanging="261"/>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Every provision of this Indenture that in any way relates to the Trustee is subject to this Section and Section 7.2.</w:t>
      </w:r>
    </w:p>
    <w:p>
      <w:pPr>
        <w:spacing w:after="0" w:line="117" w:lineRule="exact"/>
        <w:rPr>
          <w:rFonts w:ascii="Arial" w:cs="Arial" w:eastAsia="Arial" w:hAnsi="Arial"/>
          <w:sz w:val="18"/>
          <w:szCs w:val="18"/>
          <w:color w:val="auto"/>
        </w:rPr>
      </w:pPr>
    </w:p>
    <w:p>
      <w:pPr>
        <w:ind w:firstLine="419"/>
        <w:spacing w:after="0" w:line="277" w:lineRule="auto"/>
        <w:tabs>
          <w:tab w:leader="none" w:pos="66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62" w:lineRule="exact"/>
        <w:rPr>
          <w:rFonts w:ascii="Arial" w:cs="Arial" w:eastAsia="Arial" w:hAnsi="Arial"/>
          <w:sz w:val="18"/>
          <w:szCs w:val="18"/>
          <w:color w:val="auto"/>
        </w:rPr>
      </w:pPr>
    </w:p>
    <w:p>
      <w:pPr>
        <w:ind w:right="340" w:firstLine="419"/>
        <w:spacing w:after="0" w:line="277" w:lineRule="auto"/>
        <w:tabs>
          <w:tab w:leader="none" w:pos="64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62" w:lineRule="exact"/>
        <w:rPr>
          <w:rFonts w:ascii="Arial" w:cs="Arial" w:eastAsia="Arial" w:hAnsi="Arial"/>
          <w:sz w:val="18"/>
          <w:szCs w:val="18"/>
          <w:color w:val="auto"/>
        </w:rPr>
      </w:pPr>
    </w:p>
    <w:p>
      <w:pPr>
        <w:ind w:right="80" w:firstLine="419"/>
        <w:spacing w:after="0" w:line="263" w:lineRule="auto"/>
        <w:tabs>
          <w:tab w:leader="none" w:pos="678"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80"/>
          </w:cols>
          <w:pgMar w:left="880" w:top="274" w:right="439" w:bottom="1440" w:gutter="0" w:footer="0" w:header="0"/>
        </w:sectPr>
      </w:pPr>
    </w:p>
    <w:bookmarkStart w:id="87" w:name="page88"/>
    <w:bookmarkEnd w:id="87"/>
    <w:p>
      <w:pPr>
        <w:ind w:right="520" w:firstLine="419"/>
        <w:spacing w:after="0" w:line="277" w:lineRule="auto"/>
        <w:tabs>
          <w:tab w:leader="none" w:pos="678"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Paying Agent, the Registrar and any authenticating agent shall be entitled to the protections and immunities as are set forth in paragraphs (e), (f) and (g) of this Section and in Section 7.2, each with respect to the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Rights of Trustee</w:t>
      </w:r>
      <w:r>
        <w:rPr>
          <w:rFonts w:ascii="Arial" w:cs="Arial" w:eastAsia="Arial" w:hAnsi="Arial"/>
          <w:sz w:val="18"/>
          <w:szCs w:val="18"/>
          <w:color w:val="auto"/>
        </w:rPr>
        <w:t>.</w:t>
      </w:r>
    </w:p>
    <w:p>
      <w:pPr>
        <w:spacing w:after="0" w:line="117" w:lineRule="exact"/>
        <w:rPr>
          <w:sz w:val="20"/>
          <w:szCs w:val="20"/>
          <w:color w:val="auto"/>
        </w:rPr>
      </w:pPr>
    </w:p>
    <w:p>
      <w:pPr>
        <w:ind w:right="100" w:firstLine="419"/>
        <w:spacing w:after="0" w:line="263" w:lineRule="auto"/>
        <w:tabs>
          <w:tab w:leader="none" w:pos="6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75" w:lineRule="exact"/>
        <w:rPr>
          <w:rFonts w:ascii="Arial" w:cs="Arial" w:eastAsia="Arial" w:hAnsi="Arial"/>
          <w:sz w:val="18"/>
          <w:szCs w:val="18"/>
          <w:color w:val="auto"/>
        </w:rPr>
      </w:pPr>
    </w:p>
    <w:p>
      <w:pPr>
        <w:ind w:right="360" w:firstLine="419"/>
        <w:spacing w:after="0" w:line="342" w:lineRule="auto"/>
        <w:tabs>
          <w:tab w:leader="none" w:pos="678" w:val="left"/>
        </w:tabs>
        <w:numPr>
          <w:ilvl w:val="0"/>
          <w:numId w:val="62"/>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5" w:lineRule="exact"/>
        <w:rPr>
          <w:rFonts w:ascii="Arial" w:cs="Arial" w:eastAsia="Arial" w:hAnsi="Arial"/>
          <w:sz w:val="16"/>
          <w:szCs w:val="16"/>
          <w:color w:val="auto"/>
        </w:rPr>
      </w:pPr>
    </w:p>
    <w:p>
      <w:pPr>
        <w:ind w:right="100" w:firstLine="419"/>
        <w:spacing w:after="0" w:line="342" w:lineRule="auto"/>
        <w:tabs>
          <w:tab w:leader="none" w:pos="668"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5" w:lineRule="exact"/>
        <w:rPr>
          <w:rFonts w:ascii="Arial" w:cs="Arial" w:eastAsia="Arial" w:hAnsi="Arial"/>
          <w:sz w:val="16"/>
          <w:szCs w:val="16"/>
          <w:color w:val="auto"/>
        </w:rPr>
      </w:pPr>
    </w:p>
    <w:p>
      <w:pPr>
        <w:ind w:right="120" w:firstLine="419"/>
        <w:spacing w:after="0" w:line="277" w:lineRule="auto"/>
        <w:tabs>
          <w:tab w:leader="none" w:pos="67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62" w:lineRule="exact"/>
        <w:rPr>
          <w:rFonts w:ascii="Arial" w:cs="Arial" w:eastAsia="Arial" w:hAnsi="Arial"/>
          <w:sz w:val="18"/>
          <w:szCs w:val="18"/>
          <w:color w:val="auto"/>
        </w:rPr>
      </w:pPr>
    </w:p>
    <w:p>
      <w:pPr>
        <w:ind w:right="20" w:firstLine="419"/>
        <w:spacing w:after="0" w:line="263" w:lineRule="auto"/>
        <w:tabs>
          <w:tab w:leader="none" w:pos="6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75" w:lineRule="exact"/>
        <w:rPr>
          <w:rFonts w:ascii="Arial" w:cs="Arial" w:eastAsia="Arial" w:hAnsi="Arial"/>
          <w:sz w:val="18"/>
          <w:szCs w:val="18"/>
          <w:color w:val="auto"/>
        </w:rPr>
      </w:pPr>
    </w:p>
    <w:p>
      <w:pPr>
        <w:ind w:firstLine="419"/>
        <w:spacing w:after="0" w:line="263" w:lineRule="auto"/>
        <w:tabs>
          <w:tab w:leader="none" w:pos="6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75" w:lineRule="exact"/>
        <w:rPr>
          <w:rFonts w:ascii="Arial" w:cs="Arial" w:eastAsia="Arial" w:hAnsi="Arial"/>
          <w:sz w:val="18"/>
          <w:szCs w:val="18"/>
          <w:color w:val="auto"/>
        </w:rPr>
      </w:pPr>
    </w:p>
    <w:p>
      <w:pPr>
        <w:ind w:right="440" w:firstLine="419"/>
        <w:spacing w:after="0" w:line="311" w:lineRule="auto"/>
        <w:tabs>
          <w:tab w:leader="none" w:pos="678"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40" w:lineRule="exact"/>
        <w:rPr>
          <w:rFonts w:ascii="Arial" w:cs="Arial" w:eastAsia="Arial" w:hAnsi="Arial"/>
          <w:sz w:val="16"/>
          <w:szCs w:val="16"/>
          <w:color w:val="auto"/>
        </w:rPr>
      </w:pPr>
    </w:p>
    <w:p>
      <w:pPr>
        <w:ind w:right="40" w:firstLine="419"/>
        <w:spacing w:after="0" w:line="286" w:lineRule="auto"/>
        <w:tabs>
          <w:tab w:leader="none" w:pos="678"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40"/>
          </w:cols>
          <w:pgMar w:left="880" w:top="274" w:right="479" w:bottom="1440" w:gutter="0" w:footer="0" w:header="0"/>
        </w:sectPr>
      </w:pPr>
    </w:p>
    <w:bookmarkStart w:id="88" w:name="page89"/>
    <w:bookmarkEnd w:id="88"/>
    <w:p>
      <w:pPr>
        <w:ind w:left="440" w:right="60" w:firstLine="419"/>
        <w:spacing w:after="0" w:line="308" w:lineRule="auto"/>
        <w:tabs>
          <w:tab w:leader="none" w:pos="1078" w:val="left"/>
        </w:tabs>
        <w:numPr>
          <w:ilvl w:val="0"/>
          <w:numId w:val="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38" w:lineRule="exact"/>
        <w:rPr>
          <w:rFonts w:ascii="Arial" w:cs="Arial" w:eastAsia="Arial" w:hAnsi="Arial"/>
          <w:sz w:val="17"/>
          <w:szCs w:val="17"/>
          <w:color w:val="auto"/>
        </w:rPr>
      </w:pPr>
    </w:p>
    <w:p>
      <w:pPr>
        <w:ind w:left="1080" w:hanging="221"/>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permissive right of the Trustee to take the actions permitted by this Indenture shall not be construed as an obligation or duty to do so.</w:t>
      </w:r>
    </w:p>
    <w:p>
      <w:pPr>
        <w:spacing w:after="0" w:line="248" w:lineRule="exact"/>
        <w:rPr>
          <w:rFonts w:ascii="Arial" w:cs="Arial" w:eastAsia="Arial" w:hAnsi="Arial"/>
          <w:sz w:val="16"/>
          <w:szCs w:val="16"/>
          <w:color w:val="auto"/>
        </w:rPr>
      </w:pPr>
    </w:p>
    <w:p>
      <w:pPr>
        <w:ind w:left="1120" w:hanging="261"/>
        <w:spacing w:after="0"/>
        <w:tabs>
          <w:tab w:leader="none" w:pos="11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Trustee is not responsible for monitoring the performance of other persons or for failure of others to perform their duties.</w:t>
      </w:r>
    </w:p>
    <w:p>
      <w:pPr>
        <w:spacing w:after="0" w:line="236" w:lineRule="exact"/>
        <w:rPr>
          <w:rFonts w:ascii="Arial" w:cs="Arial" w:eastAsia="Arial" w:hAnsi="Arial"/>
          <w:sz w:val="17"/>
          <w:szCs w:val="17"/>
          <w:color w:val="auto"/>
        </w:rPr>
      </w:pPr>
    </w:p>
    <w:p>
      <w:pPr>
        <w:ind w:left="440" w:right="120" w:firstLine="419"/>
        <w:spacing w:after="0" w:line="286" w:lineRule="auto"/>
        <w:tabs>
          <w:tab w:leader="none" w:pos="1078"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action taken, or omitted to be taken, by the Trustee in good faith pursuant to this Indenture upon the request or authority or consent of any person who, at the time of making such request or giving such authority or consent, is the holder of any Note shall be conclusive and binding upon future holders of Notes, and upon Notes executed and delivered in exchange therefor or in place thereof.</w:t>
      </w:r>
    </w:p>
    <w:p>
      <w:pPr>
        <w:spacing w:after="0" w:line="165" w:lineRule="exact"/>
        <w:rPr>
          <w:rFonts w:ascii="Arial" w:cs="Arial" w:eastAsia="Arial" w:hAnsi="Arial"/>
          <w:sz w:val="17"/>
          <w:szCs w:val="17"/>
          <w:color w:val="auto"/>
        </w:rPr>
      </w:pPr>
    </w:p>
    <w:p>
      <w:pPr>
        <w:ind w:left="440" w:right="40" w:firstLine="419"/>
        <w:spacing w:after="0" w:line="311" w:lineRule="auto"/>
        <w:tabs>
          <w:tab w:leader="none" w:pos="1168"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Trustee may request that the Issuer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specific as so authorized in any certificate previously delivered and not superseded.</w:t>
      </w:r>
    </w:p>
    <w:p>
      <w:pPr>
        <w:spacing w:after="0" w:line="148" w:lineRule="exact"/>
        <w:rPr>
          <w:rFonts w:ascii="Arial" w:cs="Arial" w:eastAsia="Arial" w:hAnsi="Arial"/>
          <w:sz w:val="16"/>
          <w:szCs w:val="16"/>
          <w:color w:val="auto"/>
        </w:rPr>
      </w:pPr>
    </w:p>
    <w:p>
      <w:pPr>
        <w:ind w:left="1120" w:hanging="261"/>
        <w:spacing w:after="0"/>
        <w:tabs>
          <w:tab w:leader="none" w:pos="11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Trustee shall not be required to give any bond or surety in respect of the execution of the trusts and powers under this Indenture.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Individual Rights of Trustee</w:t>
      </w:r>
      <w:r>
        <w:rPr>
          <w:rFonts w:ascii="Arial" w:cs="Arial" w:eastAsia="Arial" w:hAnsi="Arial"/>
          <w:sz w:val="18"/>
          <w:szCs w:val="18"/>
          <w:color w:val="auto"/>
        </w:rPr>
        <w:t>.</w:t>
      </w:r>
    </w:p>
    <w:p>
      <w:pPr>
        <w:spacing w:after="0" w:line="225" w:lineRule="exact"/>
        <w:rPr>
          <w:sz w:val="20"/>
          <w:szCs w:val="20"/>
          <w:color w:val="auto"/>
        </w:rPr>
      </w:pPr>
    </w:p>
    <w:p>
      <w:pPr>
        <w:ind w:right="300" w:firstLine="881"/>
        <w:spacing w:after="0" w:line="263"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w:t>
      </w:r>
    </w:p>
    <w:p>
      <w:pPr>
        <w:spacing w:after="0" w:line="225" w:lineRule="exact"/>
        <w:rPr>
          <w:sz w:val="20"/>
          <w:szCs w:val="20"/>
          <w:color w:val="auto"/>
        </w:rPr>
      </w:pPr>
    </w:p>
    <w:p>
      <w:pPr>
        <w:ind w:right="360" w:firstLine="881"/>
        <w:spacing w:after="0" w:line="342" w:lineRule="auto"/>
        <w:rPr>
          <w:sz w:val="20"/>
          <w:szCs w:val="20"/>
          <w:color w:val="auto"/>
        </w:rPr>
      </w:pPr>
      <w:r>
        <w:rPr>
          <w:rFonts w:ascii="Arial" w:cs="Arial" w:eastAsia="Arial" w:hAnsi="Arial"/>
          <w:sz w:val="16"/>
          <w:szCs w:val="16"/>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225" w:lineRule="exact"/>
        <w:rPr>
          <w:sz w:val="20"/>
          <w:szCs w:val="20"/>
          <w:color w:val="auto"/>
        </w:rPr>
      </w:pPr>
    </w:p>
    <w:p>
      <w:pPr>
        <w:ind w:right="20" w:firstLine="881"/>
        <w:spacing w:after="0" w:line="255" w:lineRule="auto"/>
        <w:rPr>
          <w:sz w:val="20"/>
          <w:szCs w:val="20"/>
          <w:color w:val="auto"/>
        </w:rPr>
      </w:pPr>
      <w:r>
        <w:rPr>
          <w:rFonts w:ascii="Arial" w:cs="Arial" w:eastAsia="Arial" w:hAnsi="Arial"/>
          <w:sz w:val="18"/>
          <w:szCs w:val="18"/>
          <w:color w:val="auto"/>
        </w:rPr>
        <w:t>If a Default or Event of Default occurs and is continuing with respect to the Securities of any Series and if it is actually known to a Responsible Officer of the Trustee, the Trustee shall send to each Securityholder of the Securities of that Series notice of a Default or Event of Default within 90 days after it occurs or, if later, after a Responsible Officer of the Trustee has actual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Securityholders of that Series.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89" w:name="page90"/>
    <w:bookmarkEnd w:id="8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7.6. </w:t>
      </w:r>
      <w:r>
        <w:rPr>
          <w:rFonts w:ascii="Arial" w:cs="Arial" w:eastAsia="Arial" w:hAnsi="Arial"/>
          <w:sz w:val="18"/>
          <w:szCs w:val="18"/>
          <w:u w:val="single" w:color="auto"/>
          <w:color w:val="auto"/>
        </w:rPr>
        <w:t>Reports by Trustee to Holders</w:t>
      </w:r>
      <w:r>
        <w:rPr>
          <w:rFonts w:ascii="Arial" w:cs="Arial" w:eastAsia="Arial" w:hAnsi="Arial"/>
          <w:sz w:val="18"/>
          <w:szCs w:val="18"/>
          <w:color w:val="auto"/>
        </w:rPr>
        <w:t>.</w:t>
      </w:r>
    </w:p>
    <w:p>
      <w:pPr>
        <w:spacing w:after="0" w:line="225"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Within 60 days after each anniversary of the date of this Indenture,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84"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A copy of each report at the time of its mailing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Compensation and Indemnity</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87"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The Company shall indemnify and hold harmless each of the Trustee and any predecessor Trustee (including for the cost of defending itself or enforcing this indemnity) against any cost, expense or liability, including taxes (other than taxes based upon, measured by or determined by the income of the Trustee) incurred by it as Trustee or Agent under this Indenture except as set forth in the next paragraph in the performance of its duties under this Indenture as Trustee or Agent. The Trustee shall notify the Company promptly of any third party claim for which it may seek indemnity. Failure by the Trustee to so notify the Company shall not relieve the Company of its obligations hereunder, unless and to the extent that the Company is materially prejudiced thereby. The Company shall defend any third party claim and the Trustee shall cooperate in the defense. The Trustee may have one separate counsel plus local counsel, if applicable,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81"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The Company need not reimburse any expense or indemnify against any loss or liability incurred by the Trustee or by any officer, director, employee, shareholder or agent of the Trustee through willful misconduct or negligence.</w:t>
      </w:r>
    </w:p>
    <w:p>
      <w:pPr>
        <w:spacing w:after="0" w:line="170" w:lineRule="exact"/>
        <w:rPr>
          <w:sz w:val="20"/>
          <w:szCs w:val="20"/>
          <w:color w:val="auto"/>
        </w:rPr>
      </w:pPr>
    </w:p>
    <w:p>
      <w:pPr>
        <w:ind w:right="480" w:firstLine="991"/>
        <w:spacing w:after="0" w:line="342" w:lineRule="auto"/>
        <w:rPr>
          <w:sz w:val="20"/>
          <w:szCs w:val="20"/>
          <w:color w:val="auto"/>
        </w:rPr>
      </w:pPr>
      <w:r>
        <w:rPr>
          <w:rFonts w:ascii="Arial" w:cs="Arial" w:eastAsia="Arial" w:hAnsi="Arial"/>
          <w:sz w:val="16"/>
          <w:szCs w:val="16"/>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90" w:name="page91"/>
    <w:bookmarkEnd w:id="90"/>
    <w:p>
      <w:pPr>
        <w:ind w:right="220"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provisions of this Section shall survive the termination of this Indenture and the resignation or removal of the Trustee.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w:t>
      </w:r>
    </w:p>
    <w:p>
      <w:pPr>
        <w:spacing w:after="0" w:line="225" w:lineRule="exact"/>
        <w:rPr>
          <w:sz w:val="20"/>
          <w:szCs w:val="20"/>
          <w:color w:val="auto"/>
        </w:rPr>
      </w:pPr>
    </w:p>
    <w:p>
      <w:pPr>
        <w:ind w:right="260" w:firstLine="881"/>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w:t>
      </w:r>
    </w:p>
    <w:p>
      <w:pPr>
        <w:spacing w:after="0" w:line="170" w:lineRule="exact"/>
        <w:rPr>
          <w:sz w:val="20"/>
          <w:szCs w:val="20"/>
          <w:color w:val="auto"/>
        </w:rPr>
      </w:pPr>
    </w:p>
    <w:p>
      <w:pPr>
        <w:ind w:right="20" w:firstLine="881"/>
        <w:spacing w:after="0" w:line="311" w:lineRule="auto"/>
        <w:rPr>
          <w:sz w:val="20"/>
          <w:szCs w:val="20"/>
          <w:color w:val="auto"/>
        </w:rPr>
      </w:pPr>
      <w:r>
        <w:rPr>
          <w:rFonts w:ascii="Arial" w:cs="Arial" w:eastAsia="Arial" w:hAnsi="Arial"/>
          <w:sz w:val="16"/>
          <w:szCs w:val="16"/>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41" w:lineRule="exact"/>
        <w:rPr>
          <w:sz w:val="20"/>
          <w:szCs w:val="20"/>
          <w:color w:val="auto"/>
        </w:rPr>
      </w:pPr>
    </w:p>
    <w:p>
      <w:pPr>
        <w:ind w:left="1100" w:hanging="241"/>
        <w:spacing w:after="0"/>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 Law;</w:t>
      </w:r>
    </w:p>
    <w:p>
      <w:pPr>
        <w:spacing w:after="0" w:line="140" w:lineRule="exact"/>
        <w:rPr>
          <w:rFonts w:ascii="Arial" w:cs="Arial" w:eastAsia="Arial" w:hAnsi="Arial"/>
          <w:sz w:val="16"/>
          <w:szCs w:val="16"/>
          <w:color w:val="auto"/>
        </w:rPr>
      </w:pPr>
    </w:p>
    <w:p>
      <w:pPr>
        <w:ind w:left="1100" w:hanging="241"/>
        <w:spacing w:after="0"/>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right="380" w:firstLine="881"/>
        <w:spacing w:after="0" w:line="286" w:lineRule="auto"/>
        <w:rPr>
          <w:sz w:val="20"/>
          <w:szCs w:val="20"/>
          <w:color w:val="auto"/>
        </w:rPr>
      </w:pPr>
      <w:r>
        <w:rPr>
          <w:rFonts w:ascii="Arial" w:cs="Arial" w:eastAsia="Arial" w:hAnsi="Arial"/>
          <w:sz w:val="17"/>
          <w:szCs w:val="17"/>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65" w:lineRule="exact"/>
        <w:rPr>
          <w:sz w:val="20"/>
          <w:szCs w:val="20"/>
          <w:color w:val="auto"/>
        </w:rPr>
      </w:pPr>
    </w:p>
    <w:p>
      <w:pPr>
        <w:ind w:right="180" w:firstLine="881"/>
        <w:spacing w:after="0" w:line="263"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 successor Trustee shall deliver a written acceptance of its appointment to the retiring Trustee and to the Company. Immediately after that,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retiring Trustee shall transfer all property held by it as Trustee to the successor Trustee subject to the lien provided for in Section 7.7, the resignation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removal of the retiring Trustee shall become effective, and the successor Trustee shall have all the rights, powers and duties of the Trustee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 to each Series of Securities for which it is acting as Trustee under this Indenture. A successor Trustee shall mail a notice of its succession to each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Securityholder of each such Series. Notwithstanding replacement of the Trustee pursuant to this Section 7.8, the Company’s obligations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7.7 hereof shall continue for the benefit of the retiring Trustee with respect to expenses and liabilities incurred by it for actions taken or omitted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be taken in accordance with its rights, powers and duties under this Indenture prior to such replacement.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91" w:name="page92"/>
    <w:bookmarkEnd w:id="9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7.9. </w:t>
      </w:r>
      <w:r>
        <w:rPr>
          <w:rFonts w:ascii="Arial" w:cs="Arial" w:eastAsia="Arial" w:hAnsi="Arial"/>
          <w:sz w:val="18"/>
          <w:szCs w:val="18"/>
          <w:u w:val="single" w:color="auto"/>
          <w:color w:val="auto"/>
        </w:rPr>
        <w:t>Successor Trustee by Merger, Etc</w:t>
      </w:r>
      <w:r>
        <w:rPr>
          <w:rFonts w:ascii="Arial" w:cs="Arial" w:eastAsia="Arial" w:hAnsi="Arial"/>
          <w:sz w:val="18"/>
          <w:szCs w:val="18"/>
          <w:color w:val="auto"/>
        </w:rPr>
        <w:t>.</w:t>
      </w:r>
    </w:p>
    <w:p>
      <w:pPr>
        <w:spacing w:after="0" w:line="225" w:lineRule="exact"/>
        <w:rPr>
          <w:sz w:val="20"/>
          <w:szCs w:val="20"/>
          <w:color w:val="auto"/>
        </w:rPr>
      </w:pPr>
    </w:p>
    <w:p>
      <w:pPr>
        <w:ind w:right="600" w:firstLine="881"/>
        <w:spacing w:after="0" w:line="308" w:lineRule="auto"/>
        <w:rPr>
          <w:sz w:val="20"/>
          <w:szCs w:val="20"/>
          <w:color w:val="auto"/>
        </w:rPr>
      </w:pPr>
      <w:r>
        <w:rPr>
          <w:rFonts w:ascii="Arial" w:cs="Arial" w:eastAsia="Arial" w:hAnsi="Arial"/>
          <w:sz w:val="17"/>
          <w:szCs w:val="17"/>
          <w:color w:val="auto"/>
        </w:rPr>
        <w:t>If the Trustee consolidates with, merges or converts into, or transfers all or substantially all of its corporate trust business to, another corporation, the successor corporation without any further act shall be the successor Trustee, subject to Section 7.10.</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w:t>
      </w:r>
    </w:p>
    <w:p>
      <w:pPr>
        <w:spacing w:after="0" w:line="225" w:lineRule="exact"/>
        <w:rPr>
          <w:sz w:val="20"/>
          <w:szCs w:val="20"/>
          <w:color w:val="auto"/>
        </w:rPr>
      </w:pPr>
    </w:p>
    <w:p>
      <w:pPr>
        <w:jc w:val="both"/>
        <w:ind w:right="160" w:firstLine="881"/>
        <w:spacing w:after="0" w:line="263" w:lineRule="auto"/>
        <w:rPr>
          <w:sz w:val="20"/>
          <w:szCs w:val="20"/>
          <w:color w:val="auto"/>
        </w:rPr>
      </w:pPr>
      <w:r>
        <w:rPr>
          <w:rFonts w:ascii="Arial" w:cs="Arial" w:eastAsia="Arial" w:hAnsi="Arial"/>
          <w:sz w:val="18"/>
          <w:szCs w:val="18"/>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Preferential Collection of Claims Against Company</w:t>
      </w:r>
      <w:r>
        <w:rPr>
          <w:rFonts w:ascii="Arial" w:cs="Arial" w:eastAsia="Arial" w:hAnsi="Arial"/>
          <w:sz w:val="18"/>
          <w:szCs w:val="18"/>
          <w:color w:val="auto"/>
        </w:rPr>
        <w:t>.</w:t>
      </w:r>
    </w:p>
    <w:p>
      <w:pPr>
        <w:spacing w:after="0" w:line="225" w:lineRule="exact"/>
        <w:rPr>
          <w:sz w:val="20"/>
          <w:szCs w:val="20"/>
          <w:color w:val="auto"/>
        </w:rPr>
      </w:pPr>
    </w:p>
    <w:p>
      <w:pPr>
        <w:ind w:right="480" w:firstLine="881"/>
        <w:spacing w:after="0" w:line="277"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SATISFACTION AND DISCHARGE; DEFEASANCE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225" w:lineRule="exact"/>
        <w:rPr>
          <w:sz w:val="20"/>
          <w:szCs w:val="20"/>
          <w:color w:val="auto"/>
        </w:rPr>
      </w:pPr>
    </w:p>
    <w:p>
      <w:pPr>
        <w:ind w:firstLine="881"/>
        <w:spacing w:after="0" w:line="263" w:lineRule="auto"/>
        <w:rPr>
          <w:sz w:val="20"/>
          <w:szCs w:val="20"/>
          <w:color w:val="auto"/>
        </w:rPr>
      </w:pPr>
      <w:r>
        <w:rPr>
          <w:rFonts w:ascii="Arial" w:cs="Arial" w:eastAsia="Arial" w:hAnsi="Arial"/>
          <w:sz w:val="18"/>
          <w:szCs w:val="18"/>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76" w:lineRule="exact"/>
        <w:rPr>
          <w:sz w:val="20"/>
          <w:szCs w:val="20"/>
          <w:color w:val="auto"/>
        </w:rPr>
      </w:pPr>
    </w:p>
    <w:p>
      <w:pPr>
        <w:ind w:left="1640" w:hanging="252"/>
        <w:spacing w:after="0"/>
        <w:tabs>
          <w:tab w:leader="none" w:pos="1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420" w:right="180" w:firstLine="391"/>
        <w:spacing w:after="0" w:line="277" w:lineRule="auto"/>
        <w:tabs>
          <w:tab w:leader="none" w:pos="2018"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62" w:lineRule="exact"/>
        <w:rPr>
          <w:rFonts w:ascii="Arial" w:cs="Arial" w:eastAsia="Arial" w:hAnsi="Arial"/>
          <w:sz w:val="18"/>
          <w:szCs w:val="18"/>
          <w:color w:val="auto"/>
        </w:rPr>
      </w:pPr>
    </w:p>
    <w:p>
      <w:pPr>
        <w:ind w:left="2080" w:hanging="269"/>
        <w:spacing w:after="0"/>
        <w:tabs>
          <w:tab w:leader="none" w:pos="20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such Securities of such Series not theretofore delivered to the Trustee for cancellation</w:t>
      </w:r>
    </w:p>
    <w:p>
      <w:pPr>
        <w:spacing w:after="0" w:line="117" w:lineRule="exact"/>
        <w:rPr>
          <w:rFonts w:ascii="Arial" w:cs="Arial" w:eastAsia="Arial" w:hAnsi="Arial"/>
          <w:sz w:val="18"/>
          <w:szCs w:val="18"/>
          <w:color w:val="auto"/>
        </w:rPr>
      </w:pPr>
    </w:p>
    <w:p>
      <w:pPr>
        <w:ind w:left="2600" w:hanging="260"/>
        <w:spacing w:after="0"/>
        <w:tabs>
          <w:tab w:leader="none" w:pos="2600" w:val="left"/>
        </w:tabs>
        <w:numPr>
          <w:ilvl w:val="2"/>
          <w:numId w:val="65"/>
        </w:numPr>
        <w:rPr>
          <w:rFonts w:ascii="Arial" w:cs="Arial" w:eastAsia="Arial" w:hAnsi="Arial"/>
          <w:sz w:val="18"/>
          <w:szCs w:val="18"/>
          <w:color w:val="auto"/>
        </w:rPr>
      </w:pPr>
      <w:r>
        <w:rPr>
          <w:rFonts w:ascii="Arial" w:cs="Arial" w:eastAsia="Arial" w:hAnsi="Arial"/>
          <w:sz w:val="18"/>
          <w:szCs w:val="18"/>
          <w:color w:val="auto"/>
        </w:rPr>
        <w:t>have become due and payable by reason of sending a notice of redemption or otherwise, or</w:t>
      </w:r>
    </w:p>
    <w:p>
      <w:pPr>
        <w:spacing w:after="0" w:line="117" w:lineRule="exact"/>
        <w:rPr>
          <w:rFonts w:ascii="Arial" w:cs="Arial" w:eastAsia="Arial" w:hAnsi="Arial"/>
          <w:sz w:val="18"/>
          <w:szCs w:val="18"/>
          <w:color w:val="auto"/>
        </w:rPr>
      </w:pPr>
    </w:p>
    <w:p>
      <w:pPr>
        <w:ind w:left="2600" w:hanging="260"/>
        <w:spacing w:after="0"/>
        <w:tabs>
          <w:tab w:leader="none" w:pos="2600" w:val="left"/>
        </w:tabs>
        <w:numPr>
          <w:ilvl w:val="2"/>
          <w:numId w:val="65"/>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92" w:name="page93"/>
    <w:bookmarkEnd w:id="92"/>
    <w:p>
      <w:pPr>
        <w:ind w:left="1980" w:right="120" w:firstLine="360"/>
        <w:spacing w:after="0" w:line="342" w:lineRule="auto"/>
        <w:tabs>
          <w:tab w:leader="none" w:pos="2596" w:val="left"/>
        </w:tabs>
        <w:numPr>
          <w:ilvl w:val="0"/>
          <w:numId w:val="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have been called for redemption or are to be called for redemption within one year under arrangements satisfactory to the Trustee for the giving of notice of redemption by the Trustee in the name, and at the expense, of the Company, or</w:t>
      </w:r>
    </w:p>
    <w:p>
      <w:pPr>
        <w:spacing w:after="0" w:line="15" w:lineRule="exact"/>
        <w:rPr>
          <w:rFonts w:ascii="Arial" w:cs="Arial" w:eastAsia="Arial" w:hAnsi="Arial"/>
          <w:sz w:val="16"/>
          <w:szCs w:val="16"/>
          <w:color w:val="auto"/>
        </w:rPr>
      </w:pPr>
    </w:p>
    <w:p>
      <w:pPr>
        <w:ind w:left="2600" w:hanging="260"/>
        <w:spacing w:after="0"/>
        <w:tabs>
          <w:tab w:leader="none" w:pos="2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are deemed paid and discharged pursuant to Section 8.3, as applicable;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the Company, in the case of (1), (2) or (3) above, shall have irrevocably deposited or caused to be deposited with the Trustee as trust funds in trust an amount of money or U.S. Government Obligations, which amount shall be sufficient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79" w:lineRule="exact"/>
        <w:rPr>
          <w:sz w:val="20"/>
          <w:szCs w:val="20"/>
          <w:color w:val="auto"/>
        </w:rPr>
      </w:pPr>
    </w:p>
    <w:p>
      <w:pPr>
        <w:ind w:left="1640" w:hanging="252"/>
        <w:spacing w:after="0"/>
        <w:tabs>
          <w:tab w:leader="none" w:pos="1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117" w:lineRule="exact"/>
        <w:rPr>
          <w:rFonts w:ascii="Arial" w:cs="Arial" w:eastAsia="Arial" w:hAnsi="Arial"/>
          <w:sz w:val="18"/>
          <w:szCs w:val="18"/>
          <w:color w:val="auto"/>
        </w:rPr>
      </w:pPr>
    </w:p>
    <w:p>
      <w:pPr>
        <w:ind w:left="980" w:right="620" w:firstLine="408"/>
        <w:spacing w:after="0" w:line="342" w:lineRule="auto"/>
        <w:tabs>
          <w:tab w:leader="none" w:pos="162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24"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Application of Trust Funds; Indemnification</w:t>
      </w:r>
      <w:r>
        <w:rPr>
          <w:rFonts w:ascii="Arial" w:cs="Arial" w:eastAsia="Arial" w:hAnsi="Arial"/>
          <w:sz w:val="18"/>
          <w:szCs w:val="18"/>
          <w:color w:val="auto"/>
        </w:rPr>
        <w:t>.</w:t>
      </w:r>
    </w:p>
    <w:p>
      <w:pPr>
        <w:spacing w:after="0" w:line="117" w:lineRule="exact"/>
        <w:rPr>
          <w:sz w:val="20"/>
          <w:szCs w:val="20"/>
          <w:color w:val="auto"/>
        </w:rPr>
      </w:pPr>
    </w:p>
    <w:p>
      <w:pPr>
        <w:ind w:left="980" w:right="140" w:firstLine="408"/>
        <w:spacing w:after="0" w:line="272" w:lineRule="auto"/>
        <w:tabs>
          <w:tab w:leader="none" w:pos="1625" w:val="left"/>
        </w:tabs>
        <w:numPr>
          <w:ilvl w:val="0"/>
          <w:numId w:val="68"/>
        </w:numPr>
        <w:rPr>
          <w:rFonts w:ascii="Arial" w:cs="Arial" w:eastAsia="Arial" w:hAnsi="Arial"/>
          <w:sz w:val="17"/>
          <w:szCs w:val="17"/>
          <w:color w:val="auto"/>
        </w:rPr>
      </w:pPr>
      <w:r>
        <w:rPr>
          <w:rFonts w:ascii="Arial" w:cs="Arial" w:eastAsia="Arial" w:hAnsi="Arial"/>
          <w:sz w:val="17"/>
          <w:szCs w:val="17"/>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69" w:lineRule="exact"/>
        <w:rPr>
          <w:rFonts w:ascii="Arial" w:cs="Arial" w:eastAsia="Arial" w:hAnsi="Arial"/>
          <w:sz w:val="17"/>
          <w:szCs w:val="17"/>
          <w:color w:val="auto"/>
        </w:rPr>
      </w:pPr>
    </w:p>
    <w:p>
      <w:pPr>
        <w:ind w:left="980" w:right="120" w:firstLine="408"/>
        <w:spacing w:after="0" w:line="263" w:lineRule="auto"/>
        <w:tabs>
          <w:tab w:leader="none" w:pos="163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75" w:lineRule="exact"/>
        <w:rPr>
          <w:rFonts w:ascii="Arial" w:cs="Arial" w:eastAsia="Arial" w:hAnsi="Arial"/>
          <w:sz w:val="18"/>
          <w:szCs w:val="18"/>
          <w:color w:val="auto"/>
        </w:rPr>
      </w:pPr>
    </w:p>
    <w:p>
      <w:pPr>
        <w:ind w:left="980" w:right="260" w:firstLine="408"/>
        <w:spacing w:after="0" w:line="277" w:lineRule="auto"/>
        <w:tabs>
          <w:tab w:leader="none" w:pos="162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Trustee shall deliver or pay to the Company from time to time upon Company Order any U.S. Government Obligations or Foreign Government Obligations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93" w:name="page94"/>
    <w:bookmarkEnd w:id="93"/>
    <w:p>
      <w:pPr>
        <w:ind w:left="980" w:right="2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Legal Defeasance of Securities of any Series.</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80" w:lineRule="exact"/>
        <w:rPr>
          <w:sz w:val="20"/>
          <w:szCs w:val="20"/>
          <w:color w:val="auto"/>
        </w:rPr>
      </w:pPr>
    </w:p>
    <w:p>
      <w:pPr>
        <w:ind w:left="980" w:firstLine="408"/>
        <w:spacing w:after="0" w:line="257" w:lineRule="auto"/>
        <w:tabs>
          <w:tab w:leader="none" w:pos="162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79" w:lineRule="exact"/>
        <w:rPr>
          <w:rFonts w:ascii="Arial" w:cs="Arial" w:eastAsia="Arial" w:hAnsi="Arial"/>
          <w:sz w:val="18"/>
          <w:szCs w:val="18"/>
          <w:color w:val="auto"/>
        </w:rPr>
      </w:pPr>
    </w:p>
    <w:p>
      <w:pPr>
        <w:ind w:left="1640" w:hanging="252"/>
        <w:spacing w:after="0"/>
        <w:tabs>
          <w:tab w:leader="none" w:pos="1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provisions of Sections 2.4, 2.5, 2.7, 2.8, 7.7, 8.2, 8.3, 8.5 and 8.6; and</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rights, powers, trusts and immunities of the Trustee hereunder and the Company’s obligations in connection therewith;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following conditions shall have been satisfied:</w:t>
      </w:r>
    </w:p>
    <w:p>
      <w:pPr>
        <w:spacing w:after="0" w:line="117" w:lineRule="exact"/>
        <w:rPr>
          <w:sz w:val="20"/>
          <w:szCs w:val="20"/>
          <w:color w:val="auto"/>
        </w:rPr>
      </w:pPr>
    </w:p>
    <w:p>
      <w:pPr>
        <w:ind w:left="980" w:firstLine="408"/>
        <w:spacing w:after="0" w:line="269" w:lineRule="auto"/>
        <w:tabs>
          <w:tab w:leader="none" w:pos="1636"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94" w:name="page95"/>
    <w:bookmarkEnd w:id="94"/>
    <w:p>
      <w:pPr>
        <w:ind w:left="980" w:right="440" w:firstLine="408"/>
        <w:spacing w:after="0" w:line="277" w:lineRule="auto"/>
        <w:tabs>
          <w:tab w:leader="none" w:pos="1625"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deposit will not result in a breach or violation of, or constitute a default under, this Indenture or any other agreement or instrument to which the Company is a party or by which it is bound;</w:t>
      </w:r>
    </w:p>
    <w:p>
      <w:pPr>
        <w:spacing w:after="0" w:line="62" w:lineRule="exact"/>
        <w:rPr>
          <w:rFonts w:ascii="Arial" w:cs="Arial" w:eastAsia="Arial" w:hAnsi="Arial"/>
          <w:sz w:val="18"/>
          <w:szCs w:val="18"/>
          <w:color w:val="auto"/>
        </w:rPr>
      </w:pPr>
    </w:p>
    <w:p>
      <w:pPr>
        <w:ind w:left="980" w:right="200" w:firstLine="408"/>
        <w:spacing w:after="0" w:line="277" w:lineRule="auto"/>
        <w:tabs>
          <w:tab w:leader="none" w:pos="1606"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62" w:lineRule="exact"/>
        <w:rPr>
          <w:rFonts w:ascii="Arial" w:cs="Arial" w:eastAsia="Arial" w:hAnsi="Arial"/>
          <w:sz w:val="18"/>
          <w:szCs w:val="18"/>
          <w:color w:val="auto"/>
        </w:rPr>
      </w:pPr>
    </w:p>
    <w:p>
      <w:pPr>
        <w:ind w:left="980" w:firstLine="408"/>
        <w:spacing w:after="0" w:line="293" w:lineRule="auto"/>
        <w:tabs>
          <w:tab w:leader="none" w:pos="1636"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and an Opinion of Counsel to the effect that (i) the Company has received from, or there has been published by, the IRS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56" w:lineRule="exact"/>
        <w:rPr>
          <w:rFonts w:ascii="Arial" w:cs="Arial" w:eastAsia="Arial" w:hAnsi="Arial"/>
          <w:sz w:val="16"/>
          <w:szCs w:val="16"/>
          <w:color w:val="auto"/>
        </w:rPr>
      </w:pPr>
    </w:p>
    <w:p>
      <w:pPr>
        <w:ind w:left="980" w:right="240" w:firstLine="408"/>
        <w:spacing w:after="0" w:line="277" w:lineRule="auto"/>
        <w:tabs>
          <w:tab w:leader="none" w:pos="16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62" w:lineRule="exact"/>
        <w:rPr>
          <w:rFonts w:ascii="Arial" w:cs="Arial" w:eastAsia="Arial" w:hAnsi="Arial"/>
          <w:sz w:val="18"/>
          <w:szCs w:val="18"/>
          <w:color w:val="auto"/>
        </w:rPr>
      </w:pPr>
    </w:p>
    <w:p>
      <w:pPr>
        <w:ind w:left="980" w:right="740" w:firstLine="408"/>
        <w:spacing w:after="0" w:line="308" w:lineRule="auto"/>
        <w:tabs>
          <w:tab w:leader="none" w:pos="1596"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70" w:lineRule="exact"/>
        <w:rPr>
          <w:sz w:val="20"/>
          <w:szCs w:val="20"/>
          <w:color w:val="auto"/>
        </w:rPr>
      </w:pPr>
    </w:p>
    <w:p>
      <w:pPr>
        <w:ind w:left="980" w:right="560" w:firstLine="408"/>
        <w:spacing w:after="0" w:line="342" w:lineRule="auto"/>
        <w:tabs>
          <w:tab w:leader="none" w:pos="1625" w:val="left"/>
        </w:tabs>
        <w:numPr>
          <w:ilvl w:val="0"/>
          <w:numId w:val="72"/>
        </w:numPr>
        <w:rPr>
          <w:rFonts w:ascii="Arial" w:cs="Arial" w:eastAsia="Arial" w:hAnsi="Arial"/>
          <w:sz w:val="16"/>
          <w:szCs w:val="16"/>
          <w:color w:val="auto"/>
        </w:rPr>
      </w:pPr>
      <w:r>
        <w:rPr>
          <w:rFonts w:ascii="Arial" w:cs="Arial" w:eastAsia="Arial" w:hAnsi="Arial"/>
          <w:sz w:val="16"/>
          <w:szCs w:val="16"/>
          <w:color w:val="auto"/>
        </w:rPr>
        <w:t>with reference to this Section 8.4, the Company has irrevocably deposited or caused to be irrevocably deposited (except as provided in Section 8.2(c)) with the Trustee as trust funds in trust for the purpose of making the following payments specifically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95" w:name="page96"/>
    <w:bookmarkEnd w:id="95"/>
    <w:p>
      <w:pPr>
        <w:ind w:left="980"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57" w:lineRule="exact"/>
        <w:rPr>
          <w:sz w:val="20"/>
          <w:szCs w:val="20"/>
          <w:color w:val="auto"/>
        </w:rPr>
      </w:pPr>
    </w:p>
    <w:p>
      <w:pPr>
        <w:ind w:left="980" w:right="420" w:firstLine="408"/>
        <w:spacing w:after="0" w:line="277" w:lineRule="auto"/>
        <w:tabs>
          <w:tab w:leader="none" w:pos="16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62" w:lineRule="exact"/>
        <w:rPr>
          <w:rFonts w:ascii="Arial" w:cs="Arial" w:eastAsia="Arial" w:hAnsi="Arial"/>
          <w:sz w:val="18"/>
          <w:szCs w:val="18"/>
          <w:color w:val="auto"/>
        </w:rPr>
      </w:pPr>
    </w:p>
    <w:p>
      <w:pPr>
        <w:ind w:left="980" w:right="180" w:firstLine="408"/>
        <w:spacing w:after="0" w:line="277" w:lineRule="auto"/>
        <w:tabs>
          <w:tab w:leader="none" w:pos="1625"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w:t>
      </w:r>
    </w:p>
    <w:p>
      <w:pPr>
        <w:spacing w:after="0" w:line="62" w:lineRule="exact"/>
        <w:rPr>
          <w:rFonts w:ascii="Arial" w:cs="Arial" w:eastAsia="Arial" w:hAnsi="Arial"/>
          <w:sz w:val="18"/>
          <w:szCs w:val="18"/>
          <w:color w:val="auto"/>
        </w:rPr>
      </w:pPr>
    </w:p>
    <w:p>
      <w:pPr>
        <w:ind w:left="980" w:firstLine="408"/>
        <w:spacing w:after="0" w:line="279" w:lineRule="auto"/>
        <w:tabs>
          <w:tab w:leader="none" w:pos="1636"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spacing w:after="0" w:line="63" w:lineRule="exact"/>
        <w:rPr>
          <w:rFonts w:ascii="Arial" w:cs="Arial" w:eastAsia="Arial" w:hAnsi="Arial"/>
          <w:sz w:val="17"/>
          <w:szCs w:val="17"/>
          <w:color w:val="auto"/>
        </w:rPr>
      </w:pPr>
    </w:p>
    <w:p>
      <w:pPr>
        <w:ind w:left="980" w:right="140" w:firstLine="408"/>
        <w:spacing w:after="0" w:line="277" w:lineRule="auto"/>
        <w:tabs>
          <w:tab w:leader="none" w:pos="162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62" w:lineRule="exact"/>
        <w:rPr>
          <w:rFonts w:ascii="Arial" w:cs="Arial" w:eastAsia="Arial" w:hAnsi="Arial"/>
          <w:sz w:val="18"/>
          <w:szCs w:val="18"/>
          <w:color w:val="auto"/>
        </w:rPr>
      </w:pPr>
    </w:p>
    <w:p>
      <w:pPr>
        <w:ind w:left="980" w:right="480" w:firstLine="408"/>
        <w:spacing w:after="0" w:line="342" w:lineRule="auto"/>
        <w:tabs>
          <w:tab w:leader="none" w:pos="1606"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225" w:lineRule="exact"/>
        <w:rPr>
          <w:sz w:val="20"/>
          <w:szCs w:val="20"/>
          <w:color w:val="auto"/>
        </w:rPr>
      </w:pPr>
    </w:p>
    <w:p>
      <w:pPr>
        <w:jc w:val="both"/>
        <w:ind w:right="200" w:firstLine="991"/>
        <w:spacing w:after="0" w:line="286" w:lineRule="auto"/>
        <w:rPr>
          <w:sz w:val="20"/>
          <w:szCs w:val="20"/>
          <w:color w:val="auto"/>
        </w:rPr>
      </w:pPr>
      <w:r>
        <w:rPr>
          <w:rFonts w:ascii="Arial" w:cs="Arial" w:eastAsia="Arial" w:hAnsi="Arial"/>
          <w:sz w:val="17"/>
          <w:szCs w:val="17"/>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225"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If the Trustee or the Paying Agent is unable to apply any money deposited with respect to Securities of any Series in accordance with Section 8.1 by reason of any legal proceeding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96" w:name="page97"/>
    <w:bookmarkEnd w:id="96"/>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Company has made any payment of principal of or interest on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AMENDMENTS AND WAIVERS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Without Consent of Holders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Company and the Trustee may amend or supplement this Indenture or the Securities of one or more Series without the consent of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Securityholder:</w:t>
      </w:r>
    </w:p>
    <w:p>
      <w:pPr>
        <w:spacing w:after="0" w:line="103" w:lineRule="exact"/>
        <w:rPr>
          <w:sz w:val="20"/>
          <w:szCs w:val="20"/>
          <w:color w:val="auto"/>
        </w:rPr>
      </w:pPr>
    </w:p>
    <w:p>
      <w:pPr>
        <w:ind w:left="1100" w:hanging="241"/>
        <w:spacing w:after="0"/>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comply with Article V;</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add guarantees with respect to Securities of any Series or secure Securities of any Series;</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this Indenture;</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Securities of any Series;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Securities of any Series as permitted by this Indenture;</w:t>
      </w:r>
    </w:p>
    <w:p>
      <w:pPr>
        <w:spacing w:after="0" w:line="140" w:lineRule="exact"/>
        <w:rPr>
          <w:rFonts w:ascii="Arial" w:cs="Arial" w:eastAsia="Arial" w:hAnsi="Arial"/>
          <w:sz w:val="16"/>
          <w:szCs w:val="16"/>
          <w:color w:val="auto"/>
        </w:rPr>
      </w:pPr>
    </w:p>
    <w:p>
      <w:pPr>
        <w:ind w:left="440" w:right="40" w:firstLine="419"/>
        <w:spacing w:after="0" w:line="263" w:lineRule="auto"/>
        <w:tabs>
          <w:tab w:leader="none" w:pos="107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a separate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97" w:name="page98"/>
    <w:bookmarkEnd w:id="97"/>
    <w:p>
      <w:pPr>
        <w:ind w:left="440" w:right="1300" w:firstLine="419"/>
        <w:spacing w:after="0" w:line="500" w:lineRule="auto"/>
        <w:tabs>
          <w:tab w:leader="none" w:pos="1118"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comply with requirements of the SEC in order to effect or maintain the qualification of this Indenture under the TIA. Section 9.2.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w:t>
      </w:r>
    </w:p>
    <w:p>
      <w:pPr>
        <w:spacing w:after="0" w:line="2" w:lineRule="exact"/>
        <w:rPr>
          <w:sz w:val="20"/>
          <w:szCs w:val="20"/>
          <w:color w:val="auto"/>
        </w:rPr>
      </w:pPr>
    </w:p>
    <w:p>
      <w:pPr>
        <w:ind w:right="60" w:firstLine="881"/>
        <w:spacing w:after="0" w:line="291" w:lineRule="auto"/>
        <w:rPr>
          <w:sz w:val="20"/>
          <w:szCs w:val="20"/>
          <w:color w:val="auto"/>
        </w:rPr>
      </w:pPr>
      <w:r>
        <w:rPr>
          <w:rFonts w:ascii="Arial" w:cs="Arial" w:eastAsia="Arial" w:hAnsi="Arial"/>
          <w:sz w:val="16"/>
          <w:szCs w:val="16"/>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66" w:lineRule="exact"/>
        <w:rPr>
          <w:sz w:val="20"/>
          <w:szCs w:val="20"/>
          <w:color w:val="auto"/>
        </w:rPr>
      </w:pPr>
    </w:p>
    <w:p>
      <w:pPr>
        <w:ind w:right="120" w:firstLine="881"/>
        <w:spacing w:after="0" w:line="257" w:lineRule="auto"/>
        <w:rPr>
          <w:sz w:val="20"/>
          <w:szCs w:val="20"/>
          <w:color w:val="auto"/>
        </w:rPr>
      </w:pPr>
      <w:r>
        <w:rPr>
          <w:rFonts w:ascii="Arial" w:cs="Arial" w:eastAsia="Arial" w:hAnsi="Arial"/>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Without the consent of each Securityholder affected, an amendment or waiver may not:</w:t>
      </w:r>
    </w:p>
    <w:p>
      <w:pPr>
        <w:spacing w:after="0" w:line="117" w:lineRule="exact"/>
        <w:rPr>
          <w:sz w:val="20"/>
          <w:szCs w:val="20"/>
          <w:color w:val="auto"/>
        </w:rPr>
      </w:pPr>
    </w:p>
    <w:p>
      <w:pPr>
        <w:ind w:left="1100" w:hanging="241"/>
        <w:spacing w:after="0"/>
        <w:tabs>
          <w:tab w:leader="none" w:pos="11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117" w:lineRule="exact"/>
        <w:rPr>
          <w:rFonts w:ascii="Arial" w:cs="Arial" w:eastAsia="Arial" w:hAnsi="Arial"/>
          <w:sz w:val="18"/>
          <w:szCs w:val="18"/>
          <w:color w:val="auto"/>
        </w:rPr>
      </w:pPr>
    </w:p>
    <w:p>
      <w:pPr>
        <w:ind w:left="440" w:firstLine="419"/>
        <w:spacing w:after="0" w:line="277" w:lineRule="auto"/>
        <w:tabs>
          <w:tab w:leader="none" w:pos="1108"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117" w:lineRule="exact"/>
        <w:rPr>
          <w:rFonts w:ascii="Arial" w:cs="Arial" w:eastAsia="Arial" w:hAnsi="Arial"/>
          <w:sz w:val="18"/>
          <w:szCs w:val="18"/>
          <w:color w:val="auto"/>
        </w:rPr>
      </w:pPr>
    </w:p>
    <w:p>
      <w:pPr>
        <w:ind w:left="440" w:right="260" w:firstLine="419"/>
        <w:spacing w:after="0" w:line="263" w:lineRule="auto"/>
        <w:tabs>
          <w:tab w:leader="none" w:pos="1108" w:val="left"/>
        </w:tabs>
        <w:numPr>
          <w:ilvl w:val="0"/>
          <w:numId w:val="76"/>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98" w:name="page99"/>
    <w:bookmarkEnd w:id="98"/>
    <w:p>
      <w:pPr>
        <w:ind w:left="1080" w:hanging="221"/>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make the principal of or interest, if any, on any Security payable in any currency other than that stated in the Security;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make any change in Sections 6.8, 6.13 or 9.3 (this sentence);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waive a redemption payment with respect to any Security, provided that such redemption is made at the Company’s option.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Compliance with Trust Indenture Act</w:t>
      </w:r>
      <w:r>
        <w:rPr>
          <w:rFonts w:ascii="Arial" w:cs="Arial" w:eastAsia="Arial" w:hAnsi="Arial"/>
          <w:sz w:val="18"/>
          <w:szCs w:val="18"/>
          <w:color w:val="auto"/>
        </w:rPr>
        <w:t>.</w:t>
      </w:r>
    </w:p>
    <w:p>
      <w:pPr>
        <w:spacing w:after="0" w:line="225"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Every amendment to this Indenture or the Securities of one or more Series shall be set forth in a supplemental indenture hereto that complies with the TIA as then in effect.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Revocation and Effect of Consents</w:t>
      </w:r>
      <w:r>
        <w:rPr>
          <w:rFonts w:ascii="Arial" w:cs="Arial" w:eastAsia="Arial" w:hAnsi="Arial"/>
          <w:sz w:val="18"/>
          <w:szCs w:val="18"/>
          <w:color w:val="auto"/>
        </w:rPr>
        <w:t>.</w:t>
      </w:r>
    </w:p>
    <w:p>
      <w:pPr>
        <w:spacing w:after="0" w:line="225" w:lineRule="exact"/>
        <w:rPr>
          <w:sz w:val="20"/>
          <w:szCs w:val="20"/>
          <w:color w:val="auto"/>
        </w:rPr>
      </w:pPr>
    </w:p>
    <w:p>
      <w:pPr>
        <w:ind w:right="80" w:firstLine="881"/>
        <w:spacing w:after="0" w:line="257" w:lineRule="auto"/>
        <w:rPr>
          <w:sz w:val="20"/>
          <w:szCs w:val="20"/>
          <w:color w:val="auto"/>
        </w:rPr>
      </w:pPr>
      <w:r>
        <w:rPr>
          <w:rFonts w:ascii="Arial" w:cs="Arial" w:eastAsia="Arial" w:hAnsi="Arial"/>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88" w:lineRule="exact"/>
        <w:rPr>
          <w:sz w:val="20"/>
          <w:szCs w:val="20"/>
          <w:color w:val="auto"/>
        </w:rPr>
      </w:pPr>
    </w:p>
    <w:p>
      <w:pPr>
        <w:ind w:firstLine="881"/>
        <w:spacing w:after="0" w:line="311" w:lineRule="auto"/>
        <w:rPr>
          <w:sz w:val="20"/>
          <w:szCs w:val="20"/>
          <w:color w:val="auto"/>
        </w:rPr>
      </w:pPr>
      <w:r>
        <w:rPr>
          <w:rFonts w:ascii="Arial" w:cs="Arial" w:eastAsia="Arial" w:hAnsi="Arial"/>
          <w:sz w:val="16"/>
          <w:szCs w:val="16"/>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49" w:lineRule="exact"/>
        <w:rPr>
          <w:sz w:val="20"/>
          <w:szCs w:val="20"/>
          <w:color w:val="auto"/>
        </w:rPr>
      </w:pPr>
    </w:p>
    <w:p>
      <w:pPr>
        <w:ind w:right="160" w:firstLine="881"/>
        <w:spacing w:after="0" w:line="296" w:lineRule="auto"/>
        <w:rPr>
          <w:sz w:val="20"/>
          <w:szCs w:val="20"/>
          <w:color w:val="auto"/>
        </w:rPr>
      </w:pPr>
      <w:r>
        <w:rPr>
          <w:rFonts w:ascii="Arial" w:cs="Arial" w:eastAsia="Arial" w:hAnsi="Arial"/>
          <w:sz w:val="16"/>
          <w:szCs w:val="16"/>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Notation on or Exchange of Securities</w:t>
      </w:r>
      <w:r>
        <w:rPr>
          <w:rFonts w:ascii="Arial" w:cs="Arial" w:eastAsia="Arial" w:hAnsi="Arial"/>
          <w:sz w:val="18"/>
          <w:szCs w:val="18"/>
          <w:color w:val="auto"/>
        </w:rPr>
        <w:t>.</w:t>
      </w:r>
    </w:p>
    <w:p>
      <w:pPr>
        <w:spacing w:after="0" w:line="225" w:lineRule="exact"/>
        <w:rPr>
          <w:sz w:val="20"/>
          <w:szCs w:val="20"/>
          <w:color w:val="auto"/>
        </w:rPr>
      </w:pPr>
    </w:p>
    <w:p>
      <w:pPr>
        <w:ind w:right="160" w:firstLine="881"/>
        <w:spacing w:after="0" w:line="263" w:lineRule="auto"/>
        <w:rPr>
          <w:sz w:val="20"/>
          <w:szCs w:val="20"/>
          <w:color w:val="auto"/>
        </w:rPr>
      </w:pPr>
      <w:r>
        <w:rPr>
          <w:rFonts w:ascii="Arial" w:cs="Arial" w:eastAsia="Arial" w:hAnsi="Arial"/>
          <w:sz w:val="18"/>
          <w:szCs w:val="18"/>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99" w:name="page100"/>
    <w:bookmarkEnd w:id="9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9.7. </w:t>
      </w:r>
      <w:r>
        <w:rPr>
          <w:rFonts w:ascii="Arial" w:cs="Arial" w:eastAsia="Arial" w:hAnsi="Arial"/>
          <w:sz w:val="18"/>
          <w:szCs w:val="18"/>
          <w:u w:val="single" w:color="auto"/>
          <w:color w:val="auto"/>
        </w:rPr>
        <w:t>Trustee Protected</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Ascendis Pharma A/S</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Tuborg Boulevard 12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DK-2900 Hellerup, Denmark</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Telephone: +45 70 22 22 44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140 Scott Drive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Mark V. Roeder, Esq.</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Telephone: (650) 328-4600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w:t>
      </w:r>
    </w:p>
    <w:p>
      <w:pPr>
        <w:spacing w:after="0" w:line="117" w:lineRule="exact"/>
        <w:rPr>
          <w:sz w:val="20"/>
          <w:szCs w:val="20"/>
          <w:color w:val="auto"/>
        </w:rPr>
      </w:pPr>
    </w:p>
    <w:p>
      <w:pPr>
        <w:ind w:left="1540" w:hanging="112"/>
        <w:spacing w:after="0"/>
        <w:tabs>
          <w:tab w:leader="none" w:pos="1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540" w:hanging="112"/>
        <w:spacing w:after="0"/>
        <w:tabs>
          <w:tab w:leader="none" w:pos="1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100" w:name="page101"/>
    <w:bookmarkEnd w:id="100"/>
    <w:p>
      <w:pPr>
        <w:ind w:right="1200"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or the Trustee by notice to the other may designate additional or different addresses for subsequent notices or communications.</w:t>
      </w:r>
    </w:p>
    <w:p>
      <w:pPr>
        <w:spacing w:after="0" w:line="170" w:lineRule="exact"/>
        <w:rPr>
          <w:sz w:val="20"/>
          <w:szCs w:val="20"/>
          <w:color w:val="auto"/>
        </w:rPr>
      </w:pPr>
    </w:p>
    <w:p>
      <w:pPr>
        <w:ind w:right="60" w:firstLine="881"/>
        <w:spacing w:after="0" w:line="286" w:lineRule="auto"/>
        <w:rPr>
          <w:sz w:val="20"/>
          <w:szCs w:val="20"/>
          <w:color w:val="auto"/>
        </w:rPr>
      </w:pPr>
      <w:r>
        <w:rPr>
          <w:rFonts w:ascii="Arial" w:cs="Arial" w:eastAsia="Arial" w:hAnsi="Arial"/>
          <w:sz w:val="17"/>
          <w:szCs w:val="17"/>
          <w:color w:val="auto"/>
        </w:rPr>
        <w:t>Any notice or communication to a Securityholder shall be sent electronically or by first-class mail to his, her or its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65"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If a notice or communication is sent or published in the manner provided above, within the time prescribed, it is duly given, whether or not the Securityholder receives it.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If the Company sends a notice or communication to Securityholders, it shall send a copy to the Trustee and each Agent at the same time.</w:t>
      </w:r>
    </w:p>
    <w:p>
      <w:pPr>
        <w:spacing w:after="0" w:line="248" w:lineRule="exact"/>
        <w:rPr>
          <w:sz w:val="20"/>
          <w:szCs w:val="20"/>
          <w:color w:val="auto"/>
        </w:rPr>
      </w:pPr>
    </w:p>
    <w:p>
      <w:pPr>
        <w:ind w:right="60" w:firstLine="881"/>
        <w:spacing w:after="0" w:line="263" w:lineRule="auto"/>
        <w:rPr>
          <w:sz w:val="20"/>
          <w:szCs w:val="20"/>
          <w:color w:val="auto"/>
        </w:rPr>
      </w:pPr>
      <w:r>
        <w:rPr>
          <w:rFonts w:ascii="Arial" w:cs="Arial" w:eastAsia="Arial" w:hAnsi="Arial"/>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Communication by Holders with Other Holders</w:t>
      </w:r>
      <w:r>
        <w:rPr>
          <w:rFonts w:ascii="Arial" w:cs="Arial" w:eastAsia="Arial" w:hAnsi="Arial"/>
          <w:sz w:val="18"/>
          <w:szCs w:val="18"/>
          <w:color w:val="auto"/>
        </w:rPr>
        <w:t>.</w:t>
      </w:r>
    </w:p>
    <w:p>
      <w:pPr>
        <w:spacing w:after="0" w:line="225" w:lineRule="exact"/>
        <w:rPr>
          <w:sz w:val="20"/>
          <w:szCs w:val="20"/>
          <w:color w:val="auto"/>
        </w:rPr>
      </w:pPr>
    </w:p>
    <w:p>
      <w:pPr>
        <w:ind w:right="80" w:firstLine="881"/>
        <w:spacing w:after="0" w:line="263" w:lineRule="auto"/>
        <w:rPr>
          <w:sz w:val="20"/>
          <w:szCs w:val="20"/>
          <w:color w:val="auto"/>
        </w:rPr>
      </w:pPr>
      <w:r>
        <w:rPr>
          <w:rFonts w:ascii="Arial" w:cs="Arial" w:eastAsia="Arial" w:hAnsi="Arial"/>
          <w:sz w:val="18"/>
          <w:szCs w:val="18"/>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103" w:lineRule="exact"/>
        <w:rPr>
          <w:sz w:val="20"/>
          <w:szCs w:val="20"/>
          <w:color w:val="auto"/>
        </w:rPr>
      </w:pPr>
    </w:p>
    <w:p>
      <w:pPr>
        <w:ind w:left="440" w:firstLine="419"/>
        <w:spacing w:after="0" w:line="277" w:lineRule="auto"/>
        <w:tabs>
          <w:tab w:leader="none" w:pos="1108"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w:t>
      </w:r>
    </w:p>
    <w:p>
      <w:pPr>
        <w:spacing w:after="0" w:line="225"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101" w:name="page102"/>
    <w:bookmarkEnd w:id="101"/>
    <w:p>
      <w:pPr>
        <w:ind w:left="1100" w:hanging="241"/>
        <w:spacing w:after="0"/>
        <w:tabs>
          <w:tab w:leader="none" w:pos="1100"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40" w:firstLine="419"/>
        <w:spacing w:after="0" w:line="277" w:lineRule="auto"/>
        <w:tabs>
          <w:tab w:leader="none" w:pos="110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Rules by Trustee and Agents</w:t>
      </w:r>
      <w:r>
        <w:rPr>
          <w:rFonts w:ascii="Arial" w:cs="Arial" w:eastAsia="Arial" w:hAnsi="Arial"/>
          <w:sz w:val="18"/>
          <w:szCs w:val="18"/>
          <w:color w:val="auto"/>
        </w:rPr>
        <w:t>.</w:t>
      </w:r>
    </w:p>
    <w:p>
      <w:pPr>
        <w:spacing w:after="0" w:line="225"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The Trustee may make reasonable rules for action by or a meeting of Securityholders of one or more Series. Any Agent may make reasonable rules and set reasonable requirements for its functions.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225" w:lineRule="exact"/>
        <w:rPr>
          <w:sz w:val="20"/>
          <w:szCs w:val="20"/>
          <w:color w:val="auto"/>
        </w:rPr>
      </w:pPr>
    </w:p>
    <w:p>
      <w:pPr>
        <w:ind w:right="380" w:firstLine="991"/>
        <w:spacing w:after="0" w:line="308" w:lineRule="auto"/>
        <w:rPr>
          <w:sz w:val="20"/>
          <w:szCs w:val="20"/>
          <w:color w:val="auto"/>
        </w:rPr>
      </w:pPr>
      <w:r>
        <w:rPr>
          <w:rFonts w:ascii="Arial" w:cs="Arial" w:eastAsia="Arial" w:hAnsi="Arial"/>
          <w:sz w:val="17"/>
          <w:szCs w:val="17"/>
          <w:color w:val="auto"/>
        </w:rPr>
        <w:t>A “</w:t>
      </w:r>
      <w:r>
        <w:rPr>
          <w:rFonts w:ascii="Arial" w:cs="Arial" w:eastAsia="Arial" w:hAnsi="Arial"/>
          <w:sz w:val="17"/>
          <w:szCs w:val="17"/>
          <w:i w:val="1"/>
          <w:iCs w:val="1"/>
          <w:color w:val="auto"/>
        </w:rPr>
        <w:t>Legal Holiday</w:t>
      </w:r>
      <w:r>
        <w:rPr>
          <w:rFonts w:ascii="Arial" w:cs="Arial" w:eastAsia="Arial" w:hAnsi="Arial"/>
          <w:sz w:val="17"/>
          <w:szCs w:val="17"/>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w:t>
      </w:r>
    </w:p>
    <w:p>
      <w:pPr>
        <w:spacing w:after="0" w:line="225"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88"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Unless otherwise provided herein or in any other Securities, the words “execute”, “execution”, “signed”, and “signature” and words of similar import used in or related to any document to be signed in connection with this Indenture, any Securities or any of the transactions contemplated hereby (including amendments, waivers, consents and other modifications) shall be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4" w:right="479" w:bottom="1440" w:gutter="0" w:footer="0" w:header="0"/>
        </w:sectPr>
      </w:pPr>
    </w:p>
    <w:bookmarkStart w:id="102" w:name="page103"/>
    <w:bookmarkEnd w:id="102"/>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such Trustee pursuant to procedures approved by such Trustee.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Governing Law; Waiver of Jury Trial; Consent to Jurisdiction</w:t>
      </w:r>
      <w:r>
        <w:rPr>
          <w:rFonts w:ascii="Arial" w:cs="Arial" w:eastAsia="Arial" w:hAnsi="Arial"/>
          <w:sz w:val="18"/>
          <w:szCs w:val="18"/>
          <w:color w:val="auto"/>
        </w:rPr>
        <w:t>.</w:t>
      </w:r>
    </w:p>
    <w:p>
      <w:pPr>
        <w:spacing w:after="0" w:line="221" w:lineRule="exact"/>
        <w:rPr>
          <w:sz w:val="20"/>
          <w:szCs w:val="20"/>
          <w:color w:val="auto"/>
        </w:rPr>
      </w:pPr>
    </w:p>
    <w:p>
      <w:pPr>
        <w:ind w:right="260" w:firstLine="991"/>
        <w:spacing w:after="0" w:line="282" w:lineRule="auto"/>
        <w:rPr>
          <w:sz w:val="20"/>
          <w:szCs w:val="20"/>
          <w:color w:val="auto"/>
        </w:rPr>
      </w:pPr>
      <w:r>
        <w:rPr>
          <w:rFonts w:ascii="Arial" w:cs="Arial" w:eastAsia="Arial" w:hAnsi="Arial"/>
          <w:sz w:val="18"/>
          <w:szCs w:val="18"/>
          <w:b w:val="1"/>
          <w:bCs w:val="1"/>
          <w:color w:val="auto"/>
        </w:rPr>
        <w:t>THIS INDENTURE AND THE SECURITIES, INCLUDING ANY CLAIM OR CONTROVERSY ARISING OUT OF OR RELATING TO THE INDENTURE OR THE SECURITIES, SHALL BE GOVERNED BY THE LAWS OF THE STATE OF NEW YORK.</w:t>
      </w:r>
    </w:p>
    <w:p>
      <w:pPr>
        <w:spacing w:after="0" w:line="162" w:lineRule="exact"/>
        <w:rPr>
          <w:sz w:val="20"/>
          <w:szCs w:val="20"/>
          <w:color w:val="auto"/>
        </w:rPr>
      </w:pPr>
    </w:p>
    <w:p>
      <w:pPr>
        <w:ind w:firstLine="991"/>
        <w:spacing w:after="0" w:line="261" w:lineRule="auto"/>
        <w:rPr>
          <w:sz w:val="20"/>
          <w:szCs w:val="20"/>
          <w:color w:val="auto"/>
        </w:rPr>
      </w:pPr>
      <w:r>
        <w:rPr>
          <w:rFonts w:ascii="Arial" w:cs="Arial" w:eastAsia="Arial" w:hAnsi="Arial"/>
          <w:sz w:val="18"/>
          <w:szCs w:val="18"/>
          <w:b w:val="1"/>
          <w:bCs w:val="1"/>
          <w:color w:val="auto"/>
        </w:rPr>
        <w:t>THE COMPANY, THE TRUSTEE AND THE HOLDERS (BY THEIR ACCEPTANCE OF THE SECURITIES) EACH HEREBY IRREVOCABLY WAIVE, TO THE FULLEST EXTENT PERMITTED BY APPLICABLE LAW, ANY AND ALL RIGHT TO TRIAL BY JURY IN ANY LEGAL PROCEEDING ARISING OUT OF OR RELATING TO THIS INDENTURE, THE NOTES OR THE TRANSACTIONS CONTEMPLATED HEREBY OR THEREBY.</w:t>
      </w:r>
    </w:p>
    <w:p>
      <w:pPr>
        <w:spacing w:after="0" w:line="184"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7"/>
          <w:szCs w:val="17"/>
          <w:i w:val="1"/>
          <w:iCs w:val="1"/>
          <w:color w:val="auto"/>
        </w:rPr>
        <w:t>Specified Courts</w:t>
      </w:r>
      <w:r>
        <w:rPr>
          <w:rFonts w:ascii="Arial" w:cs="Arial" w:eastAsia="Arial" w:hAnsi="Arial"/>
          <w:sz w:val="17"/>
          <w:szCs w:val="17"/>
          <w:color w:val="auto"/>
        </w:rPr>
        <w:t>”), and each party irrevocably submits to the non 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This Indenture may not be used to interpret another indenture, loan or debt agreement of the Company or a Subsidiary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successor. All agreements of the Trustee in this Indenture shall bind its successor.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103" w:name="page104"/>
    <w:bookmarkEnd w:id="10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10.13.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Table of Contents, Headings, Etc</w:t>
      </w:r>
      <w:r>
        <w:rPr>
          <w:rFonts w:ascii="Arial" w:cs="Arial" w:eastAsia="Arial" w:hAnsi="Arial"/>
          <w:sz w:val="18"/>
          <w:szCs w:val="18"/>
          <w:color w:val="auto"/>
        </w:rPr>
        <w:t>.</w:t>
      </w:r>
    </w:p>
    <w:p>
      <w:pPr>
        <w:spacing w:after="0" w:line="225" w:lineRule="exact"/>
        <w:rPr>
          <w:sz w:val="20"/>
          <w:szCs w:val="20"/>
          <w:color w:val="auto"/>
        </w:rPr>
      </w:pPr>
    </w:p>
    <w:p>
      <w:pPr>
        <w:ind w:right="540" w:firstLine="991"/>
        <w:spacing w:after="0" w:line="342" w:lineRule="auto"/>
        <w:rPr>
          <w:sz w:val="20"/>
          <w:szCs w:val="20"/>
          <w:color w:val="auto"/>
        </w:rPr>
      </w:pPr>
      <w:r>
        <w:rPr>
          <w:rFonts w:ascii="Arial" w:cs="Arial" w:eastAsia="Arial" w:hAnsi="Arial"/>
          <w:sz w:val="16"/>
          <w:szCs w:val="16"/>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Securities in a Foreign Currency</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79"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Arial" w:cs="Arial" w:eastAsia="Arial" w:hAnsi="Arial"/>
          <w:sz w:val="18"/>
          <w:szCs w:val="18"/>
          <w:i w:val="1"/>
          <w:iCs w:val="1"/>
          <w:color w:val="auto"/>
        </w:rPr>
        <w:t>Required Currency</w:t>
      </w:r>
      <w:r>
        <w:rPr>
          <w:rFonts w:ascii="Arial" w:cs="Arial" w:eastAsia="Arial" w:hAnsi="Arial"/>
          <w:sz w:val="18"/>
          <w:szCs w:val="18"/>
          <w:color w:val="auto"/>
        </w:rPr>
        <w:t>”) into a currency in which a judgment will be rendered (the “</w:t>
      </w:r>
      <w:r>
        <w:rPr>
          <w:rFonts w:ascii="Arial" w:cs="Arial" w:eastAsia="Arial" w:hAnsi="Arial"/>
          <w:sz w:val="18"/>
          <w:szCs w:val="18"/>
          <w:i w:val="1"/>
          <w:iCs w:val="1"/>
          <w:color w:val="auto"/>
        </w:rPr>
        <w:t>Judgment Currency</w:t>
      </w:r>
      <w:r>
        <w:rPr>
          <w:rFonts w:ascii="Arial" w:cs="Arial" w:eastAsia="Arial" w:hAnsi="Arial"/>
          <w:sz w:val="18"/>
          <w:szCs w:val="18"/>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104" w:name="page105"/>
    <w:bookmarkEnd w:id="104"/>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6"/>
          <w:szCs w:val="16"/>
          <w:i w:val="1"/>
          <w:iCs w:val="1"/>
          <w:color w:val="auto"/>
        </w:rPr>
        <w:t>New York Banking Day</w:t>
      </w:r>
      <w:r>
        <w:rPr>
          <w:rFonts w:ascii="Arial" w:cs="Arial" w:eastAsia="Arial" w:hAnsi="Arial"/>
          <w:sz w:val="16"/>
          <w:szCs w:val="16"/>
          <w:color w:val="auto"/>
        </w:rPr>
        <w:t>” means any day except a Saturday, Sunday or a legal holiday in The City of New York on which banking institutions are authorized or required by law, regulation or executive order to close.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Force Majeure</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SINKING FUNDS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spacing w:after="0" w:line="184" w:lineRule="exact"/>
        <w:rPr>
          <w:sz w:val="20"/>
          <w:szCs w:val="20"/>
          <w:color w:val="auto"/>
        </w:rPr>
      </w:pPr>
    </w:p>
    <w:p>
      <w:pPr>
        <w:ind w:right="220" w:firstLine="991"/>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the Securities of any Series is herein referred to as a “</w:t>
      </w:r>
      <w:r>
        <w:rPr>
          <w:rFonts w:ascii="Arial" w:cs="Arial" w:eastAsia="Arial" w:hAnsi="Arial"/>
          <w:sz w:val="18"/>
          <w:szCs w:val="18"/>
          <w:i w:val="1"/>
          <w:iCs w:val="1"/>
          <w:color w:val="auto"/>
        </w:rPr>
        <w:t>mandatory sinking fund payment</w:t>
      </w:r>
      <w:r>
        <w:rPr>
          <w:rFonts w:ascii="Arial" w:cs="Arial" w:eastAsia="Arial" w:hAnsi="Arial"/>
          <w:sz w:val="18"/>
          <w:szCs w:val="18"/>
          <w:color w:val="auto"/>
        </w:rPr>
        <w:t>” and any other amount provided for by the terms of Securities of such Series is herein referred to as an “</w:t>
      </w:r>
      <w:r>
        <w:rPr>
          <w:rFonts w:ascii="Arial" w:cs="Arial" w:eastAsia="Arial" w:hAnsi="Arial"/>
          <w:sz w:val="18"/>
          <w:szCs w:val="18"/>
          <w:i w:val="1"/>
          <w:iCs w:val="1"/>
          <w:color w:val="auto"/>
        </w:rPr>
        <w:t>optional</w:t>
      </w:r>
      <w:r>
        <w:rPr>
          <w:rFonts w:ascii="Arial" w:cs="Arial" w:eastAsia="Arial" w:hAnsi="Arial"/>
          <w:sz w:val="18"/>
          <w:szCs w:val="18"/>
          <w:color w:val="auto"/>
        </w:rPr>
        <w:t xml:space="preserve"> </w:t>
      </w:r>
      <w:r>
        <w:rPr>
          <w:rFonts w:ascii="Arial" w:cs="Arial" w:eastAsia="Arial" w:hAnsi="Arial"/>
          <w:sz w:val="18"/>
          <w:szCs w:val="18"/>
          <w:i w:val="1"/>
          <w:iCs w:val="1"/>
          <w:color w:val="auto"/>
        </w:rPr>
        <w:t>sinking fund payment</w:t>
      </w:r>
      <w:r>
        <w:rPr>
          <w:rFonts w:ascii="Arial" w:cs="Arial" w:eastAsia="Arial" w:hAnsi="Arial"/>
          <w:sz w:val="18"/>
          <w:szCs w:val="18"/>
          <w:color w:val="auto"/>
        </w:rPr>
        <w:t>.” If provided for by the terms of Securities of any Series, the cash amount of any sinking fund payment may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as provided in Section 11.2. Each sinking fund payment shall be applied to the redemption of Securities of any Series as provided for by the terms of the Securities of such Series.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105" w:name="page106"/>
    <w:bookmarkEnd w:id="10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11.2.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Indenture to be duly executed as of the day and year first above written.</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ASCENDIS PHARMA, A/S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14605</wp:posOffset>
            </wp:positionV>
            <wp:extent cx="25971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w:t>
      </w:r>
    </w:p>
    <w:p>
      <w:pPr>
        <w:spacing w:after="0" w:line="211" w:lineRule="exact"/>
        <w:rPr>
          <w:sz w:val="20"/>
          <w:szCs w:val="20"/>
          <w:color w:val="auto"/>
        </w:rPr>
      </w:pPr>
    </w:p>
    <w:p>
      <w:pPr>
        <w:ind w:left="5640"/>
        <w:spacing w:after="0"/>
        <w:tabs>
          <w:tab w:leader="none" w:pos="5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 , as Trustee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14605</wp:posOffset>
            </wp:positionV>
            <wp:extent cx="25971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w:t>
      </w:r>
    </w:p>
    <w:p>
      <w:pPr>
        <w:spacing w:after="0" w:line="14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[Signature Page to Indenture]</w:t>
      </w:r>
    </w:p>
    <w:p>
      <w:pPr>
        <w:sectPr>
          <w:pgSz w:w="11900" w:h="16838" w:orient="portrait"/>
          <w:cols w:equalWidth="0" w:num="1">
            <w:col w:w="9680"/>
          </w:cols>
          <w:pgMar w:left="1420" w:top="274" w:right="79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5.1A</w:t>
      </w:r>
    </w:p>
    <w:p>
      <w:pPr>
        <w:spacing w:after="0" w:line="251" w:lineRule="exact"/>
        <w:rPr>
          <w:sz w:val="20"/>
          <w:szCs w:val="20"/>
          <w:color w:val="auto"/>
        </w:rPr>
      </w:pPr>
    </w:p>
    <w:p>
      <w:pPr>
        <w:ind w:left="7084"/>
        <w:spacing w:after="0"/>
        <w:tabs>
          <w:tab w:leader="none" w:pos="9604" w:val="left"/>
        </w:tabs>
        <w:rPr>
          <w:sz w:val="20"/>
          <w:szCs w:val="20"/>
          <w:color w:val="auto"/>
        </w:rPr>
      </w:pPr>
      <w:r>
        <w:rPr>
          <w:rFonts w:ascii="Arial" w:cs="Arial" w:eastAsia="Arial" w:hAnsi="Arial"/>
          <w:sz w:val="14"/>
          <w:szCs w:val="14"/>
          <w:color w:val="auto"/>
        </w:rPr>
        <w:t>Mazanti-Andersen</w:t>
      </w:r>
      <w:r>
        <w:rPr>
          <w:sz w:val="20"/>
          <w:szCs w:val="20"/>
          <w:color w:val="auto"/>
        </w:rPr>
        <w:tab/>
      </w:r>
      <w:r>
        <w:rPr>
          <w:rFonts w:ascii="Arial" w:cs="Arial" w:eastAsia="Arial" w:hAnsi="Arial"/>
          <w:sz w:val="13"/>
          <w:szCs w:val="13"/>
          <w:color w:val="auto"/>
        </w:rPr>
        <w:t>Amaliegade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1028700" cy="3346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1028700" cy="334645"/>
                    </a:xfrm>
                    <a:prstGeom prst="rect">
                      <a:avLst/>
                    </a:prstGeom>
                    <a:noFill/>
                  </pic:spPr>
                </pic:pic>
              </a:graphicData>
            </a:graphic>
          </wp:anchor>
        </w:drawing>
      </w:r>
    </w:p>
    <w:p>
      <w:pPr>
        <w:ind w:left="7084"/>
        <w:spacing w:after="0"/>
        <w:tabs>
          <w:tab w:leader="none" w:pos="9604" w:val="left"/>
        </w:tabs>
        <w:rPr>
          <w:sz w:val="20"/>
          <w:szCs w:val="20"/>
          <w:color w:val="auto"/>
        </w:rPr>
      </w:pPr>
      <w:r>
        <w:rPr>
          <w:rFonts w:ascii="Arial" w:cs="Arial" w:eastAsia="Arial" w:hAnsi="Arial"/>
          <w:sz w:val="13"/>
          <w:szCs w:val="13"/>
          <w:color w:val="auto"/>
        </w:rPr>
        <w:t>Advokatpartnerselskab</w:t>
      </w:r>
      <w:r>
        <w:rPr>
          <w:sz w:val="20"/>
          <w:szCs w:val="20"/>
          <w:color w:val="auto"/>
        </w:rPr>
        <w:tab/>
      </w:r>
      <w:r>
        <w:rPr>
          <w:rFonts w:ascii="Arial" w:cs="Arial" w:eastAsia="Arial" w:hAnsi="Arial"/>
          <w:sz w:val="13"/>
          <w:szCs w:val="13"/>
          <w:color w:val="auto"/>
        </w:rPr>
        <w:t>DK-1256 København K</w:t>
      </w:r>
    </w:p>
    <w:p>
      <w:pPr>
        <w:ind w:left="7084"/>
        <w:spacing w:after="0"/>
        <w:tabs>
          <w:tab w:leader="none" w:pos="9604" w:val="left"/>
        </w:tabs>
        <w:rPr>
          <w:sz w:val="20"/>
          <w:szCs w:val="20"/>
          <w:color w:val="auto"/>
        </w:rPr>
      </w:pPr>
      <w:r>
        <w:rPr>
          <w:rFonts w:ascii="Arial" w:cs="Arial" w:eastAsia="Arial" w:hAnsi="Arial"/>
          <w:sz w:val="14"/>
          <w:szCs w:val="14"/>
          <w:color w:val="auto"/>
        </w:rPr>
        <w:t>VAT: DK35892052</w:t>
      </w:r>
      <w:r>
        <w:rPr>
          <w:sz w:val="20"/>
          <w:szCs w:val="20"/>
          <w:color w:val="auto"/>
        </w:rPr>
        <w:tab/>
      </w:r>
      <w:r>
        <w:rPr>
          <w:rFonts w:ascii="Arial" w:cs="Arial" w:eastAsia="Arial" w:hAnsi="Arial"/>
          <w:sz w:val="13"/>
          <w:szCs w:val="13"/>
          <w:color w:val="auto"/>
        </w:rPr>
        <w:t>+45 3314 3536</w:t>
      </w:r>
    </w:p>
    <w:p>
      <w:pPr>
        <w:ind w:left="7084"/>
        <w:spacing w:after="0" w:line="186" w:lineRule="auto"/>
        <w:tabs>
          <w:tab w:leader="none" w:pos="9604" w:val="left"/>
        </w:tabs>
        <w:rPr>
          <w:sz w:val="20"/>
          <w:szCs w:val="20"/>
          <w:color w:val="auto"/>
        </w:rPr>
      </w:pPr>
      <w:r>
        <w:rPr>
          <w:rFonts w:ascii="Arial" w:cs="Arial" w:eastAsia="Arial" w:hAnsi="Arial"/>
          <w:sz w:val="19"/>
          <w:szCs w:val="19"/>
          <w:color w:val="auto"/>
          <w:vertAlign w:val="subscript"/>
        </w:rPr>
        <w:t>www.mazanti.dk</w:t>
      </w:r>
      <w:r>
        <w:rPr>
          <w:sz w:val="20"/>
          <w:szCs w:val="20"/>
          <w:color w:val="auto"/>
        </w:rPr>
        <w:tab/>
      </w:r>
      <w:r>
        <w:rPr>
          <w:rFonts w:ascii="Arial" w:cs="Arial" w:eastAsia="Arial" w:hAnsi="Arial"/>
          <w:sz w:val="11"/>
          <w:szCs w:val="11"/>
          <w:color w:val="auto"/>
        </w:rPr>
        <w:t>Klosterbakken 12</w:t>
      </w:r>
    </w:p>
    <w:p>
      <w:pPr>
        <w:spacing w:after="0" w:line="35" w:lineRule="exact"/>
        <w:rPr>
          <w:sz w:val="20"/>
          <w:szCs w:val="20"/>
          <w:color w:val="auto"/>
        </w:rPr>
      </w:pPr>
    </w:p>
    <w:p>
      <w:pPr>
        <w:ind w:left="9624"/>
        <w:spacing w:after="0"/>
        <w:rPr>
          <w:sz w:val="20"/>
          <w:szCs w:val="20"/>
          <w:color w:val="auto"/>
        </w:rPr>
      </w:pPr>
      <w:r>
        <w:rPr>
          <w:rFonts w:ascii="Arial" w:cs="Arial" w:eastAsia="Arial" w:hAnsi="Arial"/>
          <w:sz w:val="14"/>
          <w:szCs w:val="14"/>
          <w:color w:val="auto"/>
        </w:rPr>
        <w:t>DK-5000 Odense C</w:t>
      </w:r>
    </w:p>
    <w:p>
      <w:pPr>
        <w:ind w:left="9624"/>
        <w:spacing w:after="0"/>
        <w:rPr>
          <w:sz w:val="20"/>
          <w:szCs w:val="20"/>
          <w:color w:val="auto"/>
        </w:rPr>
      </w:pPr>
      <w:r>
        <w:rPr>
          <w:rFonts w:ascii="Arial" w:cs="Arial" w:eastAsia="Arial" w:hAnsi="Arial"/>
          <w:sz w:val="14"/>
          <w:szCs w:val="14"/>
          <w:color w:val="auto"/>
        </w:rPr>
        <w:t>+45 6314 1414</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8"/>
          <w:szCs w:val="18"/>
          <w:color w:val="auto"/>
        </w:rPr>
        <w:t>Ascendis Pharma A/S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Tuborg Boulevard 12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2900 Hellerup</w:t>
      </w:r>
    </w:p>
    <w:p>
      <w:pPr>
        <w:sectPr>
          <w:pgSz w:w="11900" w:h="16838" w:orient="portrait"/>
          <w:cols w:equalWidth="0" w:num="1">
            <w:col w:w="11024"/>
          </w:cols>
          <w:pgMar w:left="436" w:top="121" w:right="439" w:bottom="1440" w:gutter="0" w:footer="0" w:header="0"/>
        </w:sectPr>
      </w:pPr>
    </w:p>
    <w:p>
      <w:pPr>
        <w:spacing w:after="0" w:line="23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Exhibit 5</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 Registration with the US Securities and Exchange commission of securities of the Issuer</w:t>
      </w:r>
    </w:p>
    <w:p>
      <w:pPr>
        <w:spacing w:after="0" w:line="355" w:lineRule="exact"/>
        <w:rPr>
          <w:sz w:val="20"/>
          <w:szCs w:val="20"/>
          <w:color w:val="auto"/>
        </w:rPr>
      </w:pPr>
    </w:p>
    <w:p>
      <w:pPr>
        <w:ind w:left="4"/>
        <w:spacing w:after="0"/>
        <w:tabs>
          <w:tab w:leader="none" w:pos="504"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Introduction</w:t>
      </w:r>
    </w:p>
    <w:p>
      <w:pPr>
        <w:spacing w:after="0" w:line="135" w:lineRule="exact"/>
        <w:rPr>
          <w:sz w:val="20"/>
          <w:szCs w:val="20"/>
          <w:color w:val="auto"/>
        </w:rPr>
      </w:pPr>
    </w:p>
    <w:p>
      <w:pPr>
        <w:ind w:left="524" w:right="60" w:hanging="539"/>
        <w:spacing w:after="0" w:line="257" w:lineRule="auto"/>
        <w:tabs>
          <w:tab w:leader="none" w:pos="5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I act as Danish legal adviser to the Issuer in connection with the Registration. This opinion is being furnished in connection with the requirements of Item 601(b)(5) of Regulation S-K under the Securities Act, and no opinion is expressed herein as to any matter pertaining to the contents of the Registration Statement or related Prospectus, other than as expressly stated herein with respect to the issue of the Registration Securities. Certain terms used in this opinion are defined in Annex 1 (Definitions).</w:t>
      </w:r>
    </w:p>
    <w:p>
      <w:pPr>
        <w:spacing w:after="0" w:line="332" w:lineRule="exact"/>
        <w:rPr>
          <w:sz w:val="20"/>
          <w:szCs w:val="20"/>
          <w:color w:val="auto"/>
        </w:rPr>
      </w:pPr>
    </w:p>
    <w:p>
      <w:pPr>
        <w:ind w:left="524" w:hanging="524"/>
        <w:spacing w:after="0"/>
        <w:tabs>
          <w:tab w:leader="none" w:pos="524"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Danish Law</w:t>
      </w:r>
    </w:p>
    <w:p>
      <w:pPr>
        <w:spacing w:after="0" w:line="135" w:lineRule="exact"/>
        <w:rPr>
          <w:sz w:val="20"/>
          <w:szCs w:val="20"/>
          <w:color w:val="auto"/>
        </w:rPr>
      </w:pPr>
    </w:p>
    <w:p>
      <w:pPr>
        <w:ind w:left="524" w:hanging="539"/>
        <w:spacing w:after="0" w:line="263" w:lineRule="auto"/>
        <w:tabs>
          <w:tab w:leader="none" w:pos="50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This opinion is limited to Danish law in effect on the date of this opinion and we express no opinion with regard to the laws of any other jurisdiction. The opinion (including all terms used in it) is in all respects to be construed in accordance with Danish law.</w:t>
      </w:r>
    </w:p>
    <w:p>
      <w:pPr>
        <w:spacing w:after="0" w:line="328" w:lineRule="exact"/>
        <w:rPr>
          <w:sz w:val="20"/>
          <w:szCs w:val="20"/>
          <w:color w:val="auto"/>
        </w:rPr>
      </w:pPr>
    </w:p>
    <w:p>
      <w:pPr>
        <w:ind w:left="524" w:hanging="524"/>
        <w:spacing w:after="0"/>
        <w:tabs>
          <w:tab w:leader="none" w:pos="524"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Scope of inquiry</w:t>
      </w:r>
    </w:p>
    <w:p>
      <w:pPr>
        <w:spacing w:after="0" w:line="135" w:lineRule="exact"/>
        <w:rPr>
          <w:sz w:val="20"/>
          <w:szCs w:val="20"/>
          <w:color w:val="auto"/>
        </w:rPr>
      </w:pPr>
    </w:p>
    <w:p>
      <w:pPr>
        <w:ind w:left="524" w:right="480" w:hanging="539"/>
        <w:spacing w:after="0" w:line="277" w:lineRule="auto"/>
        <w:tabs>
          <w:tab w:leader="none" w:pos="50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For the purpose of this opinion, I have examined, and relied upon the accuracy of the factual statements and compliance with the undertakings in, the following documents:</w:t>
      </w:r>
    </w:p>
    <w:p>
      <w:pPr>
        <w:spacing w:after="0" w:line="76" w:lineRule="exact"/>
        <w:rPr>
          <w:sz w:val="20"/>
          <w:szCs w:val="20"/>
          <w:color w:val="auto"/>
        </w:rPr>
      </w:pPr>
    </w:p>
    <w:p>
      <w:pPr>
        <w:ind w:left="4"/>
        <w:spacing w:after="0"/>
        <w:tabs>
          <w:tab w:leader="none" w:pos="484"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A copy of the Registration Statement.</w:t>
      </w:r>
    </w:p>
    <w:p>
      <w:pPr>
        <w:spacing w:after="0" w:line="131" w:lineRule="exact"/>
        <w:rPr>
          <w:sz w:val="20"/>
          <w:szCs w:val="20"/>
          <w:color w:val="auto"/>
        </w:rPr>
      </w:pPr>
    </w:p>
    <w:p>
      <w:pPr>
        <w:ind w:left="4"/>
        <w:spacing w:after="0"/>
        <w:tabs>
          <w:tab w:leader="none" w:pos="484"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A copy of:</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6"/>
        <w:spacing w:after="0"/>
        <w:rPr>
          <w:sz w:val="20"/>
          <w:szCs w:val="20"/>
          <w:color w:val="auto"/>
        </w:rPr>
      </w:pPr>
      <w:r>
        <w:rPr>
          <w:rFonts w:ascii="Arial" w:cs="Arial" w:eastAsia="Arial" w:hAnsi="Arial"/>
          <w:sz w:val="18"/>
          <w:szCs w:val="18"/>
          <w:color w:val="auto"/>
        </w:rPr>
        <w:t>27.5.2021</w:t>
      </w:r>
    </w:p>
    <w:p>
      <w:pPr>
        <w:spacing w:after="0" w:line="23" w:lineRule="exact"/>
        <w:rPr>
          <w:sz w:val="20"/>
          <w:szCs w:val="20"/>
          <w:color w:val="auto"/>
        </w:rPr>
      </w:pPr>
    </w:p>
    <w:p>
      <w:pPr>
        <w:ind w:left="6" w:right="860"/>
        <w:spacing w:after="0" w:line="323" w:lineRule="auto"/>
        <w:rPr>
          <w:sz w:val="20"/>
          <w:szCs w:val="20"/>
          <w:color w:val="auto"/>
        </w:rPr>
      </w:pPr>
      <w:r>
        <w:rPr>
          <w:rFonts w:ascii="Arial" w:cs="Arial" w:eastAsia="Arial" w:hAnsi="Arial"/>
          <w:sz w:val="16"/>
          <w:szCs w:val="16"/>
          <w:color w:val="auto"/>
        </w:rPr>
        <w:t>Ref. 58917/LLJ ID 2451</w:t>
      </w:r>
    </w:p>
    <w:p>
      <w:pPr>
        <w:spacing w:after="0" w:line="161" w:lineRule="exact"/>
        <w:rPr>
          <w:sz w:val="20"/>
          <w:szCs w:val="20"/>
          <w:color w:val="auto"/>
        </w:rPr>
      </w:pPr>
    </w:p>
    <w:p>
      <w:pPr>
        <w:ind w:left="6" w:right="220"/>
        <w:spacing w:after="0" w:line="276" w:lineRule="auto"/>
        <w:rPr>
          <w:sz w:val="20"/>
          <w:szCs w:val="20"/>
          <w:color w:val="auto"/>
        </w:rPr>
      </w:pPr>
      <w:r>
        <w:rPr>
          <w:rFonts w:ascii="Arial" w:cs="Arial" w:eastAsia="Arial" w:hAnsi="Arial"/>
          <w:sz w:val="17"/>
          <w:szCs w:val="17"/>
          <w:b w:val="1"/>
          <w:bCs w:val="1"/>
          <w:color w:val="auto"/>
        </w:rPr>
        <w:t xml:space="preserve">Lars Lüthjohan Jensen </w:t>
      </w:r>
      <w:r>
        <w:rPr>
          <w:rFonts w:ascii="Arial" w:cs="Arial" w:eastAsia="Arial" w:hAnsi="Arial"/>
          <w:sz w:val="17"/>
          <w:szCs w:val="17"/>
          <w:color w:val="auto"/>
        </w:rPr>
        <w:t>Attorney-at-law</w:t>
      </w:r>
    </w:p>
    <w:p>
      <w:pPr>
        <w:spacing w:after="0" w:line="1" w:lineRule="exact"/>
        <w:rPr>
          <w:sz w:val="20"/>
          <w:szCs w:val="20"/>
          <w:color w:val="auto"/>
        </w:rPr>
      </w:pPr>
    </w:p>
    <w:p>
      <w:pPr>
        <w:ind w:left="226" w:hanging="226"/>
        <w:spacing w:after="0"/>
        <w:tabs>
          <w:tab w:leader="none" w:pos="226" w:val="left"/>
        </w:tabs>
        <w:numPr>
          <w:ilvl w:val="0"/>
          <w:numId w:val="84"/>
        </w:numPr>
        <w:rPr>
          <w:rFonts w:ascii="Arial" w:cs="Arial" w:eastAsia="Arial" w:hAnsi="Arial"/>
          <w:sz w:val="18"/>
          <w:szCs w:val="18"/>
          <w:color w:val="auto"/>
        </w:rPr>
      </w:pPr>
      <w:r>
        <w:rPr>
          <w:rFonts w:ascii="Arial" w:cs="Arial" w:eastAsia="Arial" w:hAnsi="Arial"/>
          <w:sz w:val="18"/>
          <w:szCs w:val="18"/>
          <w:color w:val="auto"/>
        </w:rPr>
        <w:t>+45 3319 3749</w:t>
      </w:r>
    </w:p>
    <w:p>
      <w:pPr>
        <w:spacing w:after="0" w:line="9" w:lineRule="exact"/>
        <w:rPr>
          <w:rFonts w:ascii="Arial" w:cs="Arial" w:eastAsia="Arial" w:hAnsi="Arial"/>
          <w:sz w:val="18"/>
          <w:szCs w:val="18"/>
          <w:color w:val="auto"/>
        </w:rPr>
      </w:pPr>
    </w:p>
    <w:p>
      <w:pPr>
        <w:ind w:left="6" w:right="660" w:hanging="6"/>
        <w:spacing w:after="0" w:line="323" w:lineRule="auto"/>
        <w:tabs>
          <w:tab w:leader="none" w:pos="261" w:val="left"/>
        </w:tabs>
        <w:numPr>
          <w:ilvl w:val="0"/>
          <w:numId w:val="85"/>
        </w:numPr>
        <w:rPr>
          <w:rFonts w:ascii="Arial" w:cs="Arial" w:eastAsia="Arial" w:hAnsi="Arial"/>
          <w:sz w:val="16"/>
          <w:szCs w:val="16"/>
          <w:color w:val="auto"/>
        </w:rPr>
      </w:pPr>
      <w:r>
        <w:rPr>
          <w:rFonts w:ascii="Arial" w:cs="Arial" w:eastAsia="Arial" w:hAnsi="Arial"/>
          <w:sz w:val="16"/>
          <w:szCs w:val="16"/>
          <w:color w:val="auto"/>
        </w:rPr>
        <w:t>+45 4028 3536 llj@mazanti.dk</w:t>
      </w:r>
    </w:p>
    <w:p>
      <w:pPr>
        <w:sectPr>
          <w:pgSz w:w="11900" w:h="16838" w:orient="portrait"/>
          <w:cols w:equalWidth="0" w:num="2">
            <w:col w:w="8784" w:space="234"/>
            <w:col w:w="2006"/>
          </w:cols>
          <w:pgMar w:left="436" w:top="121" w:right="439" w:bottom="1440" w:gutter="0" w:footer="0" w:header="0"/>
          <w:type w:val="continuous"/>
        </w:sectPr>
      </w:pPr>
    </w:p>
    <w:bookmarkStart w:id="108" w:name="page109"/>
    <w:bookmarkEnd w:id="108"/>
    <w:p>
      <w:pPr>
        <w:ind w:left="964" w:hanging="532"/>
        <w:spacing w:after="0"/>
        <w:tabs>
          <w:tab w:leader="none" w:pos="964"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337185</wp:posOffset>
            </wp:positionV>
            <wp:extent cx="1028700" cy="3346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1028700" cy="334645"/>
                    </a:xfrm>
                    <a:prstGeom prst="rect">
                      <a:avLst/>
                    </a:prstGeom>
                    <a:noFill/>
                  </pic:spPr>
                </pic:pic>
              </a:graphicData>
            </a:graphic>
          </wp:anchor>
        </w:drawing>
        <w:t>the Issuer’s deed of incorporation and articles of association as in effect on today’s date;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compiled summary from the Danish Business Authority dated as of today’s date;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Owner’s register</w:t>
      </w:r>
    </w:p>
    <w:p>
      <w:pPr>
        <w:spacing w:after="0" w:line="131" w:lineRule="exact"/>
        <w:rPr>
          <w:sz w:val="20"/>
          <w:szCs w:val="20"/>
          <w:color w:val="auto"/>
        </w:rPr>
      </w:pPr>
    </w:p>
    <w:p>
      <w:pPr>
        <w:jc w:val="both"/>
        <w:ind w:left="424" w:hanging="431"/>
        <w:spacing w:after="0" w:line="263" w:lineRule="auto"/>
        <w:tabs>
          <w:tab w:leader="none" w:pos="404" w:val="left"/>
        </w:tabs>
        <w:rPr>
          <w:sz w:val="20"/>
          <w:szCs w:val="20"/>
          <w:color w:val="auto"/>
        </w:rPr>
      </w:pPr>
      <w:r>
        <w:rPr>
          <w:rFonts w:ascii="Arial" w:cs="Arial" w:eastAsia="Arial" w:hAnsi="Arial"/>
          <w:sz w:val="18"/>
          <w:szCs w:val="18"/>
          <w:color w:val="auto"/>
        </w:rPr>
        <w:t>3.2</w:t>
        <w:tab/>
        <w:t>In addition, I have examined such documents, and performed such other investigations, as I consider necessary for the purpose of this opinion. My examination has been limited to the text of the documents. With your consent, I have relied upon certificates and other assurances of officers of the Issuer and others as to factual matters without having independently verified such factual matters.</w:t>
      </w:r>
    </w:p>
    <w:p>
      <w:pPr>
        <w:spacing w:after="0" w:line="328" w:lineRule="exact"/>
        <w:rPr>
          <w:sz w:val="20"/>
          <w:szCs w:val="20"/>
          <w:color w:val="auto"/>
        </w:rPr>
      </w:pPr>
    </w:p>
    <w:p>
      <w:pPr>
        <w:ind w:left="424" w:hanging="424"/>
        <w:spacing w:after="0"/>
        <w:tabs>
          <w:tab w:leader="none" w:pos="424"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 the purpose of this opinion, I have made the following assumptions:</w:t>
      </w:r>
    </w:p>
    <w:p>
      <w:pPr>
        <w:spacing w:after="0" w:line="131" w:lineRule="exact"/>
        <w:rPr>
          <w:sz w:val="20"/>
          <w:szCs w:val="20"/>
          <w:color w:val="auto"/>
        </w:rPr>
      </w:pPr>
    </w:p>
    <w:p>
      <w:pPr>
        <w:jc w:val="both"/>
        <w:ind w:left="424" w:right="220" w:hanging="431"/>
        <w:spacing w:after="0" w:line="263" w:lineRule="auto"/>
        <w:rPr>
          <w:sz w:val="20"/>
          <w:szCs w:val="20"/>
          <w:color w:val="auto"/>
        </w:rPr>
      </w:pPr>
      <w:r>
        <w:rPr>
          <w:rFonts w:ascii="Arial" w:cs="Arial" w:eastAsia="Arial" w:hAnsi="Arial"/>
          <w:sz w:val="18"/>
          <w:szCs w:val="18"/>
          <w:color w:val="auto"/>
        </w:rPr>
        <w:t>4.1.1 (i) The issue by the Issuer of the Registration Securities will have been duly authorised; and (ii) any pre-emption rights in respect of the issue of the Registration Securities will have been observed or validly excluded, in each case, in accordance with Danish law and the Issuer’s articles of association at the time of authorisation or of observance or exclusion.</w:t>
      </w:r>
    </w:p>
    <w:p>
      <w:pPr>
        <w:spacing w:after="0" w:line="89" w:lineRule="exact"/>
        <w:rPr>
          <w:sz w:val="20"/>
          <w:szCs w:val="20"/>
          <w:color w:val="auto"/>
        </w:rPr>
      </w:pPr>
    </w:p>
    <w:p>
      <w:pPr>
        <w:jc w:val="both"/>
        <w:ind w:left="424" w:right="160" w:hanging="431"/>
        <w:spacing w:after="0" w:line="263" w:lineRule="auto"/>
        <w:rPr>
          <w:sz w:val="20"/>
          <w:szCs w:val="20"/>
          <w:color w:val="auto"/>
        </w:rPr>
      </w:pPr>
      <w:r>
        <w:rPr>
          <w:rFonts w:ascii="Arial" w:cs="Arial" w:eastAsia="Arial" w:hAnsi="Arial"/>
          <w:sz w:val="18"/>
          <w:szCs w:val="18"/>
          <w:color w:val="auto"/>
        </w:rPr>
        <w:t>4.1.2 The Issuer’s authorisation to the Board of Directors to increase the share capital at the time of issue of any Registration Securities will have been made in accordance with Danish law and the Issuer’s articles of association and sufficient to allow for the issue of the Registration Securities in the manner contemplated by the applicable Prospectus.</w:t>
      </w:r>
    </w:p>
    <w:p>
      <w:pPr>
        <w:spacing w:after="0" w:line="89" w:lineRule="exact"/>
        <w:rPr>
          <w:sz w:val="20"/>
          <w:szCs w:val="20"/>
          <w:color w:val="auto"/>
        </w:rPr>
      </w:pPr>
    </w:p>
    <w:p>
      <w:pPr>
        <w:ind w:left="424" w:right="100" w:hanging="431"/>
        <w:spacing w:after="0" w:line="263" w:lineRule="auto"/>
        <w:rPr>
          <w:sz w:val="20"/>
          <w:szCs w:val="20"/>
          <w:color w:val="auto"/>
        </w:rPr>
      </w:pPr>
      <w:r>
        <w:rPr>
          <w:rFonts w:ascii="Arial" w:cs="Arial" w:eastAsia="Arial" w:hAnsi="Arial"/>
          <w:sz w:val="18"/>
          <w:szCs w:val="18"/>
          <w:color w:val="auto"/>
        </w:rPr>
        <w:t>4.1.3 The resolutions of the Issuer’s Board of Directors to issue the Registration Securities will have been made in accordance with Danish law and the Issuer’s articles of association and sufficient to allow for the issue of the Registration Securities in the manner contemplated by the applicable Prospectus and will have been duly registered with the Danish Business Authority.</w:t>
      </w:r>
    </w:p>
    <w:p>
      <w:pPr>
        <w:sectPr>
          <w:pgSz w:w="11900" w:h="16838" w:orient="portrait"/>
          <w:cols w:equalWidth="0" w:num="1">
            <w:col w:w="11004"/>
          </w:cols>
          <w:pgMar w:left="436" w:top="1192" w:right="459" w:bottom="1440" w:gutter="0" w:footer="0" w:header="0"/>
        </w:sectPr>
      </w:pPr>
    </w:p>
    <w:bookmarkStart w:id="109" w:name="page110"/>
    <w:bookmarkEnd w:id="109"/>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337185</wp:posOffset>
            </wp:positionV>
            <wp:extent cx="1028700" cy="3346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1028700" cy="334645"/>
                    </a:xfrm>
                    <a:prstGeom prst="rect">
                      <a:avLst/>
                    </a:prstGeom>
                    <a:noFill/>
                  </pic:spPr>
                </pic:pic>
              </a:graphicData>
            </a:graphic>
          </wp:anchor>
        </w:drawing>
        <w:t>4.1.4 The Registration Securities will have been duly entered into the Owners’ Register by the Issuer’s share registrar, if required under Danish law.</w:t>
      </w:r>
    </w:p>
    <w:p>
      <w:pPr>
        <w:spacing w:after="0" w:line="154" w:lineRule="exact"/>
        <w:rPr>
          <w:sz w:val="20"/>
          <w:szCs w:val="20"/>
          <w:color w:val="auto"/>
        </w:rPr>
      </w:pPr>
    </w:p>
    <w:p>
      <w:pPr>
        <w:ind w:left="424" w:right="200" w:hanging="431"/>
        <w:spacing w:after="0" w:line="259" w:lineRule="auto"/>
        <w:rPr>
          <w:sz w:val="20"/>
          <w:szCs w:val="20"/>
          <w:color w:val="auto"/>
        </w:rPr>
      </w:pPr>
      <w:r>
        <w:rPr>
          <w:rFonts w:ascii="Arial" w:cs="Arial" w:eastAsia="Arial" w:hAnsi="Arial"/>
          <w:sz w:val="18"/>
          <w:szCs w:val="18"/>
          <w:color w:val="auto"/>
        </w:rPr>
        <w:t>4.1.5 The Registration Securities will have been: (i) issued in the form and manner prescribed by the Issuer’s articles of association and Danish law at the time of issue; and (ii) otherwise offered, issued, accepted and subscribed for (including full payment of the subscription price for the Registration Securities to an account in the name of the Issuer) by their subscribers in accordance with all applicable laws (including, for the avoidance of doubt, Danish law) and the Issuer’s articles of association.</w:t>
      </w:r>
    </w:p>
    <w:p>
      <w:pPr>
        <w:spacing w:after="0" w:line="331" w:lineRule="exact"/>
        <w:rPr>
          <w:sz w:val="20"/>
          <w:szCs w:val="20"/>
          <w:color w:val="auto"/>
        </w:rPr>
      </w:pPr>
    </w:p>
    <w:p>
      <w:pPr>
        <w:ind w:left="424" w:hanging="424"/>
        <w:spacing w:after="0"/>
        <w:tabs>
          <w:tab w:leader="none" w:pos="424"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Based on the documents and investigations referred to and the assumptions made in paragraphs 3 and 4, I am of the following opinion:</w:t>
      </w:r>
    </w:p>
    <w:p>
      <w:pPr>
        <w:spacing w:after="0" w:line="131" w:lineRule="exact"/>
        <w:rPr>
          <w:sz w:val="20"/>
          <w:szCs w:val="20"/>
          <w:color w:val="auto"/>
        </w:rPr>
      </w:pPr>
    </w:p>
    <w:p>
      <w:pPr>
        <w:ind w:left="424" w:hanging="431"/>
        <w:spacing w:after="0" w:line="272" w:lineRule="auto"/>
        <w:rPr>
          <w:sz w:val="20"/>
          <w:szCs w:val="20"/>
          <w:color w:val="auto"/>
        </w:rPr>
      </w:pPr>
      <w:r>
        <w:rPr>
          <w:rFonts w:ascii="Arial" w:cs="Arial" w:eastAsia="Arial" w:hAnsi="Arial"/>
          <w:sz w:val="17"/>
          <w:szCs w:val="17"/>
          <w:color w:val="auto"/>
        </w:rPr>
        <w:t>5.1.1 Upon i) final and valid approval and resolution by the Board of Directors of the Issuer of the capital increase and of the number of shares, which may be represented by American Depositary Shares, to be issued and the price and allocation thereof, pursuant to Danish law and authorizations in the Issuer’s articles of association at the time of such approval, resolution and issue and ii) issuance, delivery and subscription therefor in the manner contemplated by the applicable Prospectus, Danish law and the Issuer’s articles of association, the shares, which may be represented by American Depositary Shares, will have been validly issued and will be fully paid and nonassessable. Nonassessable shall in this context mean, in relation to a share, that the issuer of the share has no right to require the holder of the share to pay to the issuer any amount (in addition to the amount required for the share to be fully paid) solely as a result of his or her shareholding.</w:t>
      </w:r>
    </w:p>
    <w:p>
      <w:pPr>
        <w:spacing w:after="0" w:line="322" w:lineRule="exact"/>
        <w:rPr>
          <w:sz w:val="20"/>
          <w:szCs w:val="20"/>
          <w:color w:val="auto"/>
        </w:rPr>
      </w:pPr>
    </w:p>
    <w:p>
      <w:pPr>
        <w:ind w:left="424" w:hanging="424"/>
        <w:spacing w:after="0"/>
        <w:tabs>
          <w:tab w:leader="none" w:pos="424"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Reliance</w:t>
      </w:r>
    </w:p>
    <w:p>
      <w:pPr>
        <w:spacing w:after="0" w:line="135" w:lineRule="exact"/>
        <w:rPr>
          <w:sz w:val="20"/>
          <w:szCs w:val="20"/>
          <w:color w:val="auto"/>
        </w:rPr>
      </w:pPr>
    </w:p>
    <w:p>
      <w:pPr>
        <w:jc w:val="both"/>
        <w:ind w:left="424" w:right="80" w:hanging="431"/>
        <w:spacing w:after="0" w:line="263" w:lineRule="auto"/>
        <w:tabs>
          <w:tab w:leader="none" w:pos="404" w:val="left"/>
        </w:tabs>
        <w:rPr>
          <w:sz w:val="20"/>
          <w:szCs w:val="20"/>
          <w:color w:val="auto"/>
        </w:rPr>
      </w:pPr>
      <w:r>
        <w:rPr>
          <w:rFonts w:ascii="Arial" w:cs="Arial" w:eastAsia="Arial" w:hAnsi="Arial"/>
          <w:sz w:val="18"/>
          <w:szCs w:val="18"/>
          <w:color w:val="auto"/>
        </w:rPr>
        <w:t>6.1</w:t>
        <w:tab/>
        <w:t>This opinion is an exhibit to the Registration Statement and may be relied upon for the purpose of the Registration. It may not be supplied, and its contents or existence may not be disclosed, to any person other than as an exhibit to (and therefore together with) the Registration Statement and may not be relied upon for any purpose other than the Registration.</w:t>
      </w:r>
    </w:p>
    <w:p>
      <w:pPr>
        <w:sectPr>
          <w:pgSz w:w="11900" w:h="16838" w:orient="portrait"/>
          <w:cols w:equalWidth="0" w:num="1">
            <w:col w:w="11004"/>
          </w:cols>
          <w:pgMar w:left="436" w:top="1192" w:right="459" w:bottom="1440" w:gutter="0" w:footer="0" w:header="0"/>
        </w:sectPr>
      </w:pPr>
    </w:p>
    <w:bookmarkStart w:id="110" w:name="page111"/>
    <w:bookmarkEnd w:id="110"/>
    <w:p>
      <w:pPr>
        <w:ind w:left="420" w:right="520" w:hanging="431"/>
        <w:spacing w:after="0" w:line="277"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28700" cy="3346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1028700" cy="334645"/>
                    </a:xfrm>
                    <a:prstGeom prst="rect">
                      <a:avLst/>
                    </a:prstGeom>
                    <a:noFill/>
                  </pic:spPr>
                </pic:pic>
              </a:graphicData>
            </a:graphic>
          </wp:anchor>
        </w:drawing>
        <w:t>6.2</w:t>
        <w:tab/>
        <w:t>Any and all liability and other matters relating to this opinion shall be governed exclusively by Danish law and the Danish courts shall have exclusive jurisdiction to settle any dispute relating to this opinion.</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The Issuer may:</w:t>
      </w:r>
    </w:p>
    <w:p>
      <w:pPr>
        <w:spacing w:after="0" w:line="131" w:lineRule="exact"/>
        <w:rPr>
          <w:sz w:val="20"/>
          <w:szCs w:val="20"/>
          <w:color w:val="auto"/>
        </w:rPr>
      </w:pPr>
    </w:p>
    <w:p>
      <w:pPr>
        <w:ind w:left="960" w:hanging="532"/>
        <w:spacing w:after="0"/>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file this opinion as an exhibit to the Registration Statement; and</w:t>
      </w:r>
    </w:p>
    <w:p>
      <w:pPr>
        <w:spacing w:after="0" w:line="130" w:lineRule="exact"/>
        <w:rPr>
          <w:rFonts w:ascii="Arial" w:cs="Arial" w:eastAsia="Arial" w:hAnsi="Arial"/>
          <w:sz w:val="18"/>
          <w:szCs w:val="18"/>
          <w:color w:val="auto"/>
        </w:rPr>
      </w:pPr>
    </w:p>
    <w:p>
      <w:pPr>
        <w:ind w:left="960" w:right="80" w:hanging="532"/>
        <w:spacing w:after="0" w:line="277" w:lineRule="auto"/>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refer to Mazanti-Andersen Advokatpartnerselskab giving this opinion under the heading “Legal Matters” in the Prospectus included in the Registration Statement.</w:t>
      </w:r>
    </w:p>
    <w:p>
      <w:pPr>
        <w:spacing w:after="0" w:line="76" w:lineRule="exact"/>
        <w:rPr>
          <w:sz w:val="20"/>
          <w:szCs w:val="20"/>
          <w:color w:val="auto"/>
        </w:rPr>
      </w:pPr>
    </w:p>
    <w:p>
      <w:pPr>
        <w:ind w:left="420" w:hanging="431"/>
        <w:spacing w:after="0" w:line="263" w:lineRule="auto"/>
        <w:tabs>
          <w:tab w:leader="none" w:pos="400" w:val="left"/>
        </w:tabs>
        <w:rPr>
          <w:sz w:val="20"/>
          <w:szCs w:val="20"/>
          <w:color w:val="auto"/>
        </w:rPr>
      </w:pPr>
      <w:r>
        <w:rPr>
          <w:rFonts w:ascii="Arial" w:cs="Arial" w:eastAsia="Arial" w:hAnsi="Arial"/>
          <w:sz w:val="18"/>
          <w:szCs w:val="18"/>
          <w:color w:val="auto"/>
        </w:rPr>
        <w:t>6.4</w:t>
        <w:tab/>
        <w:t>The previous sentence is no admittance from me (or Mazanti-Andersen Advokatpartnerselskab) that I am (or Mazanti-Andersen Advokatpartnerselskab is) in the category of persons whose consent for the filing and reference in that paragraph is required under Section 7 of the Securities Act or any rules or regulations of the SEC promulgated under 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Lars Lüthjohan Jensen</w:t>
      </w:r>
    </w:p>
    <w:p>
      <w:pPr>
        <w:sectPr>
          <w:pgSz w:w="11900" w:h="16838" w:orient="portrait"/>
          <w:cols w:equalWidth="0" w:num="1">
            <w:col w:w="11000"/>
          </w:cols>
          <w:pgMar w:left="440" w:top="949" w:right="45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28700" cy="3346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1028700" cy="334645"/>
                    </a:xfrm>
                    <a:prstGeom prst="rect">
                      <a:avLst/>
                    </a:prstGeom>
                    <a:noFill/>
                  </pic:spPr>
                </pic:pic>
              </a:graphicData>
            </a:graphic>
          </wp:anchor>
        </w:drawing>
        <w:t>Annex 1 – 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opinion: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Danish law</w:t>
      </w:r>
      <w:r>
        <w:rPr>
          <w:rFonts w:ascii="Arial" w:cs="Arial" w:eastAsia="Arial" w:hAnsi="Arial"/>
          <w:sz w:val="18"/>
          <w:szCs w:val="18"/>
          <w:color w:val="auto"/>
        </w:rPr>
        <w:t>” means the law directly applicable in Denmark.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means Ascendis Pharma A/S, with corporate seat in Gentofte, Denmark.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Owners’ Register</w:t>
      </w:r>
      <w:r>
        <w:rPr>
          <w:rFonts w:ascii="Arial" w:cs="Arial" w:eastAsia="Arial" w:hAnsi="Arial"/>
          <w:sz w:val="18"/>
          <w:szCs w:val="18"/>
          <w:color w:val="auto"/>
        </w:rPr>
        <w:t>” means the Issuer’s owners’ register.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w:t>
      </w:r>
      <w:r>
        <w:rPr>
          <w:rFonts w:ascii="Arial" w:cs="Arial" w:eastAsia="Arial" w:hAnsi="Arial"/>
          <w:sz w:val="18"/>
          <w:szCs w:val="18"/>
          <w:color w:val="auto"/>
        </w:rPr>
        <w:t>” means the registration of the Registration Securities with the SEC under the Securities Act.</w:t>
      </w:r>
    </w:p>
    <w:p>
      <w:pPr>
        <w:spacing w:after="0" w:line="225"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Securities</w:t>
      </w:r>
      <w:r>
        <w:rPr>
          <w:rFonts w:ascii="Arial" w:cs="Arial" w:eastAsia="Arial" w:hAnsi="Arial"/>
          <w:sz w:val="18"/>
          <w:szCs w:val="18"/>
          <w:color w:val="auto"/>
        </w:rPr>
        <w:t>” means those shares (which may be represented by American Depositary Shares), debt securities, warrants, units and depositary shares that the Issuer may sell and issue from time to time under the Registration Statement.</w:t>
      </w:r>
    </w:p>
    <w:p>
      <w:pPr>
        <w:spacing w:after="0" w:line="162"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the registration statement on Form F-3, including a base prospectus (the “</w:t>
      </w:r>
      <w:r>
        <w:rPr>
          <w:rFonts w:ascii="Arial" w:cs="Arial" w:eastAsia="Arial" w:hAnsi="Arial"/>
          <w:sz w:val="17"/>
          <w:szCs w:val="17"/>
          <w:b w:val="1"/>
          <w:bCs w:val="1"/>
          <w:color w:val="auto"/>
        </w:rPr>
        <w:t>Base Prospectus</w:t>
      </w:r>
      <w:r>
        <w:rPr>
          <w:rFonts w:ascii="Arial" w:cs="Arial" w:eastAsia="Arial" w:hAnsi="Arial"/>
          <w:sz w:val="17"/>
          <w:szCs w:val="17"/>
          <w:color w:val="auto"/>
        </w:rPr>
        <w:t>”), which provides that it will be supplemented by one or more prospectus supplements (each such prospectus supplement, together with the Base Prospectus, a “</w:t>
      </w:r>
      <w:r>
        <w:rPr>
          <w:rFonts w:ascii="Arial" w:cs="Arial" w:eastAsia="Arial" w:hAnsi="Arial"/>
          <w:sz w:val="17"/>
          <w:szCs w:val="17"/>
          <w:b w:val="1"/>
          <w:bCs w:val="1"/>
          <w:color w:val="auto"/>
        </w:rPr>
        <w:t>Prospectus</w:t>
      </w:r>
      <w:r>
        <w:rPr>
          <w:rFonts w:ascii="Arial" w:cs="Arial" w:eastAsia="Arial" w:hAnsi="Arial"/>
          <w:sz w:val="17"/>
          <w:szCs w:val="17"/>
          <w:color w:val="auto"/>
        </w:rPr>
        <w:t>”), filed on the date hereof by the Issuer to register with the SEC under the Securities Act the sale and issuance of shares (which may be represented by American Depositary Shares), debt securities, warrants, units and depositary shares by the Issuer.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U.S. Securities Act of 1933, as amended.</w:t>
      </w:r>
    </w:p>
    <w:p>
      <w:pPr>
        <w:sectPr>
          <w:pgSz w:w="11900" w:h="16838" w:orient="portrait"/>
          <w:cols w:equalWidth="0" w:num="1">
            <w:col w:w="11020"/>
          </w:cols>
          <w:pgMar w:left="440" w:top="945" w:right="439" w:bottom="1440" w:gutter="0" w:footer="0" w:header="0"/>
        </w:sectPr>
      </w:pPr>
    </w:p>
    <w:bookmarkStart w:id="112" w:name="page113"/>
    <w:bookmarkEnd w:id="112"/>
    <w:p>
      <w:pPr>
        <w:ind w:left="10060"/>
        <w:spacing w:after="0"/>
        <w:rPr>
          <w:sz w:val="20"/>
          <w:szCs w:val="20"/>
          <w:color w:val="auto"/>
        </w:rPr>
      </w:pPr>
      <w:r>
        <w:rPr>
          <w:rFonts w:ascii="Arial" w:cs="Arial" w:eastAsia="Arial" w:hAnsi="Arial"/>
          <w:sz w:val="16"/>
          <w:szCs w:val="16"/>
          <w:b w:val="1"/>
          <w:bCs w:val="1"/>
          <w:color w:val="auto"/>
        </w:rPr>
        <w:t>Exhibit 5.1B</w:t>
      </w:r>
    </w:p>
    <w:p>
      <w:pPr>
        <w:sectPr>
          <w:pgSz w:w="11900" w:h="16838" w:orient="portrait"/>
          <w:cols w:equalWidth="0" w:num="1">
            <w:col w:w="11020"/>
          </w:cols>
          <w:pgMar w:left="44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May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-781685</wp:posOffset>
            </wp:positionV>
            <wp:extent cx="2143125"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214312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Ascendis Pharma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Tuborg Boulevard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DK-2900 Hellerup, Denmark</w:t>
      </w:r>
    </w:p>
    <w:p>
      <w:pPr>
        <w:spacing w:after="0" w:line="103" w:lineRule="exact"/>
        <w:rPr>
          <w:sz w:val="20"/>
          <w:szCs w:val="20"/>
          <w:color w:val="auto"/>
        </w:rPr>
      </w:pPr>
    </w:p>
    <w:p>
      <w:pPr>
        <w:jc w:val="right"/>
        <w:ind w:right="4060"/>
        <w:spacing w:after="0"/>
        <w:tabs>
          <w:tab w:leader="none" w:pos="6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F-3</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140 Scott Drive</w:t>
      </w:r>
    </w:p>
    <w:p>
      <w:pPr>
        <w:spacing w:after="0" w:line="221" w:lineRule="auto"/>
        <w:rPr>
          <w:sz w:val="20"/>
          <w:szCs w:val="20"/>
          <w:color w:val="auto"/>
        </w:rPr>
      </w:pPr>
      <w:r>
        <w:rPr>
          <w:rFonts w:ascii="Arial" w:cs="Arial" w:eastAsia="Arial" w:hAnsi="Arial"/>
          <w:sz w:val="14"/>
          <w:szCs w:val="14"/>
          <w:color w:val="auto"/>
        </w:rPr>
        <w:t>Menlo Park, California 94025</w:t>
      </w:r>
    </w:p>
    <w:p>
      <w:pPr>
        <w:spacing w:after="0"/>
        <w:rPr>
          <w:sz w:val="20"/>
          <w:szCs w:val="20"/>
          <w:color w:val="auto"/>
        </w:rPr>
      </w:pPr>
      <w:r>
        <w:rPr>
          <w:rFonts w:ascii="Arial" w:cs="Arial" w:eastAsia="Arial" w:hAnsi="Arial"/>
          <w:sz w:val="13"/>
          <w:szCs w:val="13"/>
          <w:color w:val="auto"/>
        </w:rPr>
        <w:t>Tel: +1.650.328.4600 Fax: +1.650.463.2600</w:t>
      </w:r>
    </w:p>
    <w:p>
      <w:pPr>
        <w:spacing w:after="0"/>
        <w:rPr>
          <w:sz w:val="20"/>
          <w:szCs w:val="20"/>
          <w:color w:val="auto"/>
        </w:rPr>
      </w:pPr>
      <w:r>
        <w:rPr>
          <w:rFonts w:ascii="Arial" w:cs="Arial" w:eastAsia="Arial" w:hAnsi="Arial"/>
          <w:sz w:val="14"/>
          <w:szCs w:val="14"/>
          <w:color w:val="auto"/>
        </w:rPr>
        <w:t>www.lw.com</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FIRM / AFFILIATE OFFICES</w:t>
      </w:r>
    </w:p>
    <w:p>
      <w:pPr>
        <w:spacing w:after="0" w:line="221" w:lineRule="auto"/>
        <w:tabs>
          <w:tab w:leader="none" w:pos="1560" w:val="left"/>
        </w:tabs>
        <w:rPr>
          <w:sz w:val="20"/>
          <w:szCs w:val="20"/>
          <w:color w:val="auto"/>
        </w:rPr>
      </w:pPr>
      <w:r>
        <w:rPr>
          <w:rFonts w:ascii="Arial" w:cs="Arial" w:eastAsia="Arial" w:hAnsi="Arial"/>
          <w:sz w:val="14"/>
          <w:szCs w:val="14"/>
          <w:color w:val="auto"/>
        </w:rPr>
        <w:t>Beijing</w:t>
      </w:r>
      <w:r>
        <w:rPr>
          <w:sz w:val="20"/>
          <w:szCs w:val="20"/>
          <w:color w:val="auto"/>
        </w:rPr>
        <w:tab/>
      </w:r>
      <w:r>
        <w:rPr>
          <w:rFonts w:ascii="Arial" w:cs="Arial" w:eastAsia="Arial" w:hAnsi="Arial"/>
          <w:sz w:val="14"/>
          <w:szCs w:val="14"/>
          <w:color w:val="auto"/>
        </w:rPr>
        <w:t>Moscow</w:t>
      </w:r>
    </w:p>
    <w:p>
      <w:pPr>
        <w:spacing w:after="0" w:line="221" w:lineRule="auto"/>
        <w:tabs>
          <w:tab w:leader="none" w:pos="1560" w:val="left"/>
        </w:tabs>
        <w:rPr>
          <w:sz w:val="20"/>
          <w:szCs w:val="20"/>
          <w:color w:val="auto"/>
        </w:rPr>
      </w:pPr>
      <w:r>
        <w:rPr>
          <w:rFonts w:ascii="Arial" w:cs="Arial" w:eastAsia="Arial" w:hAnsi="Arial"/>
          <w:sz w:val="14"/>
          <w:szCs w:val="14"/>
          <w:color w:val="auto"/>
        </w:rPr>
        <w:t>Boston</w:t>
      </w:r>
      <w:r>
        <w:rPr>
          <w:sz w:val="20"/>
          <w:szCs w:val="20"/>
          <w:color w:val="auto"/>
        </w:rPr>
        <w:tab/>
      </w:r>
      <w:r>
        <w:rPr>
          <w:rFonts w:ascii="Arial" w:cs="Arial" w:eastAsia="Arial" w:hAnsi="Arial"/>
          <w:sz w:val="14"/>
          <w:szCs w:val="14"/>
          <w:color w:val="auto"/>
        </w:rPr>
        <w:t>Munich</w:t>
      </w:r>
    </w:p>
    <w:p>
      <w:pPr>
        <w:spacing w:after="0" w:line="222" w:lineRule="auto"/>
        <w:tabs>
          <w:tab w:leader="none" w:pos="1560" w:val="left"/>
        </w:tabs>
        <w:rPr>
          <w:sz w:val="20"/>
          <w:szCs w:val="20"/>
          <w:color w:val="auto"/>
        </w:rPr>
      </w:pPr>
      <w:r>
        <w:rPr>
          <w:rFonts w:ascii="Arial" w:cs="Arial" w:eastAsia="Arial" w:hAnsi="Arial"/>
          <w:sz w:val="14"/>
          <w:szCs w:val="14"/>
          <w:color w:val="auto"/>
        </w:rPr>
        <w:t>Brussels</w:t>
      </w:r>
      <w:r>
        <w:rPr>
          <w:sz w:val="20"/>
          <w:szCs w:val="20"/>
          <w:color w:val="auto"/>
        </w:rPr>
        <w:tab/>
      </w:r>
      <w:r>
        <w:rPr>
          <w:rFonts w:ascii="Arial" w:cs="Arial" w:eastAsia="Arial" w:hAnsi="Arial"/>
          <w:sz w:val="14"/>
          <w:szCs w:val="14"/>
          <w:color w:val="auto"/>
        </w:rPr>
        <w:t>New York</w:t>
      </w:r>
    </w:p>
    <w:p>
      <w:pPr>
        <w:spacing w:after="0"/>
        <w:tabs>
          <w:tab w:leader="none" w:pos="1560" w:val="left"/>
        </w:tabs>
        <w:rPr>
          <w:sz w:val="20"/>
          <w:szCs w:val="20"/>
          <w:color w:val="auto"/>
        </w:rPr>
      </w:pPr>
      <w:r>
        <w:rPr>
          <w:rFonts w:ascii="Arial" w:cs="Arial" w:eastAsia="Arial" w:hAnsi="Arial"/>
          <w:sz w:val="14"/>
          <w:szCs w:val="14"/>
          <w:color w:val="auto"/>
        </w:rPr>
        <w:t>Century City</w:t>
      </w:r>
      <w:r>
        <w:rPr>
          <w:sz w:val="20"/>
          <w:szCs w:val="20"/>
          <w:color w:val="auto"/>
        </w:rPr>
        <w:tab/>
      </w:r>
      <w:r>
        <w:rPr>
          <w:rFonts w:ascii="Arial" w:cs="Arial" w:eastAsia="Arial" w:hAnsi="Arial"/>
          <w:sz w:val="12"/>
          <w:szCs w:val="12"/>
          <w:color w:val="auto"/>
        </w:rPr>
        <w:t>Orange County</w:t>
      </w:r>
    </w:p>
    <w:p>
      <w:pPr>
        <w:spacing w:after="0" w:line="221" w:lineRule="auto"/>
        <w:tabs>
          <w:tab w:leader="none" w:pos="1560" w:val="left"/>
        </w:tabs>
        <w:rPr>
          <w:sz w:val="20"/>
          <w:szCs w:val="20"/>
          <w:color w:val="auto"/>
        </w:rPr>
      </w:pPr>
      <w:r>
        <w:rPr>
          <w:rFonts w:ascii="Arial" w:cs="Arial" w:eastAsia="Arial" w:hAnsi="Arial"/>
          <w:sz w:val="14"/>
          <w:szCs w:val="14"/>
          <w:color w:val="auto"/>
        </w:rPr>
        <w:t>Chicago</w:t>
      </w:r>
      <w:r>
        <w:rPr>
          <w:sz w:val="20"/>
          <w:szCs w:val="20"/>
          <w:color w:val="auto"/>
        </w:rPr>
        <w:tab/>
      </w:r>
      <w:r>
        <w:rPr>
          <w:rFonts w:ascii="Arial" w:cs="Arial" w:eastAsia="Arial" w:hAnsi="Arial"/>
          <w:sz w:val="14"/>
          <w:szCs w:val="14"/>
          <w:color w:val="auto"/>
        </w:rPr>
        <w:t>Paris</w:t>
      </w:r>
    </w:p>
    <w:p>
      <w:pPr>
        <w:spacing w:after="0" w:line="1"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Dubai</w:t>
      </w:r>
      <w:r>
        <w:rPr>
          <w:sz w:val="20"/>
          <w:szCs w:val="20"/>
          <w:color w:val="auto"/>
        </w:rPr>
        <w:tab/>
      </w:r>
      <w:r>
        <w:rPr>
          <w:rFonts w:ascii="Arial" w:cs="Arial" w:eastAsia="Arial" w:hAnsi="Arial"/>
          <w:sz w:val="14"/>
          <w:szCs w:val="14"/>
          <w:color w:val="auto"/>
        </w:rPr>
        <w:t>Riyadh</w:t>
      </w:r>
    </w:p>
    <w:p>
      <w:pPr>
        <w:spacing w:after="0" w:line="43"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Düsseldorf</w:t>
      </w:r>
      <w:r>
        <w:rPr>
          <w:sz w:val="20"/>
          <w:szCs w:val="20"/>
          <w:color w:val="auto"/>
        </w:rPr>
        <w:tab/>
      </w:r>
      <w:r>
        <w:rPr>
          <w:rFonts w:ascii="Arial" w:cs="Arial" w:eastAsia="Arial" w:hAnsi="Arial"/>
          <w:sz w:val="14"/>
          <w:szCs w:val="14"/>
          <w:color w:val="auto"/>
        </w:rPr>
        <w:t>San Diego</w:t>
      </w:r>
    </w:p>
    <w:p>
      <w:pPr>
        <w:spacing w:after="0" w:line="221" w:lineRule="auto"/>
        <w:tabs>
          <w:tab w:leader="none" w:pos="1560" w:val="left"/>
        </w:tabs>
        <w:rPr>
          <w:sz w:val="20"/>
          <w:szCs w:val="20"/>
          <w:color w:val="auto"/>
        </w:rPr>
      </w:pPr>
      <w:r>
        <w:rPr>
          <w:rFonts w:ascii="Arial" w:cs="Arial" w:eastAsia="Arial" w:hAnsi="Arial"/>
          <w:sz w:val="14"/>
          <w:szCs w:val="14"/>
          <w:color w:val="auto"/>
        </w:rPr>
        <w:t>Frankfurt</w:t>
      </w:r>
      <w:r>
        <w:rPr>
          <w:sz w:val="20"/>
          <w:szCs w:val="20"/>
          <w:color w:val="auto"/>
        </w:rPr>
        <w:tab/>
      </w:r>
      <w:r>
        <w:rPr>
          <w:rFonts w:ascii="Arial" w:cs="Arial" w:eastAsia="Arial" w:hAnsi="Arial"/>
          <w:sz w:val="14"/>
          <w:szCs w:val="14"/>
          <w:color w:val="auto"/>
        </w:rPr>
        <w:t>San Francisco</w:t>
      </w:r>
    </w:p>
    <w:p>
      <w:pPr>
        <w:spacing w:after="0" w:line="221" w:lineRule="auto"/>
        <w:tabs>
          <w:tab w:leader="none" w:pos="1560" w:val="left"/>
        </w:tabs>
        <w:rPr>
          <w:sz w:val="20"/>
          <w:szCs w:val="20"/>
          <w:color w:val="auto"/>
        </w:rPr>
      </w:pPr>
      <w:r>
        <w:rPr>
          <w:rFonts w:ascii="Arial" w:cs="Arial" w:eastAsia="Arial" w:hAnsi="Arial"/>
          <w:sz w:val="14"/>
          <w:szCs w:val="14"/>
          <w:color w:val="auto"/>
        </w:rPr>
        <w:t>Hamburg</w:t>
      </w:r>
      <w:r>
        <w:rPr>
          <w:sz w:val="20"/>
          <w:szCs w:val="20"/>
          <w:color w:val="auto"/>
        </w:rPr>
        <w:tab/>
      </w:r>
      <w:r>
        <w:rPr>
          <w:rFonts w:ascii="Arial" w:cs="Arial" w:eastAsia="Arial" w:hAnsi="Arial"/>
          <w:sz w:val="14"/>
          <w:szCs w:val="14"/>
          <w:color w:val="auto"/>
        </w:rPr>
        <w:t>Seoul</w:t>
      </w:r>
    </w:p>
    <w:p>
      <w:pPr>
        <w:spacing w:after="0"/>
        <w:tabs>
          <w:tab w:leader="none" w:pos="1560" w:val="left"/>
        </w:tabs>
        <w:rPr>
          <w:sz w:val="20"/>
          <w:szCs w:val="20"/>
          <w:color w:val="auto"/>
        </w:rPr>
      </w:pPr>
      <w:r>
        <w:rPr>
          <w:rFonts w:ascii="Arial" w:cs="Arial" w:eastAsia="Arial" w:hAnsi="Arial"/>
          <w:sz w:val="14"/>
          <w:szCs w:val="14"/>
          <w:color w:val="auto"/>
        </w:rPr>
        <w:t>Hong Kong</w:t>
      </w:r>
      <w:r>
        <w:rPr>
          <w:sz w:val="20"/>
          <w:szCs w:val="20"/>
          <w:color w:val="auto"/>
        </w:rPr>
        <w:tab/>
      </w:r>
      <w:r>
        <w:rPr>
          <w:rFonts w:ascii="Arial" w:cs="Arial" w:eastAsia="Arial" w:hAnsi="Arial"/>
          <w:sz w:val="12"/>
          <w:szCs w:val="12"/>
          <w:color w:val="auto"/>
        </w:rPr>
        <w:t>Shanghai</w:t>
      </w:r>
    </w:p>
    <w:p>
      <w:pPr>
        <w:spacing w:after="0" w:line="221" w:lineRule="auto"/>
        <w:tabs>
          <w:tab w:leader="none" w:pos="1560" w:val="left"/>
        </w:tabs>
        <w:rPr>
          <w:sz w:val="20"/>
          <w:szCs w:val="20"/>
          <w:color w:val="auto"/>
        </w:rPr>
      </w:pPr>
      <w:r>
        <w:rPr>
          <w:rFonts w:ascii="Arial" w:cs="Arial" w:eastAsia="Arial" w:hAnsi="Arial"/>
          <w:sz w:val="14"/>
          <w:szCs w:val="14"/>
          <w:color w:val="auto"/>
        </w:rPr>
        <w:t>Houston</w:t>
      </w:r>
      <w:r>
        <w:rPr>
          <w:sz w:val="20"/>
          <w:szCs w:val="20"/>
          <w:color w:val="auto"/>
        </w:rPr>
        <w:tab/>
      </w:r>
      <w:r>
        <w:rPr>
          <w:rFonts w:ascii="Arial" w:cs="Arial" w:eastAsia="Arial" w:hAnsi="Arial"/>
          <w:sz w:val="14"/>
          <w:szCs w:val="14"/>
          <w:color w:val="auto"/>
        </w:rPr>
        <w:t>Silicon Valley</w:t>
      </w:r>
    </w:p>
    <w:p>
      <w:pPr>
        <w:spacing w:after="0" w:line="221" w:lineRule="auto"/>
        <w:tabs>
          <w:tab w:leader="none" w:pos="1560" w:val="left"/>
        </w:tabs>
        <w:rPr>
          <w:sz w:val="20"/>
          <w:szCs w:val="20"/>
          <w:color w:val="auto"/>
        </w:rPr>
      </w:pPr>
      <w:r>
        <w:rPr>
          <w:rFonts w:ascii="Arial" w:cs="Arial" w:eastAsia="Arial" w:hAnsi="Arial"/>
          <w:sz w:val="14"/>
          <w:szCs w:val="14"/>
          <w:color w:val="auto"/>
        </w:rPr>
        <w:t>London</w:t>
      </w:r>
      <w:r>
        <w:rPr>
          <w:sz w:val="20"/>
          <w:szCs w:val="20"/>
          <w:color w:val="auto"/>
        </w:rPr>
        <w:tab/>
      </w:r>
      <w:r>
        <w:rPr>
          <w:rFonts w:ascii="Arial" w:cs="Arial" w:eastAsia="Arial" w:hAnsi="Arial"/>
          <w:sz w:val="14"/>
          <w:szCs w:val="14"/>
          <w:color w:val="auto"/>
        </w:rPr>
        <w:t>Singapore</w:t>
      </w:r>
    </w:p>
    <w:p>
      <w:pPr>
        <w:spacing w:after="0"/>
        <w:tabs>
          <w:tab w:leader="none" w:pos="1560" w:val="left"/>
        </w:tabs>
        <w:rPr>
          <w:sz w:val="20"/>
          <w:szCs w:val="20"/>
          <w:color w:val="auto"/>
        </w:rPr>
      </w:pPr>
      <w:r>
        <w:rPr>
          <w:rFonts w:ascii="Arial" w:cs="Arial" w:eastAsia="Arial" w:hAnsi="Arial"/>
          <w:sz w:val="14"/>
          <w:szCs w:val="14"/>
          <w:color w:val="auto"/>
        </w:rPr>
        <w:t>Los Angeles</w:t>
      </w:r>
      <w:r>
        <w:rPr>
          <w:sz w:val="20"/>
          <w:szCs w:val="20"/>
          <w:color w:val="auto"/>
        </w:rPr>
        <w:tab/>
      </w:r>
      <w:r>
        <w:rPr>
          <w:rFonts w:ascii="Arial" w:cs="Arial" w:eastAsia="Arial" w:hAnsi="Arial"/>
          <w:sz w:val="13"/>
          <w:szCs w:val="13"/>
          <w:color w:val="auto"/>
        </w:rPr>
        <w:t>Tokyo</w:t>
      </w:r>
    </w:p>
    <w:p>
      <w:pPr>
        <w:spacing w:after="0"/>
        <w:tabs>
          <w:tab w:leader="none" w:pos="1560" w:val="left"/>
        </w:tabs>
        <w:rPr>
          <w:sz w:val="20"/>
          <w:szCs w:val="20"/>
          <w:color w:val="auto"/>
        </w:rPr>
      </w:pPr>
      <w:r>
        <w:rPr>
          <w:rFonts w:ascii="Arial" w:cs="Arial" w:eastAsia="Arial" w:hAnsi="Arial"/>
          <w:sz w:val="13"/>
          <w:szCs w:val="13"/>
          <w:color w:val="auto"/>
        </w:rPr>
        <w:t>Madrid</w:t>
      </w:r>
      <w:r>
        <w:rPr>
          <w:sz w:val="20"/>
          <w:szCs w:val="20"/>
          <w:color w:val="auto"/>
        </w:rPr>
        <w:tab/>
      </w:r>
      <w:r>
        <w:rPr>
          <w:rFonts w:ascii="Arial" w:cs="Arial" w:eastAsia="Arial" w:hAnsi="Arial"/>
          <w:sz w:val="13"/>
          <w:szCs w:val="13"/>
          <w:color w:val="auto"/>
        </w:rPr>
        <w:t>Washington, D.C.</w:t>
      </w:r>
    </w:p>
    <w:p>
      <w:pPr>
        <w:spacing w:after="0"/>
        <w:rPr>
          <w:sz w:val="20"/>
          <w:szCs w:val="20"/>
          <w:color w:val="auto"/>
        </w:rPr>
      </w:pPr>
      <w:r>
        <w:rPr>
          <w:rFonts w:ascii="Arial" w:cs="Arial" w:eastAsia="Arial" w:hAnsi="Arial"/>
          <w:sz w:val="14"/>
          <w:szCs w:val="14"/>
          <w:color w:val="auto"/>
        </w:rPr>
        <w:t>Milan</w:t>
      </w:r>
    </w:p>
    <w:p>
      <w:pPr>
        <w:spacing w:after="0" w:line="1250" w:lineRule="exact"/>
        <w:rPr>
          <w:sz w:val="20"/>
          <w:szCs w:val="20"/>
          <w:color w:val="auto"/>
        </w:rPr>
      </w:pPr>
    </w:p>
    <w:p>
      <w:pPr>
        <w:sectPr>
          <w:pgSz w:w="11900" w:h="16838" w:orient="portrait"/>
          <w:cols w:equalWidth="0" w:num="2">
            <w:col w:w="7520" w:space="720"/>
            <w:col w:w="2780"/>
          </w:cols>
          <w:pgMar w:left="440" w:top="121" w:right="4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acted as special counsel to Ascendis Pharma A/S, a company organized under the laws of Denmark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its filing on the date hereof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of a registration statement on Form F-3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including a base prospectus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which provides that it will be supplemented by one or more prospectus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supplements (each such prospectus supplement, together with the Base Prospectus, a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under the Securities Act of 1933, as amended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Act</w:t>
      </w:r>
      <w:r>
        <w:rPr>
          <w:rFonts w:ascii="Arial" w:cs="Arial" w:eastAsia="Arial" w:hAnsi="Arial"/>
          <w:sz w:val="17"/>
          <w:szCs w:val="17"/>
          <w:color w:val="auto"/>
        </w:rPr>
        <w:t>”), relating to the registration for the issue and sale by the Company of (i) ordinary shares (“</w:t>
      </w:r>
      <w:r>
        <w:rPr>
          <w:rFonts w:ascii="Arial" w:cs="Arial" w:eastAsia="Arial" w:hAnsi="Arial"/>
          <w:sz w:val="17"/>
          <w:szCs w:val="17"/>
          <w:b w:val="1"/>
          <w:bCs w:val="1"/>
          <w:i w:val="1"/>
          <w:iCs w:val="1"/>
          <w:color w:val="auto"/>
        </w:rPr>
        <w:t>Ordinary Shares</w:t>
      </w:r>
      <w:r>
        <w:rPr>
          <w:rFonts w:ascii="Arial" w:cs="Arial" w:eastAsia="Arial" w:hAnsi="Arial"/>
          <w:sz w:val="17"/>
          <w:szCs w:val="17"/>
          <w:color w:val="auto"/>
        </w:rPr>
        <w:t>”), (ii) one or more series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debt securities (collectively, “</w:t>
      </w:r>
      <w:r>
        <w:rPr>
          <w:rFonts w:ascii="Arial" w:cs="Arial" w:eastAsia="Arial" w:hAnsi="Arial"/>
          <w:sz w:val="16"/>
          <w:szCs w:val="16"/>
          <w:b w:val="1"/>
          <w:bCs w:val="1"/>
          <w:i w:val="1"/>
          <w:iCs w:val="1"/>
          <w:color w:val="auto"/>
        </w:rPr>
        <w:t>Debt Securities</w:t>
      </w:r>
      <w:r>
        <w:rPr>
          <w:rFonts w:ascii="Arial" w:cs="Arial" w:eastAsia="Arial" w:hAnsi="Arial"/>
          <w:sz w:val="16"/>
          <w:szCs w:val="16"/>
          <w:color w:val="auto"/>
        </w:rPr>
        <w:t>”) to be issued under an indenture to be entered into between the Company, as issuer, and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third party to be identified therein as trustee (a form of which is included as Exhibit 4.4 to the Registration Statement) and one or more board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resolutions, supplements thereto or officer’s certificates thereunder (such indenture, together with the applicable board resolution, supplement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officer’s certificate pertaining to the applicable series of Debt Securities, the “</w:t>
      </w:r>
      <w:r>
        <w:rPr>
          <w:rFonts w:ascii="Arial" w:cs="Arial" w:eastAsia="Arial" w:hAnsi="Arial"/>
          <w:sz w:val="16"/>
          <w:szCs w:val="16"/>
          <w:b w:val="1"/>
          <w:bCs w:val="1"/>
          <w:i w:val="1"/>
          <w:iCs w:val="1"/>
          <w:color w:val="auto"/>
        </w:rPr>
        <w:t>Applicable Indenture</w:t>
      </w:r>
      <w:r>
        <w:rPr>
          <w:rFonts w:ascii="Arial" w:cs="Arial" w:eastAsia="Arial" w:hAnsi="Arial"/>
          <w:sz w:val="16"/>
          <w:szCs w:val="16"/>
          <w:color w:val="auto"/>
        </w:rPr>
        <w:t>”), (iii) depositary shares (“</w:t>
      </w:r>
      <w:r>
        <w:rPr>
          <w:rFonts w:ascii="Arial" w:cs="Arial" w:eastAsia="Arial" w:hAnsi="Arial"/>
          <w:sz w:val="16"/>
          <w:szCs w:val="16"/>
          <w:b w:val="1"/>
          <w:bCs w:val="1"/>
          <w:i w:val="1"/>
          <w:iCs w:val="1"/>
          <w:color w:val="auto"/>
        </w:rPr>
        <w:t>Depositary Shares</w:t>
      </w:r>
      <w:r>
        <w:rPr>
          <w:rFonts w:ascii="Arial" w:cs="Arial" w:eastAsia="Arial" w:hAnsi="Arial"/>
          <w:sz w:val="16"/>
          <w:szCs w:val="16"/>
          <w:color w:val="auto"/>
        </w:rPr>
        <w:t>”), (iv)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preference shares (“</w:t>
      </w:r>
      <w:r>
        <w:rPr>
          <w:rFonts w:ascii="Arial" w:cs="Arial" w:eastAsia="Arial" w:hAnsi="Arial"/>
          <w:sz w:val="16"/>
          <w:szCs w:val="16"/>
          <w:b w:val="1"/>
          <w:bCs w:val="1"/>
          <w:i w:val="1"/>
          <w:iCs w:val="1"/>
          <w:color w:val="auto"/>
        </w:rPr>
        <w:t>Preference Shares</w:t>
      </w:r>
      <w:r>
        <w:rPr>
          <w:rFonts w:ascii="Arial" w:cs="Arial" w:eastAsia="Arial" w:hAnsi="Arial"/>
          <w:sz w:val="16"/>
          <w:szCs w:val="16"/>
          <w:color w:val="auto"/>
        </w:rPr>
        <w:t>”), (v) warrants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and (vi) units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The Ordinary Shares, Debt Securities, Depositary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Preference Shares, Warrants and Units, are referred to herein collectively as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w:t>
      </w:r>
    </w:p>
    <w:p>
      <w:pPr>
        <w:spacing w:after="0" w:line="21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issue of the Debt Securities, Depositary Shares, Warrants and Units.</w:t>
      </w:r>
    </w:p>
    <w:p>
      <w:pPr>
        <w:sectPr>
          <w:pgSz w:w="11900" w:h="16838" w:orient="portrait"/>
          <w:cols w:equalWidth="0" w:num="1">
            <w:col w:w="11020"/>
          </w:cols>
          <w:pgMar w:left="440" w:top="121" w:right="4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27,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388745" cy="1028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internal laws of the State of New York, and we express no opinion with respect to the applicability thereto, or the effect thereon, of the laws of any other jurisdiction or as to any matters of municipal law or the laws of any local agencies within any state.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Subject to the foregoing and the other matters set forth herein, it is our opinion that, as of the date hereof:</w:t>
      </w:r>
    </w:p>
    <w:p>
      <w:pPr>
        <w:spacing w:after="0" w:line="117" w:lineRule="exact"/>
        <w:rPr>
          <w:sz w:val="20"/>
          <w:szCs w:val="20"/>
          <w:color w:val="auto"/>
        </w:rPr>
      </w:pPr>
    </w:p>
    <w:p>
      <w:pPr>
        <w:ind w:right="80" w:firstLine="436"/>
        <w:spacing w:after="0" w:line="255" w:lineRule="auto"/>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When the Applicable Indenture has been duly authorized, executed and delivered by all necessary corporate action of the Company, and when the specific terms of a particular series of Debt Securities have been duly established in accordance with the terms of the Applicable Indenture and authorized by all necessary corporate action of the Company, and such Debt Securities have been duly executed, authenticated, issued and delivered against payment therefor in accordance with the terms of the Applicable Indenture and in the manner contemplated by the applicable Prospectus and by such corporate action, such Debt Securities will be the legally valid and binding obligations of the Company, enforceable against the Company in accordance with their terms.</w:t>
      </w:r>
    </w:p>
    <w:p>
      <w:pPr>
        <w:spacing w:after="0" w:line="192" w:lineRule="exact"/>
        <w:rPr>
          <w:rFonts w:ascii="Arial" w:cs="Arial" w:eastAsia="Arial" w:hAnsi="Arial"/>
          <w:sz w:val="18"/>
          <w:szCs w:val="18"/>
          <w:color w:val="auto"/>
        </w:rPr>
      </w:pPr>
    </w:p>
    <w:p>
      <w:pPr>
        <w:ind w:firstLine="436"/>
        <w:spacing w:after="0" w:line="254" w:lineRule="auto"/>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When the applicable deposit agreement has been duly authorized, executed and delivered by all necessary corporate action of the Company, and when the specific terms of a particular issuance of Depositary Shares have been duly established in accordance with the terms of the applicable deposit agreement and authorized by all necessary corporate action of the Company, and such Depositary Shares have been duly executed, authenticated, issued and delivered against payment therefor in accordance with the terms of the applicable deposit agreement and in the manner contemplated by the applicable Prospectus and by such corporate action (assuming the underlying securities have been validly issued and deposited with the depositary), such Depositary Shares will be the legally valid and binding obligations of the Company, enforceable against the Company in accordance with their terms.</w:t>
      </w:r>
    </w:p>
    <w:p>
      <w:pPr>
        <w:spacing w:after="0" w:line="194" w:lineRule="exact"/>
        <w:rPr>
          <w:rFonts w:ascii="Arial" w:cs="Arial" w:eastAsia="Arial" w:hAnsi="Arial"/>
          <w:sz w:val="18"/>
          <w:szCs w:val="18"/>
          <w:color w:val="auto"/>
        </w:rPr>
      </w:pPr>
    </w:p>
    <w:p>
      <w:pPr>
        <w:ind w:right="100" w:firstLine="436"/>
        <w:spacing w:after="0" w:line="272" w:lineRule="auto"/>
        <w:tabs>
          <w:tab w:leader="none" w:pos="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w:t>
      </w:r>
    </w:p>
    <w:p>
      <w:pPr>
        <w:sectPr>
          <w:pgSz w:w="11900" w:h="16838" w:orient="portrait"/>
          <w:cols w:equalWidth="0" w:num="1">
            <w:col w:w="10980"/>
          </w:cols>
          <w:pgMar w:left="440" w:top="274" w:right="479" w:bottom="1440" w:gutter="0" w:footer="0" w:header="0"/>
        </w:sectPr>
      </w:pPr>
    </w:p>
    <w:bookmarkStart w:id="114" w:name="page115"/>
    <w:bookmarkEnd w:id="11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27, 2021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1388745" cy="1028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4" w:firstLine="436"/>
        <w:spacing w:after="0" w:line="283" w:lineRule="auto"/>
        <w:tabs>
          <w:tab w:leader="none" w:pos="624" w:val="left"/>
        </w:tabs>
        <w:numPr>
          <w:ilvl w:val="1"/>
          <w:numId w:val="92"/>
        </w:numPr>
        <w:rPr>
          <w:rFonts w:ascii="Arial" w:cs="Arial" w:eastAsia="Arial" w:hAnsi="Arial"/>
          <w:sz w:val="16"/>
          <w:szCs w:val="16"/>
          <w:color w:val="auto"/>
        </w:rPr>
      </w:pPr>
      <w:r>
        <w:rPr>
          <w:rFonts w:ascii="Arial" w:cs="Arial" w:eastAsia="Arial" w:hAnsi="Arial"/>
          <w:sz w:val="16"/>
          <w:szCs w:val="16"/>
          <w:color w:val="auto"/>
        </w:rPr>
        <w:t>When the applicable unit agreement has been duly authorized, executed and delivered by all necessary corporate action of the Company, and when the specific terms of a particular issuance of Units have been duly authorized in accordance with the terms of the applicable unit agreement and authorized by all necessary corporate action of the Company, and such Units have been duly executed, authenticated, issued and delivered against payment therefor in accordance with the terms of the applicable unit agreement and in the manner contemplated by the applicable Prospectus and by such corporate action (assuming the securities issuable upon exercise of such Units have been duly authorized and reserved for issuance by all necessary corporate action), such Units will be the legally valid and binding obligations of the Company, enforceable against the Company in accordance with their terms. Our opinions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w:t>
      </w:r>
    </w:p>
    <w:p>
      <w:pPr>
        <w:spacing w:after="0" w:line="1" w:lineRule="exact"/>
        <w:rPr>
          <w:rFonts w:ascii="Arial" w:cs="Arial" w:eastAsia="Arial" w:hAnsi="Arial"/>
          <w:sz w:val="16"/>
          <w:szCs w:val="16"/>
          <w:color w:val="auto"/>
        </w:rPr>
      </w:pPr>
    </w:p>
    <w:p>
      <w:pPr>
        <w:ind w:left="4" w:hanging="4"/>
        <w:spacing w:after="0" w:line="286" w:lineRule="auto"/>
        <w:tabs>
          <w:tab w:leader="none" w:pos="259"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spacing w:after="0" w:line="169"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color w:val="auto"/>
        </w:rPr>
        <w:t>With your consent, we have assumed (a) that each of the Debt Securities, Depositary Shares, Warrants and Units and the Applicable Indenture, deposit agreements, warrant agreements and unit agreements governing such Securities (collectively, the “</w:t>
      </w:r>
      <w:r>
        <w:rPr>
          <w:rFonts w:ascii="Arial" w:cs="Arial" w:eastAsia="Arial" w:hAnsi="Arial"/>
          <w:sz w:val="17"/>
          <w:szCs w:val="17"/>
          <w:b w:val="1"/>
          <w:bCs w:val="1"/>
          <w:i w:val="1"/>
          <w:iCs w:val="1"/>
          <w:color w:val="auto"/>
        </w:rPr>
        <w:t>Documents</w:t>
      </w:r>
      <w:r>
        <w:rPr>
          <w:rFonts w:ascii="Arial" w:cs="Arial" w:eastAsia="Arial" w:hAnsi="Arial"/>
          <w:sz w:val="17"/>
          <w:szCs w:val="17"/>
          <w:color w:val="auto"/>
        </w:rPr>
        <w:t>”) will be governed by the internal laws of the State of New York, (b) that each of the Documents has been or will be duly authorized, executed and delivered by the parties thereto, (c) that each of the Documents constitutes or will constitute legally valid and binding obligations of the parties thereto other than the Company, enforceable against each of them in accordance with their respective terms, and (d) that the status of each of the Documents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ectPr>
          <w:pgSz w:w="11900" w:h="16838" w:orient="portrait"/>
          <w:cols w:equalWidth="0" w:num="1">
            <w:col w:w="10984"/>
          </w:cols>
          <w:pgMar w:left="436" w:top="274" w:right="47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27,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388745" cy="1028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both"/>
        <w:ind w:firstLine="440"/>
        <w:spacing w:after="0" w:line="279" w:lineRule="auto"/>
        <w:rPr>
          <w:sz w:val="20"/>
          <w:szCs w:val="20"/>
          <w:color w:val="auto"/>
        </w:rPr>
      </w:pPr>
      <w:r>
        <w:rPr>
          <w:rFonts w:ascii="Arial" w:cs="Arial" w:eastAsia="Arial" w:hAnsi="Arial"/>
          <w:sz w:val="17"/>
          <w:szCs w:val="17"/>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0920"/>
          </w:cols>
          <w:pgMar w:left="440" w:top="274" w:right="5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F-3 of our reports dated March 10, 2021, relating to the financial statements of Ascendis Pharma A/S and the effectiveness of Ascendis Pharma A/S’ internal control over financial reporting appearing in the Annual Report on Form 20-F for the year ended December 31, 2020. We also consent to the reference to us under the heading “Experts” in such Registration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Deloitte Statsautoriseret Revisionspartnerselskab</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CVR no. 33963556</w:t>
      </w:r>
    </w:p>
    <w:p>
      <w:pPr>
        <w:sectPr>
          <w:pgSz w:w="11900" w:h="16838" w:orient="portrait"/>
          <w:cols w:equalWidth="0" w:num="1">
            <w:col w:w="11020"/>
          </w:cols>
          <w:pgMar w:left="440" w:top="121" w:right="439" w:bottom="1440" w:gutter="0" w:footer="0" w:header="0"/>
        </w:sect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Sumit Sudan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 Authorised Public Accountant</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/s/ Lars Hansen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 Authorised Public Accountant</w:t>
      </w:r>
    </w:p>
    <w:p>
      <w:pPr>
        <w:spacing w:after="0" w:line="200" w:lineRule="exact"/>
        <w:rPr>
          <w:sz w:val="20"/>
          <w:szCs w:val="20"/>
          <w:color w:val="auto"/>
        </w:rPr>
      </w:pPr>
    </w:p>
    <w:p>
      <w:pPr>
        <w:sectPr>
          <w:pgSz w:w="11900" w:h="16838" w:orient="portrait"/>
          <w:cols w:equalWidth="0" w:num="2">
            <w:col w:w="5120" w:space="720"/>
            <w:col w:w="5180"/>
          </w:cols>
          <w:pgMar w:left="440" w:top="121" w:right="4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Copenhagen, Denmark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May 27, 2021</w:t>
      </w:r>
    </w:p>
    <w:sectPr>
      <w:pgSz w:w="11900" w:h="16838" w:orient="portrait"/>
      <w:cols w:equalWidth="0" w:num="1">
        <w:col w:w="11020"/>
      </w:cols>
      <w:pgMar w:left="440"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1)"/>
      <w:numFmt w:val="decimal"/>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1)"/>
      <w:numFmt w:val="lowerRoman"/>
      <w:start w:val="2"/>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1)"/>
      <w:numFmt w:val="lowerRoman"/>
      <w:start w:val="1"/>
    </w:lvl>
  </w:abstractNum>
  <w:abstractNum w:abstractNumId="8">
    <w:nsid w:val="1BA026FA"/>
    <w:multiLevelType w:val="hybridMultilevel"/>
    <w:lvl w:ilvl="0">
      <w:lvlJc w:val="left"/>
      <w:lvlText w:val="(%1)"/>
      <w:numFmt w:val="lowerRoman"/>
      <w:start w:val="3"/>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1)"/>
      <w:numFmt w:val="decimal"/>
      <w:start w:val="2"/>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1)"/>
      <w:numFmt w:val="decimal"/>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6">
    <w:nsid w:val="2F305DEF"/>
    <w:multiLevelType w:val="hybridMultilevel"/>
    <w:lvl w:ilvl="0">
      <w:lvlJc w:val="left"/>
      <w:lvlText w:val="(%1)"/>
      <w:numFmt w:val="decimal"/>
      <w:start w:val="2"/>
    </w:lvl>
    <w:lvl w:ilvl="1">
      <w:lvlJc w:val="left"/>
      <w:lvlText w:val="(%2)"/>
      <w:numFmt w:val="upperLetter"/>
      <w:start w:val="1"/>
    </w:lvl>
  </w:abstractNum>
  <w:abstractNum w:abstractNumId="37">
    <w:nsid w:val="25A70BF7"/>
    <w:multiLevelType w:val="hybridMultilevel"/>
    <w:lvl w:ilvl="0">
      <w:lvlJc w:val="left"/>
      <w:lvlText w:val="%1"/>
      <w:numFmt w:val="lowerLetter"/>
      <w:start w:val="1"/>
    </w:lvl>
    <w:lvl w:ilvl="1">
      <w:lvlJc w:val="left"/>
      <w:lvlText w:val="(%2)"/>
      <w:numFmt w:val="lowerRoman"/>
      <w:start w:val="1"/>
    </w:lvl>
  </w:abstractNum>
  <w:abstractNum w:abstractNumId="38">
    <w:nsid w:val="1DBABF00"/>
    <w:multiLevelType w:val="hybridMultilevel"/>
    <w:lvl w:ilvl="0">
      <w:lvlJc w:val="left"/>
      <w:lvlText w:val="(%1)"/>
      <w:numFmt w:val="lowerLetter"/>
      <w:start w:val="2"/>
    </w:lvl>
    <w:lvl w:ilvl="1">
      <w:lvlJc w:val="left"/>
      <w:lvlText w:val="%2"/>
      <w:numFmt w:val="lowerRoman"/>
      <w:start w:val="1"/>
    </w:lvl>
  </w:abstractNum>
  <w:abstractNum w:abstractNumId="39">
    <w:nsid w:val="4AD084E9"/>
    <w:multiLevelType w:val="hybridMultilevel"/>
    <w:lvl w:ilvl="0">
      <w:lvlJc w:val="left"/>
      <w:lvlText w:val="(%1)"/>
      <w:numFmt w:val="lowerLetter"/>
      <w:start w:val="8"/>
    </w:lvl>
  </w:abstractNum>
  <w:abstractNum w:abstractNumId="40">
    <w:nsid w:val="1F48EAA1"/>
    <w:multiLevelType w:val="hybridMultilevel"/>
    <w:lvl w:ilvl="0">
      <w:lvlJc w:val="left"/>
      <w:lvlText w:val="(%1)"/>
      <w:numFmt w:val="lowerLetter"/>
      <w:start w:val="10"/>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1)"/>
      <w:numFmt w:val="lowerLetter"/>
      <w:start w:val="1"/>
    </w:lvl>
  </w:abstractNum>
  <w:abstractNum w:abstractNumId="43">
    <w:nsid w:val="100F8FCA"/>
    <w:multiLevelType w:val="hybridMultilevel"/>
    <w:lvl w:ilvl="0">
      <w:lvlJc w:val="left"/>
      <w:lvlText w:val="(%1)"/>
      <w:numFmt w:val="lowerLetter"/>
      <w:start w:val="1"/>
    </w:lvl>
  </w:abstractNum>
  <w:abstractNum w:abstractNumId="44">
    <w:nsid w:val="6590700B"/>
    <w:multiLevelType w:val="hybridMultilevel"/>
    <w:lvl w:ilvl="0">
      <w:lvlJc w:val="left"/>
      <w:lvlText w:val="(%1)"/>
      <w:numFmt w:val="lowerLetter"/>
      <w:start w:val="1"/>
    </w:lvl>
  </w:abstractNum>
  <w:abstractNum w:abstractNumId="45">
    <w:nsid w:val="15014ACB"/>
    <w:multiLevelType w:val="hybridMultilevel"/>
    <w:lvl w:ilvl="0">
      <w:lvlJc w:val="left"/>
      <w:lvlText w:val="(%1)"/>
      <w:numFmt w:val="lowerLetter"/>
      <w:start w:val="1"/>
    </w:lvl>
    <w:lvl w:ilvl="1">
      <w:lvlJc w:val="left"/>
      <w:lvlText w:val="(%2)"/>
      <w:numFmt w:val="lowerRoman"/>
      <w:start w:val="1"/>
    </w:lvl>
  </w:abstractNum>
  <w:abstractNum w:abstractNumId="46">
    <w:nsid w:val="5F5E7FD0"/>
    <w:multiLevelType w:val="hybridMultilevel"/>
    <w:lvl w:ilvl="0">
      <w:lvlJc w:val="left"/>
      <w:lvlText w:val="%1"/>
      <w:numFmt w:val="lowerLetter"/>
      <w:start w:val="1"/>
    </w:lvl>
    <w:lvl w:ilvl="1">
      <w:lvlJc w:val="left"/>
      <w:lvlText w:val="(%2)"/>
      <w:numFmt w:val="lowerLetter"/>
      <w:start w:val="22"/>
    </w:lvl>
  </w:abstractNum>
  <w:abstractNum w:abstractNumId="47">
    <w:nsid w:val="98A3148"/>
    <w:multiLevelType w:val="hybridMultilevel"/>
    <w:lvl w:ilvl="0">
      <w:lvlJc w:val="left"/>
      <w:lvlText w:val="(%1)"/>
      <w:numFmt w:val="lowerLetter"/>
      <w:start w:val="5"/>
    </w:lvl>
    <w:lvl w:ilvl="1">
      <w:lvlJc w:val="left"/>
      <w:lvlText w:val="(%2)"/>
      <w:numFmt w:val="lowerLetter"/>
      <w:start w:val="9"/>
    </w:lvl>
  </w:abstractNum>
  <w:abstractNum w:abstractNumId="48">
    <w:nsid w:val="799D0247"/>
    <w:multiLevelType w:val="hybridMultilevel"/>
    <w:lvl w:ilvl="0">
      <w:lvlJc w:val="left"/>
      <w:lvlText w:val="(%1)"/>
      <w:numFmt w:val="lowerRoman"/>
      <w:start w:val="2"/>
    </w:lvl>
  </w:abstractNum>
  <w:abstractNum w:abstractNumId="49">
    <w:nsid w:val="6B94764"/>
    <w:multiLevelType w:val="hybridMultilevel"/>
    <w:lvl w:ilvl="0">
      <w:lvlJc w:val="left"/>
      <w:lvlText w:val="(%1)"/>
      <w:numFmt w:val="lowerLetter"/>
      <w:start w:val="6"/>
    </w:lvl>
  </w:abstractNum>
  <w:abstractNum w:abstractNumId="50">
    <w:nsid w:val="42C296BD"/>
    <w:multiLevelType w:val="hybridMultilevel"/>
    <w:lvl w:ilvl="0">
      <w:lvlJc w:val="left"/>
      <w:lvlText w:val="(%1)"/>
      <w:numFmt w:val="lowerLetter"/>
      <w:start w:val="1"/>
    </w:lvl>
  </w:abstractNum>
  <w:abstractNum w:abstractNumId="51">
    <w:nsid w:val="168E121F"/>
    <w:multiLevelType w:val="hybridMultilevel"/>
    <w:lvl w:ilvl="0">
      <w:lvlJc w:val="left"/>
      <w:lvlText w:val="(%1)"/>
      <w:numFmt w:val="lowerLetter"/>
      <w:start w:val="1"/>
    </w:lvl>
  </w:abstractNum>
  <w:abstractNum w:abstractNumId="52">
    <w:nsid w:val="1EBA5D23"/>
    <w:multiLevelType w:val="hybridMultilevel"/>
    <w:lvl w:ilvl="0">
      <w:lvlJc w:val="left"/>
      <w:lvlText w:val="(%1)"/>
      <w:numFmt w:val="lowerLetter"/>
      <w:start w:val="1"/>
    </w:lvl>
  </w:abstractNum>
  <w:abstractNum w:abstractNumId="53">
    <w:nsid w:val="661E3F1E"/>
    <w:multiLevelType w:val="hybridMultilevel"/>
    <w:lvl w:ilvl="0">
      <w:lvlJc w:val="left"/>
      <w:lvlText w:val="(%1)"/>
      <w:numFmt w:val="lowerLetter"/>
      <w:start w:val="1"/>
    </w:lvl>
  </w:abstractNum>
  <w:abstractNum w:abstractNumId="54">
    <w:nsid w:val="5DC79EA8"/>
    <w:multiLevelType w:val="hybridMultilevel"/>
    <w:lvl w:ilvl="0">
      <w:lvlJc w:val="left"/>
      <w:lvlText w:val="(%1)"/>
      <w:numFmt w:val="lowerLetter"/>
      <w:start w:val="4"/>
    </w:lvl>
  </w:abstractNum>
  <w:abstractNum w:abstractNumId="55">
    <w:nsid w:val="540A471C"/>
    <w:multiLevelType w:val="hybridMultilevel"/>
    <w:lvl w:ilvl="0">
      <w:lvlJc w:val="left"/>
      <w:lvlText w:val="(%1)"/>
      <w:numFmt w:val="lowerLetter"/>
      <w:start w:val="1"/>
    </w:lvl>
    <w:lvl w:ilvl="1">
      <w:lvlJc w:val="left"/>
      <w:lvlText w:val="(%2)"/>
      <w:numFmt w:val="lowerLetter"/>
      <w:start w:val="9"/>
    </w:lvl>
  </w:abstractNum>
  <w:abstractNum w:abstractNumId="56">
    <w:nsid w:val="7BD3EE7B"/>
    <w:multiLevelType w:val="hybridMultilevel"/>
    <w:lvl w:ilvl="0">
      <w:lvlJc w:val="left"/>
      <w:lvlText w:val="%1"/>
      <w:numFmt w:val="lowerLetter"/>
      <w:start w:val="1"/>
    </w:lvl>
    <w:lvl w:ilvl="1">
      <w:lvlJc w:val="left"/>
      <w:lvlText w:val="(%2)"/>
      <w:numFmt w:val="lowerLetter"/>
      <w:start w:val="35"/>
    </w:lvl>
  </w:abstractNum>
  <w:abstractNum w:abstractNumId="57">
    <w:nsid w:val="51D9C564"/>
    <w:multiLevelType w:val="hybridMultilevel"/>
    <w:lvl w:ilvl="0">
      <w:lvlJc w:val="left"/>
      <w:lvlText w:val="(%1)"/>
      <w:numFmt w:val="lowerLetter"/>
      <w:start w:val="3"/>
    </w:lvl>
    <w:lvl w:ilvl="1">
      <w:lvlJc w:val="left"/>
      <w:lvlText w:val="(%2)"/>
      <w:numFmt w:val="lowerLetter"/>
      <w:start w:val="9"/>
    </w:lvl>
  </w:abstractNum>
  <w:abstractNum w:abstractNumId="58">
    <w:nsid w:val="613EFDC5"/>
    <w:multiLevelType w:val="hybridMultilevel"/>
    <w:lvl w:ilvl="0">
      <w:lvlJc w:val="left"/>
      <w:lvlText w:val="%1"/>
      <w:numFmt w:val="lowerLetter"/>
      <w:start w:val="1"/>
    </w:lvl>
    <w:lvl w:ilvl="1">
      <w:lvlJc w:val="left"/>
      <w:lvlText w:val="(%2)"/>
      <w:numFmt w:val="lowerRoman"/>
      <w:start w:val="2"/>
    </w:lvl>
  </w:abstractNum>
  <w:abstractNum w:abstractNumId="59">
    <w:nsid w:val="BF72B14"/>
    <w:multiLevelType w:val="hybridMultilevel"/>
    <w:lvl w:ilvl="0">
      <w:lvlJc w:val="left"/>
      <w:lvlText w:val="(%1)"/>
      <w:numFmt w:val="lowerLetter"/>
      <w:start w:val="4"/>
    </w:lvl>
    <w:lvl w:ilvl="1">
      <w:lvlJc w:val="left"/>
      <w:lvlText w:val="%2"/>
      <w:numFmt w:val="lowerRoman"/>
      <w:start w:val="1"/>
    </w:lvl>
  </w:abstractNum>
  <w:abstractNum w:abstractNumId="60">
    <w:nsid w:val="11447B73"/>
    <w:multiLevelType w:val="hybridMultilevel"/>
    <w:lvl w:ilvl="0">
      <w:lvlJc w:val="left"/>
      <w:lvlText w:val="(%1)"/>
      <w:numFmt w:val="lowerLetter"/>
      <w:start w:val="8"/>
    </w:lvl>
  </w:abstractNum>
  <w:abstractNum w:abstractNumId="61">
    <w:nsid w:val="42963E5A"/>
    <w:multiLevelType w:val="hybridMultilevel"/>
    <w:lvl w:ilvl="0">
      <w:lvlJc w:val="left"/>
      <w:lvlText w:val="(%1)"/>
      <w:numFmt w:val="lowerLetter"/>
      <w:start w:val="1"/>
    </w:lvl>
  </w:abstractNum>
  <w:abstractNum w:abstractNumId="62">
    <w:nsid w:val="A0382C5"/>
    <w:multiLevelType w:val="hybridMultilevel"/>
    <w:lvl w:ilvl="0">
      <w:lvlJc w:val="left"/>
      <w:lvlText w:val="(%1)"/>
      <w:numFmt w:val="lowerLetter"/>
      <w:start w:val="9"/>
    </w:lvl>
  </w:abstractNum>
  <w:abstractNum w:abstractNumId="63">
    <w:nsid w:val="8F2B15E"/>
    <w:multiLevelType w:val="hybridMultilevel"/>
    <w:lvl w:ilvl="0">
      <w:lvlJc w:val="left"/>
      <w:lvlText w:val="(%1)"/>
      <w:numFmt w:val="lowerLetter"/>
      <w:start w:val="1"/>
    </w:lvl>
  </w:abstractNum>
  <w:abstractNum w:abstractNumId="64">
    <w:nsid w:val="1A32234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5">
    <w:nsid w:val="3B0FD379"/>
    <w:multiLevelType w:val="hybridMultilevel"/>
    <w:lvl w:ilvl="0">
      <w:lvlJc w:val="left"/>
      <w:lvlText w:val="(%1)"/>
      <w:numFmt w:val="decimal"/>
      <w:start w:val="3"/>
    </w:lvl>
  </w:abstractNum>
  <w:abstractNum w:abstractNumId="66">
    <w:nsid w:val="68EB2F63"/>
    <w:multiLevelType w:val="hybridMultilevel"/>
    <w:lvl w:ilvl="0">
      <w:lvlJc w:val="left"/>
      <w:lvlText w:val="(%1)"/>
      <w:numFmt w:val="lowerLetter"/>
      <w:start w:val="2"/>
    </w:lvl>
  </w:abstractNum>
  <w:abstractNum w:abstractNumId="67">
    <w:nsid w:val="4962813B"/>
    <w:multiLevelType w:val="hybridMultilevel"/>
    <w:lvl w:ilvl="0">
      <w:lvlJc w:val="left"/>
      <w:lvlText w:val="(%1)"/>
      <w:numFmt w:val="lowerLetter"/>
      <w:start w:val="1"/>
    </w:lvl>
  </w:abstractNum>
  <w:abstractNum w:abstractNumId="68">
    <w:nsid w:val="60B6DF70"/>
    <w:multiLevelType w:val="hybridMultilevel"/>
    <w:lvl w:ilvl="0">
      <w:lvlJc w:val="left"/>
      <w:lvlText w:val="(%1)"/>
      <w:numFmt w:val="lowerLetter"/>
      <w:start w:val="1"/>
    </w:lvl>
  </w:abstractNum>
  <w:abstractNum w:abstractNumId="69">
    <w:nsid w:val="6A5EE64"/>
    <w:multiLevelType w:val="hybridMultilevel"/>
    <w:lvl w:ilvl="0">
      <w:lvlJc w:val="left"/>
      <w:lvlText w:val="(%1)"/>
      <w:numFmt w:val="lowerLetter"/>
      <w:start w:val="4"/>
    </w:lvl>
  </w:abstractNum>
  <w:abstractNum w:abstractNumId="70">
    <w:nsid w:val="14330624"/>
    <w:multiLevelType w:val="hybridMultilevel"/>
    <w:lvl w:ilvl="0">
      <w:lvlJc w:val="left"/>
      <w:lvlText w:val="(%1)"/>
      <w:numFmt w:val="lowerLetter"/>
      <w:start w:val="5"/>
    </w:lvl>
  </w:abstractNum>
  <w:abstractNum w:abstractNumId="71">
    <w:nsid w:val="7FFFCA11"/>
    <w:multiLevelType w:val="hybridMultilevel"/>
    <w:lvl w:ilvl="0">
      <w:lvlJc w:val="left"/>
      <w:lvlText w:val="(%1)"/>
      <w:numFmt w:val="lowerLetter"/>
      <w:start w:val="1"/>
    </w:lvl>
  </w:abstractNum>
  <w:abstractNum w:abstractNumId="72">
    <w:nsid w:val="1A27709E"/>
    <w:multiLevelType w:val="hybridMultilevel"/>
    <w:lvl w:ilvl="0">
      <w:lvlJc w:val="left"/>
      <w:lvlText w:val="(%1)"/>
      <w:numFmt w:val="lowerLetter"/>
      <w:start w:val="2"/>
    </w:lvl>
  </w:abstractNum>
  <w:abstractNum w:abstractNumId="73">
    <w:nsid w:val="71EA1109"/>
    <w:multiLevelType w:val="hybridMultilevel"/>
    <w:lvl w:ilvl="0">
      <w:lvlJc w:val="left"/>
      <w:lvlText w:val="(%1)"/>
      <w:numFmt w:val="lowerLetter"/>
      <w:start w:val="1"/>
    </w:lvl>
  </w:abstractNum>
  <w:abstractNum w:abstractNumId="74">
    <w:nsid w:val="100F59DC"/>
    <w:multiLevelType w:val="hybridMultilevel"/>
    <w:lvl w:ilvl="0">
      <w:lvlJc w:val="left"/>
      <w:lvlText w:val="(%1)"/>
      <w:numFmt w:val="lowerLetter"/>
      <w:start w:val="11"/>
    </w:lvl>
  </w:abstractNum>
  <w:abstractNum w:abstractNumId="75">
    <w:nsid w:val="7FB7E0AA"/>
    <w:multiLevelType w:val="hybridMultilevel"/>
    <w:lvl w:ilvl="0">
      <w:lvlJc w:val="left"/>
      <w:lvlText w:val="(%1)"/>
      <w:numFmt w:val="lowerLetter"/>
      <w:start w:val="1"/>
    </w:lvl>
  </w:abstractNum>
  <w:abstractNum w:abstractNumId="76">
    <w:nsid w:val="6EB5BD4"/>
    <w:multiLevelType w:val="hybridMultilevel"/>
    <w:lvl w:ilvl="0">
      <w:lvlJc w:val="left"/>
      <w:lvlText w:val="(%1)"/>
      <w:numFmt w:val="lowerLetter"/>
      <w:start w:val="6"/>
    </w:lvl>
  </w:abstractNum>
  <w:abstractNum w:abstractNumId="77">
    <w:nsid w:val="6F6DD9AC"/>
    <w:multiLevelType w:val="hybridMultilevel"/>
    <w:lvl w:ilvl="0">
      <w:lvlJc w:val="left"/>
      <w:lvlText w:val="["/>
      <w:numFmt w:val="bullet"/>
      <w:start w:val="1"/>
    </w:lvl>
  </w:abstractNum>
  <w:abstractNum w:abstractNumId="78">
    <w:nsid w:val="94211F2"/>
    <w:multiLevelType w:val="hybridMultilevel"/>
    <w:lvl w:ilvl="0">
      <w:lvlJc w:val="left"/>
      <w:lvlText w:val="["/>
      <w:numFmt w:val="bullet"/>
      <w:start w:val="1"/>
    </w:lvl>
  </w:abstractNum>
  <w:abstractNum w:abstractNumId="79">
    <w:nsid w:val="885E1B"/>
    <w:multiLevelType w:val="hybridMultilevel"/>
    <w:lvl w:ilvl="0">
      <w:lvlJc w:val="left"/>
      <w:lvlText w:val="(%1)"/>
      <w:numFmt w:val="lowerLetter"/>
      <w:start w:val="1"/>
    </w:lvl>
  </w:abstractNum>
  <w:abstractNum w:abstractNumId="80">
    <w:nsid w:val="76272110"/>
    <w:multiLevelType w:val="hybridMultilevel"/>
    <w:lvl w:ilvl="0">
      <w:lvlJc w:val="left"/>
      <w:lvlText w:val="(%1)"/>
      <w:numFmt w:val="lowerLetter"/>
      <w:start w:val="1"/>
    </w:lvl>
  </w:abstractNum>
  <w:abstractNum w:abstractNumId="81">
    <w:nsid w:val="4C04A8AF"/>
    <w:multiLevelType w:val="hybridMultilevel"/>
    <w:lvl w:ilvl="0">
      <w:lvlJc w:val="left"/>
      <w:lvlText w:val="%1."/>
      <w:numFmt w:val="decimal"/>
      <w:start w:val="2"/>
    </w:lvl>
  </w:abstractNum>
  <w:abstractNum w:abstractNumId="82">
    <w:nsid w:val="1716703B"/>
    <w:multiLevelType w:val="hybridMultilevel"/>
    <w:lvl w:ilvl="0">
      <w:lvlJc w:val="left"/>
      <w:lvlText w:val="%1."/>
      <w:numFmt w:val="decimal"/>
      <w:start w:val="3"/>
    </w:lvl>
  </w:abstractNum>
  <w:abstractNum w:abstractNumId="83">
    <w:nsid w:val="14E17E33"/>
    <w:multiLevelType w:val="hybridMultilevel"/>
    <w:lvl w:ilvl="0">
      <w:lvlJc w:val="left"/>
      <w:lvlText w:val="%1:"/>
      <w:numFmt w:val="upperLetter"/>
      <w:start w:val="4"/>
    </w:lvl>
  </w:abstractNum>
  <w:abstractNum w:abstractNumId="84">
    <w:nsid w:val="3222E7CD"/>
    <w:multiLevelType w:val="hybridMultilevel"/>
    <w:lvl w:ilvl="0">
      <w:lvlJc w:val="left"/>
      <w:lvlText w:val="%1:"/>
      <w:numFmt w:val="upperLetter"/>
      <w:start w:val="13"/>
    </w:lvl>
  </w:abstractNum>
  <w:abstractNum w:abstractNumId="85">
    <w:nsid w:val="74DE0EE3"/>
    <w:multiLevelType w:val="hybridMultilevel"/>
    <w:lvl w:ilvl="0">
      <w:lvlJc w:val="left"/>
      <w:lvlText w:val="(%1)"/>
      <w:numFmt w:val="lowerLetter"/>
      <w:start w:val="1"/>
    </w:lvl>
  </w:abstractNum>
  <w:abstractNum w:abstractNumId="86">
    <w:nsid w:val="68EBC550"/>
    <w:multiLevelType w:val="hybridMultilevel"/>
    <w:lvl w:ilvl="0">
      <w:lvlJc w:val="left"/>
      <w:lvlText w:val="%1."/>
      <w:numFmt w:val="decimal"/>
      <w:start w:val="4"/>
    </w:lvl>
  </w:abstractNum>
  <w:abstractNum w:abstractNumId="87">
    <w:nsid w:val="2DF6D648"/>
    <w:multiLevelType w:val="hybridMultilevel"/>
    <w:lvl w:ilvl="0">
      <w:lvlJc w:val="left"/>
      <w:lvlText w:val="%1."/>
      <w:numFmt w:val="decimal"/>
      <w:start w:val="5"/>
    </w:lvl>
  </w:abstractNum>
  <w:abstractNum w:abstractNumId="88">
    <w:nsid w:val="46B7D447"/>
    <w:multiLevelType w:val="hybridMultilevel"/>
    <w:lvl w:ilvl="0">
      <w:lvlJc w:val="left"/>
      <w:lvlText w:val="%1."/>
      <w:numFmt w:val="decimal"/>
      <w:start w:val="6"/>
    </w:lvl>
  </w:abstractNum>
  <w:abstractNum w:abstractNumId="89">
    <w:nsid w:val="4A2AC315"/>
    <w:multiLevelType w:val="hybridMultilevel"/>
    <w:lvl w:ilvl="0">
      <w:lvlJc w:val="left"/>
      <w:lvlText w:val="(%1)"/>
      <w:numFmt w:val="lowerLetter"/>
      <w:start w:val="1"/>
    </w:lvl>
  </w:abstractNum>
  <w:abstractNum w:abstractNumId="90">
    <w:nsid w:val="39EE015C"/>
    <w:multiLevelType w:val="hybridMultilevel"/>
    <w:lvl w:ilvl="0">
      <w:lvlJc w:val="left"/>
      <w:lvlText w:val="%1."/>
      <w:numFmt w:val="decimal"/>
      <w:start w:val="1"/>
    </w:lvl>
  </w:abstractNum>
  <w:abstractNum w:abstractNumId="91">
    <w:nsid w:val="57FC4FBB"/>
    <w:multiLevelType w:val="hybridMultilevel"/>
    <w:lvl w:ilvl="0">
      <w:lvlJc w:val="left"/>
      <w:lvlText w:val="%1"/>
      <w:numFmt w:val="lowerLetter"/>
      <w:start w:val="1"/>
    </w:lvl>
    <w:lvl w:ilvl="1">
      <w:lvlJc w:val="left"/>
      <w:lvlText w:val="%2."/>
      <w:numFmt w:val="decimal"/>
      <w:start w:val="4"/>
    </w:lvl>
  </w:abstractNum>
  <w:abstractNum w:abstractNumId="92">
    <w:nsid w:val="CC1016F"/>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jpeg"/><Relationship Id="rId149" Type="http://schemas.openxmlformats.org/officeDocument/2006/relationships/image" Target="media/image131.png"/><Relationship Id="rId150" Type="http://schemas.openxmlformats.org/officeDocument/2006/relationships/image" Target="media/image132.jpeg"/><Relationship Id="rId151" Type="http://schemas.openxmlformats.org/officeDocument/2006/relationships/image" Target="media/image133.png"/><Relationship Id="rId152" Type="http://schemas.openxmlformats.org/officeDocument/2006/relationships/image" Target="media/image134.jpeg"/><Relationship Id="rId153" Type="http://schemas.openxmlformats.org/officeDocument/2006/relationships/image" Target="media/image135.png"/><Relationship Id="rId154" Type="http://schemas.openxmlformats.org/officeDocument/2006/relationships/image" Target="media/image136.jpeg"/><Relationship Id="rId155" Type="http://schemas.openxmlformats.org/officeDocument/2006/relationships/image" Target="media/image137.png"/><Relationship Id="rId156" Type="http://schemas.openxmlformats.org/officeDocument/2006/relationships/image" Target="media/image138.jpeg"/><Relationship Id="rId157" Type="http://schemas.openxmlformats.org/officeDocument/2006/relationships/image" Target="media/image139.jpeg"/><Relationship Id="rId158" Type="http://schemas.openxmlformats.org/officeDocument/2006/relationships/image" Target="media/image140.png"/><Relationship Id="rId159" Type="http://schemas.openxmlformats.org/officeDocument/2006/relationships/image" Target="media/image141.jpeg"/><Relationship Id="rId160" Type="http://schemas.openxmlformats.org/officeDocument/2006/relationships/image" Target="media/image142.png"/><Relationship Id="rId161" Type="http://schemas.openxmlformats.org/officeDocument/2006/relationships/image" Target="media/image143.jpeg"/><Relationship Id="rId162" Type="http://schemas.openxmlformats.org/officeDocument/2006/relationships/image" Target="media/image144.png"/><Relationship Id="rId163" Type="http://schemas.openxmlformats.org/officeDocument/2006/relationships/image" Target="media/image145.jpeg"/><Relationship Id="rId71" Type="http://schemas.openxmlformats.org/officeDocument/2006/relationships/hyperlink" Target="http://www.sec.gov/Archives/edgar/data/1612042/000119312521076349/d123790d20f.htm" TargetMode="External"/><Relationship Id="rId72" Type="http://schemas.openxmlformats.org/officeDocument/2006/relationships/hyperlink" Target="http://www.sec.gov/Archives/edgar/data/1612042/000119312521075055/d152309d6k.htm" TargetMode="External"/><Relationship Id="rId73" Type="http://schemas.openxmlformats.org/officeDocument/2006/relationships/hyperlink" Target="http://www.sec.gov/Archives/edgar/data/1612042/000119312521104138/d91747d6k.htm" TargetMode="External"/><Relationship Id="rId74" Type="http://schemas.openxmlformats.org/officeDocument/2006/relationships/hyperlink" Target="http://www.sec.gov/Archives/edgar/data/1612042/000119312521116783/d171321d6k.htm" TargetMode="External"/><Relationship Id="rId75" Type="http://schemas.openxmlformats.org/officeDocument/2006/relationships/hyperlink" Target="http://www.sec.gov/Archives/edgar/data/1612042/000119312521156654/d102591d6k.htm" TargetMode="External"/><Relationship Id="rId76" Type="http://schemas.openxmlformats.org/officeDocument/2006/relationships/hyperlink" Target="http://www.sec.gov/Archives/edgar/data/1612042/000119312521159143/d709576d6k.htm" TargetMode="External"/><Relationship Id="rId77" Type="http://schemas.openxmlformats.org/officeDocument/2006/relationships/hyperlink" Target="http://www.sec.gov/Archives/edgar/data/1612042/000119312521159552/d492202d6k.htm" TargetMode="External"/><Relationship Id="rId78" Type="http://schemas.openxmlformats.org/officeDocument/2006/relationships/hyperlink" Target="http://www.sec.gov/Archives/edgar/data/1612042/000119312521175492/d167568d6k.htm" TargetMode="External"/><Relationship Id="rId79" Type="http://schemas.openxmlformats.org/officeDocument/2006/relationships/hyperlink" Target="http://www.sec.gov/Archives/edgar/data/1612042/000119312515019449/d855781d8a12b.htm" TargetMode="External"/><Relationship Id="rId82" Type="http://schemas.openxmlformats.org/officeDocument/2006/relationships/hyperlink" Target="http://www.sec.gov/Archives/edgar/data/1612042/000119312521159552/d492202dex11.htm" TargetMode="External"/><Relationship Id="rId83" Type="http://schemas.openxmlformats.org/officeDocument/2006/relationships/hyperlink" Target="http://www.sec.gov/Archives/edgar/data/1612042/000119312516447629/d65395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2021-05-28T00:15:54Z</dcterms:created>
  <dcterms:modified xsi:type="dcterms:W3CDTF">2021-05-28T00:15:54Z</dcterms:modified>
</cp:coreProperties>
</file>