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259080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44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227965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80" w:right="1440" w:bottom="1440" w:gutter="0" w:footer="0" w:header="0"/>
        </w:sectPr>
      </w:pPr>
    </w:p>
    <w:bookmarkStart w:id="1" w:name="page2"/>
    <w:bookmarkEnd w:id="1"/>
    <w:p>
      <w:pPr>
        <w:ind w:left="44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report contains the Company’s Unaudited Condensed Consolidated Interim Financial Statements as of and for the period ended March 31, 2026, including Management’s Discussion and Analysis of Financial Condition and Results of Operations for the period presented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Ascendis Pharma A/S</w:t>
            </w:r>
          </w:p>
        </w:tc>
      </w:tr>
      <w:tr>
        <w:trPr>
          <w:trHeight w:val="432"/>
        </w:trPr>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 May 7, 2026</w:t>
            </w:r>
          </w:p>
        </w:tc>
        <w:tc>
          <w:tcPr>
            <w:tcW w:w="758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By: /s/ Michael Wolff Jensen</w:t>
            </w:r>
          </w:p>
        </w:tc>
      </w:tr>
      <w:tr>
        <w:trPr>
          <w:trHeight w:val="191"/>
        </w:trPr>
        <w:tc>
          <w:tcPr>
            <w:tcW w:w="36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Wolff Jensen</w:t>
            </w:r>
          </w:p>
        </w:tc>
        <w:tc>
          <w:tcPr>
            <w:tcW w:w="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1195"/>
        </w:trPr>
        <w:tc>
          <w:tcPr>
            <w:tcW w:w="36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8420" w:type="dxa"/>
            <w:vAlign w:val="bottom"/>
            <w:gridSpan w:val="4"/>
          </w:tcPr>
          <w:p>
            <w:pPr>
              <w:ind w:left="4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05"/>
        </w:trPr>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Interim Financial Statements – March 31,</w:t>
            </w:r>
          </w:p>
        </w:tc>
        <w:tc>
          <w:tcPr>
            <w:tcW w:w="4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FF"/>
              </w:rPr>
              <w:t>2026</w:t>
            </w: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F-1</w:t>
            </w:r>
          </w:p>
        </w:tc>
      </w:tr>
      <w:tr>
        <w:trPr>
          <w:trHeight w:val="210"/>
        </w:trPr>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Operations</w:t>
            </w:r>
          </w:p>
        </w:tc>
        <w:tc>
          <w:tcPr>
            <w:tcW w:w="2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1391"/>
        </w:trPr>
        <w:tc>
          <w:tcPr>
            <w:tcW w:w="360" w:type="dxa"/>
            <w:vAlign w:val="bottom"/>
            <w:tcBorders>
              <w:bottom w:val="single" w:sz="8" w:color="9A9A9A"/>
            </w:tcBorders>
          </w:tcPr>
          <w:p>
            <w:pPr>
              <w:spacing w:after="0"/>
              <w:rPr>
                <w:sz w:val="24"/>
                <w:szCs w:val="24"/>
                <w:color w:val="auto"/>
              </w:rPr>
            </w:pPr>
          </w:p>
        </w:tc>
        <w:tc>
          <w:tcPr>
            <w:tcW w:w="56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INTERIM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96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Statements of Profit or (Loss) and Other Comprehensive Income or (Loss) for the Three</w:t>
            </w:r>
          </w:p>
        </w:tc>
        <w:tc>
          <w:tcPr>
            <w:tcW w:w="520" w:type="dxa"/>
            <w:vAlign w:val="bottom"/>
            <w:vMerge w:val="restart"/>
          </w:tcPr>
          <w:p>
            <w:pPr>
              <w:spacing w:after="0"/>
              <w:rPr>
                <w:sz w:val="15"/>
                <w:szCs w:val="15"/>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9600" w:type="dxa"/>
            <w:vAlign w:val="bottom"/>
            <w:tcBorders>
              <w:bottom w:val="single" w:sz="8" w:color="0000FF"/>
            </w:tcBorders>
            <w:gridSpan w:val="8"/>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Months Ended March 31, 2026 and 2025</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Interim Statements of Financial Position as of March 31, 2026 and December 31, 2025</w:t>
            </w:r>
          </w:p>
        </w:tc>
        <w:tc>
          <w:tcPr>
            <w:tcW w:w="100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Statements of Changes in Equity for the Three Months Ended March 31, 2026 and 2025</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Statements of Cash Flows for the Three Months Ended March 31, 2026 and 2025</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9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the Unaudited Condensed Consolidated Interim Financial Statements</w:t>
            </w:r>
          </w:p>
        </w:tc>
        <w:tc>
          <w:tcPr>
            <w:tcW w:w="1060" w:type="dxa"/>
            <w:vAlign w:val="bottom"/>
            <w:gridSpan w:val="3"/>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940" w:type="dxa"/>
            <w:vAlign w:val="bottom"/>
            <w:gridSpan w:val="7"/>
          </w:tcPr>
          <w:p>
            <w:pPr>
              <w:ind w:left="220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Profit or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or (Loss) for the Three Months Ended March 31, 2026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3"/>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 except per share data)</w:t>
            </w:r>
          </w:p>
        </w:tc>
        <w:tc>
          <w:tcPr>
            <w:tcW w:w="2040" w:type="dxa"/>
            <w:vAlign w:val="bottom"/>
          </w:tcPr>
          <w:p>
            <w:pPr>
              <w:spacing w:after="0"/>
              <w:rPr>
                <w:sz w:val="15"/>
                <w:szCs w:val="15"/>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40" w:type="dxa"/>
            <w:vAlign w:val="bottom"/>
            <w:tcBorders>
              <w:bottom w:val="single" w:sz="8" w:color="auto"/>
            </w:tcBorders>
            <w:gridSpan w:val="3"/>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w:t>
            </w:r>
          </w:p>
        </w:tc>
        <w:tc>
          <w:tcPr>
            <w:tcW w:w="20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(17,515)</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4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229,086</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(59,044)</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(86,603)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(145,230)</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(101,046)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24,812</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(104,212)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profit/(loss) of associates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(10,251)</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(67,255)</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(44,786)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(48,177)</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(93,565)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(expenses)</w:t>
            </w:r>
          </w:p>
        </w:tc>
        <w:tc>
          <w:tcPr>
            <w:tcW w:w="28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677,516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2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629,339</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(94,626)</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Attributable to owners of the Company</w:t>
            </w:r>
          </w:p>
        </w:tc>
        <w:tc>
          <w:tcPr>
            <w:tcW w:w="2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629,339</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(94,626)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2800" w:type="dxa"/>
            <w:vAlign w:val="bottom"/>
            <w:gridSpan w:val="2"/>
            <w:shd w:val="clear" w:color="auto" w:fill="CFF0FC"/>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280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or (Loss)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629,339</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(94,626)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Items that may be reclassified subsequently to profit or (loss):</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period, net of tax</w:t>
            </w:r>
          </w:p>
        </w:tc>
        <w:tc>
          <w:tcPr>
            <w:tcW w:w="2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3,058</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period, net of tax</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632,397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(94,701)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 owners of the Company</w:t>
            </w:r>
          </w:p>
        </w:tc>
        <w:tc>
          <w:tcPr>
            <w:tcW w:w="20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632,397</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(94,701)</w:t>
            </w:r>
          </w:p>
        </w:tc>
        <w:tc>
          <w:tcPr>
            <w:tcW w:w="0" w:type="dxa"/>
            <w:vAlign w:val="bottom"/>
          </w:tcPr>
          <w:p>
            <w:pPr>
              <w:spacing w:after="0"/>
              <w:rPr>
                <w:sz w:val="1"/>
                <w:szCs w:val="1"/>
                <w:color w:val="auto"/>
              </w:rPr>
            </w:pPr>
          </w:p>
        </w:tc>
      </w:tr>
      <w:tr>
        <w:trPr>
          <w:trHeight w:val="534"/>
        </w:trPr>
        <w:tc>
          <w:tcPr>
            <w:tcW w:w="5060" w:type="dxa"/>
            <w:vAlign w:val="bottom"/>
            <w:tcBorders>
              <w:top w:val="single" w:sz="8" w:color="CFF0FC"/>
            </w:tcBorders>
          </w:tcPr>
          <w:p>
            <w:pPr>
              <w:spacing w:after="0"/>
              <w:rPr>
                <w:sz w:val="24"/>
                <w:szCs w:val="24"/>
                <w:color w:val="auto"/>
              </w:rPr>
            </w:pPr>
          </w:p>
        </w:tc>
        <w:tc>
          <w:tcPr>
            <w:tcW w:w="2920" w:type="dxa"/>
            <w:vAlign w:val="bottom"/>
            <w:tcBorders>
              <w:top w:val="single" w:sz="8" w:color="CFF0FC"/>
            </w:tcBorders>
            <w:gridSpan w:val="3"/>
          </w:tcPr>
          <w:p>
            <w:pPr>
              <w:ind w:left="440"/>
              <w:spacing w:after="0"/>
              <w:rPr>
                <w:sz w:val="20"/>
                <w:szCs w:val="20"/>
                <w:color w:val="auto"/>
              </w:rPr>
            </w:pPr>
            <w:r>
              <w:rPr>
                <w:rFonts w:ascii="Times New Roman" w:cs="Times New Roman" w:eastAsia="Times New Roman" w:hAnsi="Times New Roman"/>
                <w:sz w:val="18"/>
                <w:szCs w:val="18"/>
                <w:color w:val="auto"/>
              </w:rPr>
              <w:t>F-2</w:t>
            </w: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-3985260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-2579370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-2562225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Financial Position as of March 31, 2026 and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300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0" w:type="dxa"/>
            <w:vAlign w:val="bottom"/>
            <w:gridSpan w:val="2"/>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80" w:type="dxa"/>
            <w:vAlign w:val="bottom"/>
            <w:gridSpan w:val="2"/>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135,918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146,479</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associates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7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690,405</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880,939</w:t>
            </w:r>
          </w:p>
        </w:tc>
        <w:tc>
          <w:tcPr>
            <w:tcW w:w="2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193,585</w:t>
            </w:r>
          </w:p>
        </w:tc>
        <w:tc>
          <w:tcPr>
            <w:tcW w:w="100" w:type="dxa"/>
            <w:vAlign w:val="bottom"/>
          </w:tcPr>
          <w:p>
            <w:pPr>
              <w:spacing w:after="0"/>
              <w:rPr>
                <w:sz w:val="18"/>
                <w:szCs w:val="18"/>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314,342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301,533</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178,676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141,333</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tcBorders>
              <w:bottom w:val="single" w:sz="8" w:color="CFF0FC"/>
            </w:tcBorders>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572,820</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1,122,340</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1,108,985</w:t>
            </w:r>
          </w:p>
        </w:tc>
        <w:tc>
          <w:tcPr>
            <w:tcW w:w="100" w:type="dxa"/>
            <w:vAlign w:val="bottom"/>
          </w:tcPr>
          <w:p>
            <w:pPr>
              <w:spacing w:after="0"/>
              <w:rPr>
                <w:sz w:val="18"/>
                <w:szCs w:val="18"/>
                <w:color w:val="auto"/>
              </w:rPr>
            </w:pPr>
          </w:p>
        </w:tc>
      </w:tr>
      <w:tr>
        <w:trPr>
          <w:trHeight w:val="24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2,003,279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1,302,570</w:t>
            </w:r>
          </w:p>
        </w:tc>
        <w:tc>
          <w:tcPr>
            <w:tcW w:w="100" w:type="dxa"/>
            <w:vAlign w:val="bottom"/>
            <w:shd w:val="clear" w:color="auto" w:fill="CFF0FC"/>
          </w:tcPr>
          <w:p>
            <w:pPr>
              <w:spacing w:after="0"/>
              <w:rPr>
                <w:sz w:val="21"/>
                <w:szCs w:val="21"/>
                <w:color w:val="auto"/>
              </w:rPr>
            </w:pPr>
          </w:p>
        </w:tc>
      </w:tr>
      <w:tr>
        <w:trPr>
          <w:trHeight w:val="197"/>
        </w:trPr>
        <w:tc>
          <w:tcPr>
            <w:tcW w:w="4100" w:type="dxa"/>
            <w:vAlign w:val="bottom"/>
            <w:tcBorders>
              <w:top w:val="single" w:sz="8" w:color="CFF0FC"/>
            </w:tcBorders>
          </w:tcPr>
          <w:p>
            <w:pPr>
              <w:spacing w:after="0"/>
              <w:rPr>
                <w:sz w:val="17"/>
                <w:szCs w:val="17"/>
                <w:color w:val="auto"/>
              </w:rPr>
            </w:pPr>
          </w:p>
        </w:tc>
        <w:tc>
          <w:tcPr>
            <w:tcW w:w="300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equity</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479,593</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(171,143)</w:t>
            </w:r>
          </w:p>
        </w:tc>
      </w:tr>
      <w:tr>
        <w:trPr>
          <w:trHeight w:val="20"/>
        </w:trPr>
        <w:tc>
          <w:tcPr>
            <w:tcW w:w="4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487,973</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(162,821)</w:t>
            </w:r>
          </w:p>
        </w:tc>
      </w:tr>
      <w:tr>
        <w:trPr>
          <w:trHeight w:val="210"/>
        </w:trPr>
        <w:tc>
          <w:tcPr>
            <w:tcW w:w="4100" w:type="dxa"/>
            <w:vAlign w:val="bottom"/>
            <w:tcBorders>
              <w:top w:val="single" w:sz="8" w:color="CFF0FC"/>
            </w:tcBorders>
          </w:tcPr>
          <w:p>
            <w:pPr>
              <w:spacing w:after="0"/>
              <w:rPr>
                <w:sz w:val="18"/>
                <w:szCs w:val="18"/>
                <w:color w:val="auto"/>
              </w:rPr>
            </w:pPr>
          </w:p>
        </w:tc>
        <w:tc>
          <w:tcPr>
            <w:tcW w:w="300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7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386,106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385,254</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388,543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396,000</w:t>
            </w:r>
          </w:p>
        </w:tc>
        <w:tc>
          <w:tcPr>
            <w:tcW w:w="100" w:type="dxa"/>
            <w:vAlign w:val="bottom"/>
            <w:shd w:val="clear" w:color="auto" w:fill="CFF0FC"/>
          </w:tcPr>
          <w:p>
            <w:pPr>
              <w:spacing w:after="0"/>
              <w:rPr>
                <w:sz w:val="18"/>
                <w:szCs w:val="18"/>
                <w:color w:val="auto"/>
              </w:rPr>
            </w:pPr>
          </w:p>
        </w:tc>
      </w:tr>
      <w:tr>
        <w:trPr>
          <w:trHeight w:val="209"/>
        </w:trPr>
        <w:tc>
          <w:tcPr>
            <w:tcW w:w="4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April 2028</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7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448,176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429,391</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760" w:type="dxa"/>
            <w:vAlign w:val="bottom"/>
            <w:tcBorders>
              <w:bottom w:val="single" w:sz="8" w:color="CFF0FC"/>
            </w:tcBorders>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290,482</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738,658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685,622</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7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62,382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57,141</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37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78,588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90,657</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760" w:type="dxa"/>
            <w:vAlign w:val="bottom"/>
            <w:gridSpan w:val="2"/>
            <w:shd w:val="clear" w:color="auto" w:fill="CFF0FC"/>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176,650</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388,105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383,769</w:t>
            </w:r>
          </w:p>
        </w:tc>
        <w:tc>
          <w:tcPr>
            <w:tcW w:w="100" w:type="dxa"/>
            <w:vAlign w:val="bottom"/>
          </w:tcPr>
          <w:p>
            <w:pPr>
              <w:spacing w:after="0"/>
              <w:rPr>
                <w:sz w:val="18"/>
                <w:szCs w:val="18"/>
                <w:color w:val="auto"/>
              </w:rPr>
            </w:pPr>
          </w:p>
        </w:tc>
      </w:tr>
      <w:tr>
        <w:trPr>
          <w:trHeight w:val="209"/>
        </w:trPr>
        <w:tc>
          <w:tcPr>
            <w:tcW w:w="410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1,126,763</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1,069,391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1,515,306</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1,465,391</w:t>
            </w:r>
          </w:p>
        </w:tc>
        <w:tc>
          <w:tcPr>
            <w:tcW w:w="100" w:type="dxa"/>
            <w:vAlign w:val="bottom"/>
          </w:tcPr>
          <w:p>
            <w:pPr>
              <w:spacing w:after="0"/>
              <w:rPr>
                <w:sz w:val="18"/>
                <w:szCs w:val="18"/>
                <w:color w:val="auto"/>
              </w:rPr>
            </w:pPr>
          </w:p>
        </w:tc>
      </w:tr>
      <w:tr>
        <w:trPr>
          <w:trHeight w:val="25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2,003,279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1,302,570</w:t>
            </w:r>
          </w:p>
        </w:tc>
        <w:tc>
          <w:tcPr>
            <w:tcW w:w="100" w:type="dxa"/>
            <w:vAlign w:val="bottom"/>
            <w:shd w:val="clear" w:color="auto" w:fill="CFF0FC"/>
          </w:tcPr>
          <w:p>
            <w:pPr>
              <w:spacing w:after="0"/>
              <w:rPr>
                <w:sz w:val="21"/>
                <w:szCs w:val="21"/>
                <w:color w:val="auto"/>
              </w:rPr>
            </w:pPr>
          </w:p>
        </w:tc>
      </w:tr>
      <w:tr>
        <w:trPr>
          <w:trHeight w:val="520"/>
        </w:trPr>
        <w:tc>
          <w:tcPr>
            <w:tcW w:w="4100" w:type="dxa"/>
            <w:vAlign w:val="bottom"/>
            <w:tcBorders>
              <w:top w:val="single" w:sz="8" w:color="CFF0FC"/>
            </w:tcBorders>
          </w:tcPr>
          <w:p>
            <w:pPr>
              <w:spacing w:after="0"/>
              <w:rPr>
                <w:sz w:val="24"/>
                <w:szCs w:val="24"/>
                <w:color w:val="auto"/>
              </w:rPr>
            </w:pPr>
          </w:p>
        </w:tc>
        <w:tc>
          <w:tcPr>
            <w:tcW w:w="3760" w:type="dxa"/>
            <w:vAlign w:val="bottom"/>
            <w:tcBorders>
              <w:top w:val="single" w:sz="8" w:color="CFF0FC"/>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Borders>
              <w:top w:val="single" w:sz="8" w:color="CFF0F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-6226810</wp:posOffset>
            </wp:positionV>
            <wp:extent cx="939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-6226810</wp:posOffset>
            </wp:positionV>
            <wp:extent cx="939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-5099685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-5099685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-4808220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-4791075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-4791075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-3950970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-3110865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-2553970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-1447800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Changes in Equity for the Three Months Ended 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4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as of January 1, 2026</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8,322</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2,531,080</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(1,755)</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(2,700,388)</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(162,821)</w:t>
            </w:r>
          </w:p>
        </w:tc>
        <w:tc>
          <w:tcPr>
            <w:tcW w:w="0" w:type="dxa"/>
            <w:vAlign w:val="bottom"/>
          </w:tcPr>
          <w:p>
            <w:pPr>
              <w:spacing w:after="0"/>
              <w:rPr>
                <w:sz w:val="1"/>
                <w:szCs w:val="1"/>
                <w:color w:val="auto"/>
              </w:rPr>
            </w:pPr>
          </w:p>
        </w:tc>
      </w:tr>
      <w:tr>
        <w:trPr>
          <w:trHeight w:val="196"/>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profit/(loss) for the period</w:t>
            </w:r>
          </w:p>
        </w:tc>
        <w:tc>
          <w:tcPr>
            <w:tcW w:w="4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629,339</w:t>
            </w: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629,339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income/(loss), net of tax</w:t>
            </w:r>
          </w:p>
        </w:tc>
        <w:tc>
          <w:tcPr>
            <w:tcW w:w="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3,058</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629,339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632,397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Transactions with Owners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on equity transactions</w:t>
            </w: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21,054</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shares</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(51,823)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(51,857)</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 under stock incentive programs</w:t>
            </w: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under stock incentive programs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(12,781)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(12,781)</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increase</w:t>
            </w: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31,567</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31,625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as of March 31, 2026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8,380</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2,562,647</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1,303</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(2,084,322</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487,973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4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as of January 1, 2025</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8,149</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2,444,175</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1,783</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(2,559,700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profit/(loss) for the period</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(94,626)</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(94,626)</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income/(loss), net of tax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(75)</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(94,626)</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(94,701)</w:t>
            </w:r>
          </w:p>
        </w:tc>
        <w:tc>
          <w:tcPr>
            <w:tcW w:w="0" w:type="dxa"/>
            <w:vAlign w:val="bottom"/>
          </w:tcPr>
          <w:p>
            <w:pPr>
              <w:spacing w:after="0"/>
              <w:rPr>
                <w:sz w:val="1"/>
                <w:szCs w:val="1"/>
                <w:color w:val="auto"/>
              </w:rPr>
            </w:pPr>
          </w:p>
        </w:tc>
      </w:tr>
      <w:tr>
        <w:trPr>
          <w:trHeight w:val="196"/>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Transactions with Owners</w:t>
            </w:r>
          </w:p>
        </w:tc>
        <w:tc>
          <w:tcPr>
            <w:tcW w:w="4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w:t>
            </w: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25,558</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(17,380)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(17,396)</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 under stock incentive programs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under stock incentive programs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(11,396)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(11,396)</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increase</w:t>
            </w:r>
          </w:p>
        </w:tc>
        <w:tc>
          <w:tcPr>
            <w:tcW w:w="4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13,834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as of March 31, 2025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8,187</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2,457,971</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1,708</w:t>
            </w: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(2,657,593</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-3599815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-3599815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-3599815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-3599815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-3599815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-3333750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-3333750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-3333750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-3333750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-3333750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-942340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-942340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-942340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-942340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-942340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Cash Flows for the Three Months Ended March 31, 2026 and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40" w:type="dxa"/>
            <w:vAlign w:val="bottom"/>
            <w:gridSpan w:val="3"/>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380" w:type="dxa"/>
            <w:vAlign w:val="bottom"/>
          </w:tcPr>
          <w:p>
            <w:pPr>
              <w:spacing w:after="0"/>
              <w:rPr>
                <w:sz w:val="15"/>
                <w:szCs w:val="15"/>
                <w:color w:val="auto"/>
              </w:rPr>
            </w:pPr>
          </w:p>
        </w:tc>
        <w:tc>
          <w:tcPr>
            <w:tcW w:w="2440" w:type="dxa"/>
            <w:vAlign w:val="bottom"/>
            <w:tcBorders>
              <w:bottom w:val="single" w:sz="8" w:color="auto"/>
            </w:tcBorders>
            <w:gridSpan w:val="3"/>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6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3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629,339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(94,626)</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Reversal of finance income</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(4,517)</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(28,854)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Reversal of finance expenses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Reversal of income taxes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(677,516)</w:t>
            </w: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consideration relating to revenue</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(profit)/loss of associates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(26,579)</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payment</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2380" w:type="dxa"/>
            <w:vAlign w:val="bottom"/>
            <w:shd w:val="clear" w:color="auto" w:fill="CFF0FC"/>
          </w:tcPr>
          <w:p>
            <w:pPr>
              <w:spacing w:after="0"/>
              <w:rPr>
                <w:sz w:val="18"/>
                <w:szCs w:val="18"/>
                <w:color w:val="auto"/>
              </w:rPr>
            </w:pPr>
          </w:p>
        </w:tc>
        <w:tc>
          <w:tcPr>
            <w:tcW w:w="244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(12,813)</w:t>
            </w: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4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(36,377)</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(4,852)</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(21,051)</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(40,767)</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3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generated from/(used in) operations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(8,074)</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(17,515)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expenses paid</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(5,328)</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received/(paid)</w:t>
            </w:r>
          </w:p>
        </w:tc>
        <w:tc>
          <w:tcPr>
            <w:tcW w:w="2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from/(used in) operating activities</w:t>
            </w:r>
          </w:p>
        </w:tc>
        <w:tc>
          <w:tcPr>
            <w:tcW w:w="23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(7,721)</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(14,313)</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380" w:type="dxa"/>
            <w:vAlign w:val="bottom"/>
            <w:tcBorders>
              <w:top w:val="single" w:sz="8" w:color="CFF0FC"/>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 under finance leases</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 assets and property, plant and equipment</w:t>
            </w:r>
          </w:p>
        </w:tc>
        <w:tc>
          <w:tcPr>
            <w:tcW w:w="4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(7,712)</w:t>
            </w: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from/(used in) investing activities</w:t>
            </w:r>
          </w:p>
        </w:tc>
        <w:tc>
          <w:tcPr>
            <w:tcW w:w="2380" w:type="dxa"/>
            <w:vAlign w:val="bottom"/>
            <w:tcBorders>
              <w:top w:val="single" w:sz="8" w:color="CFF0FC"/>
              <w:bottom w:val="single" w:sz="8" w:color="CFF0FC"/>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(8,580)</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(51,857)</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(17,396)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withholding taxes under stock incentive programs</w:t>
            </w:r>
          </w:p>
        </w:tc>
        <w:tc>
          <w:tcPr>
            <w:tcW w:w="23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(8,021)</w:t>
            </w: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from/(used in) financing activities</w:t>
            </w:r>
          </w:p>
        </w:tc>
        <w:tc>
          <w:tcPr>
            <w:tcW w:w="23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(36,833)</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(18,024)</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spacing w:after="0"/>
              <w:rPr>
                <w:sz w:val="18"/>
                <w:szCs w:val="18"/>
                <w:color w:val="auto"/>
              </w:rPr>
            </w:pPr>
          </w:p>
        </w:tc>
        <w:tc>
          <w:tcPr>
            <w:tcW w:w="2380" w:type="dxa"/>
            <w:vAlign w:val="bottom"/>
            <w:tcBorders>
              <w:top w:val="single" w:sz="8" w:color="CFF0FC"/>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4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(51,307)</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(33,040)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616,041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balances held in foreign currencies</w:t>
            </w:r>
          </w:p>
        </w:tc>
        <w:tc>
          <w:tcPr>
            <w:tcW w:w="23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March 31</w:t>
            </w:r>
          </w:p>
        </w:tc>
        <w:tc>
          <w:tcPr>
            <w:tcW w:w="238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572,820</w:t>
            </w:r>
          </w:p>
        </w:tc>
        <w:tc>
          <w:tcPr>
            <w:tcW w:w="220" w:type="dxa"/>
            <w:vAlign w:val="bottom"/>
            <w:tcBorders>
              <w:top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00" w:type="dxa"/>
            <w:vAlign w:val="bottom"/>
          </w:tcPr>
          <w:p>
            <w:pPr>
              <w:spacing w:after="0"/>
              <w:rPr>
                <w:sz w:val="24"/>
                <w:szCs w:val="24"/>
                <w:color w:val="auto"/>
              </w:rPr>
            </w:pPr>
          </w:p>
        </w:tc>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-2973705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 The Company’s registration number in Denmark is 29918791.</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 On April 20, 2026, the Company completed a mandatory exchange of all outstanding ADSs for ordinary shares resulting in the Company’s ordinary shares being listed on the Nasdaq Global Select Market. Refer to Note 12, “Subsequent Events”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(the “Board”) approved these unaudited condensed consolidated interim financial statements on May 6,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Material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2025 and accompanying notes, which have been prepared in accordance with IFRS as issued by the International Accounting Standards Board (the “IASB”) and as adopted by the European Union (the “EU”).</w:t>
      </w:r>
    </w:p>
    <w:p>
      <w:pPr>
        <w:spacing w:after="0" w:line="18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accounting policies applied are consistent with those of the previous financial year. A description of the accounting policies is provided in the Accounting Policies section of the audited consolidated financial statements as of and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IFRS Accounting Standards and Interpretations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2024, the IASB issued Amendments to the Classification and Measurement of Financial Instruments which amended IFRS 9 “Financial Instruments” and IFRS 7 “Financial Instruments: Disclosures” (the “Amendments”). The Amendments provide additional guidance and clarity on specific matters following completion of the IFRS 9 post-implementation review for Classification and Measurement. The Amendments apply for the annual reporting periods beginning on or after January 1, 2026. The Amendments:</w:t>
      </w:r>
    </w:p>
    <w:p>
      <w:pPr>
        <w:spacing w:after="0" w:line="72" w:lineRule="exact"/>
        <w:rPr>
          <w:sz w:val="20"/>
          <w:szCs w:val="20"/>
          <w:color w:val="auto"/>
        </w:rPr>
      </w:pPr>
    </w:p>
    <w:p>
      <w:pPr>
        <w:ind w:left="1020" w:right="2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existing requirements for the recognition and derecognition of financial assets and financial liabilities, including an accounting policy choice to derecognize financial liabilities settled using an electronic payment system before the settlement date.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on assessing whether the contractual cash flows of a financial asset are solely payments of principal and interest (“SPPI”), including instruments with environmental, social and corporate governance (“ESG”)-linked or other contingent features.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treatment of non-recourse assets and contractually linked instruments (“CLI”), including how to assess SPPI and apply the CLI requirements.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disclosures for instruments with contingent contractual terms, and for equity instruments classified at fair value through other comprehensive income.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assessed this amendment and concluded that this, and other new and amended standards and interpretations applied for the first time in 2026, did not have an impact on its operations or interim condensed consolidated financial statements for the period ended March 31, 2026.</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New IFRS Accounting Standards Not Yet Effective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18, “Presentation and Disclosure in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IASB issued IFRS 18, “Presentation and Disclosure in Financial Statements” (“IFRS 18”), which replaces IAS 1, “Presentation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IFRS 18 introduces new categories and subtotals in the statement of profit or loss, comprising following categories:</w:t>
      </w:r>
    </w:p>
    <w:p>
      <w:pPr>
        <w:spacing w:after="0" w:line="9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IFRS 18 includes new requirements for the location, aggregation and disaggregation of financial information, and disclosure of management-defined performance measures, as defined, if any. IFRS 18 does not include any measurement changes.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IFRS 18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are not expected to be affected by other new or amended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3—Significant Accounting Judgments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application of the Company’s accounting policies, management is required to make judgments, estimates and assumptions about the carrying amounts of assets and liabilities that are not readily apparent from other sources. Judgments,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do not include all disclosures for significant accounting judgments, estimates and assumptions, that are required in the annual consolidated financial statements, and therefore should be read in conjunction with the Company’s audited consolidated financial statements as of and for the year ended December 31, 2025.</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prospectively. The three months ended March 31, 2026 and 2025 includes adjustments to prior-period estimates and assumptions for sales deductions.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While the application of critical accounting estimates is subject to material estimation uncertainties, management’s ongoing revisions of critical accounting estimates and underlying assumptions have, except for deferred tax assets, as described below, not revealed any other material impact to any of the periods presented in the unaudited condensed consolidated interim financial statements compared to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recognized all deferred tax assets in Denmark and the United States. Deferred tax assets are recognized only to the extent that management assesses it is probable that future taxable profits will be available against which these assets can be utilized. This assessment involves significant judgment and is reviewed on an ongoing basis, considering actual results as well as updated forecasts and long-range business plans.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Key sources of estimation uncertainty primarily relate to continued global commercial growth, mainly expected revenue growth from YORVIPATH, and development of operating expenses to support growth.</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 w:name="page12"/>
    <w:bookmarkEnd w:id="11"/>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2026, recognized deferred tax assets were €690.4 million. The basis for recognizing deferred tax assets will be reassessed annually, or more frequently considering internal and external factors that may affect the Company’s ability to generate taxable profits, and adjusted as necessary. Due to the nature of factors affecting taxable profit, it is not practicable to provide meaningful sensitivity analyses. Refer to Note 4, “Significant Events in the Reporting Period” for further details about the impact on the unaudited condensed consolidated interim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4—Significant Events in the Reporting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recognized deferred tax assets relating to tax losses carried forward and other deductible temporary differences. Deferred tax assets are recognized only to the extent that management assesses it is probable that future taxable profits will be available against which these assets can be utilized. Refer to Note 3, “Significant Accounting Judgments and Estimates” for further details. The deferred tax assets related to future use of tax losses can be carried forward without timing limitations.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are recognized in the unaudited condensed consolidated interim statements of profit or loss with the following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100" w:type="dxa"/>
            <w:vAlign w:val="bottom"/>
            <w:gridSpan w:val="3"/>
          </w:tcPr>
          <w:p>
            <w:pPr>
              <w:jc w:val="center"/>
              <w:ind w:left="13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3100" w:type="dxa"/>
            <w:vAlign w:val="bottom"/>
            <w:tcBorders>
              <w:bottom w:val="single" w:sz="8" w:color="auto"/>
            </w:tcBorders>
            <w:gridSpan w:val="3"/>
          </w:tcPr>
          <w:p>
            <w:pPr>
              <w:jc w:val="center"/>
              <w:ind w:left="13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12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Tax on profit/(loss) for the period</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(expense)/income</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w:t>
            </w:r>
          </w:p>
        </w:tc>
        <w:tc>
          <w:tcPr>
            <w:tcW w:w="7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adjustments to prior periods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movement for the period</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7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recognition of previously unrecognized deferred tax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679,587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tax on profit/(loss) for the period</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677,516</w:t>
            </w:r>
          </w:p>
        </w:tc>
        <w:tc>
          <w:tcPr>
            <w:tcW w:w="28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deferred tax assets/(liabilities) was as follows:</w:t>
      </w:r>
    </w:p>
    <w:p>
      <w:pPr>
        <w:sectPr>
          <w:pgSz w:w="11900" w:h="16838" w:orient="portrait"/>
          <w:cols w:equalWidth="0" w:num="1">
            <w:col w:w="11240"/>
          </w:cols>
          <w:pgMar w:left="320" w:top="1201"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Development in deferred tax assets/(liabilities)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income tax (expense)/income, through profit or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(expense)/income, through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Foreign exchange translation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deferred tax assets/(liabilities) at March 31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7620</wp:posOffset>
            </wp:positionV>
            <wp:extent cx="1714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(9,623)</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679,024</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21,054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690,405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14605</wp:posOffset>
            </wp:positionV>
            <wp:extent cx="1714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31750</wp:posOffset>
            </wp:positionV>
            <wp:extent cx="1714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690,405</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690,405</w:t>
      </w:r>
    </w:p>
    <w:p>
      <w:pPr>
        <w:spacing w:after="0" w:line="200" w:lineRule="exact"/>
        <w:rPr>
          <w:sz w:val="20"/>
          <w:szCs w:val="20"/>
          <w:color w:val="auto"/>
        </w:rPr>
      </w:pPr>
    </w:p>
    <w:p>
      <w:pPr>
        <w:sectPr>
          <w:pgSz w:w="11900" w:h="16838" w:orient="portrait"/>
          <w:cols w:equalWidth="0" w:num="2">
            <w:col w:w="8920" w:space="720"/>
            <w:col w:w="1600"/>
          </w:cols>
          <w:pgMar w:left="320" w:top="1201"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 of deferred tax assets/(liabilities) as of March 31, 2026 compared to December 31, 2025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2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assets/(liabilities)</w:t>
            </w:r>
          </w:p>
        </w:tc>
        <w:tc>
          <w:tcPr>
            <w:tcW w:w="2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 deductible losses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430,011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430,011</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temporary differences, assets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260,394</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291,759</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not recognized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(721,631)</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temporary differences, liabilities</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(9,762)</w:t>
            </w:r>
          </w:p>
        </w:tc>
      </w:tr>
      <w:tr>
        <w:trPr>
          <w:trHeight w:val="20"/>
        </w:trPr>
        <w:tc>
          <w:tcPr>
            <w:tcW w:w="662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assets/(liabilities)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690,405</w:t>
            </w:r>
          </w:p>
        </w:tc>
        <w:tc>
          <w:tcPr>
            <w:tcW w:w="28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(9,623)</w:t>
            </w:r>
          </w:p>
        </w:tc>
      </w:tr>
      <w:tr>
        <w:trPr>
          <w:trHeight w:val="20"/>
        </w:trPr>
        <w:tc>
          <w:tcPr>
            <w:tcW w:w="66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tax losses carried forward with a gross amount of €1,954.6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9, 2026, the Company announced that the Board had authorized a $120 million share repurchase program (the “Share Repurchase Program”). Purchases under the Share Repurchase Program may be made from time to time through a variety of methods, which may include open-market purchases, privately negotiated transactions, or other methods permitted under applicable securities laws. The Share Repurchase Program does not require the Company to repurchase any specific number of shares, and may be modified, suspended or terminated at any time without notice.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2" w:name="page13"/>
    <w:bookmarkEnd w:id="12"/>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2026, the Company repurchased 254,027 of its ordinary shares for a total consideration of $60.0 million with an average price of $236.35 under the Share Repurchase Program, with $60.0 million remaining for future repurchases as of March 31, 2026. The repurchased shares are held by the Company as treasury shares and presented as a deduction within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holding of treasury shares is disclosed in Note 10, “Treasury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Board is authorized by the shareholders to repurchase up to 2,471,988 of the Company’s ADSs or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Regulatory Approval of YUVIWEL® (navepegritide; developed as TransCon® CNP)</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27, 2026, the Company announced that the U.S. Food &amp; Drug Administration (“FDA”) has granted approval under the FDA’s Accelerated Approval Program for YUVIWEL® (navepegritide; developed as TransCon® CNP), the first and only once-weekly treatment indicated to increase linear growth in children 2 years of age and older with achondroplasia with open epiphyses and the only one to provide continuous systemic exposure to C-type natriuretic peptide (“CNP”) over the weekly dosing interval.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a result of obtaining marketing approval for YUVIWEL, the Company reversed prior period write-downs related to pre-launch inventories through research and development expenses. For the three months ended March 31, 2026, the reversal had a positive impact of €10.9 million on the Company’s unaudited condensed consolidated interim statement of profit or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Priority Review Voucher (“PRV”)</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the approval, the FDA issued a Rare Pediatric Disease Priority Review Voucher (“PRV”), which confers priority review to a subsequent drug application that would not otherwise qualify for priority review. Subsequent to March 31, 2026, the Company entered into agreement to sell the PRV. Refer to Note 12, “Subsequent Events” for further details.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has been recognized in the unaudited condensed consolidated interim statements of profit or loss with the following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40" w:type="dxa"/>
            <w:vAlign w:val="bottom"/>
            <w:gridSpan w:val="3"/>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440" w:type="dxa"/>
            <w:vAlign w:val="bottom"/>
            <w:tcBorders>
              <w:bottom w:val="single" w:sz="8" w:color="auto"/>
            </w:tcBorders>
            <w:gridSpan w:val="3"/>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products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clinical supply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246,601</w:t>
            </w: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100,954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Specified per geographical area</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209,076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4"/>
                <w:szCs w:val="24"/>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246,601</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-890905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2"/>
        <w:spacing w:after="0" w:line="298" w:lineRule="auto"/>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the year ended December 31, 2025, revenue related to the United States has been disclosed separately. Comparatives for the United States and Rest of world have been restated for comparative purposes.</w:t>
      </w:r>
    </w:p>
    <w:p>
      <w:pPr>
        <w:spacing w:after="0" w:line="69" w:lineRule="exact"/>
        <w:rPr>
          <w:rFonts w:ascii="Times New Roman" w:cs="Times New Roman" w:eastAsia="Times New Roman" w:hAnsi="Times New Roman"/>
          <w:sz w:val="16"/>
          <w:szCs w:val="16"/>
          <w:color w:val="auto"/>
        </w:rPr>
      </w:pPr>
    </w:p>
    <w:p>
      <w:pPr>
        <w:ind w:left="640" w:hanging="512"/>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and 2025, Denmark, the country of domicile, contributed €4.5 million and €2.4 million, respectively, of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sale of commercial products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4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44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2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commercial products</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YORVIPATH</w:t>
            </w:r>
            <w:r>
              <w:rPr>
                <w:rFonts w:ascii="Times New Roman" w:cs="Times New Roman" w:eastAsia="Times New Roman" w:hAnsi="Times New Roman"/>
                <w:sz w:val="24"/>
                <w:szCs w:val="24"/>
                <w:color w:val="auto"/>
                <w:vertAlign w:val="superscript"/>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SKYTROFA</w:t>
            </w:r>
            <w:r>
              <w:rPr>
                <w:rFonts w:ascii="Times New Roman" w:cs="Times New Roman" w:eastAsia="Times New Roman" w:hAnsi="Times New Roman"/>
                <w:sz w:val="24"/>
                <w:szCs w:val="24"/>
                <w:color w:val="auto"/>
                <w:vertAlign w:val="superscript"/>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43,957</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commercial products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240,853</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80"/>
        <w:spacing w:after="0" w:line="236" w:lineRule="auto"/>
        <w:rPr>
          <w:sz w:val="20"/>
          <w:szCs w:val="20"/>
          <w:color w:val="auto"/>
        </w:rPr>
      </w:pPr>
      <w:r>
        <w:rPr>
          <w:rFonts w:ascii="Times New Roman" w:cs="Times New Roman" w:eastAsia="Times New Roman" w:hAnsi="Times New Roman"/>
          <w:sz w:val="18"/>
          <w:szCs w:val="18"/>
          <w:color w:val="auto"/>
        </w:rPr>
        <w:t>In the U.S., the Company has established an integrated organization to commercialize the Company’s approved Endocrinology Rare Disease products,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YUVIWEL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Europe, the Company has established its presence by building integrated organizations in select countries (“Europe Direct”), where the Company has launched YORVIPATH and SKYTROFA.</w:t>
      </w:r>
    </w:p>
    <w:p>
      <w:pPr>
        <w:spacing w:after="0" w:line="19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Beyond the U.S. and Europe Direct, the Company is expanding global reach for our Endocrinology Rare Disease products through exclusive sales and distribution agreements with geographic market leaders (“International Markets”) and under Strategic Collaborations. As of March 31, 2026, we have agreements covering over 75 countries.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YORVIPATH, YUVIWEL and SKYTROFA are approved by the U.S. Food and Drug Administration (“FDA”) and YORVIPATH and SKYTROFA are authorized by the European Commission (“EC”) and other regulatory agencies. The Company began selling YUVIWEL in the U.S. in the second quarter of 2026. The Company began selling YORVIPATH in Europe in the first quarter of 2024 and in the U.S. in December 2024. The Company began selling SKYTROFA in the U.S. in the fourth quarter of 2021 and in Europe in the third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revenue is attributable to the Company’s Strategic Collaborations, and relates to Novo Nordisk A/S (“Novo Nordisk”), Eyconis, Inc. (“Eyconis”), Teijin Limited (“Teijin”) and VISEN Pharmaceuticals (“VISEN”).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earnings and share data used in the basic and diluted earnings per share calculations: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 except per share data)</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profit/(loss) attributable to ordinary equity holders of the parent for the purposes of basic</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629,339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(94,626)</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for the purposes of basic earnings per share</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61,681,886</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60,018,550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Dilution effects from warrants and RSUs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2,840,062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diluted earnings per share</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64,521,948</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60,018,550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8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321"/>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24"/>
                <w:szCs w:val="24"/>
                <w:b w:val="1"/>
                <w:bCs w:val="1"/>
                <w:color w:val="auto"/>
                <w:vertAlign w:val="superscript"/>
              </w:rPr>
              <w:t>(1)</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-502920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-485775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-648970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-502920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-485775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-648970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520" w:right="100" w:hanging="512"/>
        <w:spacing w:after="0" w:line="249" w:lineRule="auto"/>
        <w:tabs>
          <w:tab w:leader="none" w:pos="5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For the three months ended March 31, 2026 and 2025 outstanding warrants, restricted stock units and performance stock units can potentially dilute earnings per share. For the three months ended March 31, 2026, only a portion were dilutive, and for the three months ended March 31, 2025 none had a dilutive impact. Similarly, 575,000 convertible senior notes which can potentially be converted into 3,456,785 ordinary shares, can potentially dilute earnings per share in the future but have not been included in the calculation of diluted earnings per share because they are antidilutive for the periods presented. Refer to Note 8, “Share-based Payment” and Note 11, “Financial Assets and Liabilities,” for further information about the share-based incentive programs and convertible notes,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7—Segment Information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managed and operated as one business unit. Accordingly, no additional information on business segments or geographical areas is disclosed apart from revenue by geographical areas as disclosed in Note 5 “Revenue.” Revenue is specified on geographical areas according to the location of the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Payment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Costs</w:t>
      </w:r>
    </w:p>
    <w:p>
      <w:pPr>
        <w:spacing w:after="0" w:line="12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Share-based compensation costs are determined using the grant date fair value and are recognized over the vesting period as research and development expenses, selling, general and administrative expenses, or cost of sales. For the three months ended March 31, 2026 and 2025, share-based compensation costs recognized in the unaudited condensed consolidated interim statement of profit or loss were €30.4 million and €25.6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Program</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RSUs are granted by the Board to members of senior management, other employees and members of the Board (the “RSU-holders”), as stipulated in the program. In addition, RSUs may be granted to select consultants.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One RSU represents a right for the RSU-holder to receive one ADS or one ordinary share of Ascendis Pharma A/S upon vesting, if the vesting conditions are met. RSUs granted vest over three years with 1/3 of the RSUs vesting on each anniversary date from the date of grant, and require RSU-holders to be employed, appointed as a member of the Board, or retained as a consultant (the “service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 Program</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PSUs are granted by the Board to certain members of senior management (the “PSU-holders”), as stipulated in the program. In addition, PSUs may be granted to other employees, select consultants and members of the Board.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100"/>
        <w:spacing w:after="0" w:line="261" w:lineRule="auto"/>
        <w:rPr>
          <w:sz w:val="20"/>
          <w:szCs w:val="20"/>
          <w:color w:val="auto"/>
        </w:rPr>
      </w:pPr>
      <w:r>
        <w:rPr>
          <w:rFonts w:ascii="Times New Roman" w:cs="Times New Roman" w:eastAsia="Times New Roman" w:hAnsi="Times New Roman"/>
          <w:sz w:val="18"/>
          <w:szCs w:val="18"/>
          <w:color w:val="auto"/>
        </w:rPr>
        <w:t>One PSU represents a right for the PSU-holder to receive one ADS or one ordinary share of Ascendis Pharma A/S upon vesting. PSUs vest in a manner similar to the service conditions of the RSUs. In addition to service conditions, vesting is also contingent upon achievement of long-term strategic goals as evaluated by the Board no later than two weeks prior to each vesting date. Exceeding performance targets will not result in vesting of more than 100% of the PSUs granted, nor will it result in additional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of outstanding RSUs and PSUs: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3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1,179,828</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165,258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1,345,086</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541,771</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102,778</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644,549</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Settled during the period</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(63,779)</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(64,618)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Transferred during the period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(500,052)</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(85,820)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(585,872)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1,150,716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181,377</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1,332,093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Specified by vesting year</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588,187</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88,311</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676,498</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381,616</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58,799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440,415</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180,913</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34,267</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1,150,716</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181,377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1,332,093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-744855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and weighted average exercise prices of, and movements in, warrants: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vMerge w:val="restart"/>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(EUR)</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5,222,591</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103.24</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81,080</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191.46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(399,438)</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81.27</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(10,934)</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132.33</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4,893,299</w:t>
            </w:r>
          </w:p>
        </w:tc>
        <w:tc>
          <w:tcPr>
            <w:tcW w:w="22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at March 31, 2026</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4,110,399</w:t>
            </w:r>
          </w:p>
        </w:tc>
        <w:tc>
          <w:tcPr>
            <w:tcW w:w="22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prices of outstanding warrants under the Company’s warrant programs range from €11.98 to €206.61 depending on the grant 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9—Share Capital</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2026, the share capital of Ascendis Pharma A/S consists of 62,376,846 fully paid shares at a nominal value of DKK 1, all in the same share class, and which includes 265,251 ordinary shares represented by ADSs held by Ascendis Pharma A/S. For the three months ended March 31, 2026, the share capital was increased by 399,438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10—Treasury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the holding of treasury shares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Holding in</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5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60" w:type="dxa"/>
            <w:vAlign w:val="bottom"/>
            <w:tcBorders>
              <w:top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597,096</w:t>
            </w:r>
          </w:p>
        </w:tc>
        <w:tc>
          <w:tcPr>
            <w:tcW w:w="16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from third parties</w:t>
            </w: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254,027</w:t>
            </w:r>
          </w:p>
        </w:tc>
        <w:tc>
          <w:tcPr>
            <w:tcW w:w="16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06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(585,872)</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60" w:type="dxa"/>
            <w:vAlign w:val="bottom"/>
            <w:shd w:val="clear" w:color="auto" w:fill="CFF0FC"/>
          </w:tcPr>
          <w:p>
            <w:pPr>
              <w:spacing w:after="0"/>
              <w:rPr>
                <w:sz w:val="21"/>
                <w:szCs w:val="21"/>
                <w:color w:val="auto"/>
              </w:rPr>
            </w:pP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265,251</w:t>
            </w:r>
          </w:p>
        </w:tc>
        <w:tc>
          <w:tcPr>
            <w:tcW w:w="16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534"/>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11—Financial Assets and Liabilities</w:t>
            </w: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 and liabilities comprise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by category</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 (excluding indirect tax receivables)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receivables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789,777</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776,964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789,777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776,964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762,410</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766,094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789,777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776,964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gridSpan w:val="2"/>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by category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298,052</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290,871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90,657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(excluding indirect tax, and employee related payables)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989,577</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963,489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290,482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290,482</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256,231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1,280,059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1,219,720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893,953</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834,466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1,280,059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1,219,720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-4851400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-4834255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-4851400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-4834255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-4851400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-4834255</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-3034030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-2451100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March 2022, the Company issued an aggregate principal amount of $575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160"/>
        <w:spacing w:after="0" w:line="256" w:lineRule="auto"/>
        <w:rPr>
          <w:sz w:val="20"/>
          <w:szCs w:val="20"/>
          <w:color w:val="auto"/>
        </w:rPr>
      </w:pPr>
      <w:r>
        <w:rPr>
          <w:rFonts w:ascii="Times New Roman" w:cs="Times New Roman" w:eastAsia="Times New Roman" w:hAnsi="Times New Roman"/>
          <w:sz w:val="18"/>
          <w:szCs w:val="18"/>
          <w:color w:val="auto"/>
        </w:rPr>
        <w:t>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convertible notes are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2026, the carrying amount of the convertible notes was €448.2 million, and the fair value was €448.4 million. Fair value cannot be measured based on quoted prices in active markets or other observable inputs, and accordingly the fair value was, from and including December 31, 2025, measured by using the last reported sale price. Prior to December 2025, the fair value was measured by using an estimated market rate for an equivalent non-convertible instrument.</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May 6, 2026, the Company completed its previously announced optional redemption process in respect of all of the aggregate principal amount outstanding of its 2.25% convertible notes due 2028. Refer to Note 12, “Subsequent Events”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Funding Liabilities</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 carrying amount of the royalty funding liabilities was €298.1 million, and the fair value was €302.7 million. Fair value cannot be measured based on quoted prices in active markets or other observable inputs, and accordingly the fair value was measured by using an estimated market rate for an equivalent instrument.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YORVIPATH Agreement</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September 2024, the Company entered into a $150.0 million capped synthetic royalty funding agreement (the “Royalty Pharma Yorvipath Agreement”) with the Purchaser. The net proceeds were $148.2 million (€134.2 million) after deducting offering expenses.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SKYTROFA Agreement</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 $150.0 million capped synthetic royalty funding agreement (the “Royalty Pharma Skytrofa Agreement”) with the Purchaser. The net proceeds were $146.3 million (€136.3 million) after deducting offering expenses.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right="80"/>
        <w:spacing w:after="0" w:line="258" w:lineRule="auto"/>
        <w:rPr>
          <w:sz w:val="20"/>
          <w:szCs w:val="20"/>
          <w:color w:val="auto"/>
        </w:rPr>
      </w:pPr>
      <w:r>
        <w:rPr>
          <w:rFonts w:ascii="Times New Roman" w:cs="Times New Roman" w:eastAsia="Times New Roman" w:hAnsi="Times New Roman"/>
          <w:sz w:val="18"/>
          <w:szCs w:val="18"/>
          <w:color w:val="auto"/>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an expected dividend yield of zero; and (6) an expected volatility using the Company’s share price (48.6% and 48.9% as of March 31, 2026 and December 31,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description of fair values, refer to the following section “Fair Value Measurement.”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March 31, 2026, all other inputs and assumptions held constant, a 10% relative increase in volatility, will increase the fair value of derivative liabilities by €12.5 million and indicates a decrease in profit or loss and equity before tax. Similarly, a 10% relative decrease in volatility indicates the opposite impact.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Similarly, as of March 31, 2026, all other inputs and assumptions held constant, a 10% increase in the share price, will increase the fair value of derivative liabilities by €57.6 million and indicates a decrease in profit or loss and equity before tax. Similarly, a 10% decrease in the share price indicates the opposite impact.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the short-term maturity for cash and cash equivalents, receivables and trade payables, their fair value approximates carrying amount. Fair value of lease liabilities is not disclosed. Fair value compared to carrying amount of convertible notes, royalty funding liabilities and derivative liabilities, and their level in the fair value hierarchy is summarized in the following table, where:</w:t>
      </w:r>
    </w:p>
    <w:p>
      <w:pPr>
        <w:spacing w:after="0" w:line="64" w:lineRule="exact"/>
        <w:rPr>
          <w:sz w:val="20"/>
          <w:szCs w:val="20"/>
          <w:color w:val="auto"/>
        </w:rPr>
      </w:pPr>
    </w:p>
    <w:p>
      <w:pPr>
        <w:ind w:right="40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in active markets for identical assets or liabilities that the entity can access at the measurement date;</w:t>
      </w:r>
      <w:r>
        <w:rPr>
          <w:rFonts w:ascii="Times New Roman" w:cs="Times New Roman" w:eastAsia="Times New Roman" w:hAnsi="Times New Roman"/>
          <w:sz w:val="18"/>
          <w:szCs w:val="18"/>
          <w:b w:val="1"/>
          <w:bCs w:val="1"/>
          <w:color w:val="auto"/>
        </w:rPr>
        <w:t xml:space="preserve"> Level 2 </w:t>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color w:val="auto"/>
        </w:rPr>
        <w:t xml:space="preserve"> Level 3 </w:t>
      </w:r>
      <w:r>
        <w:rPr>
          <w:rFonts w:ascii="Times New Roman" w:cs="Times New Roman" w:eastAsia="Times New Roman" w:hAnsi="Times New Roman"/>
          <w:sz w:val="18"/>
          <w:szCs w:val="18"/>
          <w:color w:val="auto"/>
        </w:rPr>
        <w:t>inputs are unobservable inputs for the asset or liability.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right"/>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448,447</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429,391</w:t>
            </w:r>
          </w:p>
        </w:tc>
        <w:tc>
          <w:tcPr>
            <w:tcW w:w="12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426,429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298,052</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302,675</w:t>
            </w:r>
          </w:p>
        </w:tc>
        <w:tc>
          <w:tcPr>
            <w:tcW w:w="22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290,871</w:t>
            </w:r>
          </w:p>
        </w:tc>
        <w:tc>
          <w:tcPr>
            <w:tcW w:w="220" w:type="dxa"/>
            <w:vAlign w:val="bottom"/>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296,899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746,228</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751,122</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720,262</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723,328</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290,482</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290,482</w:t>
            </w:r>
          </w:p>
        </w:tc>
        <w:tc>
          <w:tcPr>
            <w:tcW w:w="22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256,231</w:t>
            </w:r>
          </w:p>
        </w:tc>
        <w:tc>
          <w:tcPr>
            <w:tcW w:w="220" w:type="dxa"/>
            <w:vAlign w:val="bottom"/>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256,231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290,482</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290,482</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256,231</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256,231</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specifies movements in Level 3 fair value measurements: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January 1</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256,231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recognized in finance (income) or expense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34,251</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290,482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174,581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F-15</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-2167890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-2167890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-2167890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-2167890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-1876425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-1876425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-1876425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-1876425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Analysis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maturity analysis (on an undiscounted basis) for non-derivative financial liabilities recognized in the unaudited condensed consolidated interim statements of financial position.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4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20" w:type="dxa"/>
            <w:vAlign w:val="bottom"/>
          </w:tcPr>
          <w:p>
            <w:pPr>
              <w:spacing w:after="0"/>
              <w:rPr>
                <w:sz w:val="15"/>
                <w:szCs w:val="15"/>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2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(excluding lease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833,037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124,530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1,013,430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170,250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915,310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214,807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1,300,367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989,577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-170815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“Borrowings (excluding lease liabilities)” comprise convertible notes and royalty funding liabilities. Expected maturity for royalty funding liabilities is based on anticipated amount and timing of future revenue from sale of commercial products. Further details regarding the payment structure of the royalty funding agreements are provided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of Ordinary Shares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20, 2026, the Company completed a mandatory exchange of all outstanding ADSs for ordinary shares resulting in the Company’s ordinary shares being listed on The Nasdaq Global Select Market.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direct listing and the exchange of ADSs for ordinary shares are not expected to have any impact on the Company’s consolidated financial statements other than presentational changes reflecting the elimination of the ADS structure and corresponding updates to the related disclosures regarding share-based payment arrangements and convertible notes. Accordingly, no amounts recognized in the consolidated financial statements have been adjusted following the direct listing of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$575 Million of Outstanding 2.25% Convertible Notes (Due April 2028)</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On May 6, 2026, the Company completed its previously announced optional redemption process in respect of all of the aggregate principal amount outstanding of its 2.25% convertible notes due 2028. Within the redemption period, all holders of the convertible notes surrendered their notes for conversion, where upon the Company delivered 3,635,813 ordinary shares, together with cash in lieu of fractional shares.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conversion resulted in the settlement of the current liabilities of convertible notes, comprising borrowings and derivative liabilities totaling €733.1 million as of March 31, 2026. The carrying amount as of the settlement date was reclassified to equity in the second quarter of 2026. The conversion had no impact on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Rare Pediatric Disease Priority Review Voucher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6, 2026, the Company entered into agreement to sell its Rare Pediatric Disease Priority Review Voucher (“PRV”) to an undisclosed buyer for $187.5 million. The PRV was awarded by the FDA upon approval of YUVIWEL in February 2026. The transaction is subject to customary closing conditions and is expected to close in the second quarter of 2026. The income from sale of the PRV, net of transaction costs is expected to be recognized in the second quarter of 2026.</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other events have occurred after the balance sheet date that would influence the evaluation of these unaudited condensed consolidated interim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2025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8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 availability of our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 and product candidates, if approved for commercial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products and product candidates and associated devices;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developing our product candidates or any other future product candidates, and the timing, conduct, and results of preclinical studies and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oncology as an independent therapeutic area of focus and our development of product candidates related to oncology;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Eyconis’s ability to develop, manufacture, and commercialize TransCon ophthalmology assets globally;</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if approved for commercial use;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collaborations and license agreements and our ability to enter into new collaborations and license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using our products and product candidates in combination with each other and other therapies;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technologies and submit Investigational New Drug Applications (“INDs”) or similar for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established data of clinically validated parent drugs or pathways to which we apply our TransCon technologies;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 and submit INDs or similar for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additional indications for our products;</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our products and product candidates and technologies, including global commercialization strategies;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product candidates;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apply our technology platform and algorithm for product innovation to develop highly differentiated product candidates to address unmet medical needs;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technology platform to develop new therapies that demonstrate best-in-class potential to address unmet medical needs;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application of TransCon technology platform to make a meaningful difference for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for Vision 2030;</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hire qualified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market conditions, competitors and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ongoing and potential litigation; and</w:t>
      </w:r>
    </w:p>
    <w:p>
      <w:pPr>
        <w:spacing w:after="0" w:line="117" w:lineRule="exact"/>
        <w:rPr>
          <w:rFonts w:ascii="Times New Roman" w:cs="Times New Roman" w:eastAsia="Times New Roman" w:hAnsi="Times New Roman"/>
          <w:sz w:val="18"/>
          <w:szCs w:val="18"/>
          <w:color w:val="auto"/>
        </w:rPr>
      </w:pPr>
    </w:p>
    <w:p>
      <w:pPr>
        <w:ind w:left="520" w:right="76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international economic, political, legal, compliance, social and business factors, including inflation, tariffs, geopolitical conflicts and energy shortages.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2025</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“Item 3.D.—Key Information—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(“SEC”) after the date of this report. We qualify all of our forward-looking statements by these cautionary statements.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TransCon-based therapies that demonstrate best-in-class potential to address unmet medical needs. Our portfolio of Endocrinology Rare Disease approved products and product candidates addresses hypoparathyroidism and growth disorders. To create additional value, we have established partnerships to develop and bring to market TransCon-based products in large therapeutic areas, including Metabolic and Cardiovascular diseases and Ophthalmology.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announced in January 2024, Vision 2030 is our vision to achieve blockbuster status for multiple products and expand our engine for future innovation, which include:</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Leading Endocrinology Rare Disease Company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Achieve &gt;€5B for TransCon PTH, TransCon hGH, and TransCon CNP through worldwide commercialization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2" w:name="page23"/>
    <w:bookmarkEnd w:id="22"/>
    <w:p>
      <w:pPr>
        <w:ind w:left="1540" w:right="440" w:hanging="514"/>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leader in growth disorders and hypoparathyroidism, pursuing clinical conditions, innovative life cycle management, and complementary patient offerings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pipeline with Endocrinology Rare Disease blockbuster product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Value in Additional Therapeutic Areas through Innovative Business Models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accelerated approval in oncology with registrational trials ongoing</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TransCon product opportunities in &gt;€5B indications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value creation of these product opportunities through collaboration with therapeutic area market leaders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with Ascendis Fundamentals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Outperform industry drug development benchmarks with Ascendis’ product innovation algorithm</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independent as a profitable biopharma through lean and flexible ways of working</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 our values Patients, Science, Passion drive our decisions to success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products and product candidates leverage clinically validated parent drugs or pathways, with the goal of optimizing safety, efficacy, tolerability, and convenience.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apply our TransCon technologies using our algorithm for product innovation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49240" cy="128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Ascendis Approach to Patient Centric Drug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172200" cy="2228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When the indication is identified we make use of patient centric drug design to optimally apply our TransCon technologies to address the unmet medical need.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Summaries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have three marketed products; YORVIPATH, YUVIWEL and SKYTROFA and a diversified portfolio consisting of four product candidates in clinical development in the areas of Endocrinology Rare Disease and Oncology. One of the four product candidates, TransCon CNP (navepegritide), is currently under review in the European Union for the treatment of children with achondroplasia. In the second quarter of 2026, we announced our decision to discontinue internal development of our Oncology product candidate and to instead pursue strategic alternatives intended to maximize its value. Additionally, we are working to apply our TransCon technology platform in additional therapeutic areas such as metabolic diseases, where we believe we have designed a potentially best-in-class, once-monthly glucagon-like peptide 1 (“GLP-1”) product.</w:t>
      </w:r>
    </w:p>
    <w:p>
      <w:pPr>
        <w:spacing w:after="0" w:line="79" w:lineRule="exact"/>
        <w:rPr>
          <w:sz w:val="20"/>
          <w:szCs w:val="20"/>
          <w:color w:val="auto"/>
        </w:rPr>
      </w:pPr>
    </w:p>
    <w:p>
      <w:pPr>
        <w:ind w:left="1020" w:right="4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YORVIPATH® (palopegteriparatide), was developed as TransCon PTH and was approved by the U.S. Food &amp; Drug Administration (“FDA”), and authorized by the European Commission (“EC”) and other regulatory agencies for the treatment of adults with hypoparathyroidism. In the European Union (“EU”), YORVIPATH is commercially available for prescription in our Europe Direct and International Markets, and is also available in other countries through named patient programs. In the United States, YORVIPATH has been commercially available for prescription since December 2024. In Japan, YORVIPATH has been commercially available for prescription since November 2025, through our partner Teijin Limited (“Teijin”). YORVIPATH has also been authorized by other regulatory authorities globally.</w:t>
      </w:r>
    </w:p>
    <w:p>
      <w:pPr>
        <w:spacing w:after="0" w:line="80"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YUVIWEL® (navepegritide) was developed as TransCon CNP and approved by the U.S. FDA as a once-weekly treatment indicated to increase linear growth in children 2 years of age and older with achondroplasia with open growth plates (epiphyses). In the United States, YUVIWEL has been commercially available for prescription since April 2026. We also plan to make YUVIWEL available in certain International Markets through named patient programs. In the EU, a Marketing Authorisation Application (“MAA”) is under review with a decision expected in the fourth quarter of 2026.</w:t>
      </w:r>
    </w:p>
    <w:p>
      <w:pPr>
        <w:spacing w:after="0" w:line="75"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SKYTROFA® (lonapegsomatropin-tcgd) was developed as TransCon hGH and approved by the FDA for the treatment of pediatric patients one year and older who weigh at least 11.5 kg and have growth failure due to inadequate secretion of endogenous growth hormone, also known as growth hormone deficiency (“GHD”) and for the replacement of endogenous growth hormone in adults with GHD. SKYTROFA has been commercially available for prescription in the United States since October 2021. In addition, the EC has authorized SKYTROFA (lonapegsomatropin) in the EU for the treatment of children and adolescents (3 – 18 years) with growth failure due to GHD. In the EU, SKYTROFA has been commercially available for prescription in Germany since September 2023. SKYTROFA has also been authorized by other regulatory authorities globally including in China through our strategic collaboration partner, VISEN Pharmaceuticals (“VISEN”) in January 2026.</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4" w:name="page25"/>
    <w:bookmarkEnd w:id="24"/>
    <w:p>
      <w:pPr>
        <w:ind w:left="1020" w:right="10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Endocrinology Rare Disease Pipeline </w:t>
      </w:r>
      <w:r>
        <w:rPr>
          <w:rFonts w:ascii="Times New Roman" w:cs="Times New Roman" w:eastAsia="Times New Roman" w:hAnsi="Times New Roman"/>
          <w:sz w:val="18"/>
          <w:szCs w:val="18"/>
          <w:color w:val="auto"/>
        </w:rPr>
        <w:t>– Three product candidates in our Endocrinology Rare Disease portfolio are currently in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indications and geographies. These product candidates are TransCon hGH (lonapegsomatropin) for children with Turner syndrome, TransCon PTH (palopegteriparatide) for adolescents with hypoparathyroidism, and TransCon CNP (navepegritide) for infants, children, and adolescents with achondroplasia. We are also investigating the combination of TransCon CNP and TransCon hGH in children with achondroplasia and other indications. In addition, we are investigating TransCon hGH in other established daily growth hormone indications and TransCon CNP, alone and in combination with TransCon hGH, for the treatment of children with hypochondroplasia, a related FGFR3-driven skeletal dysplasia. Through our strategic collaboration, Teijin is developing and, if approved, plans to commercialize TransCon hGH, and TransCon CNP for endocrinology rare diseases in Japan. In addition, VISEN is developing and, if approved, plans to commercialize TransCon PTH, and TransCon CNP for endocrinology rare diseases in the People’s Republic of China, Hong Kong, Macau, and Taiwan (“Greater China”).</w:t>
      </w:r>
    </w:p>
    <w:p>
      <w:pPr>
        <w:spacing w:after="0" w:line="77" w:lineRule="exact"/>
        <w:rPr>
          <w:rFonts w:ascii="Times New Roman" w:cs="Times New Roman" w:eastAsia="Times New Roman" w:hAnsi="Times New Roman"/>
          <w:sz w:val="18"/>
          <w:szCs w:val="18"/>
          <w:color w:val="auto"/>
        </w:rPr>
      </w:pPr>
    </w:p>
    <w:p>
      <w:pPr>
        <w:ind w:left="1020" w:right="6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Oncology Pipeline </w:t>
      </w:r>
      <w:r>
        <w:rPr>
          <w:rFonts w:ascii="Times New Roman" w:cs="Times New Roman" w:eastAsia="Times New Roman" w:hAnsi="Times New Roman"/>
          <w:sz w:val="18"/>
          <w:szCs w:val="18"/>
          <w:color w:val="auto"/>
        </w:rPr>
        <w:t>– In Oncology, we are leveraging our TransCon technologies with the goal of enhancing the anti-tumor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(onvapegleukin alfa) for systemic delivery, which is designed for prolonged exposure to an IL-2 variant that selectively activates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with minimal binding to IL-2Rα. During the fourth quarter of 2024, we closed enrollment in our BelieveIT-201 clinical trial and to dose expansion cohorts involving TransCon TLR7/8 Agonist in the transcendIT-101 and IL-Believe trials</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In the second quarter of 2026, we announced our decision to discontinue internal development of our oncology program and to instead pursue strategic alternatives intended to maximize the value of this asset.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Pipeline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TransCon CNP, or any of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172200" cy="34029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i w:val="1"/>
          <w:iCs w:val="1"/>
          <w:color w:val="auto"/>
        </w:rPr>
        <w:t>Note: The above chart lists our current clinical interventional trials related to the disclosed indication. Other ongoing clinical or observational studies not expected to directly support regulatory submissions are not disclosed.</w:t>
      </w:r>
    </w:p>
    <w:p>
      <w:pPr>
        <w:spacing w:after="0" w:line="6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ApproaCH Trial (NCT05598320). EMA decision expected in the fourth quarter of 2026.</w:t>
      </w:r>
    </w:p>
    <w:p>
      <w:pPr>
        <w:spacing w:after="0" w:line="119" w:lineRule="exact"/>
        <w:rPr>
          <w:rFonts w:ascii="Times New Roman" w:cs="Times New Roman" w:eastAsia="Times New Roman" w:hAnsi="Times New Roman"/>
          <w:sz w:val="18"/>
          <w:szCs w:val="18"/>
          <w:i w:val="1"/>
          <w:iCs w:val="1"/>
          <w:color w:val="auto"/>
        </w:rPr>
      </w:pPr>
    </w:p>
    <w:p>
      <w:pPr>
        <w:ind w:left="5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5" w:name="page26"/>
    <w:bookmarkEnd w:id="25"/>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AttaCH Trial (NCT05929807). Includes patients from ACcomplisH and ApproaCH.</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InsiGHTS Trial (NCT05690386).</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HighLiGHts Trial (NCT07221851).</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PaTHway60 Trial (NCT07081997).</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Adolescent Trial (NCT pending).</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reACHin Trial (NCT06079398).</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teACH Trial (NCT06732895).</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Hypochondroplasia Monotherapy Trial (NCT pending).</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COACH Trial (NCT06433557).</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Achondroplasia Phase 3 Combination Trial (NCT pending).</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Hypochondroplasia Combination Trial (NCT pending).</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Japanese riGHt Trial.</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China Trial (NCT05387070).</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ACcomplisH China Trial (NCT05246033).</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Japanese ApproaCH Trial.</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an intellectual property portfolio comprising over 465 granted patents and over 625 patent applications as of December 31, 2025,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or product candidates, TransCon hGH, TransCon PTH, TransCon CNP, and each of our other product candidates are new molecular entities and therefore eligible to be granted new intellectual property rights, including new composition of matter patents.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Commercialization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establishing a global presence to commercialize TransCon products, where approved, to address patients’ unmet medical needs.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U.S., we have established an integrated organization to commercialize our approved Endocrinology Rare Disease products, YORVIPATH, YUVIWEL and SKYTROFA. Our U.S. organization includes various departments, including sales, market access, patient support, and medical affairs teams. The sales team engages with healthcare providers to present products, usage, and safety guidelines in accordance with the label. Our market access team engages with health authorities, insurance companies, and payers to support patients in need of gaining access to our products. Our patient support team facilitates reimbursement support and out-of-pocket assistance and provides educational resources and product training. Our medical affairs team engages in scientific exchange with the physician and medical community. We have also established a network of specialty pharmacies to support product distribution.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Europe, we have established our presence by building integrated organizations to commercialize our approved Endocrinology Rare Disease products in select countries, which we call “Europe Direct.”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Beyond the U.S. and Europe Direct, we are expanding global reach for our Endocrinology Rare Disease products through exclusive sales and distribution agreements with geographic market leaders, which we call “International Markets.” As of March 31, 2026, we have agreements covering over 75 countries.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Finally, we are making our Endocrinology Rare Disease products commercially available in China and Japan under exclusive license agreements with partners with local development and commercialization expertise and infrastructure, which we call strategic collaborations. In Japan, Teijin has exclusive license rights to develop and commercialize TransCon hGH, TransCon PTH, and TransCon CNP. In Greater China, VISEN has exclusive license rights to develop and commercialize TransCon hGH, TransCon PTH, and TransCon CNP.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our products has not been subject to material seasonal changes.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ind w:right="80"/>
        <w:spacing w:after="0" w:line="255" w:lineRule="auto"/>
        <w:rPr>
          <w:sz w:val="20"/>
          <w:szCs w:val="20"/>
          <w:color w:val="auto"/>
        </w:rPr>
      </w:pPr>
      <w:r>
        <w:rPr>
          <w:rFonts w:ascii="Times New Roman" w:cs="Times New Roman" w:eastAsia="Times New Roman" w:hAnsi="Times New Roman"/>
          <w:sz w:val="18"/>
          <w:szCs w:val="18"/>
          <w:color w:val="auto"/>
        </w:rPr>
        <w:t>On April 2, 2025, an executive order was issued in the United States imposing “reciprocal tariffs” under the International Emergency Economic Powers Act (“IEEPA”), including a 10% baseline tariff and higher country-specific rates for certain trading partners. On February 20, 2026, the U.S. Supreme Court held that IEEPA does not authorize the U.S. president to impose tariffs, invalidating the IEEPA tariffs. The U.S. administration then imposed a temporary 10% import surcharge under Section 122 of the Trade Act of 1974 for up to 150 days unless extended by U.S. Congress, although pharmaceuticals and pharmaceutical ingredients were excluded, and on April 2, 2026 announced Section 232 tariff measures on certain patented pharmaceutical products and ingredients that are scheduled to take effect later in 2026. As the scope, applicability and duration of current and future tariff measures remain uncertain, we continue to monitor and assess the potential impact of existing and potential tariffs on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TransCon prodrugs can have up to three components: a parent drug, an inert TransCon carrier that protects it, and a TransCon linker that temporarily binds the two. When bound in prodrug form, the carrier inactivates the parent drug and shields it from receptor uptake, renal clearance, and enzymatic degradation. When injected into the body, physiologic pH and temperature conditions initiate sustained release of the active, unmodified parent drug at a predictable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19888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Technology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Carriers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0" w:lineRule="exact"/>
        <w:rPr>
          <w:sz w:val="20"/>
          <w:szCs w:val="20"/>
          <w:color w:val="auto"/>
        </w:rPr>
      </w:pPr>
    </w:p>
    <w:p>
      <w:pPr>
        <w:ind w:left="1020" w:right="14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Systemic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systemic carriers are used to provide systemic drug exposure and are based on soluble compounds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637540</wp:posOffset>
            </wp:positionV>
            <wp:extent cx="5349240" cy="2040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20" w:right="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localized carriers include TransCon hydrogels based on PEG, hyaluronic acid, or other biopolymers.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59690</wp:posOffset>
            </wp:positionV>
            <wp:extent cx="3994785" cy="14573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947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Linkers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Parent Drugs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w:t>
      </w:r>
    </w:p>
    <w:p>
      <w:pPr>
        <w:spacing w:after="0" w:line="19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This approach has enabled us to develop three approved products and generate a pipeline of product candidates designed to address significant unmet medical needs. Because our TransCon technologies leverage clinically validated parent drugs or pathways, we believe we may benefit from a higher development and regulatory success rate compared to development of drug compounds without established biology.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and Product Candidates - Endocrinology Rare Disease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Hypoparathyroidism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Hypoparathyroidism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Hypoparathyroidism is a rare endocrine disease caused by insufficient levels of parathyroid hormone (“PTH”). As reported in a 2016 paper by Clarke BL, et al. (J Clin Endocrinol Metab. 2016 Jun;101(6):2284-99),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by Hadker et al. (Endocrine Pr. 20(7), 671–679), 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by Brod et al. (Qual of Life Res. 2021 Jan; 30(1):277-291), in interviews conducted on 42 individuals with hypoparathyroidism, 98% reported reduced functioning and well-being, including anxiety (81%), feeling sad or depressed (62%), and feeling irritable or short-tempered (43%) despite management with conventional therapy.</w:t>
      </w:r>
    </w:p>
    <w:p>
      <w:pPr>
        <w:spacing w:after="0" w:line="19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According to a retrospective review (Chen K, et al. </w:t>
      </w:r>
      <w:r>
        <w:rPr>
          <w:rFonts w:ascii="Times New Roman" w:cs="Times New Roman" w:eastAsia="Times New Roman" w:hAnsi="Times New Roman"/>
          <w:sz w:val="18"/>
          <w:szCs w:val="18"/>
          <w:i w:val="1"/>
          <w:iCs w:val="1"/>
          <w:color w:val="auto"/>
        </w:rPr>
        <w:t>J Med Econ</w:t>
      </w:r>
      <w:r>
        <w:rPr>
          <w:rFonts w:ascii="Times New Roman" w:cs="Times New Roman" w:eastAsia="Times New Roman" w:hAnsi="Times New Roman"/>
          <w:sz w:val="18"/>
          <w:szCs w:val="18"/>
          <w:color w:val="auto"/>
        </w:rPr>
        <w:t>. Nov 2019;22(11):1141-1152),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ind w:right="120"/>
        <w:spacing w:after="0" w:line="255" w:lineRule="auto"/>
        <w:rPr>
          <w:sz w:val="20"/>
          <w:szCs w:val="20"/>
          <w:color w:val="auto"/>
        </w:rPr>
      </w:pPr>
      <w:r>
        <w:rPr>
          <w:rFonts w:ascii="Times New Roman" w:cs="Times New Roman" w:eastAsia="Times New Roman" w:hAnsi="Times New Roman"/>
          <w:sz w:val="18"/>
          <w:szCs w:val="18"/>
          <w:color w:val="auto"/>
        </w:rPr>
        <w:t>The 2022 Guidelines from the Second International Workshop addressing the prevention, diagnosis, and management of hypoparathyroidism were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companies and groups are developing therapies for hypoparathyroidism at the clinical stage, including Calcilytix (a BridgeBio company), Entera Bio/Opko Health, Extend Biosciences, AstraZeneca, MBX Biosciences, and Septerna.</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estimate hypoparathyroidism affects more than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more than 100,000 patients in the rest of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 for the Treatment of Hypoparathyroidism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2025, Teijin announced that YORVIPATH is commercially available for prescription.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2024, the FDA approved YORVIPATH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we announced commercial availability of YORVIPATH in Germany and Austria, and we began shipping to customers in February 2024.</w:t>
      </w:r>
    </w:p>
    <w:p>
      <w:pPr>
        <w:spacing w:after="0" w:line="23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November 2023, TransCon PTH received regulatory approval in the EU and European Economic Area and is marketed as YORVIPATH (palopegteriparatide), a parathyroid hormone replacement therapy indicated for the treatment of adults with chronic hypoparathyroidism. In addition, YORVIPATH was granted Orphan status in the EU in November 2023 and provides ten years of market exclusivity.</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July 2021, the Ministry of Health, Labour and Welfare in Japan granted Orphan Drug Designation (“ODD”) to TransCon PTH for the treatment of hypoparathyroidism.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PTH for Treatment of Hypoparathyroidism in Adults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TransCon PTH was evaluated for the treatment of hypoparathyroidism in adults in the Phase 3 PaTHway Trial, Phase 3 PaTHway Japan Trial (open label extension ongoing), and the Phase 2 PaTH Forward Trial.</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PaTHway Trial completed with 73 of 82 patients originally enrolled and dosed completing the 3.5-year trial. Nine patients withdrew from the trial for reasons unrelated to safety.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00"/>
        <w:spacing w:after="0" w:line="282" w:lineRule="auto"/>
        <w:rPr>
          <w:sz w:val="20"/>
          <w:szCs w:val="20"/>
          <w:color w:val="auto"/>
        </w:rPr>
      </w:pPr>
      <w:r>
        <w:rPr>
          <w:rFonts w:ascii="Times New Roman" w:cs="Times New Roman" w:eastAsia="Times New Roman" w:hAnsi="Times New Roman"/>
          <w:sz w:val="18"/>
          <w:szCs w:val="18"/>
          <w:color w:val="auto"/>
        </w:rPr>
        <w:t>The PaTH Forward Trial recently completed with 56 patients out of 59 patients originally enrolled and dosed completing the five-year trial. Three patients withdrew from the trial for reasons unrelated to safety or efficacy of the study drug.</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November 2025, we presented a new pooled analysis showing sustained and clinically meaningful improvements in renal function in adults with hypoparathyroidism treated with TransCon PTH (palopegteriparatide) through Year 3 of our Phase 2 PaTH Forward and Phase 3 PaTHway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49240" cy="2194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The trials included a combined 141 adults with hypoparathyroidism, 139 of whom (mean age 49 years) are represented in the pooled analysis. The PaTH Forward and PaTHway trials comprised randomized, double-blind, placebo-controlled periods through Weeks 4 and 26 and open-label extension periods through Weeks 266 and 182, respectively. An eGFR ≥30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was required for trial eligibility. The three-year data were analyzed post-hoc and included evaluation of the long-term impact of TransCon PTH on renal function as assessed by eGFR. Mean (SD) baseline eGFR in the trials was 69 (17)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The pooled analysis included 41 patients with baseline eGFR &lt;60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98 patients with baseline ≥60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Safety assessments included 24-hour urine calcium excretion and treatment-emergent adverse events (TEAEs).</w:t>
      </w:r>
    </w:p>
    <w:p>
      <w:pPr>
        <w:spacing w:after="0" w:line="1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At Year 3, ≥91% of patients receiving palopegteriparatide in both trials were independent from conventional therapy (defined as taking no active vitamin D and ≤600 mg/day of calcium) and ≥84% patients had normocalcemia (8.3-10.6 mg/dL). Sustained and clinically meaningful improvements in eGFR (≥5 mL/ min / 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were observed in 70.3%, with numerically greater improvements observed in those with lower baseline eGFR. The greatest increases in eGFR were observed in the first 6 months of treatment with TransCon PTH, with a continued upward trend thereafter. Mean (SD) eGFR increased from baseline to Year 3 by 9.8 (10.9)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PaTH Forward and by 8.8 (11.9)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PaTHway.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July 2025, we announced new data from Week 156 of our Phase 3 PaTHway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156, 64 patients (88%) had normal albumin-adjusted serum calcium levels and 70 patients (96%) were independent from conventional therapy (defined as taking ≤ 600 mg/day of calcium and not taking active vitamin D). Reflecting clinically meaningful improvements in kidney function, improvements in eGFR from baseline were sustained through Week 156: mean eGFR increased by 8.76 mL/min/1.73 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across all participants and by 13.98 mL/min/1.73 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in participants with baseline eGFR</w:t>
      </w:r>
    </w:p>
    <w:p>
      <w:pPr>
        <w:spacing w:after="0" w:line="5" w:lineRule="exact"/>
        <w:rPr>
          <w:sz w:val="20"/>
          <w:szCs w:val="20"/>
          <w:color w:val="auto"/>
        </w:rPr>
      </w:pPr>
    </w:p>
    <w:p>
      <w:pPr>
        <w:ind w:right="40" w:firstLine="8"/>
        <w:spacing w:after="0" w:line="254" w:lineRule="auto"/>
        <w:tabs>
          <w:tab w:leader="none" w:pos="1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Patients in the trial reported continued improvements from baseline in their hypoparathyroidism-related symptoms and health-related QOL and showed continued normalization of 24-hour urine calcium excretion through Week 156. In the trial, TransCon PTH treatment was generally well-tolerated, with no new safety signals identified. TEAEs were mostly mild or moderate and no serious TEAEs or discontinuations were related to study drug.</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40"/>
        <w:spacing w:after="0" w:line="245" w:lineRule="auto"/>
        <w:rPr>
          <w:sz w:val="20"/>
          <w:szCs w:val="20"/>
          <w:color w:val="auto"/>
        </w:rPr>
      </w:pPr>
      <w:r>
        <w:rPr>
          <w:rFonts w:ascii="Times New Roman" w:cs="Times New Roman" w:eastAsia="Times New Roman" w:hAnsi="Times New Roman"/>
          <w:sz w:val="18"/>
          <w:szCs w:val="18"/>
          <w:color w:val="auto"/>
        </w:rPr>
        <w:t>In May 2025, we announced four-year (Week 214) results from our Phase 2 PaTH Forward Trial showing that long-term treatment with TransCon PTH (palopegteriparatide) continued to provide a durable response in adults with hypoparathyroidism. At Week 214, nearly all patients (98%) continued to have normal albumin-adjusted serum calcium levels and 93% remained independent from conventional therapy (defined as taking ≤ 600 mg/day of calcium and not taking active vitamin D). Bone turnover markers CTx and P1NP increased from the low end of normal at baseline, peaked by Week 26, then declined and remained stable above baseline levels through Week 214. The data also showed continued improvement in skeletal dynamics, with bone mineral density remaining within age- and sex-matched norms. In addition, at Week 214, most participants (67.8%) had a clinically meaningful (≥ 5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increase in eGFR from baseline, with changes in eGFR evident at Week 4. In the trial, TransCon PTH treatment was generally well-tolerated, with no new safety signals identified. TEAEs were mostly mild or moderate and no serious TEAEs or discontinuations were related to study drug.</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2024, we announced results from the Phase 2 PaTH Forward Trial of adults with hypoparathyroidism showing that long-term treatment with TransCon PTH (palopegteriparatide; marketed as YORVIPATH) through Week 162 drove bone remodeling into the normal range. Deficiency of PTH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w:t>
      </w:r>
    </w:p>
    <w:p>
      <w:pPr>
        <w:spacing w:after="0" w:line="183"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 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(p&lt;0.0001) from baseline at Week 52, sustained at Week 104 with a mean change from baseline of 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(p&lt;0.0001). Treatment was generally well-tolerated, with no new safety signals.</w:t>
      </w:r>
    </w:p>
    <w:p>
      <w:pPr>
        <w:spacing w:after="0" w:line="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The open-label extension (“OLE”) of this trial has been extended, and all patients have transitioned into the Investigational Medical Product supply period designed to ensure continuous treatment through the launch of YORVIPATH in Japan. In November 2025, Teijin announced that YORVIPATH is commercially available for prescription.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Disorders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Recombinant Human Growth Hormone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GHD is a serious rare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20"/>
        <w:spacing w:after="0" w:line="266" w:lineRule="auto"/>
        <w:rPr>
          <w:sz w:val="20"/>
          <w:szCs w:val="20"/>
          <w:color w:val="auto"/>
        </w:rPr>
      </w:pPr>
      <w:r>
        <w:rPr>
          <w:rFonts w:ascii="Times New Roman" w:cs="Times New Roman" w:eastAsia="Times New Roman" w:hAnsi="Times New Roman"/>
          <w:sz w:val="18"/>
          <w:szCs w:val="18"/>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w:t>
      </w:r>
    </w:p>
    <w:p>
      <w:pPr>
        <w:spacing w:after="0" w:line="17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Despite the demonstrated benefits of daily hGH therapy, many GHD patients are not adequately treated, and adherence continues to be a challenge, as reported in a 2021 paper published by Kaplowitz et al. (</w:t>
      </w:r>
      <w:r>
        <w:rPr>
          <w:rFonts w:ascii="Times New Roman" w:cs="Times New Roman" w:eastAsia="Times New Roman" w:hAnsi="Times New Roman"/>
          <w:sz w:val="17"/>
          <w:szCs w:val="17"/>
          <w:i w:val="1"/>
          <w:iCs w:val="1"/>
          <w:color w:val="auto"/>
        </w:rPr>
        <w:t>J Manag Care Spec Pharm.</w:t>
      </w:r>
      <w:r>
        <w:rPr>
          <w:rFonts w:ascii="Times New Roman" w:cs="Times New Roman" w:eastAsia="Times New Roman" w:hAnsi="Times New Roman"/>
          <w:sz w:val="17"/>
          <w:szCs w:val="17"/>
          <w:color w:val="auto"/>
        </w:rPr>
        <w:t xml:space="preserve"> 2021; 27(8):1118-1128). The observational retrospective cohort analysis utilized administrative claims data from two databases on more than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adult patients with GHD, underdiagnosis and undertreatment are also a concern. Untreated adult GHD patients can experience reduced quality of life and increased risk of morbidity and mortality. In a retrospective observational study by Hoffman et al. (</w:t>
      </w:r>
      <w:r>
        <w:rPr>
          <w:rFonts w:ascii="Times New Roman" w:cs="Times New Roman" w:eastAsia="Times New Roman" w:hAnsi="Times New Roman"/>
          <w:sz w:val="18"/>
          <w:szCs w:val="18"/>
          <w:i w:val="1"/>
          <w:iCs w:val="1"/>
          <w:color w:val="auto"/>
        </w:rPr>
        <w:t>Advances in Therapy, 2025;</w:t>
      </w:r>
      <w:r>
        <w:rPr>
          <w:rFonts w:ascii="Times New Roman" w:cs="Times New Roman" w:eastAsia="Times New Roman" w:hAnsi="Times New Roman"/>
          <w:sz w:val="18"/>
          <w:szCs w:val="18"/>
          <w:color w:val="auto"/>
        </w:rPr>
        <w:t xml:space="preserve"> 42(6):2853–2873) which analyzed electronic health records in the U.S. to identify patients with a high likelihood of adult GHD, 54,310 patients were identified as at risk for adult GHD, of which, only 3.1% were treated with growth hormone.</w:t>
      </w:r>
    </w:p>
    <w:p>
      <w:pPr>
        <w:spacing w:after="0" w:line="18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(Novo Nordisk A/S), Humatrope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(Eli Lilly and Company), Genotropin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(Pfizer Inc.), Zomacton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(Ferring Pharmaceuticals, Inc.) and Omnitrope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w:t>
      </w:r>
    </w:p>
    <w:p>
      <w:pPr>
        <w:spacing w:after="0" w:line="19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w:t>
      </w:r>
    </w:p>
    <w:p>
      <w:pPr>
        <w:spacing w:after="0" w:line="68" w:lineRule="exact"/>
        <w:rPr>
          <w:sz w:val="20"/>
          <w:szCs w:val="20"/>
          <w:color w:val="auto"/>
        </w:rPr>
      </w:pPr>
    </w:p>
    <w:p>
      <w:pPr>
        <w:ind w:left="1020" w:right="6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Unmodified somatropin</w:t>
      </w:r>
      <w:r>
        <w:rPr>
          <w:rFonts w:ascii="Times New Roman" w:cs="Times New Roman" w:eastAsia="Times New Roman" w:hAnsi="Times New Roman"/>
          <w:sz w:val="18"/>
          <w:szCs w:val="18"/>
          <w:color w:val="auto"/>
        </w:rPr>
        <w:t>: Two long-acting growth hormone products using encapsulation technologies previously received regulatory approval in the U.S. and Europe, but were subsequently discontinued due to commercial challenges. These include Nutropin Depot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spacing w:after="0" w:line="8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Permanent modification of growth hormone</w:t>
      </w:r>
      <w:r>
        <w:rPr>
          <w:rFonts w:ascii="Times New Roman" w:cs="Times New Roman" w:eastAsia="Times New Roman" w:hAnsi="Times New Roman"/>
          <w:sz w:val="18"/>
          <w:szCs w:val="18"/>
          <w:color w:val="auto"/>
        </w:rPr>
        <w:t>: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2026, Novo Nordisk also received regulatory approval in the U.S for once-weekly somapacitan (SOGROYA®) in three new pediatric indications; idiopathic short stature (ISS), growth failure associated with Noonan syndrome and short stature born Small for Gestational Age with no catch-up growth by 2 years of age.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Pfizer (in collaboration with OPKO Health Inc.) received regulatory approval of once-weekly somatrogon (NGENLA™) in various countries and regions including the U.S., Japan, and EU for pediatric GHD.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 permanently PEGylated long-acting growth hormone developed by GeneScience Pharmaceuticals Co., Ltd. (Jintrolong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JCR Pharmaceuticals Co., Ltd., Kexing Biopharm, Qianhon Biopharma (Zonhon) and Evive Biotech (Yifan).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TransCon hGH (lonapegsomatropin) is a prodrug composed of somatropin that is transiently bound to a TransCon carrier by a proprietary TransCon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Pediatric and Adult GHD</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TransCon hGH, marketed under the brand name SKYTROFA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2025, we announced that the FDA had approved SKYTROFA (lonapegsomatropin-tcgd; developed as TransCon hGH) for the replacement of endogenous growth hormone in adults with growth hormone deficiency (GHD), a rare disorder resulting from decreased or total loss of growth hormone production. Further, on October 22, 2025, we announced commercial availability of SKYTROFA (TransCon hGH) in broader dosing ranges in the United States for the replacement of endogenous growth hormone in adults with growth hormone deficiency.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 of TransCon hGH in Japanese Pediatric GHD</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ongoing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Auto-Injector</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8" w:right="3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637540</wp:posOffset>
            </wp:positionV>
            <wp:extent cx="1765935" cy="2957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Our state-of-the-art auto-injector is designed to address important patient needs.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Other Indications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2026, we announced Week 52 top-line results from New InsiGHTS. At Week 52, children treated with TransCon hGH demonstrated an LS mean AHV of 9.05 cm/year, similar to 9.04 cm/year for children treated with daily somatropin, independent of starting dose. The mean dose at Week 52 was 0.22 mg/kg/week for TransCon hGH and 0.29 mg/kg/week for daily somatropin. TransCon hGH demonstrated a safety and tolerability profile similar to daily somatropin through follow-up of up to 143 weeks, with adverse events that were mild to moderate in severity and no adverse events leading to discontinuation of study drug. Additionally, there were no occurrences of slipped capital femoral epiphysis. TransCon hGH was generally safe and well tolerated, with four discontinuations from the trial for reasons unrelated to safety or efficacy of the study drug. As of March 31, 2026, 45 out of the 49 children are ongoing in the trial.</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w:t>
      </w:r>
    </w:p>
    <w:p>
      <w:pPr>
        <w:spacing w:after="0" w:line="18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we submitted the protocol for a basket trial evaluating additional growth disorder indications (planned for small for gestational age without catch-up growth; idiopathic short stature; SHOX deficiency (including Turner syndrome). In addition, we are investigating potential combinations of TransCon hGH and TransCon CNP. For more information see the section entitled “Combination Therapy (TransCon CNP + TransCon hGH).”</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Achondroplasia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Achondroplasia</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Achondroplasia is a rare genetic condition arising from a systemic fibroblast growth factor receptor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more than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Achondroplasia is caused by gain-of-function variants of the FGFR3 gene resulting in constitutive activation of FGFR3 that leads to an imbalance between the effects of the FGFR3 and C-type natriuretic peptide (“CNP”) signaling . In achondroplasia, FGFR3 is constitutively activated, suppressing the differentiation of chondrocytes in the growth plate leading to poor endochondral bone growth and causing dysfunction in the skeletal muscle. Preclinical and clinical data show that therapeutic continuous CNP exposure helps to counteract the constitutively activated FGFR3 downstream.</w:t>
      </w:r>
    </w:p>
    <w:p>
      <w:pPr>
        <w:spacing w:after="0" w:line="187"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8"/>
          <w:szCs w:val="18"/>
          <w:color w:val="auto"/>
        </w:rPr>
        <w:t>In November 2021, BioMarin Pharmaceutical Inc.’s (“BioMarin”) daily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(vosoritide) was approved by the FDA to increase linear growth in pediatric patients with achondroplasia with open epiphyses. Additionally, BioMarin is developing a long-acting CNP product candidate.</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BioMarin has initiated certain legal proceedings aimed at delaying or preventing patient access to TransCon CNP. We believe BioMarin’s claims lack merit and that these actions threaten potential harm to patients by limiting or preventing access to a treatment option that has the potential to address multiple unmet clinical needs.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legal proceedings include a case filed by BioMarin before the Unified Patent Court (“UPC”) in Munich related to alleged infringement against EP3175863 (the “‘863 patent”), along with a complaint filed with the U.S. International Trade Commission (“ITC”) related to alleged infringement of U.S. Reissue Patent No. 48,267. Trial in the ITC took place this April 2026. In response to the ITC action, we initiated legal action before the District Court in the U.S. Northern District of California. The District Court litigation has been stayed in view of the pending ITC proceedings.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European case, we took the view that we did not infringe the ‘863 patent and that the patent was, in any event, invalid. Following opposition proceedings against the ‘863 patent that were initiated before the European Patent Office (“EPO”) in September 2022, the EPO Technical Boards of Appeal revoked the ‘863 patent in its entirety on October 16, 2025. As a consequence of the revocation, the UPC dismissed the infringement case on December 29, 2025, which included an agreement for BioMarin to reimburse Ascendis for certain legal expenses related to the case. In addition, we have instituted proceedings before the Danish Maritime and Commercial High Court, claiming entitlement to European patent applications EP21211450.8, EP25151367.7 and EP25175852.0, all of which are divisional applications of the revoked ‘863 patent. The EPO has granted a stay of proceedings with respect to these divisional applications. BioMarin is challenging such stay at the German Courts in Munich.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submitted a response to the FDA in September 2025 and in February 2026, the FDA denied the Citizen Petition.</w:t>
      </w:r>
    </w:p>
    <w:p>
      <w:pPr>
        <w:spacing w:after="0" w:line="17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Also, on October 21, 2025, we filed a petition before the Korean Intellectual Property Trial and Appeal Board (“IPTAB”) for the invalidation of BioMarin’s Korean patent KR2033680.</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on March 11, 2026, we filed two lawsuits in Brazil relating to BioMarin’s Brazilian patent, BR 12 2019 026832 0. One suit was filed in the Federal Court Rio de Janeiro, requesting revocation of the patent and the other suit filed at the State Court São Paulo, requesting the court for a declaratory judgement of non-infringement of our YUVIWEL product.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Changing the Treatment Paradigm of Achondroplasia</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637540</wp:posOffset>
            </wp:positionV>
            <wp:extent cx="5349240" cy="18942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ACH-AE: Increased incidence of Achondroplasia-related Adverse Events.</w:t>
      </w:r>
    </w:p>
    <w:p>
      <w:pPr>
        <w:spacing w:after="0" w:line="11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HRQoL: Reduced Health-Related QOL; Height; Reduced height. Muscle Strength/Stamina; Reduced muscular functionality, including reduced strength and stamina.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2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TransCon CNP (navepegritide) is a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and release unmodified CNP (89-126), which is small enough in size to allow effective penetration into growth plates. Shorter-acting CNP and CNP analogs in development have resulted in high maximum serum concentration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levels that may cause adverse hypotensive events. We believe the therapeutically sustained release of TransCon CNP offers advantages that may mitigate this issue, leading to continuous CNP exposure while avoiding a high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to correlate with better therapeutic outcomes.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 for the Treatment of Achondroplasia</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February 2026, we received accelerated approval of YUVIWEL (navepegritide; developed as TransCon CNP) for the treatment of pediatric patients 2 years of age and older with achondroplasia with open epiphyses. Additionally in March 2026, the FDA granted Orphan Drug exclusivity to YUVIWEL, providing seven years of market exclusivity for YUVIWEL in the United States for the treatment of pediatric patients 2 years of age and older with achondroplasia with open epiphyses.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submitted a Marketing Authorisation Application (“MAA”) to the European Medicines Agency (“EMA”) for the treatment of children with achondroplasia on October 8,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February 2019, we were granted ODD by the FDA for TransCon CNP for the treatment of achondroplasia. In July 2020, we received ODD from the EC for TransCon CNP for the treatment of achondroplasia.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CNP for Achondroplasia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pivotal ApproaCH Trial, our Phase 2 ACcomplisH Trial, and our long-term extension trial AttaCH,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2026, we announced expanded data building on findings presented at PES 2026, recently presented showing that children with achondroplasia ≥5 years of age at baseline treated with once-weekly TransCon CNP (navepegritide) in its pivotal ApproaCH Trial demonstrated statistically significant improvements in growth compared to placebo after 52 weeks and sustained these improvements through two years of treatment. Through two years of treatment, TransCon CNP was generally well-tolerated across age groups, with an adverse event profile consistent with placebo. Most adverse events were mild or moderate, with none leading to treatment discontinuation or withdrawal. There were no occurrences of symptomatic hypotension, no acceleration of bone age, and the ISR rate was low (all mild) at 0.35 per person-year of exposure, approximately one ISR for every three years of treatment.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2026, we announced new two-year data from the pivotal ApproaCH Trial, which were shared in an oral presentation during the Annual Clinical Genetics Meeting of the American College of Medical Genetics and Genomics ("ACMG"). The data showed that children with achondroplasia treated with once-weekly TransCon CNP maintained consistent improvements in growth through Week 104, with further improvement in body proportionality during the second year of treatment. TransCon CNP was generally well-tolerated, with most adverse events in TransCon CNP-treated children mild or moderate in severity and none leading to treatment discontinuation or withdrawal from the trial. There were no occurrences of symptomatic hypotension, and the overall rate of injection-site reactions, all of which were mild was 0.35 per person-year of exposure. Retention in the pivotal ApproaCH Trial was strong, with 80 of 84 children enrolled completing the trial, and all 80 children enrolled into the long-term, open-label AttaCH extension trial.</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2025, we announced that Week 52 results from the pivotal ApproaCH trial were published in </w:t>
      </w:r>
      <w:r>
        <w:rPr>
          <w:rFonts w:ascii="Times New Roman" w:cs="Times New Roman" w:eastAsia="Times New Roman" w:hAnsi="Times New Roman"/>
          <w:sz w:val="18"/>
          <w:szCs w:val="18"/>
          <w:i w:val="1"/>
          <w:iCs w:val="1"/>
          <w:color w:val="auto"/>
        </w:rPr>
        <w:t>JAMA Pediatrics</w:t>
      </w:r>
      <w:r>
        <w:rPr>
          <w:rFonts w:ascii="Times New Roman" w:cs="Times New Roman" w:eastAsia="Times New Roman" w:hAnsi="Times New Roman"/>
          <w:sz w:val="18"/>
          <w:szCs w:val="18"/>
          <w:color w:val="auto"/>
        </w:rPr>
        <w:t xml:space="preserve"> titled “Once-Weekly Navepegritide in Children with Achondroplasia: The ApproaCH Randomized Clinical Trial.” The authors reported that treatment with TransCon CNP led to significantly higher annualized growth velocity (AGV) at Week 52 compared to placebo (primary endpoint), as well as improved lower limb alignment and body proportionality and positive changes in health-related QOL, with a safety and tolerability profile similar to placebo. The publication is available at Savarirayan R, et al. </w:t>
      </w:r>
      <w:r>
        <w:rPr>
          <w:rFonts w:ascii="Times New Roman" w:cs="Times New Roman" w:eastAsia="Times New Roman" w:hAnsi="Times New Roman"/>
          <w:sz w:val="18"/>
          <w:szCs w:val="18"/>
          <w:i w:val="1"/>
          <w:iCs w:val="1"/>
          <w:color w:val="auto"/>
        </w:rPr>
        <w:t>JAMA Pediatr</w:t>
      </w:r>
      <w:r>
        <w:rPr>
          <w:rFonts w:ascii="Times New Roman" w:cs="Times New Roman" w:eastAsia="Times New Roman" w:hAnsi="Times New Roman"/>
          <w:sz w:val="18"/>
          <w:szCs w:val="18"/>
          <w:color w:val="auto"/>
        </w:rPr>
        <w:t>. 2026;180(1):18-25. doi:10.1001/jamapediatrics.2025.4771.</w:t>
      </w:r>
    </w:p>
    <w:p>
      <w:pPr>
        <w:spacing w:after="0" w:line="1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September 2025, we announced new analyses from the pivotal ApproaCH Trial were presented at the American Society for Bone and Mineral Research (ASBMR) Annual Meeting. The new analyses showed that children treated with TransCon CNP had improvements in the Physical Functioning domain of the Achondroplasia Child Experience Measure (ACEM-PF), with greatest benefits in younger children who had more severe genu varum (≥5°) at baseline, supporting benefits beyond linear growth. Further analyses showed correlations between improvements in physical functioning and improvements in lower limb alignment in these children, supporting the potential for TransCon CNP to provide benefits beyond linear growth.</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May 2025, we announced data demonstrating improvements in growth and bone morphometry from Week 52 of our pivotal ApproaCH Trial of TransCon CNP (navepegritide) in children with achondroplasia. TransCon CNP demonstrated superiority over placebo in annualized growth velocity (AGV), with a safety and tolerability profile comparable to placebo that included a low rate of injection site reactions, no treatment-related serious adverse events (SAEs), no cases of symptomatic hypotension, no fractures, and no acceleration of bone age versus chronological age. Analyses also showed that TransCon CNP improved aspects of bone morphometry at Week 52. This included improvement in lower limb alignment and proportional growth, as well as increases in spinal canal dimensions, versus placebo.</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January 2025, we announced data demonstrating improvements in leg bowing, a common complication in achondroplasia, observed with TransCon CNP compared to worsening observed with placebo in the pivotal ApproaCH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49240" cy="1808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Highlights of the ApproaCH Trial Top-line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Endpoint</w:t>
      </w:r>
    </w:p>
    <w:p>
      <w:pPr>
        <w:spacing w:after="0" w:line="117" w:lineRule="exact"/>
        <w:rPr>
          <w:sz w:val="20"/>
          <w:szCs w:val="20"/>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primary endpoint of AGV at Week 52, children treated with TransCon CNP (n=57) demonstrated an LS mean AGV of 5.89 cm/year compared to 4.41 cm/year in the placebo arm (n=27), an LS mean difference of 1.49 cm/year (p&lt;0.0001).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Sub-group analyses:</w:t>
      </w:r>
    </w:p>
    <w:p>
      <w:pPr>
        <w:spacing w:after="0" w:line="117" w:lineRule="exact"/>
        <w:rPr>
          <w:rFonts w:ascii="Times New Roman" w:cs="Times New Roman" w:eastAsia="Times New Roman" w:hAnsi="Times New Roman"/>
          <w:sz w:val="18"/>
          <w:szCs w:val="18"/>
          <w:color w:val="auto"/>
        </w:rPr>
      </w:pPr>
    </w:p>
    <w:p>
      <w:pPr>
        <w:ind w:left="1540" w:right="7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oChildren aged 2 to &lt;5 years treated with TransCon CNP (n=21) demonstrated an LS mean AGV at Week 52 of 6.07 cm/year compared to 5.06 cm/year in the placebo arm (n=10), an LS mean difference of 1.02 cm/year (p=0.0084).</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oChildren aged 5-11 years treated with TransCon CNP (n=36) demonstrated an LS mean AGV at Week 52 of 5.79 cm/year compared to 4.02 cm/year in the placebo arm (n=17), an LS mean difference of 1.78 cm/year (p&lt;0.0001).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AGV Change from Baseline</w:t>
      </w:r>
    </w:p>
    <w:p>
      <w:pPr>
        <w:spacing w:after="0" w:line="117" w:lineRule="exact"/>
        <w:rPr>
          <w:sz w:val="20"/>
          <w:szCs w:val="20"/>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aged 2 to &lt;5 years, treated with TransCon CNP (n=19) demonstrated a change from baseline AGV at Week 52 of 1.57 cm/year compared to 0.43 cm/year in the placebo arm (n=10), an LS mean difference of 1.15 cm/year (p=0.0047).</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aged 5-11 years, treated with TransCon CNP (n=35) demonstrated a change from baseline AGV at Week 52 of 2.29 cm/year compared to 0.52 cm/year in the placebo arm (n=17), an LS mean difference of 1.78 cm/year (p&lt;0.0001).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Endpoints</w:t>
      </w:r>
    </w:p>
    <w:p>
      <w:pPr>
        <w:spacing w:after="0" w:line="117" w:lineRule="exact"/>
        <w:rPr>
          <w:sz w:val="20"/>
          <w:szCs w:val="20"/>
          <w:color w:val="auto"/>
        </w:rPr>
      </w:pPr>
    </w:p>
    <w:p>
      <w:pPr>
        <w:jc w:val="both"/>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secondary endpoint of change in achondroplasia-specific height Z-score, children treated with TransCon CNP (n=57) demonstrated an LS mean change from baseline achondroplasia-specific height Z-score of 0.30 compared to 0.01 in the placebo arm (n=27), an LS mean difference of 0.28 (p&lt;0.0001).</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secondary endpoint of change in CDC-based height Z-score, children treated with TransCon CNP (n=55) demonstrated an LS mean change from baseline CDC Height Z-score of 0.15 compared to -0.15 in the placebo arm (n=27), an LS mean difference of 0.30 (p=0.0003).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Results Summary</w:t>
      </w:r>
    </w:p>
    <w:p>
      <w:pPr>
        <w:spacing w:after="0" w:line="117" w:lineRule="exact"/>
        <w:rPr>
          <w:sz w:val="20"/>
          <w:szCs w:val="20"/>
          <w:color w:val="auto"/>
        </w:rPr>
      </w:pPr>
    </w:p>
    <w:p>
      <w:pPr>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was generally well-tolerated and demonstrated safety profile similar to that observed in the placebo arm, with generally mild treatment emergent adverse events (“TEAEs”), no evidence of hypotensive effect, and a low frequency of injection site reactions (0.41 events per patient year), all mild.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adverse events (“AEs”) led to discontinuation of TransCon CNP or withdrawal from the trial and no serious adverse events (“SAEs”) were assessed as related to TransCon CNP.</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Assessments were performed with the SF-10 (a 10-item non-condition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QOL, with statistically significant improved outcome in TransCon CNP-treatment versus placebo for:</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SF-10 Physical Summary (p=0.002, aged 5 years and older)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Daily Living Function (p=0.047)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Emotional Well-being (p=0.045)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637540</wp:posOffset>
            </wp:positionV>
            <wp:extent cx="5349240" cy="22631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we filed an Investigational New Drug Application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November 2022, we announced top-line results from ACcomplisH, a Phase 2 randomized, double-blind, placebo-controlled, dose-escalation trial evaluating the safety and efficacy of once-weekly TransCon CNP compared to placebo in children with achondroplasia aged 2 to 10 years old.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ACcomplisH Trial completed in October 2024, with 55 of the original 57 children transitioning into AttaCH a multicenter, long-term, open-label extension trial to continue treatment with TransCon CNP 100 µg/kg/week, and two into COACH, a TransCon CNP and TransCon hGH combination therapy trial. Two children did not roll-over for reasons unrelated to safety or efficacy of the study drug. For more information, see section entitled, “Combination Therapy TransCon CNP + TransCon hGH.”</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of the 53 children that rolled over from ACcomplisH, 42 children continue in AttaCH with 4 children withdrawn from treatment, for reasons unrelated to safety or efficacy of the study drug. Seven children from AttaCH were enrolled and continue in COACH. For more information, see section entitled, “Combination Therapy TransCon CNP + TransCon hGH.”</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 Therapy (TransCon CNP + TransCon hGH)</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TransCon CNP has demonstrated improvement in linear growth and in benefits beyond height. Clinical use of daily growth hormone monotherapy has demonstrated some growth improvements in children with achondroplasia; however, without reports of benefits beyond height, as it does not address the underlying overactive FGFR3 signaling pathway.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believe the combination of once-weekly TransCon CNP and TransCon hGH, through two independent and complementary mechanisms of action, may provide benefits beyond monotherapies in achondroplasia. The active CNP released from TransCon CNP continuously relieves the pre-hypertrophic block in the growth plate, enabling the strong complementary effect of unmodified somatropin released from TransCon hGH.</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8"/>
          <w:szCs w:val="18"/>
          <w:color w:val="auto"/>
        </w:rPr>
        <w:t>COACH, a Phase 2 open-label single-arm trial is the first clinical trial to evaluate combination treatment with once-weekly investigational TransCon CNP (navepegritide) and once-weekly TransCon hGH (lonapegsomatropin)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children (treatment naïve, n=12; prior treatment with TransCon CNP (100 µg/kg/week) for at least 1 year, n=9).</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April 2026, we announced new data from Week 52 of the ongoing Phase 2 COACH Trial demonstrating that combination therapy with once-weekly TransCon CNP and once-weekly TransCon hGH accelerated benefits beyond linear growth in children with achondroplasia, with unprecedented improvements observed in arm span, and enhanced improvements in spinal canal dimensions, and leg bowing.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172200" cy="2700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ApproaCH placebo patients crossed over to TransCon CNP therapy at Week 52.</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Unprecedented improvements in arm span observed at Week 52 with TransCon CNP and TransCon hGH combination therapy, a measure highly meaningful to the achondroplasia community, with the mean change from baseline in achondroplasia (ACH)-specific arm span Z-scores at Week 52 for TransCon CNP treatment-naïve and TransCon CNP-treated children in COACH were +1.02 and +0.66, respectively. The TransCon CNP treatment-naïve cohort improved +9.4 cm and the TransCon CNP-treated cohort improved +7.9 cm. By comparison, humeral gain by limb lengthening surgery is approximately 8 cm per arm and carries a high complication risk (Hosny G, et al. International Orthopaedics. Published online March 16, 2026. doi: https://doi.org/10.1007/s00264-025-06720-z).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172200" cy="22631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Change from baseline to Week 52 for L1-L5 average for TransCon CNP group in the ApproaCH trial was +0.6 mm.</w:t>
      </w:r>
    </w:p>
    <w:p>
      <w:pPr>
        <w:spacing w:after="0" w:line="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41" w:name="page42"/>
    <w:bookmarkEnd w:id="41"/>
    <w:p>
      <w:pPr>
        <w:ind w:right="20"/>
        <w:spacing w:after="0" w:line="266" w:lineRule="auto"/>
        <w:rPr>
          <w:sz w:val="20"/>
          <w:szCs w:val="20"/>
          <w:color w:val="auto"/>
        </w:rPr>
      </w:pPr>
      <w:r>
        <w:rPr>
          <w:rFonts w:ascii="Times New Roman" w:cs="Times New Roman" w:eastAsia="Times New Roman" w:hAnsi="Times New Roman"/>
          <w:sz w:val="18"/>
          <w:szCs w:val="18"/>
          <w:color w:val="auto"/>
        </w:rPr>
        <w:t>Mean of L1-L5 average changes in interpedicular distance (IPD) for TransCon CNP treatment-naïve and TransCon CNP-treated children on combination therapy in COACH were +1.7 mm and +1.1 mm, respectively, compared to +0.6 mm for children on TransCon CNP monotherapy in ApproaCH. Improvements in IPD offer the potential to reduce nerve compression and pain that can result from a narrowed spinal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172200" cy="2100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Absolute Z-scores averaged across both legs, calculated based on data from children of average stature: Sabharwal S, Zhao C. The hip-knee-ankle angle in children:</w:t>
      </w:r>
    </w:p>
    <w:p>
      <w:pPr>
        <w:spacing w:after="0"/>
        <w:rPr>
          <w:sz w:val="20"/>
          <w:szCs w:val="20"/>
          <w:color w:val="auto"/>
        </w:rPr>
      </w:pPr>
      <w:r>
        <w:rPr>
          <w:rFonts w:ascii="Times New Roman" w:cs="Times New Roman" w:eastAsia="Times New Roman" w:hAnsi="Times New Roman"/>
          <w:sz w:val="16"/>
          <w:szCs w:val="16"/>
          <w:color w:val="auto"/>
        </w:rPr>
        <w:t xml:space="preserve">reference values based on a full-length standing radiograph. </w:t>
      </w:r>
      <w:r>
        <w:rPr>
          <w:rFonts w:ascii="Times New Roman" w:cs="Times New Roman" w:eastAsia="Times New Roman" w:hAnsi="Times New Roman"/>
          <w:sz w:val="16"/>
          <w:szCs w:val="16"/>
          <w:i w:val="1"/>
          <w:iCs w:val="1"/>
          <w:color w:val="auto"/>
        </w:rPr>
        <w:t>J Bone Joint Surg Am.</w:t>
      </w:r>
      <w:r>
        <w:rPr>
          <w:rFonts w:ascii="Times New Roman" w:cs="Times New Roman" w:eastAsia="Times New Roman" w:hAnsi="Times New Roman"/>
          <w:sz w:val="16"/>
          <w:szCs w:val="16"/>
          <w:color w:val="auto"/>
        </w:rPr>
        <w:t>2009 Oct;91(10):2461-8. doi: 10.2106/JBJS.I.00015.</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TransCon CNP treatment-naïve cohort, the mean change in tibial femoral angle (TFA) Z-score was -0.86 with combination therapy at Week 52 in COACH and was -0.47 for TransCon CNP monotherapy at Week 52 in ApproaCH, indicating enhanced straightening of the legs. Children previously treated with long-term TransCon CNP monotherapy for an average of 2.56 years maintained in normal range for TFA Z-score.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172200" cy="2048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Tibial femoral angles were determined for each leg and then converted to absolute values. Summary data are presented as the average absolute TFA across both legs.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TransCon CNP treatment-naïve cohort, the mean change in TFA was -3.0 degrees with combination therapy in COACH and was -1.3 degrees for children on TransCon CNP monotherapy at Week 52 in ApproaCH. Children previously treated with long-term TransCon CNP monotherapy for an average of 2.56 years maintained TFA treatment benefit in the setting of accelerated growth. As of March 31, 2026 all children have completed 52 weeks of treatment and remain on therapy in COACH.</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42" w:name="page43"/>
    <w:bookmarkEnd w:id="42"/>
    <w:p>
      <w:pPr>
        <w:spacing w:after="0" w:line="243" w:lineRule="auto"/>
        <w:rPr>
          <w:sz w:val="20"/>
          <w:szCs w:val="20"/>
          <w:color w:val="auto"/>
        </w:rPr>
      </w:pPr>
      <w:r>
        <w:rPr>
          <w:rFonts w:ascii="Times New Roman" w:cs="Times New Roman" w:eastAsia="Times New Roman" w:hAnsi="Times New Roman"/>
          <w:sz w:val="18"/>
          <w:szCs w:val="18"/>
          <w:color w:val="auto"/>
        </w:rPr>
        <w:t>In January 2026, we announced topline results from Week 52 of COACH, the first Phase 2 clinical trial to evaluate combination therapy with once-weekly TransCon CNP (navepegritide) and once-weekly TransCon hGH (lonapegsomatropin) in children with achondroplasia. Annualized growth velocity exceeded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average stature children and the improvement in achondroplasia-specific height Z-score indicated a tripling of efficacy compared to TransCon CNP monotherapy. Additionally, combination therapy demonstrated benefits beyond linear growth with improvements in body proportionality and arm span, aligning with the increase in linear growth. The combination therapy was generally well tolerated, with generally mild TEAEs, consistent with TransCon CNP and TransCon hGH monotherapies.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Week 52, the mean AGV with TransCon CNP and TransCon hGH combination treatment continued to exceed the 97th percentile of average-stature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45720</wp:posOffset>
            </wp:positionV>
            <wp:extent cx="6172200" cy="3343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722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Hoover-Fong JE, et al. Am J Clin Nutr. 2008 Aug;88(2):364-71. Natural history AGV curves presented for male children; curves for average stature children from 0-3y reflect 10th, 50th, and 90th percentile.</w:t>
      </w:r>
    </w:p>
    <w:p>
      <w:pPr>
        <w:spacing w:after="0" w:line="1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Week 52, TransCon hGH + TransCon CNP treatment demonstrated accelerated improvement in body proportionality, aligning with the increase in linear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49240" cy="2125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At Week 52, arm span of children treated with combination therapy improved beyond the 84th-percentile of children with achondroplasia.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85725</wp:posOffset>
            </wp:positionV>
            <wp:extent cx="5349240" cy="2228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Natural history of arm span in boys with ACH as reported from Merker A, et al. Am J Med Genet A. 2018;176(9):1819-1829, mean (solid line) and ±1 SD (shaded gray area)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Candidates—Oncology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in Oncology</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one approach to potentially improve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We are currently developing TransCon technology in oncology for a variety of solid tumors, with encouraging early data in HER2+ breast cancer, platinum resistant ovarian cancer and melanoma. Aside from Proleukin being the only approved IL-2,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may face competition from other IL-2 type drug candidates in development, including those being developed by Anaveon, Asher Bio, Aulos, Dragonfly, GI Innovation, Hanmi Pharmaceutical, Innovent, Medicenna, Roche, Synthekine, and Werewolf. In addition,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may face competition from drug candidates in development for platinum resistant ovarian cancer, including Astra Zeneca, Corcept, Daiichi Sankyo, Eli Lilly, Genelux, Genmab, and Merck. In melanoma, TransCon IL-2 </w:t>
      </w:r>
      <w:r>
        <w:rPr>
          <w:rFonts w:ascii="Arial" w:cs="Arial" w:eastAsia="Arial" w:hAnsi="Arial"/>
          <w:sz w:val="18"/>
          <w:szCs w:val="18"/>
          <w:b w:val="1"/>
          <w:bCs w:val="1"/>
          <w:color w:val="auto"/>
        </w:rPr>
        <w:t xml:space="preserve">b/g </w:t>
      </w:r>
      <w:r>
        <w:rPr>
          <w:rFonts w:ascii="Times New Roman" w:cs="Times New Roman" w:eastAsia="Times New Roman" w:hAnsi="Times New Roman"/>
          <w:sz w:val="18"/>
          <w:szCs w:val="18"/>
          <w:color w:val="auto"/>
        </w:rPr>
        <w:t>may face competition from drug candidates in development including from Immatics, Immunocore, Innovent, Replimune, Regeneron, and Philogen.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Technologies for Oncology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TransCon technologies may have the potential to increase the efficacy of small molecules, peptides and proteins without increasing toxicity, which could offer the potential to treat more patients with new combinations and multi-agent regimens that would not otherwise be feasible.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early clinical and nonclinical studies have shown sustained activation of cytotoxic immune cells that resulted in robust anti-tumor responses by TransCon product candidates using infrequent administration.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TransCon IL-2 </w:t>
      </w:r>
      <w:r>
        <w:rPr>
          <w:rFonts w:ascii="Arial" w:cs="Arial" w:eastAsia="Arial" w:hAnsi="Arial"/>
          <w:sz w:val="18"/>
          <w:szCs w:val="18"/>
          <w:b w:val="1"/>
          <w:bCs w:val="1"/>
          <w:i w:val="1"/>
          <w:iCs w:val="1"/>
          <w:color w:val="auto"/>
        </w:rPr>
        <w:t>b</w:t>
      </w:r>
      <w:r>
        <w:rPr>
          <w:rFonts w:ascii="Times New Roman" w:cs="Times New Roman" w:eastAsia="Times New Roman" w:hAnsi="Times New Roman"/>
          <w:sz w:val="18"/>
          <w:szCs w:val="18"/>
          <w:b w:val="1"/>
          <w:bCs w:val="1"/>
          <w:i w:val="1"/>
          <w:iCs w:val="1"/>
          <w:color w:val="auto"/>
        </w:rPr>
        <w:t>/</w:t>
      </w:r>
      <w:r>
        <w:rPr>
          <w:rFonts w:ascii="Arial" w:cs="Arial" w:eastAsia="Arial" w:hAnsi="Arial"/>
          <w:sz w:val="18"/>
          <w:szCs w:val="18"/>
          <w:b w:val="1"/>
          <w:bCs w:val="1"/>
          <w:i w:val="1"/>
          <w:iCs w:val="1"/>
          <w:color w:val="auto"/>
          <w:highlight w:val="black"/>
        </w:rPr>
        <w:t>g</w:t>
      </w:r>
      <w:r>
        <w:rPr>
          <w:rFonts w:ascii="Times New Roman" w:cs="Times New Roman" w:eastAsia="Times New Roman" w:hAnsi="Times New Roman"/>
          <w:sz w:val="18"/>
          <w:szCs w:val="18"/>
          <w:b w:val="1"/>
          <w:bCs w:val="1"/>
          <w:i w:val="1"/>
          <w:iCs w:val="1"/>
          <w:color w:val="auto"/>
        </w:rPr>
        <w:t xml:space="preserve">  for Sustained Systemic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-111125</wp:posOffset>
            </wp:positionV>
            <wp:extent cx="100330" cy="133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0330" cy="133985"/>
                    </a:xfrm>
                    <a:prstGeom prst="rect">
                      <a:avLst/>
                    </a:prstGeom>
                    <a:noFill/>
                  </pic:spPr>
                </pic:pic>
              </a:graphicData>
            </a:graphic>
          </wp:anchor>
        </w:drawing>
      </w:r>
    </w:p>
    <w:p>
      <w:pPr>
        <w:spacing w:after="0" w:line="11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(onvapegleukin alfa) is an investigational long-acting prodrug designed to improve cancer immunotherapy through sustained release of an IL-2 variant that selectively activates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with minimal binding to IL-2Rα. The IL-Believe Trial, a Phase 1/2 clinical trial to evaluate the safety and efficacy of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in locally advanced or metastatic solid tumors, alone or in combination with pembrolizumab or other anti-cancer therapies, has completed dose escalation and is enrolling patients in multiple indication-specific dose expansion cohorts, including platinum-resistant ovarian cancer (“PROC”), melanoma, and HER2+ breast cancer.</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2026, we announced ongoing Phase 1/2 IL-BELIEVE Trial, TransCon IL-2 β/γ dosed every three weeks in combination with weekly paclitaxel demonstrated improved median overall survival (OS) up to 10 months from 6-7 months for historical controls, with a generally well-tolerated safety profile in patients with late-stage platinum-resistant ovarian cancer, validating the science behind TransCon IL-2 β/γ. As further internal oncology development does not align with our strategic focus, we have decided to discontinue internal development of TransCon IL-2 β/γ in Oncology and will explore other ways to maximize the value of this asset.</w:t>
      </w:r>
    </w:p>
    <w:p>
      <w:pPr>
        <w:spacing w:after="0" w:line="1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In October 2025, we reported updated results at the European Society for Medical Oncology (“ESMO”) that further indicate clinical activity in late-line patients with PROC treated with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with weekly paclitaxel (Cohort 3, 3SK, and 14 in the IL-Believe Trial). As of data cutoff date of September 2, 2025, 70 patients (median 4 prior lines of therapy; 67% previously treated with at least 2 lines of taxane-containing therapy) were enrolled and 53 were efficacy-evaluable to-date, with 7 pending first post-baseline scan. Clinical responses were observed in 25% (13/53) of patients who had received two to ten prior lines of therapy (three confirmed and ten unconfirmed responses, with six of the unconfirmed continuing on study treatment). Data continued to suggest that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in combination with weekly paclitaxel is generally well-tolerated with the majority of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-related TEAEs being grade 1 or 2 in severity.</w:t>
      </w:r>
    </w:p>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induced significant peripheral expansion of cytotoxic CD8+ T cells and natural killer cells with minimal expansion of regulatory T cells, despite concurrent chemotherapy. Proliferating antigen-experienced PD-1+CD8+ T cells expanded significantly at 1 week post dose. Expanded PD-1+CD8+ T cells predominantly exhibited stem-like or transitory states, with limited progression to terminally differentiated or exhausted phenotypes. In addition, clinical responses significantly correlated with peripheral CD8+ T cell expansion in PROC. Furthermore, significant increase in CD8+ T cells was observed in the tumor of paired on-treatment biopsies from all available paired pre-treatment and on-treatment tumor samples from IL Believe Trial as of September 2, 2025, dosed at 80 (n=2) or 120 μg/kg (n=11).</w:t>
      </w:r>
    </w:p>
    <w:p>
      <w:pPr>
        <w:spacing w:after="0" w:line="18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In September 2024, we announced initial data showing signs of clinical activity in heavily pre-treated patients with PROC treated (cohort 3) with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in combination with chemotherapy in the ongoing Phase 1/2 IL-Believe Trial of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w:t>
      </w:r>
    </w:p>
    <w:p>
      <w:pPr>
        <w:spacing w:after="0" w:line="1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was generally well-tolerated: the most common TEAEs related to combination therapy with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plus chemotherapy were fatigue, thrombocytopenia, neutropenia, and anemia. Most TransCon IL-2 β/γ-related TEAEs were grade 1 or 2.</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2024, we reported updated results from our ongoing Phase 1/2 IL-Believe Trial of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Data included the first presentation of Phase 2 dose expansion Cohort 4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alone or in combination with pembrolizumab or TransCon TLR7/8 Agonist was generally well tolerated with no new safety signals.</w:t>
      </w:r>
    </w:p>
    <w:p>
      <w:pPr>
        <w:spacing w:after="0" w:line="1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Arial" w:cs="Arial" w:eastAsia="Arial" w:hAnsi="Arial"/>
          <w:sz w:val="18"/>
          <w:szCs w:val="18"/>
          <w:b w:val="1"/>
          <w:bCs w:val="1"/>
          <w:color w:val="auto"/>
        </w:rPr>
        <w:t>b/g</w:t>
      </w:r>
      <w:r>
        <w:rPr>
          <w:rFonts w:ascii="Times New Roman" w:cs="Times New Roman" w:eastAsia="Times New Roman" w:hAnsi="Times New Roman"/>
          <w:sz w:val="18"/>
          <w:szCs w:val="18"/>
          <w:color w:val="auto"/>
        </w:rPr>
        <w:t xml:space="preserve"> every three weeks was generally well-tolerated, with no meaningful effect on Tregs and eosinophils.</w:t>
      </w:r>
    </w:p>
    <w:p>
      <w:pPr>
        <w:spacing w:after="0" w:line="1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September 2023, we announced completion of Phase 1 dose escalation in combination with pembrolizumab of the IL-Believe Trial with a total of 21 patients enrolled and recommended Phase 2 dose (“RP2D”) determined at 120 µg/kg IV every three weeks. Twenty-one patients were enrolled.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 and Investments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 A/S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are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4" w:right="419" w:bottom="1440" w:gutter="0" w:footer="0" w:header="0"/>
        </w:sectPr>
      </w:pPr>
    </w:p>
    <w:bookmarkStart w:id="46" w:name="page47"/>
    <w:bookmarkEnd w:id="46"/>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terms of the agreement, we granted Novo Nordisk an exclusive, worldwide, royalty-bearing license, with the right to grant sublicenses, to use our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our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termination of the agreement due to Novo Nordisk’s default, some or all of the licenses granted by us to Novo Nordisk to develop, manufacture and commercialize any of the licensed products will automatically terminate.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January 2025, we announced that our multi-product collaboration with Novo Nordisk for TransCon technology-based therapies in obesity and metabolic diseases continues and that the lead program TransCon Semaglutide, remains on track to enter the clinic as anticipated.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Teijin Limited</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February 2026, Teijin announced that it had applied for manufacturing and marketing approval in Japan for lonapegsomatropin for the treatment of pediatric GHD to the Pharmaceuticals and Medical Devices Agency.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2025, Teijin announced that YORVIPATH is commercially available for prescription.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an additional $12.5 million in VISEN as part of VISEN’s $150 million Series B financing.</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the Company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the VISEN pursuant to applicable listing rules. As of December 31, 2025 and 2024, the Company’s ownership in VISEN was 39.2% and 43.9%, respectively. As of December 31, 2025, VISEN’s share price at the Hong Kong Stock Exchange was HK$32.80, reflecting the market value of the Company’s equity position of €147.5 million.</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April 2026, VISEN announced that results from its briGHt Trial, the pivotal Phase 3 trial in China of once-weekly lonapegsomatropin (TransCon hGH) in pediatric patients with GHD, were published in </w:t>
      </w:r>
      <w:r>
        <w:rPr>
          <w:rFonts w:ascii="Times New Roman" w:cs="Times New Roman" w:eastAsia="Times New Roman" w:hAnsi="Times New Roman"/>
          <w:sz w:val="18"/>
          <w:szCs w:val="18"/>
          <w:i w:val="1"/>
          <w:iCs w:val="1"/>
          <w:color w:val="auto"/>
        </w:rPr>
        <w:t>Hormone Research in Paediatrics</w:t>
      </w:r>
      <w:r>
        <w:rPr>
          <w:rFonts w:ascii="Times New Roman" w:cs="Times New Roman" w:eastAsia="Times New Roman" w:hAnsi="Times New Roman"/>
          <w:sz w:val="18"/>
          <w:szCs w:val="18"/>
          <w:color w:val="auto"/>
        </w:rPr>
        <w:t>, the official journal of the European Society for Paediatric Endocrinology ("ESPE"). The briGHt Trial was a Phase 3, randomized, open-label, active-controlled trial conducted across 17 sites in China. VISEN reported that weekly lonapegsomatropin demonstrated non-inferiority and superiority over daily somatropin in annualized height velocity ("AHV") among treatment-naïve Chinese children with GHD.</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2026, VISEN announced its biologics license application (“BLA”) for lonapegsomatropin (TransCon hGH) was approved by the National Medical Products Administration (“NMPA”) of China for the treatment of pediatric patients who have growth failure due to inadequate secretion of growth hormone in China.</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2025, VISEN announced that palopegteriparatide (TransCon PTH) was approved by the Hainan Medical Products Administration for clinical use in the Boao Lecheng Pilot Zone for the treatment of adults with chronic hypoparathyroidism.</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our palopegteriparatide Phase 3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VISEN announced top-line results from the Phase 2 ACcomplisH China Trial in children with achondroplasia aged 2 to 10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VISEN reported that patients dosed with TransCon CNP at the 100 μg CNP/kg/week showed significantly higher AGV than placebo at Week 52.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2022, VISEN announced data from its pivotal Phase 3 study of TransCon hGH in children with GHD in China. VISEN reported that patients dosed with TransCon hGH demonstrated an AHV of 10.66 cm/year compared to 9.75 cm/year for the daily hGH at 52 weeks (treatment difference at 0.91 cm/year with a 95 percent confidence interval: 0.37 – 1.45 cm/year, p=0.0010), reaching its primary objective, demonstrating that TransCon hGH is non-inferior to the daily hGH.</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Market Opportunity in China</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Agreements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Further, in June 2025, we entered into a Commercial Supply Framework Agreement with VISEN regarding the supply of additional batches of licensed product (TransCon hGH) to VISEN.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 Inc</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included Frazier, RA Capital Management, venBio, and HealthQuest Capital. 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December 31, 2025 and 2024, the Company’s ownership in Eyconis was 33.0% and 40.9% on a non-diluted basis, respectively.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246,601</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100,954</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229,086</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204,274</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(104,212)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profit/(loss) for the period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629,339</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(94,626)</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Operating expenses comprise research and development expenses and selling, general and administrative expenses.</w:t>
      </w:r>
    </w:p>
    <w:p>
      <w:pPr>
        <w:spacing w:after="0" w:line="23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Compared to the three months ended March 31, 2025, revenue for the three months ended March 31, 2026, primarily benefited from the continued growth of YORVIPATH global sales. We had an operating profit of €24.8 million, compared to an operating loss of €104.2 million for the same period last year. This improvement reflected higher revenue, partially offset by higher operating expenses associated with commercial expansion.</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had a net profit of €629.3 million for the three months ended March 31, 2026, compared to a net loss of €94.6 million for the same period last year. In addition to the positive development in operating profit/(loss), this development was driven by recognition of deferred tax assets of €679.0 million, partly offset by higher net financial expenses of €46.8 million, compared to the same period last year, primarily related to non-cash items.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flows used in operating activities for the three months ended March 31, 2026, represented an improvement of €6.6 million compared to the same period last year, attributable to improved operating performance, where in addition, the three months ended March 31, 2025 benefited from settlement of the upfront payment from our exclusive license agreement with Novo Nordisk of $100 million plus related indirect taxes. Cash flows from/(used) in operating activities for the three months ended March 31, 2026 was negative, primarily due to unfavorable working capital movements, including increases in trade receivables and decreases in accrued liabilities. These changes largely reflect timing-related effects associated with revenue growth and the settlement of liabilities from 2025. Refer to section “Liquidity and Capital Resources”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reduced reported revenue for the three months ended March 31, 2026 by €22.0 million,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operating expenses decreased due to currency translation by €12.8 million, compared to the same period last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equity presented a surplus of €488.0 million as of March 31, 2026, compared to a deficit of €162.8 million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about our results of operations and cash flows are described in the following sections.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7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138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gridSpan w:val="2"/>
          </w:tcPr>
          <w:p>
            <w:pPr>
              <w:jc w:val="center"/>
              <w:ind w:lef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140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4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products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240,853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clinical supply</w:t>
            </w:r>
          </w:p>
        </w:tc>
        <w:tc>
          <w:tcPr>
            <w:tcW w:w="4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50"/>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74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246,601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100,954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145,647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780" w:type="dxa"/>
            <w:vAlign w:val="bottom"/>
          </w:tcPr>
          <w:p>
            <w:pPr>
              <w:spacing w:after="0"/>
              <w:rPr>
                <w:sz w:val="24"/>
                <w:szCs w:val="24"/>
                <w:color w:val="auto"/>
              </w:rPr>
            </w:pPr>
          </w:p>
        </w:tc>
        <w:tc>
          <w:tcPr>
            <w:tcW w:w="27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-864870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-847725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-1010920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-864870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-847725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-1010920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Revenue from sale of commercial products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580" w:type="dxa"/>
            <w:vAlign w:val="bottom"/>
            <w:gridSpan w:val="2"/>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8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commercial products</w:t>
            </w:r>
          </w:p>
        </w:tc>
        <w:tc>
          <w:tcPr>
            <w:tcW w:w="1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YORVIPATH</w:t>
            </w:r>
            <w:r>
              <w:rPr>
                <w:rFonts w:ascii="Times New Roman" w:cs="Times New Roman" w:eastAsia="Times New Roman" w:hAnsi="Times New Roman"/>
                <w:sz w:val="24"/>
                <w:szCs w:val="24"/>
                <w:color w:val="auto"/>
                <w:vertAlign w:val="superscript"/>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44,688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SKYTROFA</w:t>
            </w:r>
            <w:r>
              <w:rPr>
                <w:rFonts w:ascii="Times New Roman" w:cs="Times New Roman" w:eastAsia="Times New Roman" w:hAnsi="Times New Roman"/>
                <w:sz w:val="24"/>
                <w:szCs w:val="24"/>
                <w:color w:val="auto"/>
                <w:vertAlign w:val="superscript"/>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(7,383)</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 from commercial products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240,853</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96,028</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from sale of commercial products represented an increase of €144.8 million, primarily due to the continued growth of YORVIPATH global sales. Revenue from sales of SKYTROFA was lower, primarily due to sale of commercial products under one of our collaboration agreements for the three months ended March 31, 2025. In addition, foreign currency translation reduced reported revenue for the three months ended March 31, 2026 by €22.0 million, compared to the same period last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for the three months ended March 31, 2026 was €17.5 million, unchanged from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external project costs on the development pipeline and other research and development (“R&amp;D”)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gridSpan w:val="2"/>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140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Hypoparathyroidism</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Growth Disorders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Oncology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(9,819)</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project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external project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36,853</w:t>
            </w:r>
          </w:p>
        </w:tc>
        <w:tc>
          <w:tcPr>
            <w:tcW w:w="2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(21,395)</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research and development expenses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research and development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49,750</w:t>
            </w:r>
          </w:p>
        </w:tc>
        <w:tc>
          <w:tcPr>
            <w:tcW w:w="2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(6,164)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59,044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86,603</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(27,559)</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-1148080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-1148080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-316865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R&amp;D expenses for the three months ended March 31, 2026 were €59.0 million, representing a decrease of €27.6 million compared to the same period last year. This decrease was primarily due to completion of certain clinical trials and development activities within our Endocrinology Rare Disease and Oncology pipeline, and reversal (income) of prior period write-downs related to pre-launch inventories for Growth Disorders of €10.9 million due to the U.S. FDA approval of YUVIWEL.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selling, general and administrative (“SG&amp;A”)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8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138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gridSpan w:val="2"/>
          </w:tcPr>
          <w:p>
            <w:pPr>
              <w:jc w:val="center"/>
              <w:ind w:lef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140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8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62,243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8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8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145,230</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101,046</w:t>
            </w:r>
          </w:p>
        </w:tc>
        <w:tc>
          <w:tcPr>
            <w:tcW w:w="22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-1010920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-1010920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220"/>
        <w:spacing w:after="0" w:line="282" w:lineRule="auto"/>
        <w:rPr>
          <w:sz w:val="20"/>
          <w:szCs w:val="20"/>
          <w:color w:val="auto"/>
        </w:rPr>
      </w:pPr>
      <w:r>
        <w:rPr>
          <w:rFonts w:ascii="Times New Roman" w:cs="Times New Roman" w:eastAsia="Times New Roman" w:hAnsi="Times New Roman"/>
          <w:sz w:val="18"/>
          <w:szCs w:val="18"/>
          <w:color w:val="auto"/>
        </w:rPr>
        <w:t>SG&amp;A expenses for the three months ended March 31, 2026 were €145.2 million, representing an increase of €44.2 million compared to the same period last year. This increase was primarily due to the continued impact from commercial expansion, including global launch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result of finance income and expenses, further disaggregated into cash and non-cash items: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gridSpan w:val="3"/>
            <w:vMerge w:val="continue"/>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income/(expenses)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(24,337)</w:t>
            </w: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(67,255)</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(44,786)</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(22,469)</w:t>
            </w:r>
          </w:p>
        </w:tc>
        <w:tc>
          <w:tcPr>
            <w:tcW w:w="0" w:type="dxa"/>
            <w:vAlign w:val="bottom"/>
          </w:tcPr>
          <w:p>
            <w:pPr>
              <w:spacing w:after="0"/>
              <w:rPr>
                <w:sz w:val="1"/>
                <w:szCs w:val="1"/>
                <w:color w:val="auto"/>
              </w:rPr>
            </w:pPr>
          </w:p>
        </w:tc>
      </w:tr>
      <w:tr>
        <w:trPr>
          <w:trHeight w:val="20"/>
        </w:trPr>
        <w:tc>
          <w:tcPr>
            <w:tcW w:w="8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4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(62,738)</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(15,932)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(46,806)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Specified in cash and non-cash items</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items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expenses paid</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(5,328)</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Non-cash items</w:t>
            </w:r>
          </w:p>
        </w:tc>
        <w:tc>
          <w:tcPr>
            <w:tcW w:w="54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Remeasurement gain/(loss) of financial liabilities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(34,251)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(23,911)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gain/(loss)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(12,252)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(36,898)</w:t>
            </w: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charges, accruals, and other items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(15,425)</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(62,738)</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(15,932)</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(46,806)</w:t>
            </w: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 expenses measured under the effective interest method, related to:</w:t>
            </w: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(9,184)</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(9,652)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-1988185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-1988185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-573405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-556895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-573405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-556895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development in non-cash items was primarily driven by remeasurement loss of financial liabilities, and net currency gains, primarily driven by conversion of U.S. dollar denominated monetary positions into Euro, primarily cash and cash equivalents, convertible notes and royalty funding liabilities. Refer to Note 11, “Financial Assets and Liabilities” for further information about our royalty funding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2026, we recognized a net income tax benefit of €677.5 million for the period, primarily reflecting €679.0 million in reversals of reversal of prior-period write-downs against deferred tax assets in Denmark and the United States.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and capital resources comprise cash and cash equivalents, which as of March 31, 2026, amounted to €572.8 million.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expenditures primarily relate to research and development activities and selling, general, and administrative activities to support our business, including our continued development of products and product candidates, the commercialization of our products, and expenses incurred in anticipation of potential future product launches. We manage our liquidity risk by maintaining adequate cash reserves. The risk of shortage of funds is monitored, through the financial forecasting process, to ensure sufficient funds are available to settle liabilities as they fall due.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that have provided aggregate net proceeds of $2,580.2 million (or €2,259.0 million at the time of the public offerings). Refer to Note 11, “Financial Assets and Liabilities” for further information about our convertible notes and royalty funding agreements.</w:t>
      </w:r>
    </w:p>
    <w:p>
      <w:pPr>
        <w:spacing w:after="0" w:line="18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additional description of our cash requirements, public offerings, expense structure and commitments, refer to “Item 5B. Liquidity and Capital Resources,” set forth in our Annual Report on Form 20-F filed with the Securities and Exchange Commission on February 11, 2026.</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we currently estimate that our existing cash and cash equivalents will be sufficient to fund our operations for at least twelve months from the date of this report. However, our operating plan and actual cash requirements may change as a result of many factors. For example our future funding requirements will depend on many factors, including, but not limited to those described in “Item 3.D – Key Information—Risk Factors —Risks Related to Our Limited Operating History, Financial Condition and Capital Requirements,” set forth in our Annual Report on Form 20-F filed with the Securities and Exchange Commission on February 11, 2026.</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from/(used in)</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(6,753)</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(36,833)</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(18,024)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(18,809)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(51,307)</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(33,040)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Operating Activities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Cash flows used in operating activities for the three months ended March 31, 2026, were €7.7 million, representing an improvement of €6.6 million compared to the same period last year, of which €123.9 million related to improved operating performance, primarily driven by commercial revenue growth, offset by €117.3 million related to unfavorable changes to working capital, which primarily related to the settlement of the upfront payment from our exclusive license agreement with Novo Nordisk of $100 million plus related indirect taxes in 2025. Cash flows from/(used) in operating activities for the three months ended March 31, 2026 was negative, primarily due to unfavorable working capital movements, including increases in trade receivables and decreases in accrued liabilities. These changes largely reflect timing-related effects associated with revenue growth and the settlement of liabilities from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for the three months ended March 31, 2026, were €6.8 million, representing an increase of €6.1 million compared to the same period last year and was primarily attributable to leasehold improvements.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for the three months ended March 31, 2026 were €36.8 million, representing an increase of €18.8 million compared to the same period last year, primarily reflecting €34.5 million higher treasury shares repurchases, partly offset by €17.8 million higher proceeds from warrant exercises.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Disclosures about Market Risk</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11, “Financial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foreign exchange risk arising from various currency exposures, primarily with respect to the U.S. Dollar. While we generate revenue in Euros, a significant portion of our revenue is denominated in U.S. Dollars. Similarly, a significant portion of our operating expenses is denominated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Accordingly, since the fair value is exposed to the development in interest rates, the profit or loss is exposed to volatility from such development.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counterparty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March 31, 2026, we do not hold marketable securities.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development in our share price, when remeasuring derivative liabilities at fair value.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 and are measured at fair value through profit or loss. Fair value cannot be measured based on quoted prices in active markets or other observable inputs, and accordingly, derivative liabilities are measured by using the Black-Scholes option pricing model, where the pricing is exposed to changes in our share price. Sensitivity analysis of derivative liabilities is disclosed in Note 11, “Financial Assets and Liabilities.”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emdash "/>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o"/>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lt;"/>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2026-05-07T06:48:09Z</dcterms:created>
  <dcterms:modified xsi:type="dcterms:W3CDTF">2026-05-07T06:48:09Z</dcterms:modified>
</cp:coreProperties>
</file>