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361d6k.htm"/>
      <w:bookmarkStart w:id="1" w:name="ksd16736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On October 16, 2026, the Company announced that the Committee for Medicinal Products for Human Use (CHMP) of the European Medicines Agency (EMA) has adopted a positive opinion recommending marketing authorization for once-weekly TransCon CNP (navepegritide) in the European Union for the treatment of achondroplasia in children two years of age and older whose epiphyses are not closed. The final European Commission (EC) decision on Ascendis’ Marketing Authorisation Application (MAA) is expected during Q4 2026. </w:t>
      </w:r>
    </w:p>
    <w:p>
      <w:pPr>
        <w:pStyle w:val="TextBody"/>
        <w:bidi w:val="0"/>
        <w:spacing w:before="240" w:after="0"/>
        <w:jc w:val="left"/>
        <w:rPr>
          <w:rFonts w:ascii="Times New Roman" w:hAnsi="Times New Roman"/>
          <w:sz w:val="20"/>
        </w:rPr>
      </w:pPr>
      <w:r>
        <w:rPr>
          <w:rFonts w:ascii="Times New Roman" w:hAnsi="Times New Roman"/>
          <w:sz w:val="20"/>
        </w:rPr>
        <w:t xml:space="preserve">CHMP adopted its positive opinion following its review of the MAA for TransCon CNP, which included clinical data from three randomized, double-blind, placebo-controlled clinical trials and up to three years of open-label extension data. TransCon CNP was designated as an orphan medicine during its development. EMA will now review the information available to date to determine if the orphan designation can be maintained. </w:t>
      </w:r>
    </w:p>
    <w:p>
      <w:pPr>
        <w:pStyle w:val="TextBody"/>
        <w:bidi w:val="0"/>
        <w:spacing w:before="240" w:after="0"/>
        <w:jc w:val="left"/>
        <w:rPr>
          <w:rFonts w:ascii="Times New Roman" w:hAnsi="Times New Roman"/>
          <w:sz w:val="20"/>
        </w:rPr>
      </w:pPr>
      <w:r>
        <w:rPr>
          <w:rFonts w:ascii="Times New Roman" w:hAnsi="Times New Roman"/>
          <w:sz w:val="20"/>
        </w:rPr>
        <w:t xml:space="preserve">If authorized by the EC, Ascendis expects its first EU launch of TransCon CNP under the brand name YUVIWEL® to be in Germany during Q1 2027.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the anticipated timing of the EC’s final decision on Ascendis’ MAA for TransCon CNP (navepegritide), expected during the fourth quarter of 2026, (ii) the potential for the EC to grant marketing authorization for TransCon CNP, and (iii) Ascendis’ expectation and anticipated timing for its first EU launch of TransCon CNP under the brand name YUVIWEL in Germany in the first quarter of 2027.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5"/>
        <w:gridCol w:w="102"/>
        <w:gridCol w:w="404"/>
        <w:gridCol w:w="102"/>
        <w:gridCol w:w="313"/>
        <w:gridCol w:w="102"/>
        <w:gridCol w:w="4587"/>
      </w:tblGrid>
      <w:tr>
        <w:trPr/>
        <w:tc>
          <w:tcPr>
            <w:tcW w:w="45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87" w:type="dxa"/>
            <w:tcBorders/>
            <w:vAlign w:val="center"/>
          </w:tcPr>
          <w:p>
            <w:pPr>
              <w:pStyle w:val="TableContents"/>
              <w:bidi w:val="0"/>
              <w:spacing w:before="0" w:after="283"/>
              <w:jc w:val="left"/>
              <w:rPr>
                <w:sz w:val="4"/>
                <w:szCs w:val="4"/>
              </w:rPr>
            </w:pPr>
            <w:r>
              <w:rPr>
                <w:sz w:val="4"/>
                <w:szCs w:val="4"/>
              </w:rPr>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2" w:type="dxa"/>
            <w:gridSpan w:val="3"/>
            <w:tcBorders/>
          </w:tcPr>
          <w:p>
            <w:pPr>
              <w:pStyle w:val="TableContents"/>
              <w:bidi w:val="0"/>
              <w:spacing w:before="0" w:after="283"/>
              <w:jc w:val="left"/>
              <w:rPr/>
            </w:pPr>
            <w:r>
              <w:rPr/>
              <w:t>Ascendis Pharma A/S</w:t>
            </w:r>
          </w:p>
        </w:tc>
      </w:tr>
      <w:tr>
        <w:trPr>
          <w:trHeight w:val="240" w:hRule="atLeast"/>
        </w:trPr>
        <w:tc>
          <w:tcPr>
            <w:tcW w:w="4595" w:type="dxa"/>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689" w:type="dxa"/>
            <w:gridSpan w:val="2"/>
            <w:tcBorders/>
            <w:vAlign w:val="center"/>
          </w:tcPr>
          <w:p>
            <w:pPr>
              <w:pStyle w:val="TableContents"/>
              <w:bidi w:val="0"/>
              <w:spacing w:before="0" w:after="283"/>
              <w:jc w:val="left"/>
              <w:rPr>
                <w:sz w:val="4"/>
                <w:szCs w:val="4"/>
              </w:rPr>
            </w:pPr>
            <w:r>
              <w:rPr>
                <w:sz w:val="4"/>
                <w:szCs w:val="4"/>
              </w:rPr>
            </w:r>
          </w:p>
        </w:tc>
      </w:tr>
      <w:tr>
        <w:trPr/>
        <w:tc>
          <w:tcPr>
            <w:tcW w:w="4595" w:type="dxa"/>
            <w:tcBorders/>
          </w:tcPr>
          <w:p>
            <w:pPr>
              <w:pStyle w:val="TableContents"/>
              <w:bidi w:val="0"/>
              <w:spacing w:before="0" w:after="283"/>
              <w:jc w:val="left"/>
              <w:rPr/>
            </w:pPr>
            <w:r>
              <w:rPr/>
              <w:t>Date: October 16, 2026</w:t>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7" w:type="dxa"/>
            <w:tcBorders/>
          </w:tcPr>
          <w:p>
            <w:pPr>
              <w:pStyle w:val="TableContents"/>
              <w:bidi w:val="0"/>
              <w:spacing w:before="0" w:after="283"/>
              <w:jc w:val="left"/>
              <w:rPr/>
            </w:pPr>
            <w:r>
              <w:rPr/>
              <w:t>Michael Wolff Jensen</w:t>
            </w:r>
          </w:p>
        </w:tc>
      </w:tr>
      <w:tr>
        <w:trPr/>
        <w:tc>
          <w:tcPr>
            <w:tcW w:w="459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87" w:type="dxa"/>
            <w:tcBorders/>
          </w:tcPr>
          <w:p>
            <w:pPr>
              <w:pStyle w:val="TableContents"/>
              <w:bidi w:val="0"/>
              <w:spacing w:before="0" w:after="283"/>
              <w:jc w:val="left"/>
              <w:rPr/>
            </w:pPr>
            <w:r>
              <w:rPr/>
              <w:t>Executive Vice President, Chief Legal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918</Words>
  <Characters>5557</Characters>
  <CharactersWithSpaces>6498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