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61"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August, 2018</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29"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Exhibits 99.1 and 99.2 of this report on Form 6-K shall be deemed to be incorporated by reference into the registration statements on Form S-8 (Registration Numbers 333-203040, 333-210810, 333-211512, 333-213412, 333-214843 and 333-216883) and Form F-3 (Registration Numbers</w:t>
      </w:r>
    </w:p>
    <w:p>
      <w:pPr>
        <w:spacing w:after="0" w:line="255" w:lineRule="auto"/>
        <w:rPr>
          <w:sz w:val="20"/>
          <w:szCs w:val="20"/>
          <w:color w:val="auto"/>
        </w:rPr>
      </w:pPr>
      <w:r>
        <w:rPr>
          <w:rFonts w:ascii="Arial" w:cs="Arial" w:eastAsia="Arial" w:hAnsi="Arial"/>
          <w:sz w:val="18"/>
          <w:szCs w:val="18"/>
          <w:color w:val="auto"/>
        </w:rPr>
        <w:t>333-209336, 333-211511, 333-216882 and 333-223134)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June 30, 2018.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gridSpan w:val="2"/>
          </w:tcPr>
          <w:p>
            <w:pPr>
              <w:spacing w:after="0"/>
              <w:rPr>
                <w:sz w:val="20"/>
                <w:szCs w:val="20"/>
                <w:color w:val="auto"/>
              </w:rPr>
            </w:pPr>
            <w:r>
              <w:rPr>
                <w:rFonts w:ascii="Arial" w:cs="Arial" w:eastAsia="Arial" w:hAnsi="Arial"/>
                <w:sz w:val="14"/>
                <w:szCs w:val="14"/>
                <w:color w:val="auto"/>
                <w:w w:val="97"/>
              </w:rPr>
              <w:t>Exhibit No.</w:t>
            </w:r>
          </w:p>
        </w:tc>
        <w:tc>
          <w:tcPr>
            <w:tcW w:w="440" w:type="dxa"/>
            <w:vAlign w:val="bottom"/>
          </w:tcPr>
          <w:p>
            <w:pPr>
              <w:spacing w:after="0"/>
              <w:rPr>
                <w:sz w:val="14"/>
                <w:szCs w:val="14"/>
                <w:color w:val="auto"/>
              </w:rPr>
            </w:pPr>
          </w:p>
        </w:tc>
        <w:tc>
          <w:tcPr>
            <w:tcW w:w="6500" w:type="dxa"/>
            <w:vAlign w:val="bottom"/>
            <w:gridSpan w:val="4"/>
          </w:tcPr>
          <w:p>
            <w:pPr>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Unaudited Condensed Consolidated Interim Financial Statements.</w:t>
            </w:r>
          </w:p>
        </w:tc>
        <w:tc>
          <w:tcPr>
            <w:tcW w:w="1740" w:type="dxa"/>
            <w:vAlign w:val="bottom"/>
          </w:tcPr>
          <w:p>
            <w:pPr>
              <w:spacing w:after="0"/>
              <w:rPr>
                <w:sz w:val="24"/>
                <w:szCs w:val="24"/>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99.3</w:t>
            </w:r>
          </w:p>
        </w:tc>
        <w:tc>
          <w:tcPr>
            <w:tcW w:w="440" w:type="dxa"/>
            <w:vAlign w:val="bottom"/>
          </w:tcPr>
          <w:p>
            <w:pPr>
              <w:spacing w:after="0"/>
              <w:rPr>
                <w:sz w:val="24"/>
                <w:szCs w:val="24"/>
                <w:color w:val="auto"/>
              </w:rPr>
            </w:pPr>
          </w:p>
        </w:tc>
        <w:tc>
          <w:tcPr>
            <w:tcW w:w="2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6"/>
              </w:rPr>
              <w:t>Press Release dated August 29, 2018.</w:t>
            </w:r>
          </w:p>
        </w:tc>
        <w:tc>
          <w:tcPr>
            <w:tcW w:w="3800" w:type="dxa"/>
            <w:vAlign w:val="bottom"/>
            <w:gridSpan w:val="2"/>
          </w:tcPr>
          <w:p>
            <w:pPr>
              <w:spacing w:after="0"/>
              <w:rPr>
                <w:sz w:val="24"/>
                <w:szCs w:val="24"/>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w w:val="90"/>
              </w:rPr>
              <w:t>101.SCH</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w w:val="94"/>
              </w:rPr>
              <w:t>101.CAL</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w w:val="92"/>
              </w:rPr>
              <w:t>101.DEF</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101.IAB</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w w:val="91"/>
              </w:rPr>
              <w:t>101.PRE</w:t>
            </w:r>
          </w:p>
        </w:tc>
        <w:tc>
          <w:tcPr>
            <w:tcW w:w="44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0860"/>
          </w:cols>
          <w:pgMar w:left="440" w:top="270" w:right="59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940" w:type="dxa"/>
            <w:vAlign w:val="bottom"/>
            <w:gridSpan w:val="3"/>
          </w:tcPr>
          <w:p>
            <w:pPr>
              <w:ind w:left="1840"/>
              <w:spacing w:after="0"/>
              <w:rPr>
                <w:sz w:val="20"/>
                <w:szCs w:val="20"/>
                <w:color w:val="auto"/>
              </w:rPr>
            </w:pPr>
            <w:r>
              <w:rPr>
                <w:rFonts w:ascii="Arial" w:cs="Arial" w:eastAsia="Arial" w:hAnsi="Arial"/>
                <w:sz w:val="18"/>
                <w:szCs w:val="18"/>
                <w:b w:val="1"/>
                <w:bCs w:val="1"/>
                <w:color w:val="auto"/>
              </w:rPr>
              <w:t>Ascendis Pharma A/S</w:t>
            </w:r>
          </w:p>
        </w:tc>
      </w:tr>
      <w:tr>
        <w:trPr>
          <w:trHeight w:val="392"/>
        </w:trPr>
        <w:tc>
          <w:tcPr>
            <w:tcW w:w="3460" w:type="dxa"/>
            <w:vAlign w:val="bottom"/>
          </w:tcPr>
          <w:p>
            <w:pPr>
              <w:spacing w:after="0"/>
              <w:rPr>
                <w:sz w:val="20"/>
                <w:szCs w:val="20"/>
                <w:color w:val="auto"/>
              </w:rPr>
            </w:pPr>
            <w:r>
              <w:rPr>
                <w:rFonts w:ascii="Arial" w:cs="Arial" w:eastAsia="Arial" w:hAnsi="Arial"/>
                <w:sz w:val="18"/>
                <w:szCs w:val="18"/>
                <w:color w:val="auto"/>
              </w:rPr>
              <w:t>Date: August 29, 2018</w:t>
            </w:r>
          </w:p>
        </w:tc>
        <w:tc>
          <w:tcPr>
            <w:tcW w:w="5940" w:type="dxa"/>
            <w:vAlign w:val="bottom"/>
            <w:gridSpan w:val="3"/>
          </w:tcPr>
          <w:p>
            <w:pPr>
              <w:ind w:left="2020"/>
              <w:spacing w:after="0"/>
              <w:rPr>
                <w:sz w:val="20"/>
                <w:szCs w:val="20"/>
                <w:color w:val="auto"/>
              </w:rPr>
            </w:pPr>
            <w:r>
              <w:rPr>
                <w:rFonts w:ascii="Arial" w:cs="Arial" w:eastAsia="Arial" w:hAnsi="Arial"/>
                <w:sz w:val="18"/>
                <w:szCs w:val="18"/>
                <w:color w:val="auto"/>
              </w:rPr>
              <w:t>By: /s/ Michael Wolff Jensen</w:t>
            </w:r>
          </w:p>
        </w:tc>
      </w:tr>
      <w:tr>
        <w:trPr>
          <w:trHeight w:val="20"/>
        </w:trPr>
        <w:tc>
          <w:tcPr>
            <w:tcW w:w="3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3460" w:type="dxa"/>
            <w:vAlign w:val="bottom"/>
          </w:tcPr>
          <w:p>
            <w:pPr>
              <w:spacing w:after="0"/>
              <w:rPr>
                <w:sz w:val="19"/>
                <w:szCs w:val="19"/>
                <w:color w:val="auto"/>
              </w:rPr>
            </w:pPr>
          </w:p>
        </w:tc>
        <w:tc>
          <w:tcPr>
            <w:tcW w:w="5940" w:type="dxa"/>
            <w:vAlign w:val="bottom"/>
            <w:gridSpan w:val="3"/>
          </w:tcPr>
          <w:p>
            <w:pPr>
              <w:ind w:left="2020"/>
              <w:spacing w:after="0"/>
              <w:rPr>
                <w:sz w:val="20"/>
                <w:szCs w:val="20"/>
                <w:color w:val="auto"/>
              </w:rPr>
            </w:pPr>
            <w:r>
              <w:rPr>
                <w:rFonts w:ascii="Arial" w:cs="Arial" w:eastAsia="Arial" w:hAnsi="Arial"/>
                <w:sz w:val="18"/>
                <w:szCs w:val="18"/>
                <w:color w:val="auto"/>
              </w:rPr>
              <w:t>Michael Wolff Jensen</w:t>
            </w:r>
          </w:p>
        </w:tc>
      </w:tr>
      <w:tr>
        <w:trPr>
          <w:trHeight w:val="230"/>
        </w:trPr>
        <w:tc>
          <w:tcPr>
            <w:tcW w:w="3460" w:type="dxa"/>
            <w:vAlign w:val="bottom"/>
          </w:tcPr>
          <w:p>
            <w:pPr>
              <w:spacing w:after="0"/>
              <w:rPr>
                <w:sz w:val="20"/>
                <w:szCs w:val="20"/>
                <w:color w:val="auto"/>
              </w:rPr>
            </w:pPr>
          </w:p>
        </w:tc>
        <w:tc>
          <w:tcPr>
            <w:tcW w:w="5940" w:type="dxa"/>
            <w:vAlign w:val="bottom"/>
            <w:gridSpan w:val="3"/>
          </w:tcPr>
          <w:p>
            <w:pPr>
              <w:ind w:left="2020"/>
              <w:spacing w:after="0"/>
              <w:rPr>
                <w:sz w:val="20"/>
                <w:szCs w:val="20"/>
                <w:color w:val="auto"/>
              </w:rPr>
            </w:pPr>
            <w:r>
              <w:rPr>
                <w:rFonts w:ascii="Arial" w:cs="Arial" w:eastAsia="Arial" w:hAnsi="Arial"/>
                <w:sz w:val="18"/>
                <w:szCs w:val="18"/>
                <w:color w:val="auto"/>
                <w:w w:val="89"/>
              </w:rPr>
              <w:t>Chairman and Senior Vice President, General Counsel</w:t>
            </w:r>
          </w:p>
        </w:tc>
      </w:tr>
    </w:tbl>
    <w:p>
      <w:pPr>
        <w:sectPr>
          <w:pgSz w:w="11900" w:h="16838" w:orient="portrait"/>
          <w:cols w:equalWidth="0" w:num="1">
            <w:col w:w="10680"/>
          </w:cols>
          <w:pgMar w:left="440" w:top="270" w:right="7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Exhibit 99.1</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ASCENDIS PHARMA A/S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974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20" w:type="dxa"/>
            <w:vAlign w:val="bottom"/>
            <w:gridSpan w:val="7"/>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Interim Statements of Profit or Loss and Other Comprehensive Income / (Loss) for the Three and Six</w:t>
              </w:r>
            </w:hyperlink>
          </w:p>
        </w:tc>
        <w:tc>
          <w:tcPr>
            <w:tcW w:w="7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9920" w:type="dxa"/>
            <w:vAlign w:val="bottom"/>
            <w:tcBorders>
              <w:bottom w:val="single" w:sz="8" w:color="0000EE"/>
            </w:tcBorders>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June 30, 2018 and 2017</w:t>
              </w:r>
            </w:hyperlink>
          </w:p>
        </w:tc>
        <w:tc>
          <w:tcPr>
            <w:tcW w:w="692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8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Interim Statements of Financial Position as of June 30, 2018 and December 31, 2017</w:t>
              </w:r>
            </w:hyperlink>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992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Interim Statements of Changes in Equity at June 30, 2018 and 2017</w:t>
              </w:r>
            </w:hyperlink>
          </w:p>
        </w:tc>
        <w:tc>
          <w:tcPr>
            <w:tcW w:w="7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564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92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Interim Cash Flow Statements for the Six Months Ended June 30, 2018 and 2017</w:t>
              </w:r>
            </w:hyperlink>
          </w:p>
        </w:tc>
        <w:tc>
          <w:tcPr>
            <w:tcW w:w="7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5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the Unaudited Condensed Consolidated Interim Financial Statements</w:t>
              </w:r>
            </w:hyperlink>
          </w:p>
        </w:tc>
        <w:tc>
          <w:tcPr>
            <w:tcW w:w="2840" w:type="dxa"/>
            <w:vAlign w:val="bottom"/>
            <w:tcBorders>
              <w:top w:val="single" w:sz="8" w:color="0000EE"/>
            </w:tcBorders>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Other Comprehensive Income / (Loss) for the Three and Six Months Ended June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Notes</w:t>
            </w:r>
          </w:p>
        </w:tc>
        <w:tc>
          <w:tcPr>
            <w:tcW w:w="2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7"/>
              </w:rPr>
              <w:t>Three Months Ended June 30</w:t>
            </w:r>
          </w:p>
        </w:tc>
        <w:tc>
          <w:tcPr>
            <w:tcW w:w="2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40" w:type="dxa"/>
            <w:vAlign w:val="bottom"/>
            <w:gridSpan w:val="3"/>
          </w:tcPr>
          <w:p>
            <w:pPr>
              <w:jc w:val="right"/>
              <w:ind w:right="612"/>
              <w:spacing w:after="0" w:line="142" w:lineRule="exact"/>
              <w:rPr>
                <w:sz w:val="20"/>
                <w:szCs w:val="20"/>
                <w:color w:val="auto"/>
              </w:rPr>
            </w:pPr>
            <w:r>
              <w:rPr>
                <w:rFonts w:ascii="Arial" w:cs="Arial" w:eastAsia="Arial" w:hAnsi="Arial"/>
                <w:sz w:val="14"/>
                <w:szCs w:val="14"/>
                <w:b w:val="1"/>
                <w:bCs w:val="1"/>
                <w:color w:val="auto"/>
              </w:rPr>
              <w:t>(EUR’000)</w:t>
            </w:r>
          </w:p>
        </w:tc>
        <w:tc>
          <w:tcPr>
            <w:tcW w:w="300" w:type="dxa"/>
            <w:vAlign w:val="bottom"/>
          </w:tcPr>
          <w:p>
            <w:pPr>
              <w:spacing w:after="0"/>
              <w:rPr>
                <w:sz w:val="12"/>
                <w:szCs w:val="12"/>
                <w:color w:val="auto"/>
              </w:rPr>
            </w:pPr>
          </w:p>
        </w:tc>
        <w:tc>
          <w:tcPr>
            <w:tcW w:w="2040" w:type="dxa"/>
            <w:vAlign w:val="bottom"/>
            <w:gridSpan w:val="3"/>
          </w:tcPr>
          <w:p>
            <w:pPr>
              <w:jc w:val="right"/>
              <w:ind w:right="612"/>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(40,235)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(21,880)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(70,775)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(45,443)</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(24,667)</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(80,617)</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Finance expenses</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(6,234)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(22,876)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(30,743)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(64,358)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8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(22,777)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(30,706)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(55,845)</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8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(22,775)</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(30,664)</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(64,159)</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(22,777)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(30,706)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w w:val="94"/>
              </w:rPr>
              <w:t>Total comprehensive income / (loss) for the period attributable to owners of</w:t>
            </w:r>
          </w:p>
        </w:tc>
        <w:tc>
          <w:tcPr>
            <w:tcW w:w="86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(22,775)</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(30,664)</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(64,159)</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(55,799)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the Company</w:t>
            </w:r>
          </w:p>
        </w:tc>
        <w:tc>
          <w:tcPr>
            <w:tcW w:w="8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EUR</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EUR</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 (loss) per share</w:t>
            </w:r>
          </w:p>
        </w:tc>
        <w:tc>
          <w:tcPr>
            <w:tcW w:w="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Diluted earnings / (loss) per share</w:t>
            </w:r>
          </w:p>
        </w:tc>
        <w:tc>
          <w:tcPr>
            <w:tcW w:w="8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for calculation (basic)</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41,650,907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32,502,555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40,182,701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32,465,935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(diluted) </w:t>
            </w:r>
            <w:r>
              <w:rPr>
                <w:rFonts w:ascii="Arial" w:cs="Arial" w:eastAsia="Arial" w:hAnsi="Arial"/>
                <w:sz w:val="15"/>
                <w:szCs w:val="15"/>
                <w:color w:val="auto"/>
              </w:rPr>
              <w:t>(1)</w:t>
            </w:r>
          </w:p>
        </w:tc>
        <w:tc>
          <w:tcPr>
            <w:tcW w:w="8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41,650,907</w:t>
            </w:r>
          </w:p>
        </w:tc>
        <w:tc>
          <w:tcPr>
            <w:tcW w:w="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32,502,555</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40,182,701</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32,465,935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20" w:right="100" w:hanging="316"/>
        <w:spacing w:after="0" w:line="238" w:lineRule="auto"/>
        <w:tabs>
          <w:tab w:leader="none" w:pos="320" w:val="left"/>
        </w:tabs>
        <w:numPr>
          <w:ilvl w:val="0"/>
          <w:numId w:val="1"/>
        </w:numPr>
        <w:rPr>
          <w:rFonts w:ascii="Arial" w:cs="Arial" w:eastAsia="Arial" w:hAnsi="Arial"/>
          <w:sz w:val="12"/>
          <w:szCs w:val="12"/>
          <w:color w:val="auto"/>
        </w:rPr>
      </w:pPr>
      <w:r>
        <w:rPr>
          <w:rFonts w:ascii="Arial" w:cs="Arial" w:eastAsia="Arial" w:hAnsi="Arial"/>
          <w:sz w:val="14"/>
          <w:szCs w:val="14"/>
          <w:color w:val="auto"/>
        </w:rPr>
        <w:t>A total of 4,479,691 warrants outstanding as of June 30, 2018 can potentially dilute earnings per share in the future, but have not been included in the calculation of diluted earnings per share because they are antidilutive for the periods presented. Similarly, a total of 3,689,506 warrants outstanding as of June 30, 2017 are also considered antidilutive for the periods presented and have not been included in the calculation.</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440" w:top="270" w:right="4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Financial 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2018</w:t>
            </w: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850"/>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7,207</w:t>
            </w:r>
          </w:p>
        </w:tc>
        <w:tc>
          <w:tcPr>
            <w:tcW w:w="5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Trade receivables</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Prepayments</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5,934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352,601</w:t>
            </w:r>
          </w:p>
        </w:tc>
        <w:tc>
          <w:tcPr>
            <w:tcW w:w="5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361,657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368,864</w:t>
            </w:r>
          </w:p>
        </w:tc>
        <w:tc>
          <w:tcPr>
            <w:tcW w:w="5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Distributable equity</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326,606</w:t>
            </w:r>
          </w:p>
        </w:tc>
        <w:tc>
          <w:tcPr>
            <w:tcW w:w="5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332,225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taxes payable</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36,639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36,639</w:t>
            </w:r>
          </w:p>
        </w:tc>
        <w:tc>
          <w:tcPr>
            <w:tcW w:w="5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368,864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960" w:type="dxa"/>
            <w:vAlign w:val="bottom"/>
            <w:gridSpan w:val="2"/>
            <w:vMerge w:val="restart"/>
          </w:tcPr>
          <w:p>
            <w:pPr>
              <w:jc w:val="right"/>
              <w:ind w:right="2260"/>
              <w:spacing w:after="0"/>
              <w:rPr>
                <w:sz w:val="20"/>
                <w:szCs w:val="20"/>
                <w:color w:val="auto"/>
              </w:rPr>
            </w:pPr>
            <w:r>
              <w:rPr>
                <w:rFonts w:ascii="Arial" w:cs="Arial" w:eastAsia="Arial" w:hAnsi="Arial"/>
                <w:sz w:val="18"/>
                <w:szCs w:val="18"/>
                <w:color w:val="auto"/>
              </w:rPr>
              <w:t>F-3</w:t>
            </w: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Distributable Equity</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rPr>
              <w:t>Foreign</w:t>
            </w:r>
          </w:p>
        </w:tc>
        <w:tc>
          <w:tcPr>
            <w:tcW w:w="900" w:type="dxa"/>
            <w:vAlign w:val="bottom"/>
            <w:gridSpan w:val="2"/>
            <w:vMerge w:val="restart"/>
          </w:tcPr>
          <w:p>
            <w:pPr>
              <w:jc w:val="center"/>
              <w:ind w:left="16"/>
              <w:spacing w:after="0"/>
              <w:rPr>
                <w:sz w:val="20"/>
                <w:szCs w:val="20"/>
                <w:color w:val="auto"/>
              </w:rPr>
            </w:pPr>
            <w:r>
              <w:rPr>
                <w:rFonts w:ascii="Arial" w:cs="Arial" w:eastAsia="Arial" w:hAnsi="Arial"/>
                <w:sz w:val="14"/>
                <w:szCs w:val="14"/>
                <w:b w:val="1"/>
                <w:bCs w:val="1"/>
                <w:color w:val="auto"/>
                <w:w w:val="90"/>
              </w:rPr>
              <w:t>Share-based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w:t>
            </w:r>
          </w:p>
        </w:tc>
        <w:tc>
          <w:tcPr>
            <w:tcW w:w="4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2"/>
                <w:szCs w:val="12"/>
                <w:color w:val="auto"/>
              </w:rPr>
            </w:pPr>
          </w:p>
        </w:tc>
        <w:tc>
          <w:tcPr>
            <w:tcW w:w="88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2"/>
            <w:vMerge w:val="continue"/>
          </w:tcPr>
          <w:p>
            <w:pPr>
              <w:spacing w:after="0"/>
              <w:rPr>
                <w:sz w:val="12"/>
                <w:szCs w:val="12"/>
                <w:color w:val="auto"/>
              </w:rPr>
            </w:pPr>
          </w:p>
        </w:tc>
        <w:tc>
          <w:tcPr>
            <w:tcW w:w="13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40" w:type="dxa"/>
            <w:vAlign w:val="bottom"/>
            <w:gridSpan w:val="4"/>
          </w:tcPr>
          <w:p>
            <w:pPr>
              <w:ind w:left="102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Premium</w:t>
            </w:r>
          </w:p>
        </w:tc>
        <w:tc>
          <w:tcPr>
            <w:tcW w:w="120" w:type="dxa"/>
            <w:vAlign w:val="bottom"/>
          </w:tcPr>
          <w:p>
            <w:pPr>
              <w:spacing w:after="0"/>
              <w:rPr>
                <w:sz w:val="14"/>
                <w:szCs w:val="14"/>
                <w:color w:val="auto"/>
              </w:rPr>
            </w:pPr>
          </w:p>
        </w:tc>
        <w:tc>
          <w:tcPr>
            <w:tcW w:w="8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95"/>
              <w:spacing w:after="0" w:line="142" w:lineRule="exact"/>
              <w:rPr>
                <w:sz w:val="20"/>
                <w:szCs w:val="20"/>
                <w:color w:val="auto"/>
              </w:rPr>
            </w:pPr>
            <w:r>
              <w:rPr>
                <w:rFonts w:ascii="Arial" w:cs="Arial" w:eastAsia="Arial" w:hAnsi="Arial"/>
                <w:sz w:val="14"/>
                <w:szCs w:val="14"/>
                <w:b w:val="1"/>
                <w:bCs w:val="1"/>
                <w:color w:val="auto"/>
                <w:w w:val="99"/>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2017</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w w:val="88"/>
              </w:rPr>
              <w:t>4,967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422,675</w:t>
            </w: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22,793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(263,210)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for the period</w:t>
            </w:r>
          </w:p>
        </w:tc>
        <w:tc>
          <w:tcPr>
            <w:tcW w:w="108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(64,152)</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0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0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0"/>
        </w:trPr>
        <w:tc>
          <w:tcPr>
            <w:tcW w:w="442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(7)</w:t>
            </w:r>
          </w:p>
        </w:tc>
        <w:tc>
          <w:tcPr>
            <w:tcW w:w="120" w:type="dxa"/>
            <w:vAlign w:val="bottom"/>
            <w:vMerge w:val="continue"/>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6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(64,152)</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(64,159</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0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Capital increase</w:t>
            </w:r>
          </w:p>
        </w:tc>
        <w:tc>
          <w:tcPr>
            <w:tcW w:w="1500" w:type="dxa"/>
            <w:vAlign w:val="bottom"/>
            <w:gridSpan w:val="2"/>
          </w:tcPr>
          <w:p>
            <w:pPr>
              <w:ind w:left="1220"/>
              <w:spacing w:after="0"/>
              <w:rPr>
                <w:sz w:val="20"/>
                <w:szCs w:val="20"/>
                <w:color w:val="auto"/>
              </w:rPr>
            </w:pPr>
            <w:r>
              <w:rPr>
                <w:rFonts w:ascii="Arial" w:cs="Arial" w:eastAsia="Arial" w:hAnsi="Arial"/>
                <w:sz w:val="18"/>
                <w:szCs w:val="18"/>
                <w:color w:val="auto"/>
                <w:w w:val="86"/>
              </w:rPr>
              <w:t>652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212,738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213,390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0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Equity at June 30, 2018</w:t>
            </w:r>
          </w:p>
        </w:tc>
        <w:tc>
          <w:tcPr>
            <w:tcW w:w="10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8"/>
              </w:rPr>
              <w:t>5,619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622,295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31,694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(327,362)</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332,225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Distributable Equity</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rPr>
              <w:t>Foreign</w:t>
            </w:r>
          </w:p>
        </w:tc>
        <w:tc>
          <w:tcPr>
            <w:tcW w:w="900" w:type="dxa"/>
            <w:vAlign w:val="bottom"/>
            <w:gridSpan w:val="2"/>
            <w:vMerge w:val="restart"/>
          </w:tcPr>
          <w:p>
            <w:pPr>
              <w:jc w:val="center"/>
              <w:ind w:left="16"/>
              <w:spacing w:after="0"/>
              <w:rPr>
                <w:sz w:val="20"/>
                <w:szCs w:val="20"/>
                <w:color w:val="auto"/>
              </w:rPr>
            </w:pPr>
            <w:r>
              <w:rPr>
                <w:rFonts w:ascii="Arial" w:cs="Arial" w:eastAsia="Arial" w:hAnsi="Arial"/>
                <w:sz w:val="14"/>
                <w:szCs w:val="14"/>
                <w:b w:val="1"/>
                <w:bCs w:val="1"/>
                <w:color w:val="auto"/>
                <w:w w:val="90"/>
              </w:rPr>
              <w:t>Share-based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2"/>
                <w:szCs w:val="12"/>
                <w:color w:val="auto"/>
              </w:rPr>
            </w:pPr>
          </w:p>
        </w:tc>
        <w:tc>
          <w:tcPr>
            <w:tcW w:w="88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2"/>
            <w:vMerge w:val="continue"/>
          </w:tcPr>
          <w:p>
            <w:pPr>
              <w:spacing w:after="0"/>
              <w:rPr>
                <w:sz w:val="12"/>
                <w:szCs w:val="12"/>
                <w:color w:val="auto"/>
              </w:rPr>
            </w:pPr>
          </w:p>
        </w:tc>
        <w:tc>
          <w:tcPr>
            <w:tcW w:w="13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3"/>
            <w:vMerge w:val="continue"/>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Premium</w:t>
            </w:r>
          </w:p>
        </w:tc>
        <w:tc>
          <w:tcPr>
            <w:tcW w:w="120" w:type="dxa"/>
            <w:vAlign w:val="bottom"/>
          </w:tcPr>
          <w:p>
            <w:pPr>
              <w:spacing w:after="0"/>
              <w:rPr>
                <w:sz w:val="14"/>
                <w:szCs w:val="14"/>
                <w:color w:val="auto"/>
              </w:rPr>
            </w:pPr>
          </w:p>
        </w:tc>
        <w:tc>
          <w:tcPr>
            <w:tcW w:w="8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75"/>
              <w:spacing w:after="0" w:line="142" w:lineRule="exact"/>
              <w:rPr>
                <w:sz w:val="20"/>
                <w:szCs w:val="20"/>
                <w:color w:val="auto"/>
              </w:rPr>
            </w:pPr>
            <w:r>
              <w:rPr>
                <w:rFonts w:ascii="Arial" w:cs="Arial" w:eastAsia="Arial" w:hAnsi="Arial"/>
                <w:sz w:val="14"/>
                <w:szCs w:val="14"/>
                <w:b w:val="1"/>
                <w:bCs w:val="1"/>
                <w:color w:val="auto"/>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298,567</w:t>
            </w: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13,084</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(139,313)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176,613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for the period</w:t>
            </w:r>
          </w:p>
        </w:tc>
        <w:tc>
          <w:tcPr>
            <w:tcW w:w="1080" w:type="dxa"/>
            <w:vAlign w:val="bottom"/>
          </w:tcPr>
          <w:p>
            <w:pPr>
              <w:spacing w:after="0"/>
              <w:rPr>
                <w:sz w:val="18"/>
                <w:szCs w:val="18"/>
                <w:color w:val="auto"/>
              </w:rPr>
            </w:pP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(55,845)</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0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080" w:type="dxa"/>
            <w:vAlign w:val="bottom"/>
          </w:tcPr>
          <w:p>
            <w:pPr>
              <w:spacing w:after="0"/>
              <w:rPr>
                <w:sz w:val="19"/>
                <w:szCs w:val="19"/>
                <w:color w:val="auto"/>
              </w:rPr>
            </w:pPr>
          </w:p>
        </w:tc>
        <w:tc>
          <w:tcPr>
            <w:tcW w:w="4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(55,845)</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(55,799)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0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Capital increase</w:t>
            </w:r>
          </w:p>
        </w:tc>
        <w:tc>
          <w:tcPr>
            <w:tcW w:w="10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June 30, 2017</w:t>
            </w:r>
          </w:p>
        </w:tc>
        <w:tc>
          <w:tcPr>
            <w:tcW w:w="10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4,365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299,200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18,094</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(195,158)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126,468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40" w:type="dxa"/>
            <w:vAlign w:val="bottom"/>
            <w:gridSpan w:val="4"/>
          </w:tcPr>
          <w:p>
            <w:pPr>
              <w:ind w:left="960"/>
              <w:spacing w:after="0"/>
              <w:rPr>
                <w:sz w:val="20"/>
                <w:szCs w:val="20"/>
                <w:color w:val="auto"/>
              </w:rPr>
            </w:pPr>
            <w:r>
              <w:rPr>
                <w:rFonts w:ascii="Arial" w:cs="Arial" w:eastAsia="Arial" w:hAnsi="Arial"/>
                <w:sz w:val="18"/>
                <w:szCs w:val="18"/>
                <w:color w:val="auto"/>
              </w:rPr>
              <w:t>F-4</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gridSpan w:val="3"/>
          </w:tcPr>
          <w:p>
            <w:pPr>
              <w:ind w:left="8680"/>
              <w:spacing w:after="0"/>
              <w:rPr>
                <w:sz w:val="20"/>
                <w:szCs w:val="20"/>
                <w:color w:val="auto"/>
              </w:rPr>
            </w:pPr>
            <w:r>
              <w:rPr>
                <w:rFonts w:ascii="Arial" w:cs="Arial" w:eastAsia="Arial" w:hAnsi="Arial"/>
                <w:sz w:val="14"/>
                <w:szCs w:val="14"/>
                <w:b w:val="1"/>
                <w:bCs w:val="1"/>
                <w:color w:val="auto"/>
              </w:rPr>
              <w:t>Notes</w:t>
            </w: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391"/>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Net profit / (loss) for the period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(64,152)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(16,270)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Reversal of finance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Deposits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Other receivables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Trade payables and other payables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(58,574)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Finance income received</w:t>
            </w:r>
          </w:p>
        </w:tc>
        <w:tc>
          <w:tcPr>
            <w:tcW w:w="660" w:type="dxa"/>
            <w:vAlign w:val="bottom"/>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expenses paid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Income taxes received / (paid)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(56,851)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(45,167)</w:t>
            </w: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Capital increase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213,390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200,272</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142,984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(45,108)</w:t>
            </w: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color w:val="auto"/>
              </w:rPr>
              <w:t>Cash and cash equivalents at January 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195,351</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352,601</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127,320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80" w:type="dxa"/>
            <w:vAlign w:val="bottom"/>
            <w:gridSpan w:val="3"/>
          </w:tcPr>
          <w:p>
            <w:pPr>
              <w:ind w:left="5360"/>
              <w:spacing w:after="0"/>
              <w:rPr>
                <w:sz w:val="20"/>
                <w:szCs w:val="20"/>
                <w:color w:val="auto"/>
              </w:rPr>
            </w:pPr>
            <w:r>
              <w:rPr>
                <w:rFonts w:ascii="Arial" w:cs="Arial" w:eastAsia="Arial" w:hAnsi="Arial"/>
                <w:sz w:val="18"/>
                <w:szCs w:val="18"/>
                <w:color w:val="auto"/>
              </w:rPr>
              <w:t>F-5</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technology to build a leading, fully integrated biopharma company. Ascendis Pharma A/S was incorporated in 2006 and is headquartered in Hellerup, Denmark. Unless the context otherwise requires, references to the “Company,” “we,” “us” and “our” refer to Ascendis Pharma A/S and its subsidiaries.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August 29, 2018.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unaudited condensed consolidated interim financial statements of the Company are prepared in accordance with International Accounting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Standard 34, “Interim Financial Reporting”. Certain information and disclosures normally included in the consolidated financial statements prepared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International Financial Reporting Standards (“IFRS”) have been condensed or omitted. Accordingly, these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interim financial statements should be read in conjunction with the Company’s annual consolidated financial statements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accompanying notes, which have been prepared in accordance with IFRS as issued by the International Accounting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and as adopted by the European Union.</w:t>
      </w:r>
    </w:p>
    <w:p>
      <w:pPr>
        <w:spacing w:after="0" w:line="211"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condensed consolidated interim financial statements are disclosed in Note 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As of January 1, 2018, the Company has adopted IFRS 9, “Financial Instruments”, which introduces a new impairment model for financial assets measured at amortized cost based on an expected credit loss model, which currently applies to the Company’s bank deposits and trade receivables. The adoption of IFRS 9 had no material impact on the Company’s financial reporting. Further, the Company has adopted IFRS 15, “Revenue from Contracts with Customers”, which establishes a single, comprehensive framework for revenue recognition, based on a five-step model, which applies to the Company’s licensing agreements with multiple activities. IFRS 15 was adopted using the ‘retrospective method with the cumulative effect of initially applying this standard recognized at the date of the initial application’. The adoption of IFRS 15 had no impact on the Company’s financial reporting.</w:t>
      </w:r>
    </w:p>
    <w:p>
      <w:pPr>
        <w:spacing w:after="0" w:line="16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Except for the adoption of these two new standards, the accounting policies applied when preparing these condensed consolidated interim financial statements have been applied consistently to all the periods presented, unless otherwise stated and are consistent with those of the Company’s most recent annual consolidated financial statements. A description of our accounting policies is provided in the Accounting Policies section of the audited consolidated financial statements as of and for the year ended December 31,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Presentation</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has changed its accounting policy for the presentation of exchange rate gains and losses in the Unaudited Condensed Consolidated Interim Statements of Profit or Loss and Other Comprehensive Income / (Loss). On the basis that the foreign exchange rate movements primarily impact the Company’s balance of cash and cash equivalents, exchange rate gains and losses are now reported net for the accumulated period and not as an aggregation of the quarterly reported exchange rate gains and losses. The Company believes that the revised presentation more appropriately presents the overall impact of changes in foreign exchange rates. The change has had no effect on the reported comparative figures for profit or loss, assets, liabilities, cash flows or earnings per share.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financial statements relate to revenue recognition, share-based payment, internally generated intangible assets, and joint arrangements / collaboration agreements.</w:t>
      </w:r>
    </w:p>
    <w:p>
      <w:pPr>
        <w:spacing w:after="0" w:line="18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relate to impairment of goodwill and to recognition of accruals for manufacturing and clinical trial activities. There have been no changes to the application of significant accounting estimates, and no impairment losses have been recognized during the first six months of 2018 or 2017.</w:t>
      </w:r>
    </w:p>
    <w:p>
      <w:pPr>
        <w:spacing w:after="0" w:line="18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annual consolidated financial statements for the year ended December 31, 2017.</w:t>
      </w:r>
    </w:p>
    <w:p>
      <w:pPr>
        <w:sectPr>
          <w:pgSz w:w="11900" w:h="16838" w:orient="portrait"/>
          <w:cols w:equalWidth="0" w:num="1">
            <w:col w:w="11000"/>
          </w:cols>
          <w:pgMar w:left="440" w:top="270" w:right="45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4—Revenue</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5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8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2"/>
                <w:szCs w:val="12"/>
                <w:color w:val="auto"/>
              </w:rPr>
            </w:pPr>
          </w:p>
        </w:tc>
        <w:tc>
          <w:tcPr>
            <w:tcW w:w="42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gridSpan w:val="3"/>
          </w:tcPr>
          <w:p>
            <w:pPr>
              <w:jc w:val="center"/>
              <w:ind w:left="358"/>
              <w:spacing w:after="0" w:line="142" w:lineRule="exact"/>
              <w:rPr>
                <w:sz w:val="20"/>
                <w:szCs w:val="20"/>
                <w:color w:val="auto"/>
              </w:rPr>
            </w:pPr>
            <w:r>
              <w:rPr>
                <w:rFonts w:ascii="Arial" w:cs="Arial" w:eastAsia="Arial" w:hAnsi="Arial"/>
                <w:sz w:val="14"/>
                <w:szCs w:val="14"/>
                <w:b w:val="1"/>
                <w:bCs w:val="1"/>
                <w:color w:val="auto"/>
                <w:w w:val="99"/>
              </w:rPr>
              <w:t>(EUR’000)</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jc w:val="center"/>
              <w:ind w:left="301"/>
              <w:spacing w:after="0" w:line="142" w:lineRule="exact"/>
              <w:rPr>
                <w:sz w:val="20"/>
                <w:szCs w:val="20"/>
                <w:color w:val="auto"/>
              </w:rPr>
            </w:pPr>
            <w:r>
              <w:rPr>
                <w:rFonts w:ascii="Arial" w:cs="Arial" w:eastAsia="Arial" w:hAnsi="Arial"/>
                <w:sz w:val="14"/>
                <w:szCs w:val="14"/>
                <w:b w:val="1"/>
                <w:bCs w:val="1"/>
                <w:color w:val="auto"/>
                <w:w w:val="99"/>
              </w:rPr>
              <w:t>(EUR’000)</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 (geographical)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USA</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5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 except for the geographical information on revenue included in Note 4.</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900"/>
          </w:cols>
          <w:pgMar w:left="440" w:top="121" w:right="559" w:bottom="1440" w:gutter="0" w:footer="0" w:header="0"/>
        </w:sectPr>
      </w:pPr>
    </w:p>
    <w:bookmarkStart w:id="10" w:name="page11"/>
    <w:bookmarkEnd w:id="10"/>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6—Warrants and Share-based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our Board of Directors and select external consultants.</w:t>
      </w:r>
    </w:p>
    <w:p>
      <w:pPr>
        <w:spacing w:after="0" w:line="17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Warrants are granted by the Board of Directors in accordance with authorizations given to it by the shareholders of Ascendis Pharma A/S. As of June 30, 2018, 6,630,437 warrants had been granted, of which 19,580 warrants have been cancelled, 1,918,670 warrants have been exercised, 2,168 warrants have expired without being exercised, and 210,328 warrants have been forfeited. As of June 30, 2018, our Board of Directors was authorized to grant up to 3,985,875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The exercise prices of outstanding warrants under our warrant programs range from €6.48 to €60.23 depending on the grant dates. Vested warrants may be exercised in two or four annual exercise periods. Apart from exercise prices and exercise periods, the programs are similar.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specifies the warrant activity during the six months ended June 30, 2018:</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4,621,154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189,625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(317,825)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(13,263)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Outstanding at June 30,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4,479,691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2,248,000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w:t>
      </w:r>
    </w:p>
    <w:p>
      <w:pPr>
        <w:spacing w:after="0" w:line="25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6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30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1,964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4,349</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2,411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4"/>
              </w:rPr>
              <w:t>2,258</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1,183</w:t>
            </w:r>
          </w:p>
        </w:tc>
        <w:tc>
          <w:tcPr>
            <w:tcW w:w="300" w:type="dxa"/>
            <w:vAlign w:val="bottom"/>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4,552</w:t>
            </w:r>
          </w:p>
        </w:tc>
        <w:tc>
          <w:tcPr>
            <w:tcW w:w="280" w:type="dxa"/>
            <w:vAlign w:val="bottom"/>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2,599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4"/>
              </w:rPr>
              <w:t>4,222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2,305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88"/>
              </w:rPr>
              <w:t>8,901</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5,010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 capital of Ascendis Pharma A/S consists of 41,841,590 shares at a nominal value of DKK 1, all in the same share class.</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On February 26, 2018, the Company completed the sale and issuance of 4,539,473 ADSs in a public offering, increasing the Company’s share capital from 36,984,292 shares to 41,523,765 shares.</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In April and June 2018, an aggregate of 317,825 warrants were exercised, increasing the Company’s share capital from 41,523,765 shares to 41,841,590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events have occurred after the balance sheet date that would have a significant impact on the results or financial position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2017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86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ongoing Phase 3 pediatric studies of TransCon Growth Hormone or hGH and our Phase 1 study of TransCon C-Type Natriuretic Peptide, or CNP;</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860" w:right="54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technology;</w:t>
      </w:r>
    </w:p>
    <w:p>
      <w:pPr>
        <w:spacing w:after="0" w:line="130"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with regard to our current and future collaboration partners to pursue the development of our product candidates;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ectPr>
          <w:pgSz w:w="11900" w:h="16838" w:orient="portrait"/>
          <w:cols w:equalWidth="0" w:num="1">
            <w:col w:w="11020"/>
          </w:cols>
          <w:pgMar w:left="440" w:top="121" w:right="439" w:bottom="1440" w:gutter="0" w:footer="0" w:header="0"/>
        </w:sectPr>
      </w:pPr>
    </w:p>
    <w:bookmarkStart w:id="12" w:name="page13"/>
    <w:bookmarkEnd w:id="12"/>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860" w:right="5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2017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(the “SEC”)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are a biopharmaceutical company applying our innovative TransCon technology to build a leading, fully integrated biopharma company. We are developing a pipeline of prodrug therapies with potential best-in-class profiles to address significant unmet medical needs. We have created a portfolio of potential best-in-class rare disease endocrinology product candidates to address unmet medical needs by utilizing our TransCon technology with clinically validated parent drugs. We currently have three product candidates in clinical development.</w:t>
      </w:r>
    </w:p>
    <w:p>
      <w:pPr>
        <w:spacing w:after="0" w:line="17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Our most advanced product candidate, TransCon hGH, is in development as a once-weekly therapy to treat growth hormone deficiency, or GHD, and other indications. In January 2018, we completed enrollment in the pivotal Phase 3 trial of TransCon hGH, the heiGHt Trial, in children with GHD and the observed aggregate data from the heiGHt Trial continue to demonstrate a safety profile consistent with the published safety profile of the active comparator, Genotropin. We anticipate top-line data from the ongoing heiGHt Trial in the first quarter of 2019. We are also conducting two additional trials, the fliGHt Trial, which evaluates TransCon hGH in subjects previously treated with daily GH, and the enliGHten Trial, which evaluates long-term safety of TransCon hGH in subjects from both the heiGHt and fliGHt Trials. We believe that TransCon hGH may offer a once-weekly therapy for pediatric GHD with comparable safety, efficacy and tolerability to currently approved daily recombinant human growth hormone, known as rhGH or GH. Clinical trials of TransCon hGH have demonstrated a comparable efficacy, safety, tolerability and immunogenic profile to that of daily growth hormone. If approved, TransCon hGH may reduce the burden of daily treatment by requiring significantly fewer injections, which may improve compliance and treatment outcomes.</w:t>
      </w:r>
    </w:p>
    <w:p>
      <w:pPr>
        <w:spacing w:after="0" w:line="17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are also using our TransCon technology platform to develop TransCon Parathyroid Hormone, or TransCon PTH, which is designed as a once-daily long-acting injectable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In this trial, TransCon PTH showed the predicted pharmacokinetic and pharmacodynamic response, suggesting the ability to normalize serum and urinary calcium levels in patients with hypoparathyroidism. We believe our TransCon PTH may provide patients suffering from hypoparathyroidism with a PTH replacement therapy that is designed to fully address all aspects of the disease more than standard of care or currently approved therapies.</w:t>
      </w:r>
    </w:p>
    <w:p>
      <w:pPr>
        <w:sectPr>
          <w:pgSz w:w="11900" w:h="16838" w:orient="portrait"/>
          <w:cols w:equalWidth="0" w:num="1">
            <w:col w:w="11020"/>
          </w:cols>
          <w:pgMar w:left="440" w:top="274" w:right="439" w:bottom="1440" w:gutter="0" w:footer="0" w:header="0"/>
        </w:sectPr>
      </w:pPr>
    </w:p>
    <w:bookmarkStart w:id="13" w:name="page14"/>
    <w:bookmarkEnd w:id="13"/>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also developing TransCon C-Type Natriuretic Peptide, or TransCon CNP, a long-acting prodrug of C-type natriuretic peptide, for the treatment of achondroplasia, the most common form of dwarfism. Currently, there are no medical therapies for achondroplasia approved by the U.S. Food and Drug Administration, or the FDA. TransCon CNP utilizes our TransCon technology platform to deliver a long-acting C-type natriuretic peptide, or CNP, prodrug as a therapeutic option for achondroplasia and potentially other skeletal disorders. CNP as a therapeutic approach is supported by extensive preclinical and clinical data. In May 2018, we initiated dosing of healthy subjects in a Phase 1 clinical trial of TransCon CNP. We anticipate top-line results from this trial in the fourth quarter of 2018.</w:t>
      </w:r>
    </w:p>
    <w:p>
      <w:pPr>
        <w:spacing w:after="0" w:line="193"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 addition to our wholly-owned candidates in rare endocrine disorders, we have developed a pipeline of sustained release prodrug product candidates through strategic collaborations. These include TransCon anti-VEGF in the field of ophthalmology, which is partnered with Genentech, and the TransCon peptide program for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believe that the effectiveness of our TransCon technology is supported by data from our preclinical research and the ongoing clinical programs, including our TransCon hGH and TransCon PTH programs, as well as findings from our ongoing development of other product candidates, including our multi-product collaborations with Sanofi and Genentech. We have applied the TransCon technology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93"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Our TransCon technology enables us to create long-acting prodrug therapies with potentially significant advantages over existing marketed drug products. Our TransCon technology transiently links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up to half-yearly. Depending upon the type of TransCon carrier we employ, we can design our TransCon prodrugs to act systemically or locally in areas that are difficult to treat with conventional therapies.</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technology,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a net loss of €64.2 million for the six months ended June 30, 2018 and a net loss of €123.9 million for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total equity was €332.2 million as of June 30, 2018 compared to €187.2 million as of December 31,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June 30, 2018 and 2017 (unaudited):</w:t>
      </w:r>
    </w:p>
    <w:p>
      <w:pPr>
        <w:spacing w:after="0" w:line="24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jc w:val="center"/>
        <w:ind w:left="74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62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(40,235)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(45,443)</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Finance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(22,876)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(30,743)</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Tax on profit / (loss) for the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(22,777)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(30,706)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revenue for the three months ended June 30, 2018 and 2017 (unaudited):</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r>
      <w:tr>
        <w:trPr>
          <w:trHeight w:val="119"/>
        </w:trPr>
        <w:tc>
          <w:tcPr>
            <w:tcW w:w="7540" w:type="dxa"/>
            <w:vAlign w:val="bottom"/>
          </w:tcPr>
          <w:p>
            <w:pPr>
              <w:spacing w:after="0"/>
              <w:rPr>
                <w:sz w:val="10"/>
                <w:szCs w:val="10"/>
                <w:color w:val="auto"/>
              </w:rPr>
            </w:pPr>
          </w:p>
        </w:tc>
        <w:tc>
          <w:tcPr>
            <w:tcW w:w="48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2018</w:t>
            </w:r>
          </w:p>
        </w:tc>
        <w:tc>
          <w:tcPr>
            <w:tcW w:w="1180" w:type="dxa"/>
            <w:vAlign w:val="bottom"/>
            <w:tcBorders>
              <w:top w:val="single" w:sz="8" w:color="auto"/>
            </w:tcBorders>
            <w:gridSpan w:val="2"/>
          </w:tcPr>
          <w:p>
            <w:pPr>
              <w:jc w:val="right"/>
              <w:ind w:right="50"/>
              <w:spacing w:after="0" w:line="119"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0"/>
                <w:szCs w:val="10"/>
                <w:color w:val="auto"/>
              </w:rPr>
            </w:pPr>
          </w:p>
        </w:tc>
      </w:tr>
      <w:tr>
        <w:trPr>
          <w:trHeight w:val="171"/>
        </w:trPr>
        <w:tc>
          <w:tcPr>
            <w:tcW w:w="7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9"/>
              </w:rPr>
              <w:t>(EUR’000)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revenue for the three months ended June 30, 2018 was €18 thousand, a decrease of €426 thousand, or 96%, compared to total revenue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€444 thousand for the three months ended June 30, 2017. This change was due to fewer services rendered by us under our collaboration with Genentech.</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Research and development costs were €40.2 million for the three months ended June 30, 2018, an increase of €18.4 million, or 84%, compared to €21.9 million for the three months ended June 30, 2017. The increase was primarily attributable to a €11.8 million increase in external development costs related to our TransCon hGH product candidate, including costs for preparation of the manufacturing of validation batches, or process performance qualification batches, and increasing costs of the ongoing clinical trials for this product candidate. The validation batches are required as part of the regulatory approval process with the FDA, and as such, are recognized as development costs when incurred. However, after potential marketing approval, the products from those validation batches can be used for commercial sales, thereby reducing the cost of sales for the first period after market launch. External development costs related to our TransCon PTH and TransCon CNP projects increased by €1.9 million and €0.5 million, respectively, reflecting the continued development and progress with these two product candidates. Other research and development costs increased by approximately €4.2 million, primarily driven by an increase in personnel costs of €2.5 million due to a higher number of employees in research and development functions, an increase in recruitment costs of €0.4 million, and an increase in facility and IT costs of €0.5 million, as well as other general increases due to the growth in headcount. Research and development costs included non-cash share-based payment of €2.0 million for the three months ended June 30, 2018, compared to €1.1 million for the three months ended June 30,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General and administrative expenses were €5.2 million for the three months ended June 30, 2018, an increase of €2.0 million, or 62%, compared to general and administrative expenses of €3.2 million for the three months ended June 30, 2017. The increase is primarily due to an increase in personnel costs of €1.7 million for additional administrative personnel. Other general and administrative expenses increased by €0.3 million due to the general increase in operating activities. General and administrative expenses included non-cash share-based payment of €2.3 million for the three months ended June 30, 2018, compared to €1.2 million for the three months ended June 30, 2017.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Finance Expenses</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Finance income was €22.6 million for the three months ended June 30, 2018, an increase of €22.4 million compared to €0.2 million for the three months ended June 30, 2017. Finance expenses were €6 thousand for the three months ended June 30, 2018, a decrease of €6.2 million compared to the same period of 2017. The €28.6 million increase in net finance income was due to positive exchange rate fluctuations, primarily between the U.S. Dollar and Euro in the three months ended June 30, 2018, primarily affecting our cash position maintained in U.S. Dollars, which was significantly higher compared to the same period last year.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interest-bearing debt for any of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for the Period</w:t>
      </w:r>
    </w:p>
    <w:p>
      <w:pPr>
        <w:spacing w:after="0" w:line="117"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Tax for the three months ended June 30, 2018 was a net credit of €99 thousand compared to a net credit of €37 thousand for the three months ended June 30, 2017. Taxes for the three months ended June 30, 2018 were comprised of an estimated tax credit of €185 thousand in the group of Danish companies partly offset by tax payments of €86 thousand in our U.S. and German subsidiaries. Taxes for the three months ended June 30, 2017 were comprised of an estimated tax credit of €134 thousand in the group of Danish companies partly offset by tax expenses of €97 thousand in our German and U.S. subsidiaries.</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the six months ended June 30, 2018 and 2017 (unaudited):</w:t>
      </w:r>
    </w:p>
    <w:p>
      <w:pPr>
        <w:spacing w:after="0" w:line="24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Six Months Ended</w:t>
      </w:r>
    </w:p>
    <w:p>
      <w:pPr>
        <w:jc w:val="center"/>
        <w:ind w:left="74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8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105"/>
              <w:spacing w:after="0" w:line="119"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90"/>
              <w:spacing w:after="0" w:line="119" w:lineRule="exact"/>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9"/>
          </w:tcPr>
          <w:p>
            <w:pPr>
              <w:ind w:left="26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98"/>
              </w:rPr>
              <w:t>(70,775)</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(42,488)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8420" w:type="dxa"/>
            <w:vAlign w:val="bottom"/>
            <w:gridSpan w:val="2"/>
          </w:tcPr>
          <w:p>
            <w:pPr>
              <w:ind w:left="880"/>
              <w:spacing w:after="0"/>
              <w:rPr>
                <w:sz w:val="20"/>
                <w:szCs w:val="20"/>
                <w:color w:val="auto"/>
              </w:rPr>
            </w:pPr>
            <w:r>
              <w:rPr>
                <w:rFonts w:ascii="Arial" w:cs="Arial" w:eastAsia="Arial" w:hAnsi="Arial"/>
                <w:sz w:val="18"/>
                <w:szCs w:val="18"/>
                <w:b w:val="1"/>
                <w:bCs w:val="1"/>
                <w:color w:val="auto"/>
              </w:rPr>
              <w:t>Operating profit / (loss)</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(80,617)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(48,228)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Finance expenses</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(11)</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(64,358)</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(55,896)</w:t>
            </w:r>
          </w:p>
        </w:tc>
        <w:tc>
          <w:tcPr>
            <w:tcW w:w="0" w:type="dxa"/>
            <w:vAlign w:val="bottom"/>
          </w:tcPr>
          <w:p>
            <w:pPr>
              <w:spacing w:after="0"/>
              <w:rPr>
                <w:sz w:val="1"/>
                <w:szCs w:val="1"/>
                <w:color w:val="auto"/>
              </w:rPr>
            </w:pPr>
          </w:p>
        </w:tc>
      </w:tr>
      <w:tr>
        <w:trPr>
          <w:trHeight w:val="230"/>
        </w:trPr>
        <w:tc>
          <w:tcPr>
            <w:tcW w:w="8420" w:type="dxa"/>
            <w:vAlign w:val="bottom"/>
            <w:gridSpan w:val="2"/>
          </w:tcPr>
          <w:p>
            <w:pPr>
              <w:ind w:left="880"/>
              <w:spacing w:after="0"/>
              <w:rPr>
                <w:sz w:val="20"/>
                <w:szCs w:val="20"/>
                <w:color w:val="auto"/>
              </w:rPr>
            </w:pPr>
            <w:r>
              <w:rPr>
                <w:rFonts w:ascii="Arial" w:cs="Arial" w:eastAsia="Arial" w:hAnsi="Arial"/>
                <w:sz w:val="18"/>
                <w:szCs w:val="18"/>
                <w:color w:val="auto"/>
              </w:rPr>
              <w:t>Tax on profit / (loss) for the period</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(64,152)</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(55,845)</w:t>
            </w:r>
          </w:p>
        </w:tc>
        <w:tc>
          <w:tcPr>
            <w:tcW w:w="0" w:type="dxa"/>
            <w:vAlign w:val="bottom"/>
          </w:tcPr>
          <w:p>
            <w:pPr>
              <w:spacing w:after="0"/>
              <w:rPr>
                <w:sz w:val="1"/>
                <w:szCs w:val="1"/>
                <w:color w:val="auto"/>
              </w:rPr>
            </w:pPr>
          </w:p>
        </w:tc>
      </w:tr>
      <w:tr>
        <w:trPr>
          <w:trHeight w:val="547"/>
        </w:trPr>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2"/>
          </w:tcPr>
          <w:p>
            <w:pPr>
              <w:ind w:left="440"/>
              <w:spacing w:after="0"/>
              <w:rPr>
                <w:sz w:val="20"/>
                <w:szCs w:val="20"/>
                <w:color w:val="auto"/>
              </w:rPr>
            </w:pPr>
            <w:r>
              <w:rPr>
                <w:rFonts w:ascii="Arial" w:cs="Arial" w:eastAsia="Arial" w:hAnsi="Arial"/>
                <w:sz w:val="18"/>
                <w:szCs w:val="18"/>
                <w:color w:val="auto"/>
                <w:w w:val="93"/>
              </w:rPr>
              <w:t>The following table summarizes our revenue for the six months ended June 30, 2018 and 2017 (unaudited):</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2017</w:t>
            </w: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9"/>
              </w:rPr>
              <w:t>(EUR’000)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6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w w:val="89"/>
              </w:rPr>
              <w:t>46</w:t>
            </w:r>
          </w:p>
        </w:tc>
        <w:tc>
          <w:tcPr>
            <w:tcW w:w="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3"/>
        </w:trPr>
        <w:tc>
          <w:tcPr>
            <w:tcW w:w="842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79"/>
              </w:rPr>
              <w:t>46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revenue for the six months ended June 30, 2018 was €46 thousand, a decrease of €770 thousand, or 94%, compared to total revenue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€816 thousand for the six months ended June 30, 2017. This change was due to fewer services rendered by us under our collaboration with Genentech.</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Research and development costs were €70.8 million for the six months ended June 30, 2018, an increase of €28.3 million, or 67%, compared to €42.5 million for the six months ended June 30, 2017. The increase was primarily attributable to a €16.0 million increase in external development costs related to our TransCon hGH product candidate, including costs for preparation of the manufacturing of validation batches, or process performance qualification batches, and increasing costs of the ongoing clinical trials for this product candidate. The validation batches are required as part of the regulatory approval process with the FDA, and as such recognized as development costs when incurred, but after potential marketing approval, the products from these validation batches can be used for commercial sales, thereby reducing the costs of sales for the first period after market launch. External development costs related to our TransCon PTH and TransCon CNP projects increased by €3.8 million and €1.8 million, respectively, reflecting the continued development and progress with these two product candidates. Other research and development costs increased by approximately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€6.7 million, primarily driven by an increase in personnel costs of €5.3 million due to a higher number of employees in research and development functions, but also reflecting increasing costs to recruitment, travel and facilities due to the growth in headcount and increasing activities. Research and development costs included non-cash share-based payment of €4.3 million for the six months ended June 30, 2018, compared to €2.4 million for the six months ended June 30, 2017.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General and administrative expenses were €9.9 million for the six months ended June 30, 2018, an increase of €3.3 million, or 51%, compared to general and administrative expenses of €6.6 million for the six months ended June 30, 2017. The increase is primarily due to an increase in personnel costs of €2.9 million for additional administrative personnel, and an increase in professional fees of €0.3 million. General and administrative expenses included non-cash share-based payment of €4.6 million for the six months ended June 30, 2018, compared to €2.6 million for the six months ended June 30, 2017.</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Finance Income and Finance Expenses</w:t>
      </w:r>
    </w:p>
    <w:p>
      <w:pPr>
        <w:spacing w:after="0" w:line="117"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Finance income was €16.3 million for the six months ended June 30, 2018, an increase of €16.0 million compared to €0.3 million for the six months ended June 30, 2017. Finance expenses were €11 thousand for the six months ended June 30, 2018, a decrease of €7.9 million compared to €7.9 million in the same period of 2017. The €23.9 million increase in net finance income was due to positive exchange rate fluctuations, primarily between the U.S. Dollar and Euro in the six months ended June 30, 2018, primarily affecting our cash position maintained in U.S. Dollars, which was significantly higher compared to the same period last year.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interest-bearing debt for any of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for the Period</w:t>
      </w:r>
    </w:p>
    <w:p>
      <w:pPr>
        <w:spacing w:after="0" w:line="11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Tax for the six months ended June 30, 2018 was a net credit of €206 thousand compared to a net credit of €51 thousand for the six months ended June 30, 2017. Taxes for the six months ended June 30, 2018 were comprised of an estimated tax credit of €369 thousand in the group of Danish companies partly offset by tax expenses of €163 thousand in our U.S. and German subsidiaries. Taxes for the six months ended June 30, 2017 were comprised of an estimated tax credit of €185 thousand in the group of Danish companies partly offset by tax expenses of €134 thousand in our German and U.S.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2018, we had cash and cash equivalents totaling €352.6 million compared to €195.4 million as of December 31, 2017. Since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formation, we have funded our operations primarily through issuance of our preference shares, ordinary shares and convertible debt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payments to us under our collaboration agreements. In February 2015, we announced the closing of our initial public offering, with net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$111.5 million (or €101.4 million at such date). In 2016, we completed a follow-on public offering of American Depositary Shares, or ADSs, with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$127.1 million (or €116.6 million) and in 2017, we completed a follow-on public offering of ADSs, with net proceeds of $145.2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€123.1 million). On February 21, 2018, we completed a follow-on public offering of ADSs, with net proceeds of $210.8 million (or €171.2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2018, we completed the exercise in full of the underwriters’ option to purchase additional ADSs, with net proceeds of $31.7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€25.6 million). Our expenditures are primarily related to research and development activities and general and administrative activities to support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We do not owe any debt to third parties.</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June 30, 2018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860" w:right="26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860" w:right="480" w:hanging="316"/>
        <w:spacing w:after="0" w:line="308"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860" w:right="44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860" w:right="36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progress and the progress of our collaboration partners in the successful commercialization and co-promotion of our most advanced product candidates and our efforts to develop and commercialize our other existing product candidates;</w:t>
      </w:r>
    </w:p>
    <w:p>
      <w:pPr>
        <w:spacing w:after="0" w:line="75" w:lineRule="exact"/>
        <w:rPr>
          <w:rFonts w:ascii="Arial" w:cs="Arial" w:eastAsia="Arial" w:hAnsi="Arial"/>
          <w:sz w:val="18"/>
          <w:szCs w:val="18"/>
          <w:color w:val="auto"/>
        </w:rPr>
      </w:pPr>
    </w:p>
    <w:p>
      <w:pPr>
        <w:ind w:left="860" w:right="20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ectPr>
          <w:pgSz w:w="11900" w:h="16838" w:orient="portrait"/>
          <w:cols w:equalWidth="0" w:num="1">
            <w:col w:w="11000"/>
          </w:cols>
          <w:pgMar w:left="440" w:top="274" w:right="459" w:bottom="1440" w:gutter="0" w:footer="0" w:header="0"/>
        </w:sectPr>
      </w:pPr>
    </w:p>
    <w:bookmarkStart w:id="17" w:name="page18"/>
    <w:bookmarkEnd w:id="17"/>
    <w:p>
      <w:pPr>
        <w:ind w:left="860" w:right="78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and cost necessary to respond to technological and market developments, including further development of our TransCon technology; and</w:t>
      </w:r>
    </w:p>
    <w:p>
      <w:pPr>
        <w:spacing w:after="0" w:line="75" w:lineRule="exact"/>
        <w:rPr>
          <w:rFonts w:ascii="Arial" w:cs="Arial" w:eastAsia="Arial" w:hAnsi="Arial"/>
          <w:sz w:val="18"/>
          <w:szCs w:val="18"/>
          <w:color w:val="auto"/>
        </w:rPr>
      </w:pPr>
    </w:p>
    <w:p>
      <w:pPr>
        <w:ind w:left="860" w:right="140" w:hanging="316"/>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each of the unaudited six month periods ended June 30, 2018 and 2017:</w:t>
      </w:r>
    </w:p>
    <w:p>
      <w:pPr>
        <w:spacing w:after="0" w:line="24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Six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19"/>
        </w:trPr>
        <w:tc>
          <w:tcPr>
            <w:tcW w:w="7500" w:type="dxa"/>
            <w:vAlign w:val="bottom"/>
          </w:tcPr>
          <w:p>
            <w:pPr>
              <w:spacing w:after="0"/>
              <w:rPr>
                <w:sz w:val="10"/>
                <w:szCs w:val="10"/>
                <w:color w:val="auto"/>
              </w:rPr>
            </w:pPr>
          </w:p>
        </w:tc>
        <w:tc>
          <w:tcPr>
            <w:tcW w:w="66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0"/>
                <w:szCs w:val="10"/>
                <w:color w:val="auto"/>
              </w:rPr>
            </w:pPr>
          </w:p>
        </w:tc>
      </w:tr>
      <w:tr>
        <w:trPr>
          <w:trHeight w:val="171"/>
        </w:trPr>
        <w:tc>
          <w:tcPr>
            <w:tcW w:w="750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(EUR’000)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(56,851)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(45,167)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(437)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200,272</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142,984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(45,108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 (Used in) Operating Activities</w:t>
      </w:r>
    </w:p>
    <w:p>
      <w:pPr>
        <w:spacing w:after="0" w:line="117"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2018 was €56.9 million compared to €45.2 million for the six months ended June 30, 2017. The net loss for the six months ended June 30, 2018 of €64.2 million was adjusted by non-cash charges of €0.4 million for depreciation and €8.9 million for share-based payments. Net finance income of €16.3 million, primarily comprising exchange rate adjustments, and net tax credits of €0.2 million, were reversed. The net change in working capital contributed positively to cash flow by €12.8 million, primarily comprising a €12.8 million increase in trade payables and other payables, and a €1.0 million decrease in prepayments, partly offset by an increase of €0.8 million in deposits, and a net increase of €0.2 million in trade receivables and other receivables. We received net finance income of €2.0 million and paid income taxes of €0.3 million in the six months ended June 30, 2018.</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operating activities for the six months ended June 30, 2017 was €45.2 million. The net loss for the six months ended June 30,</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2017 of €55.8 million was adjusted by non-cash charges of €0.3 million for depreciation and €5.0 million for share-based payments. Net finance expenses, primarily comprising exchange rate adjustments, of €7.7 million and net tax credits of €51 thousand, were reversed. The net change in working capital contributed negatively to cash flow by €2.3 million, primarily comprising a €4.6 million increase in prepayments and other receivables, partly offset by an increase in trade payables and other payables of €2.5 million. Trade receivables and deposits increased by €0.2 million. We received net finance income of €0.2 million and paid income taxes of €0.2 million in the six months ended June 30,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 (Used in) Investing Activities</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Cash flows used in investing activities for the six months ended June 30, 2018 of €0.4 million were related to the acquisition of property, plant and equipment, primarily for use in the laboratories of our German facility and in our new offices in the United States.</w:t>
      </w:r>
    </w:p>
    <w:p>
      <w:pPr>
        <w:spacing w:after="0" w:line="170" w:lineRule="exact"/>
        <w:rPr>
          <w:sz w:val="20"/>
          <w:szCs w:val="20"/>
          <w:color w:val="auto"/>
        </w:rPr>
      </w:pPr>
    </w:p>
    <w:p>
      <w:pPr>
        <w:ind w:right="700" w:firstLine="441"/>
        <w:spacing w:after="0" w:line="342" w:lineRule="auto"/>
        <w:rPr>
          <w:sz w:val="20"/>
          <w:szCs w:val="20"/>
          <w:color w:val="auto"/>
        </w:rPr>
      </w:pPr>
      <w:r>
        <w:rPr>
          <w:rFonts w:ascii="Arial" w:cs="Arial" w:eastAsia="Arial" w:hAnsi="Arial"/>
          <w:sz w:val="16"/>
          <w:szCs w:val="16"/>
          <w:color w:val="auto"/>
        </w:rPr>
        <w:t>Cash flows used in investing activities for the six months ended June 30, 2017 of €0.6 million were related to acquisition of furniture and equipment for expanding our offices in Denmark and in the United States and equipment for use in the laboratories of our German facility.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 (Used in) Financing Activities</w:t>
      </w:r>
    </w:p>
    <w:p>
      <w:pPr>
        <w:spacing w:after="0" w:line="117"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Cash flows from financing activities for the six months ended June 30, 2018 of €200.3 million were comprised of €196.9 million in net proceeds from our follow-on offering completed in February 2018 and €3.4 million in proceeds from exercise of warrants in April and June 2018.</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flows from financing activities for the six months ended June 30, 2017 of €0.6 million were related to exercise of warrants in March 2017.</w:t>
      </w:r>
    </w:p>
    <w:p>
      <w:pPr>
        <w:sectPr>
          <w:pgSz w:w="11900" w:h="16838" w:orient="portrait"/>
          <w:cols w:equalWidth="0" w:num="1">
            <w:col w:w="11020"/>
          </w:cols>
          <w:pgMar w:left="440" w:top="274"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IPO in February 2015 and our follow-on public offerings in October 2016, September 2017, and February 2018 were in U.S. Dollars. We seek to minimize our exchange rate risk by maintaining cash positions in the currencies in which we expect to incur the majority of our future expenses and we make payments from those positions.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As we have no interest-bearing debt to third parties,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4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consider all of our material counterparties to be creditworthy. Our exposure to credit risk is continuously monitored, in particular, if agreed payments are delayed. While the concentration of credit risk is significant, we consider the credit risk for each of our individual customers to be low. Accordingly, we have made no provision for doubtful accounts. The credit risk on cash and cash equivalents is limited because the counterparties are banks with high credit ratings assigned by international credit-rating agencies. To spread our credit risk, we deposit our cash reserves with several banks.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w:t>
      </w:r>
    </w:p>
    <w:p>
      <w:pPr>
        <w:sectPr>
          <w:pgSz w:w="11900" w:h="16838" w:orient="portrait"/>
          <w:cols w:equalWidth="0" w:num="1">
            <w:col w:w="11020"/>
          </w:cols>
          <w:pgMar w:left="440" w:top="270"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172085</wp:posOffset>
            </wp:positionV>
            <wp:extent cx="152654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65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Second Quarter 2018 Financial Results</w:t>
      </w:r>
    </w:p>
    <w:p>
      <w:pPr>
        <w:spacing w:after="0" w:line="121" w:lineRule="exact"/>
        <w:rPr>
          <w:sz w:val="20"/>
          <w:szCs w:val="20"/>
          <w:color w:val="auto"/>
        </w:rPr>
      </w:pPr>
    </w:p>
    <w:p>
      <w:pPr>
        <w:jc w:val="center"/>
        <w:ind w:left="3600" w:right="1980" w:hanging="1603"/>
        <w:spacing w:after="0" w:line="308" w:lineRule="auto"/>
        <w:tabs>
          <w:tab w:leader="none" w:pos="2097"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Continued advancement of endocrinology rare disease pipeline, paving way for application of TransCon™ technology in a new therapeutic area -</w:t>
      </w:r>
    </w:p>
    <w:p>
      <w:pPr>
        <w:spacing w:after="0" w:line="34" w:lineRule="exact"/>
        <w:rPr>
          <w:rFonts w:ascii="Arial" w:cs="Arial" w:eastAsia="Arial" w:hAnsi="Arial"/>
          <w:sz w:val="17"/>
          <w:szCs w:val="17"/>
          <w:b w:val="1"/>
          <w:bCs w:val="1"/>
          <w:i w:val="1"/>
          <w:iCs w:val="1"/>
          <w:color w:val="auto"/>
        </w:rPr>
      </w:pPr>
    </w:p>
    <w:p>
      <w:pPr>
        <w:ind w:left="3680" w:hanging="107"/>
        <w:spacing w:after="0"/>
        <w:tabs>
          <w:tab w:leader="none" w:pos="368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Conference Call Today at 4:30 p.m. Eastern Time </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COPENHAGEN, Denmark, August 29, 2018/ Globe Newswire/ – Ascendis Pharma A/S (Nasdaq: ASND), a biopharmaceutical company that utilizes its innovative TransCon technology to address significant unmet medical needs, today announced financial results for the quarter ended June 30, 2018.</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continue to execute on our strategic goals, advancing towards our vision to build a fully integrated biopharma company,” said Jan Mikkelsen, Ascendis Pharma’s President and Chief Executive Officer. “We intend to provide sustainable growth from multiple sources, both from our three independent rare disease endocrinology product opportunities, and by applying our TransCon technology platform in new therapeutic areas. Our proprietary platform technologies and our mindset for innovation are the foundations of this ability to develop differentiated products that address major unmet medical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135" w:lineRule="exact"/>
        <w:rPr>
          <w:sz w:val="20"/>
          <w:szCs w:val="20"/>
          <w:color w:val="auto"/>
        </w:rPr>
      </w:pPr>
    </w:p>
    <w:p>
      <w:pPr>
        <w:ind w:left="860" w:right="120" w:hanging="316"/>
        <w:spacing w:after="0" w:line="26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execution of the TransCon Growth Hormone (hGH) phase 3 program, with the observed aggregate data from the heiGHt Trial continuing to demonstrate a safety profile consistent with the published safety profile of the active comparator, Genotropin. TransCon hGH is in development as a once-weekly therapy for pediatric growth hormone deficiency.</w:t>
      </w:r>
    </w:p>
    <w:p>
      <w:pPr>
        <w:spacing w:after="0" w:line="86" w:lineRule="exact"/>
        <w:rPr>
          <w:rFonts w:ascii="Arial" w:cs="Arial" w:eastAsia="Arial" w:hAnsi="Arial"/>
          <w:sz w:val="18"/>
          <w:szCs w:val="18"/>
          <w:color w:val="auto"/>
        </w:rPr>
      </w:pPr>
    </w:p>
    <w:p>
      <w:pPr>
        <w:ind w:left="860" w:right="140" w:hanging="31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enrollment in the fliGHt (switch) Trial, which evaluates TransCon hGH in 150 subjects who have previously been treated with daily growth hormone.</w:t>
      </w:r>
    </w:p>
    <w:p>
      <w:pPr>
        <w:spacing w:after="0" w:line="75" w:lineRule="exact"/>
        <w:rPr>
          <w:rFonts w:ascii="Arial" w:cs="Arial" w:eastAsia="Arial" w:hAnsi="Arial"/>
          <w:sz w:val="18"/>
          <w:szCs w:val="18"/>
          <w:color w:val="auto"/>
        </w:rPr>
      </w:pPr>
    </w:p>
    <w:p>
      <w:pPr>
        <w:ind w:left="860" w:right="20" w:hanging="316"/>
        <w:spacing w:after="0" w:line="26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Provided development update on TransCon PTH, a long-acting prodrug of parathyroid hormone. Following ongoing review of the global regulatory and commercial landscape, the company plans to conduct a phase 2 trial to provide experience with dosing regimens of TransCon PTH, and with titration of standard of care, and to conduct a global phase 3 pivotal trial.</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execution, as planned, of the ongoing phase 1 trial for TransCon CNP, a long-acting prodrug of C-type natriuretic peptide.</w:t>
      </w:r>
    </w:p>
    <w:p>
      <w:pPr>
        <w:spacing w:after="0" w:line="142" w:lineRule="exact"/>
        <w:rPr>
          <w:rFonts w:ascii="Arial" w:cs="Arial" w:eastAsia="Arial" w:hAnsi="Arial"/>
          <w:sz w:val="17"/>
          <w:szCs w:val="17"/>
          <w:color w:val="auto"/>
        </w:rPr>
      </w:pPr>
    </w:p>
    <w:p>
      <w:pPr>
        <w:ind w:left="860" w:right="40" w:hanging="316"/>
        <w:spacing w:after="0" w:line="291"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Granted Orphan Drug Designation (ODD) by the U.S. Food and Drug Administration for TransCon PTH. ODD is provided to drugs that are intended for the safe and effective treatment, diagnosis, or prevention of rare diseases or disorders that affect fewer than 200,000 people</w:t>
      </w:r>
    </w:p>
    <w:p>
      <w:pPr>
        <w:ind w:left="860"/>
        <w:spacing w:after="0"/>
        <w:rPr>
          <w:rFonts w:ascii="Arial" w:cs="Arial" w:eastAsia="Arial" w:hAnsi="Arial"/>
          <w:sz w:val="16"/>
          <w:szCs w:val="16"/>
          <w:color w:val="auto"/>
        </w:rPr>
      </w:pPr>
      <w:r>
        <w:rPr>
          <w:rFonts w:ascii="Arial" w:cs="Arial" w:eastAsia="Arial" w:hAnsi="Arial"/>
          <w:sz w:val="18"/>
          <w:szCs w:val="18"/>
          <w:color w:val="auto"/>
        </w:rPr>
        <w:t>in the United States.</w:t>
      </w:r>
    </w:p>
    <w:p>
      <w:pPr>
        <w:spacing w:after="0" w:line="116" w:lineRule="exact"/>
        <w:rPr>
          <w:rFonts w:ascii="Arial" w:cs="Arial" w:eastAsia="Arial" w:hAnsi="Arial"/>
          <w:sz w:val="16"/>
          <w:szCs w:val="16"/>
          <w:color w:val="auto"/>
        </w:rPr>
      </w:pPr>
    </w:p>
    <w:p>
      <w:pPr>
        <w:ind w:left="860" w:right="400" w:hanging="31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Presented research posters on TransCon PTH and the TransCon technology at the European Congress of Endocrinology in May and the annual Controlled Release Society meeting, respectively.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the quarter with cash and cash equivalents of €352.6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the second quarter, Ascendis Pharma reported a net loss of €22.8 million, or €0.55 per share (basic and diluted) compared to a net loss of €30.7 million, or €0.94 per share (basic and diluted) for the same period in 2017.</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Research and development (R&amp;D) costs for the second quarter were €40.2 million compared to €21.9 million in the same quarter of 2017. Increased R&amp;D costs in the 2018 quarter reflect costs for preparation of the manufacturing of validation batches for TransCon Growth Hormone, and increasing costs of the ongoing clinical trials for this product candidate, as well the ongoing project costs for TransCon PTH and TransCon CNP.</w:t>
      </w:r>
    </w:p>
    <w:p>
      <w:pPr>
        <w:sectPr>
          <w:pgSz w:w="11900" w:h="16838" w:orient="portrait"/>
          <w:cols w:equalWidth="0" w:num="1">
            <w:col w:w="11020"/>
          </w:cols>
          <w:pgMar w:left="440" w:top="121" w:right="439" w:bottom="1440" w:gutter="0" w:footer="0" w:header="0"/>
        </w:sectPr>
      </w:pPr>
    </w:p>
    <w:bookmarkStart w:id="20" w:name="page21"/>
    <w:bookmarkEnd w:id="20"/>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 for the second quarter of 2018 were €5.2 million compared to €3.2 million in the same quarter of 2017. The increase is primarily due to an increase in personnel costs.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2018, the company had cash and cash equivalents of €352.6 million compared to €348.4 million as of March 31, 2018. As of June 30, 2018, Ascendis had 41,841,590 ordinary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Ascendis Pharma will host a conference call and webcast today at 4:30 p.m. Eastern Time (ET) to discuss its second quarter 2018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include: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560" w:type="dxa"/>
            <w:vAlign w:val="bottom"/>
          </w:tcPr>
          <w:p>
            <w:pPr>
              <w:ind w:left="480"/>
              <w:spacing w:after="0"/>
              <w:rPr>
                <w:sz w:val="20"/>
                <w:szCs w:val="20"/>
                <w:color w:val="auto"/>
              </w:rPr>
            </w:pPr>
            <w:r>
              <w:rPr>
                <w:rFonts w:ascii="Arial" w:cs="Arial" w:eastAsia="Arial" w:hAnsi="Arial"/>
                <w:sz w:val="18"/>
                <w:szCs w:val="18"/>
                <w:color w:val="auto"/>
                <w:w w:val="87"/>
              </w:rPr>
              <w:t>Wednesday, August 29, 2018</w:t>
            </w: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560" w:type="dxa"/>
            <w:vAlign w:val="bottom"/>
          </w:tcPr>
          <w:p>
            <w:pPr>
              <w:ind w:left="480"/>
              <w:spacing w:after="0"/>
              <w:rPr>
                <w:sz w:val="20"/>
                <w:szCs w:val="20"/>
                <w:color w:val="auto"/>
              </w:rPr>
            </w:pPr>
            <w:r>
              <w:rPr>
                <w:rFonts w:ascii="Arial" w:cs="Arial" w:eastAsia="Arial" w:hAnsi="Arial"/>
                <w:sz w:val="18"/>
                <w:szCs w:val="18"/>
                <w:color w:val="auto"/>
              </w:rPr>
              <w:t>4:30 p.m. ET</w:t>
            </w: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2560" w:type="dxa"/>
            <w:vAlign w:val="bottom"/>
          </w:tcPr>
          <w:p>
            <w:pPr>
              <w:ind w:left="480"/>
              <w:spacing w:after="0"/>
              <w:rPr>
                <w:sz w:val="20"/>
                <w:szCs w:val="20"/>
                <w:color w:val="auto"/>
              </w:rPr>
            </w:pPr>
            <w:r>
              <w:rPr>
                <w:rFonts w:ascii="Arial" w:cs="Arial" w:eastAsia="Arial" w:hAnsi="Arial"/>
                <w:sz w:val="18"/>
                <w:szCs w:val="18"/>
                <w:color w:val="auto"/>
              </w:rPr>
              <w:t>844-290-3904</w:t>
            </w:r>
          </w:p>
        </w:tc>
      </w:tr>
      <w:tr>
        <w:trPr>
          <w:trHeight w:val="216"/>
        </w:trPr>
        <w:tc>
          <w:tcPr>
            <w:tcW w:w="218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2560" w:type="dxa"/>
            <w:vAlign w:val="bottom"/>
          </w:tcPr>
          <w:p>
            <w:pPr>
              <w:ind w:left="480"/>
              <w:spacing w:after="0"/>
              <w:rPr>
                <w:sz w:val="20"/>
                <w:szCs w:val="20"/>
                <w:color w:val="auto"/>
              </w:rPr>
            </w:pPr>
            <w:r>
              <w:rPr>
                <w:rFonts w:ascii="Arial" w:cs="Arial" w:eastAsia="Arial" w:hAnsi="Arial"/>
                <w:sz w:val="18"/>
                <w:szCs w:val="18"/>
                <w:color w:val="auto"/>
              </w:rPr>
              <w:t>574-990-1036</w:t>
            </w: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2560" w:type="dxa"/>
            <w:vAlign w:val="bottom"/>
          </w:tcPr>
          <w:p>
            <w:pPr>
              <w:ind w:left="480"/>
              <w:spacing w:after="0"/>
              <w:rPr>
                <w:sz w:val="20"/>
                <w:szCs w:val="20"/>
                <w:color w:val="auto"/>
              </w:rPr>
            </w:pPr>
            <w:r>
              <w:rPr>
                <w:rFonts w:ascii="Arial" w:cs="Arial" w:eastAsia="Arial" w:hAnsi="Arial"/>
                <w:sz w:val="18"/>
                <w:szCs w:val="18"/>
                <w:color w:val="auto"/>
              </w:rPr>
              <w:t>4777928</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live audio webcast of the event will be available in the Investors and News section of the Ascendis Pharma website at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 A webcast replay will also be available on this website shortly after conclusion of the event for 30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Arial" w:cs="Arial" w:eastAsia="Arial" w:hAnsi="Arial"/>
          <w:sz w:val="15"/>
          <w:szCs w:val="15"/>
          <w:color w:val="auto"/>
        </w:rPr>
        <w:t>™</w:t>
      </w:r>
      <w:r>
        <w:rPr>
          <w:rFonts w:ascii="Arial" w:cs="Arial" w:eastAsia="Arial" w:hAnsi="Arial"/>
          <w:sz w:val="18"/>
          <w:szCs w:val="18"/>
          <w:color w:val="auto"/>
        </w:rPr>
        <w:t xml:space="preserve"> technology to create new and potentially best-in-class therapies.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Ascendis Pharma currently has a pipeline of three wholly-owned, independent rare disease endocrinology product candidates in clinical development. Additionally, Ascendis Pharma has multi-product collaborations with Sanofi in diabetes and Genentech in the field of ophthalmology and continues to expand into additional therapeutic areas for both internal and external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Ascendis is headquartered in Copenhagen, Denmark, with offices in Heidelberg, Germany and Palo Alto,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www.ascendispharma.com.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development plan for TransCon PTH, (ii) our ability to apply our platform technology to build a leading, fully integrated biopharma company, (iii) our expectations regarding our ability to create potentially best-in-class therapies and (iv) our product pipeline.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 w:name="page22"/>
    <w:bookmarkEnd w:id="2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actual results or events to differ materially from the forward-looking statements that we make, including the following: unforeseen safety or efficacy results in our TransCon hGH, TransCon PTH and TransCon CNP or other development programs; unforeseen expenses related to the development of TransCon hGH, TransCon PTH and TransCon CNP or other development programs, general and administrative expenses, other research and development expenses and our business generally; delays in the development of TransCon hGH, TransCon PTH and TransCon CNP or other development programs related to manufacturing, regulatory requirements, speed of patient recruitment or other unforeseen delays; dependence on third party manufacturers to supply study drug for planned clinical studies; and our ability to obtain additional funding, if needed, to support our business activities.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for the year ended December 31, 2017, which we filed with</w:t>
      </w:r>
    </w:p>
    <w:p>
      <w:pPr>
        <w:spacing w:after="0" w:line="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SEC on March 28, 2018.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1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Ascendis, Ascendis Pharma, the Ascendis Pharma logo, the company logo and TransCon are trademarks owned by the Ascendis Pharma group.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August 2018 Ascendis Pharma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TABLES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Profit or Loss and Other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1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Three Months Ended June 30,</w:t>
            </w:r>
          </w:p>
        </w:tc>
        <w:tc>
          <w:tcPr>
            <w:tcW w:w="2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(40,235)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(21,880)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(70,775)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(45,443)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(24,667)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(80,617)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(6,234)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(22,876)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(30,743)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(64,358)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(22,777)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(30,706)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(55,845)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(22,775)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(30,664)</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(30,706)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5"/>
              </w:rPr>
              <w:t>Total comprehensive income / (loss) for the period attributable to owners of the Company</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(22,775)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(30,664)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(64,159)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41,650,907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32,502,555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40,182,701</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32,465,935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820" w:type="dxa"/>
            <w:vAlign w:val="bottom"/>
            <w:gridSpan w:val="2"/>
          </w:tcPr>
          <w:p>
            <w:pPr>
              <w:jc w:val="right"/>
              <w:ind w:right="1170"/>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2,597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7,207</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Trade receivables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Prepayments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5,934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352,601</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361,657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204,634</w:t>
            </w:r>
          </w:p>
        </w:tc>
        <w:tc>
          <w:tcPr>
            <w:tcW w:w="60" w:type="dxa"/>
            <w:vAlign w:val="bottom"/>
            <w:shd w:val="clear" w:color="auto" w:fill="CCEEFF"/>
          </w:tcPr>
          <w:p>
            <w:pPr>
              <w:spacing w:after="0"/>
              <w:rPr>
                <w:sz w:val="18"/>
                <w:szCs w:val="18"/>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368,864</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Distributable equity</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326,606</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182,244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332,225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187,211</w:t>
            </w:r>
          </w:p>
        </w:tc>
        <w:tc>
          <w:tcPr>
            <w:tcW w:w="60" w:type="dxa"/>
            <w:vAlign w:val="bottom"/>
            <w:shd w:val="clear" w:color="auto" w:fill="CCEEFF"/>
          </w:tcPr>
          <w:p>
            <w:pPr>
              <w:spacing w:after="0"/>
              <w:rPr>
                <w:sz w:val="18"/>
                <w:szCs w:val="18"/>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Income taxes payable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shd w:val="clear" w:color="auto" w:fill="CCEEFF"/>
          </w:tcPr>
          <w:p>
            <w:pPr>
              <w:spacing w:after="0"/>
              <w:rPr>
                <w:sz w:val="18"/>
                <w:szCs w:val="18"/>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368,864</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w w:val="91"/>
              </w:rPr>
              <w:t>Internal contact:</w:t>
            </w:r>
          </w:p>
        </w:tc>
        <w:tc>
          <w:tcPr>
            <w:tcW w:w="2680" w:type="dxa"/>
            <w:vAlign w:val="bottom"/>
            <w:gridSpan w:val="2"/>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Media contact:</w:t>
            </w:r>
          </w:p>
        </w:tc>
        <w:tc>
          <w:tcPr>
            <w:tcW w:w="2620" w:type="dxa"/>
            <w:vAlign w:val="bottom"/>
            <w:gridSpan w:val="3"/>
          </w:tcPr>
          <w:p>
            <w:pPr>
              <w:ind w:left="620"/>
              <w:spacing w:after="0"/>
              <w:rPr>
                <w:sz w:val="20"/>
                <w:szCs w:val="20"/>
                <w:color w:val="auto"/>
              </w:rPr>
            </w:pPr>
            <w:r>
              <w:rPr>
                <w:rFonts w:ascii="Arial" w:cs="Arial" w:eastAsia="Arial" w:hAnsi="Arial"/>
                <w:sz w:val="18"/>
                <w:szCs w:val="18"/>
                <w:b w:val="1"/>
                <w:bCs w:val="1"/>
                <w:color w:val="auto"/>
              </w:rPr>
              <w:t>Investor contact:</w:t>
            </w:r>
          </w:p>
        </w:tc>
      </w:tr>
      <w:tr>
        <w:trPr>
          <w:trHeight w:val="222"/>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T. Smith</w:t>
            </w:r>
          </w:p>
        </w:tc>
        <w:tc>
          <w:tcPr>
            <w:tcW w:w="2680" w:type="dxa"/>
            <w:vAlign w:val="bottom"/>
            <w:gridSpan w:val="2"/>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Ami Knoefler</w:t>
            </w:r>
          </w:p>
        </w:tc>
        <w:tc>
          <w:tcPr>
            <w:tcW w:w="18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Patti Bank</w:t>
            </w:r>
          </w:p>
        </w:tc>
        <w:tc>
          <w:tcPr>
            <w:tcW w:w="700" w:type="dxa"/>
            <w:vAlign w:val="bottom"/>
          </w:tcPr>
          <w:p>
            <w:pPr>
              <w:spacing w:after="0"/>
              <w:rPr>
                <w:sz w:val="19"/>
                <w:szCs w:val="19"/>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020" w:type="dxa"/>
            <w:vAlign w:val="bottom"/>
            <w:gridSpan w:val="3"/>
          </w:tcPr>
          <w:p>
            <w:pPr>
              <w:spacing w:after="0"/>
              <w:rPr>
                <w:sz w:val="20"/>
                <w:szCs w:val="20"/>
                <w:color w:val="auto"/>
              </w:rPr>
            </w:pPr>
            <w:r>
              <w:rPr>
                <w:rFonts w:ascii="Arial" w:cs="Arial" w:eastAsia="Arial" w:hAnsi="Arial"/>
                <w:sz w:val="18"/>
                <w:szCs w:val="18"/>
                <w:color w:val="auto"/>
              </w:rPr>
              <w:t>Head of Global Communications</w:t>
            </w:r>
          </w:p>
        </w:tc>
        <w:tc>
          <w:tcPr>
            <w:tcW w:w="2620" w:type="dxa"/>
            <w:vAlign w:val="bottom"/>
            <w:gridSpan w:val="3"/>
          </w:tcPr>
          <w:p>
            <w:pPr>
              <w:ind w:left="620"/>
              <w:spacing w:after="0"/>
              <w:rPr>
                <w:sz w:val="20"/>
                <w:szCs w:val="20"/>
                <w:color w:val="auto"/>
              </w:rPr>
            </w:pPr>
            <w:r>
              <w:rPr>
                <w:rFonts w:ascii="Arial" w:cs="Arial" w:eastAsia="Arial" w:hAnsi="Arial"/>
                <w:sz w:val="18"/>
                <w:szCs w:val="18"/>
                <w:color w:val="auto"/>
              </w:rPr>
              <w:t>Westwicke Partners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(650) 352-8389</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2"/>
              </w:rPr>
              <w:t>(650) 739-9952</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(415) 513-1284</w:t>
            </w:r>
          </w:p>
        </w:tc>
        <w:tc>
          <w:tcPr>
            <w:tcW w:w="700" w:type="dxa"/>
            <w:vAlign w:val="bottom"/>
          </w:tcPr>
          <w:p>
            <w:pPr>
              <w:spacing w:after="0"/>
              <w:rPr>
                <w:sz w:val="18"/>
                <w:szCs w:val="18"/>
                <w:color w:val="auto"/>
              </w:rPr>
            </w:pPr>
          </w:p>
        </w:tc>
      </w:tr>
      <w:tr>
        <w:trPr>
          <w:trHeight w:val="190"/>
        </w:trPr>
        <w:tc>
          <w:tcPr>
            <w:tcW w:w="3980" w:type="dxa"/>
            <w:vAlign w:val="bottom"/>
            <w:gridSpan w:val="3"/>
          </w:tcPr>
          <w:p>
            <w:pPr>
              <w:spacing w:after="0" w:line="190" w:lineRule="exact"/>
              <w:rPr>
                <w:sz w:val="20"/>
                <w:szCs w:val="20"/>
                <w:color w:val="auto"/>
              </w:rPr>
            </w:pPr>
            <w:r>
              <w:rPr>
                <w:rFonts w:ascii="Arial" w:cs="Arial" w:eastAsia="Arial" w:hAnsi="Arial"/>
                <w:sz w:val="18"/>
                <w:szCs w:val="18"/>
                <w:color w:val="auto"/>
              </w:rPr>
              <w:t>ir@ascendispharma.com</w:t>
            </w:r>
          </w:p>
        </w:tc>
        <w:tc>
          <w:tcPr>
            <w:tcW w:w="3020" w:type="dxa"/>
            <w:vAlign w:val="bottom"/>
            <w:gridSpan w:val="3"/>
          </w:tcPr>
          <w:p>
            <w:pPr>
              <w:spacing w:after="0" w:line="190" w:lineRule="exact"/>
              <w:rPr>
                <w:sz w:val="20"/>
                <w:szCs w:val="20"/>
                <w:color w:val="auto"/>
              </w:rPr>
            </w:pPr>
            <w:r>
              <w:rPr>
                <w:rFonts w:ascii="Arial" w:cs="Arial" w:eastAsia="Arial" w:hAnsi="Arial"/>
                <w:sz w:val="18"/>
                <w:szCs w:val="18"/>
                <w:color w:val="auto"/>
              </w:rPr>
              <w:t>ack@ascendispharma.com</w:t>
            </w:r>
          </w:p>
        </w:tc>
        <w:tc>
          <w:tcPr>
            <w:tcW w:w="2620" w:type="dxa"/>
            <w:vAlign w:val="bottom"/>
            <w:gridSpan w:val="3"/>
          </w:tcPr>
          <w:p>
            <w:pPr>
              <w:ind w:left="620"/>
              <w:spacing w:after="0" w:line="190" w:lineRule="exact"/>
              <w:rPr>
                <w:sz w:val="20"/>
                <w:szCs w:val="20"/>
                <w:color w:val="auto"/>
              </w:rPr>
            </w:pPr>
            <w:r>
              <w:rPr>
                <w:rFonts w:ascii="Arial" w:cs="Arial" w:eastAsia="Arial" w:hAnsi="Arial"/>
                <w:sz w:val="18"/>
                <w:szCs w:val="18"/>
                <w:color w:val="auto"/>
                <w:w w:val="91"/>
              </w:rPr>
              <w:t>patti.bank@westwicke.com</w:t>
            </w:r>
          </w:p>
        </w:tc>
      </w:tr>
      <w:tr>
        <w:trPr>
          <w:trHeight w:val="385"/>
        </w:trPr>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1920" w:type="dxa"/>
            <w:vAlign w:val="bottom"/>
            <w:tcBorders>
              <w:top w:val="single" w:sz="8" w:color="auto"/>
            </w:tcBorders>
            <w:gridSpan w:val="2"/>
          </w:tcPr>
          <w:p>
            <w:pPr>
              <w:ind w:left="1480"/>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2019-12-08T11:27:31Z</dcterms:created>
  <dcterms:modified xsi:type="dcterms:W3CDTF">2019-12-08T11:27:31Z</dcterms:modified>
</cp:coreProperties>
</file>