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snd-20230630.htm"/>
      <w:bookmarkStart w:id="1" w:name="ksasnd20230630"/>
      <w:bookmarkEnd w:id="0"/>
      <w:bookmarkEnd w:id="1"/>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36"/>
        </w:rPr>
        <w:t>FORM 6-K</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4"/>
        </w:rPr>
        <w:t>REPORT OF FOREIGN PRIVATE ISSUER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13a-16 OR 15d-16</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UNDER THE SECURITIES EXCHANGE ACT OF 1934</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For the month of September, 2023</w:t>
      </w:r>
    </w:p>
    <w:p>
      <w:pPr>
        <w:pStyle w:val="TextBody"/>
        <w:bidi w:val="0"/>
        <w:spacing w:before="240" w:after="0"/>
        <w:jc w:val="center"/>
        <w:rPr>
          <w:rFonts w:ascii="Times New Roman" w:hAnsi="Times New Roman"/>
          <w:sz w:val="20"/>
        </w:rPr>
      </w:pPr>
      <w:r>
        <w:rPr>
          <w:rFonts w:ascii="Times New Roman;serif" w:hAnsi="Times New Roman;serif"/>
          <w:b/>
          <w:sz w:val="20"/>
        </w:rPr>
        <w:t>Commission File Number: 001-36815</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48"/>
        </w:rPr>
        <w:t>Ascendis Pharma A/S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Tuborg Boulevard 12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DK-2900 Hellerup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Denmark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files or will file annual reports under cover of Form 20-F or Form 40-F.</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xml:space="preserve">Form 20-F </w:t>
      </w:r>
      <w:r>
        <w:rPr>
          <w:rFonts w:ascii="Times New Roman" w:hAnsi="Times New Roman"/>
          <w:sz w:val="20"/>
        </w:rPr>
        <w:t xml:space="preserve">☒ </w:t>
      </w:r>
      <w:r>
        <w:rPr>
          <w:rFonts w:ascii="Times New Roman;serif" w:hAnsi="Times New Roman;serif"/>
          <w:b w:val="false"/>
          <w:sz w:val="20"/>
        </w:rPr>
        <w:t xml:space="preserve">Form 40-F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Indicate by check mark if the registrant is submitting the Form 6-K in paper as permitted by Regulation S-T Rule 101(b)(1):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Indicate by check mark if the registrant is submitting the Form 6-K in paper as permitted by Regulation S-T Rule 101(b)(7): </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This report on Form 6-K shall be deemed to be incorporated by reference into the registration statements on Form S-8 (Registration Numbers 333-228576, 333-203040, 333-210810, 333-211512, 333-213412, 333-214843, 333-216883, 333-254101, 333-261550 and 333-270088)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Information Contained in this Form 6-K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report contains the Company’s Unaudited Condensed Consolidated Interim Financial Statements as of and for the period ended June 30, 2023, including Management’s Discussion and Analysis of Financial Condition and Results of Operations for the period presented therein.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left"/>
        <w:rPr/>
      </w:pPr>
      <w:r>
        <w:rPr/>
        <w:t> </w:t>
      </w:r>
    </w:p>
    <w:tbl>
      <w:tblPr>
        <w:tblW w:w="6472" w:type="dxa"/>
        <w:jc w:val="left"/>
        <w:tblInd w:w="0" w:type="dxa"/>
        <w:tblLayout w:type="fixed"/>
        <w:tblCellMar>
          <w:top w:w="28" w:type="dxa"/>
          <w:left w:w="28" w:type="dxa"/>
          <w:bottom w:w="28" w:type="dxa"/>
          <w:right w:w="28" w:type="dxa"/>
        </w:tblCellMar>
      </w:tblPr>
      <w:tblGrid>
        <w:gridCol w:w="2116"/>
        <w:gridCol w:w="109"/>
        <w:gridCol w:w="406"/>
        <w:gridCol w:w="384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247"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Ascendis Pharma A/S</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41"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September 5,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Wolff Jensen</w:t>
            </w:r>
          </w:p>
        </w:tc>
      </w:tr>
      <w:tr>
        <w:trPr/>
        <w:tc>
          <w:tcPr>
            <w:tcW w:w="211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Wolff Jensen</w:t>
            </w:r>
          </w:p>
        </w:tc>
      </w:tr>
      <w:tr>
        <w:trPr/>
        <w:tc>
          <w:tcPr>
            <w:tcW w:w="211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Chief Legal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tbl>
      <w:tblPr>
        <w:tblW w:w="8538" w:type="dxa"/>
        <w:jc w:val="left"/>
        <w:tblInd w:w="0" w:type="dxa"/>
        <w:tblLayout w:type="fixed"/>
        <w:tblCellMar>
          <w:top w:w="28" w:type="dxa"/>
          <w:left w:w="28" w:type="dxa"/>
          <w:bottom w:w="28" w:type="dxa"/>
          <w:right w:w="28" w:type="dxa"/>
        </w:tblCellMar>
      </w:tblPr>
      <w:tblGrid>
        <w:gridCol w:w="511"/>
        <w:gridCol w:w="736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1.</w:t>
            </w:r>
          </w:p>
        </w:tc>
        <w:tc>
          <w:tcPr>
            <w:tcW w:w="7366" w:type="dxa"/>
            <w:tcBorders/>
            <w:vAlign w:val="center"/>
          </w:tcPr>
          <w:p>
            <w:pPr>
              <w:pStyle w:val="TableContents"/>
              <w:pBdr/>
              <w:bidi w:val="0"/>
              <w:spacing w:before="0" w:after="0"/>
              <w:ind w:left="0" w:right="0" w:hanging="240"/>
              <w:jc w:val="left"/>
              <w:rPr/>
            </w:pPr>
            <w:hyperlink w:anchor="condensed_consolidate_nterim_financia">
              <w:r>
                <w:rPr>
                  <w:rStyle w:val="InternetLink"/>
                  <w:rFonts w:ascii="Times New Roman;serif" w:hAnsi="Times New Roman;serif"/>
                  <w:b w:val="false"/>
                  <w:sz w:val="20"/>
                  <w:u w:val="single"/>
                </w:rPr>
                <w:t>Unaudited Condensed Consolidated Interim Financial Statements – June 30, 2023</w:t>
              </w:r>
            </w:hyperlink>
            <w:hyperlink w:anchor="condensed_consolidate_nterim_financia">
              <w:r>
                <w:rPr>
                  <w:rStyle w:val="InternetLink"/>
                  <w:rFonts w:ascii="Times New Roman" w:hAnsi="Times New Roman"/>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serif" w:hAnsi="Times New Roman;serif"/>
                <w:b w:val="false"/>
                <w:sz w:val="20"/>
              </w:rPr>
            </w:pPr>
            <w:r>
              <w:rPr>
                <w:rFonts w:ascii="Times New Roman;serif" w:hAnsi="Times New Roman;serif"/>
                <w:b w:val="false"/>
                <w:sz w:val="20"/>
              </w:rPr>
              <w:t>F-1</w:t>
            </w:r>
          </w:p>
        </w:tc>
      </w:tr>
      <w:tr>
        <w:trPr/>
        <w:tc>
          <w:tcPr>
            <w:tcW w:w="511" w:type="dxa"/>
            <w:tcBorders/>
            <w:vAlign w:val="center"/>
          </w:tcPr>
          <w:p>
            <w:pPr>
              <w:pStyle w:val="TableContents"/>
              <w:pBdr/>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2.</w:t>
            </w:r>
          </w:p>
        </w:tc>
        <w:tc>
          <w:tcPr>
            <w:tcW w:w="7366" w:type="dxa"/>
            <w:tcBorders/>
            <w:vAlign w:val="center"/>
          </w:tcPr>
          <w:p>
            <w:pPr>
              <w:pStyle w:val="TableContents"/>
              <w:pBdr/>
              <w:bidi w:val="0"/>
              <w:spacing w:before="0" w:after="0"/>
              <w:ind w:left="0" w:right="0" w:hanging="240"/>
              <w:jc w:val="left"/>
              <w:rPr/>
            </w:pPr>
            <w:hyperlink w:anchor="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1</w:t>
            </w:r>
          </w:p>
        </w:tc>
      </w:tr>
    </w:tbl>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ASCENDIS PHARMA A/S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3" w:name="index"/>
      <w:bookmarkStart w:id="4" w:name="tx355617_1"/>
      <w:bookmarkStart w:id="5" w:name="condensed_consolidate_nterim_financia"/>
      <w:bookmarkEnd w:id="3"/>
      <w:bookmarkEnd w:id="4"/>
      <w:bookmarkEnd w:id="5"/>
      <w:r>
        <w:rPr>
          <w:rFonts w:ascii="Times New Roman;serif" w:hAnsi="Times New Roman;serif"/>
          <w:b/>
          <w:sz w:val="20"/>
        </w:rPr>
        <w:t>INDEX TO UNAUDITED CONDENSED CONSOLIDATED INTERIM FINANCIAL STATEMENTS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425"/>
        <w:gridCol w:w="780"/>
      </w:tblGrid>
      <w:tr>
        <w:trPr/>
        <w:tc>
          <w:tcPr>
            <w:tcW w:w="942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9425" w:type="dxa"/>
            <w:tcBorders/>
            <w:vAlign w:val="center"/>
          </w:tcPr>
          <w:p>
            <w:pPr>
              <w:pStyle w:val="TableContents"/>
              <w:bidi w:val="0"/>
              <w:spacing w:before="0" w:after="283"/>
              <w:ind w:left="0" w:right="0" w:hanging="0"/>
              <w:jc w:val="left"/>
              <w:rPr>
                <w:sz w:val="4"/>
                <w:szCs w:val="4"/>
              </w:rPr>
            </w:pPr>
            <w:r>
              <w:rPr>
                <w:sz w:val="4"/>
                <w:szCs w:val="4"/>
              </w:rPr>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9425" w:type="dxa"/>
            <w:tcBorders/>
            <w:vAlign w:val="center"/>
          </w:tcPr>
          <w:p>
            <w:pPr>
              <w:pStyle w:val="TableContents"/>
              <w:pBdr/>
              <w:bidi w:val="0"/>
              <w:spacing w:before="0" w:after="0"/>
              <w:ind w:left="0" w:right="0" w:hanging="240"/>
              <w:jc w:val="left"/>
              <w:rPr/>
            </w:pPr>
            <w:hyperlink w:anchor="unaudited_cond_consol_interim__of_profit">
              <w:r>
                <w:rPr>
                  <w:rStyle w:val="InternetLink"/>
                  <w:rFonts w:ascii="Times New Roman;serif" w:hAnsi="Times New Roman;serif"/>
                  <w:b w:val="false"/>
                  <w:sz w:val="20"/>
                  <w:u w:val="single"/>
                </w:rPr>
                <w:t>Unaudited Condensed Consolidated Interim Statements of Profit or Loss and Other Comprehensive Income / (Loss) for the Three and Six Months Ended June 30, 2023 and 2022</w:t>
              </w:r>
            </w:hyperlink>
          </w:p>
        </w:tc>
        <w:tc>
          <w:tcPr>
            <w:tcW w:w="780" w:type="dxa"/>
            <w:tcBorders/>
            <w:vAlign w:val="center"/>
          </w:tcPr>
          <w:p>
            <w:pPr>
              <w:pStyle w:val="TableContents"/>
              <w:bidi w:val="0"/>
              <w:spacing w:before="0" w:after="20"/>
              <w:ind w:left="0" w:right="0" w:firstLine="240"/>
              <w:jc w:val="center"/>
              <w:rPr/>
            </w:pPr>
            <w:r>
              <w:rPr/>
              <w:t> </w:t>
            </w:r>
            <w:r>
              <w:rPr>
                <w:rFonts w:ascii="Times New Roman;serif" w:hAnsi="Times New Roman;serif"/>
                <w:b w:val="false"/>
                <w:sz w:val="20"/>
              </w:rPr>
              <w:t>F-2</w:t>
            </w:r>
          </w:p>
        </w:tc>
      </w:tr>
      <w:tr>
        <w:trPr/>
        <w:tc>
          <w:tcPr>
            <w:tcW w:w="9425" w:type="dxa"/>
            <w:tcBorders/>
            <w:vAlign w:val="center"/>
          </w:tcPr>
          <w:p>
            <w:pPr>
              <w:pStyle w:val="TableContents"/>
              <w:pBdr/>
              <w:bidi w:val="0"/>
              <w:spacing w:before="0" w:after="0"/>
              <w:ind w:left="0" w:right="0" w:hanging="240"/>
              <w:jc w:val="left"/>
              <w:rPr/>
            </w:pPr>
            <w:hyperlink w:anchor="un_cond_co_int_st_of_financial_position">
              <w:r>
                <w:rPr>
                  <w:rStyle w:val="InternetLink"/>
                  <w:rFonts w:ascii="Times New Roman;serif" w:hAnsi="Times New Roman;serif"/>
                  <w:b w:val="false"/>
                  <w:sz w:val="20"/>
                  <w:u w:val="single"/>
                </w:rPr>
                <w:t>Unaudited Condensed Consolidated Interim Statements of Financial Position as of June 30, 2023 and December 31, 2022</w:t>
              </w:r>
            </w:hyperlink>
          </w:p>
        </w:tc>
        <w:tc>
          <w:tcPr>
            <w:tcW w:w="780" w:type="dxa"/>
            <w:tcBorders/>
            <w:vAlign w:val="center"/>
          </w:tcPr>
          <w:p>
            <w:pPr>
              <w:pStyle w:val="TableContents"/>
              <w:bidi w:val="0"/>
              <w:spacing w:before="0" w:after="20"/>
              <w:ind w:left="0" w:right="0" w:firstLine="240"/>
              <w:jc w:val="center"/>
              <w:rPr/>
            </w:pPr>
            <w:r>
              <w:rPr/>
              <w:t> </w:t>
            </w:r>
            <w:r>
              <w:rPr>
                <w:rFonts w:ascii="Times New Roman;serif" w:hAnsi="Times New Roman;serif"/>
                <w:b w:val="false"/>
                <w:sz w:val="20"/>
              </w:rPr>
              <w:t>F-3</w:t>
            </w:r>
          </w:p>
        </w:tc>
      </w:tr>
      <w:tr>
        <w:trPr/>
        <w:tc>
          <w:tcPr>
            <w:tcW w:w="9425" w:type="dxa"/>
            <w:tcBorders/>
            <w:vAlign w:val="center"/>
          </w:tcPr>
          <w:p>
            <w:pPr>
              <w:pStyle w:val="TableContents"/>
              <w:pBdr/>
              <w:bidi w:val="0"/>
              <w:spacing w:before="0" w:after="0"/>
              <w:ind w:left="0" w:right="0" w:hanging="240"/>
              <w:jc w:val="left"/>
              <w:rPr/>
            </w:pPr>
            <w:hyperlink w:anchor="una_cons_inter_state_of_chan_in_equity">
              <w:r>
                <w:rPr>
                  <w:rStyle w:val="InternetLink"/>
                  <w:rFonts w:ascii="Times New Roman;serif" w:hAnsi="Times New Roman;serif"/>
                  <w:b w:val="false"/>
                  <w:sz w:val="20"/>
                  <w:u w:val="single"/>
                </w:rPr>
                <w:t>Unaudited Condensed Consolidated Interim Statements of Changes in Equity at June 30, 2023 and 2022</w:t>
              </w:r>
            </w:hyperlink>
          </w:p>
        </w:tc>
        <w:tc>
          <w:tcPr>
            <w:tcW w:w="780" w:type="dxa"/>
            <w:tcBorders/>
            <w:vAlign w:val="center"/>
          </w:tcPr>
          <w:p>
            <w:pPr>
              <w:pStyle w:val="TableContents"/>
              <w:bidi w:val="0"/>
              <w:spacing w:before="0" w:after="20"/>
              <w:ind w:left="0" w:right="0" w:firstLine="240"/>
              <w:jc w:val="center"/>
              <w:rPr/>
            </w:pPr>
            <w:r>
              <w:rPr/>
              <w:t> </w:t>
            </w:r>
            <w:r>
              <w:rPr>
                <w:rFonts w:ascii="Times New Roman;serif" w:hAnsi="Times New Roman;serif"/>
                <w:b w:val="false"/>
                <w:sz w:val="20"/>
              </w:rPr>
              <w:t>F-4</w:t>
            </w:r>
          </w:p>
        </w:tc>
      </w:tr>
      <w:tr>
        <w:trPr/>
        <w:tc>
          <w:tcPr>
            <w:tcW w:w="9425" w:type="dxa"/>
            <w:tcBorders/>
            <w:vAlign w:val="center"/>
          </w:tcPr>
          <w:p>
            <w:pPr>
              <w:pStyle w:val="TableContents"/>
              <w:pBdr/>
              <w:bidi w:val="0"/>
              <w:spacing w:before="0" w:after="0"/>
              <w:ind w:left="0" w:right="0" w:hanging="240"/>
              <w:jc w:val="left"/>
              <w:rPr/>
            </w:pPr>
            <w:hyperlink w:anchor="unaudited_co_consolid_interim_cash_flow">
              <w:r>
                <w:rPr>
                  <w:rStyle w:val="InternetLink"/>
                  <w:rFonts w:ascii="Times New Roman;serif" w:hAnsi="Times New Roman;serif"/>
                  <w:b w:val="false"/>
                  <w:sz w:val="20"/>
                  <w:u w:val="single"/>
                </w:rPr>
                <w:t>Unaudited Condensed Consolidated Interim Cash Flow Statements for the Six Months Ended June 30, 2023 and 2022</w:t>
              </w:r>
            </w:hyperlink>
          </w:p>
        </w:tc>
        <w:tc>
          <w:tcPr>
            <w:tcW w:w="780" w:type="dxa"/>
            <w:tcBorders/>
            <w:vAlign w:val="center"/>
          </w:tcPr>
          <w:p>
            <w:pPr>
              <w:pStyle w:val="TableContents"/>
              <w:bidi w:val="0"/>
              <w:spacing w:before="0" w:after="20"/>
              <w:ind w:left="0" w:right="0" w:firstLine="240"/>
              <w:jc w:val="center"/>
              <w:rPr/>
            </w:pPr>
            <w:r>
              <w:rPr/>
              <w:t> </w:t>
            </w:r>
            <w:r>
              <w:rPr>
                <w:rFonts w:ascii="Times New Roman;serif" w:hAnsi="Times New Roman;serif"/>
                <w:b w:val="false"/>
                <w:sz w:val="20"/>
              </w:rPr>
              <w:t>F-5</w:t>
            </w:r>
          </w:p>
        </w:tc>
      </w:tr>
      <w:tr>
        <w:trPr/>
        <w:tc>
          <w:tcPr>
            <w:tcW w:w="9425" w:type="dxa"/>
            <w:tcBorders/>
            <w:vAlign w:val="center"/>
          </w:tcPr>
          <w:p>
            <w:pPr>
              <w:pStyle w:val="TableContents"/>
              <w:pBdr/>
              <w:bidi w:val="0"/>
              <w:spacing w:before="0" w:after="0"/>
              <w:ind w:left="0" w:right="0" w:hanging="240"/>
              <w:jc w:val="left"/>
              <w:rPr/>
            </w:pPr>
            <w:hyperlink w:anchor="notes">
              <w:r>
                <w:rPr>
                  <w:rStyle w:val="InternetLink"/>
                  <w:rFonts w:ascii="Times New Roman;serif" w:hAnsi="Times New Roman;serif"/>
                  <w:b w:val="false"/>
                  <w:sz w:val="20"/>
                  <w:u w:val="single"/>
                </w:rPr>
                <w:t>Notes to the Unaudited Condensed Consolidated Interim Financial Statements</w:t>
              </w:r>
            </w:hyperlink>
          </w:p>
        </w:tc>
        <w:tc>
          <w:tcPr>
            <w:tcW w:w="780" w:type="dxa"/>
            <w:tcBorders/>
            <w:vAlign w:val="center"/>
          </w:tcPr>
          <w:p>
            <w:pPr>
              <w:pStyle w:val="TableContents"/>
              <w:bidi w:val="0"/>
              <w:spacing w:before="0" w:after="20"/>
              <w:ind w:left="0" w:right="0" w:hanging="0"/>
              <w:jc w:val="center"/>
              <w:rPr/>
            </w:pPr>
            <w:r>
              <w:rPr/>
              <w:t> </w:t>
            </w:r>
            <w:r>
              <w:rPr>
                <w:rFonts w:ascii="Times New Roman;serif" w:hAnsi="Times New Roman;serif"/>
                <w:b w:val="false"/>
                <w:sz w:val="20"/>
              </w:rPr>
              <w:t>F-6</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6" w:name="unaudited_cond_consol_interim__of_profit"/>
      <w:bookmarkEnd w:id="6"/>
      <w:r>
        <w:rPr>
          <w:rFonts w:ascii="Times New Roman;serif" w:hAnsi="Times New Roman;serif"/>
          <w:b/>
          <w:sz w:val="20"/>
        </w:rPr>
        <w:t>Unaudited Condensed Consolidated Interim Statements of Profit or Loss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and Comprehensive Income / (Loss) for the Three and Six Months Ended June 30, 2023 and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07"/>
        <w:gridCol w:w="146"/>
        <w:gridCol w:w="511"/>
        <w:gridCol w:w="146"/>
        <w:gridCol w:w="226"/>
        <w:gridCol w:w="1036"/>
        <w:gridCol w:w="166"/>
        <w:gridCol w:w="146"/>
        <w:gridCol w:w="226"/>
        <w:gridCol w:w="1036"/>
        <w:gridCol w:w="166"/>
        <w:gridCol w:w="146"/>
        <w:gridCol w:w="226"/>
        <w:gridCol w:w="1036"/>
        <w:gridCol w:w="166"/>
        <w:gridCol w:w="146"/>
        <w:gridCol w:w="226"/>
        <w:gridCol w:w="1036"/>
        <w:gridCol w:w="211"/>
      </w:tblGrid>
      <w:tr>
        <w:trPr/>
        <w:tc>
          <w:tcPr>
            <w:tcW w:w="3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0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0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0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Consolidated Statement of Profit or Loss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12,988</w:t>
            </w:r>
          </w:p>
        </w:tc>
        <w:tc>
          <w:tcPr>
            <w:tcW w:w="211" w:type="dxa"/>
            <w:tcBorders/>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34,464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63,431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7,656</w:t>
            </w:r>
          </w:p>
        </w:tc>
        <w:tc>
          <w:tcPr>
            <w:tcW w:w="211" w:type="dxa"/>
            <w:tcBorders/>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costs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173,576</w:t>
            </w:r>
          </w:p>
        </w:tc>
        <w:tc>
          <w:tcPr>
            <w:tcW w:w="211" w:type="dxa"/>
            <w:tcBorders/>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profit / (loss)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(140,838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(141,893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(284,523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(269,922</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84,171</w:t>
            </w:r>
          </w:p>
        </w:tc>
        <w:tc>
          <w:tcPr>
            <w:tcW w:w="211" w:type="dxa"/>
            <w:tcBorders/>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Profit / (loss) before tax</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(121,862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(81,366</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(231,478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(206,623</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(expenses)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(121,433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(232,346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(206,818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Attributable to owners of the Company</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earnings / (loss) per share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Number of shares used for calculation (basic and diluted)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56,218,257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55,805,486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56,155,441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56,260,248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20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Statement of Comprehensive Income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(121,433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(81,319</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(232,346</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(206,818</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comprehensive income / (loss)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Items that may be reclassified subsequently to profit or loss: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 differences on translating foreign operations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comprehensive income / (loss) for the period, net of tax</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comprehensive income / (loss) for the period, net of tax</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(122,449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(82,076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(234,149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(207,150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2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Attributable to owners of the Company</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(234,149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(207,150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pPr>
      <w:r>
        <w:rPr>
          <w:rFonts w:ascii="Times New Roman;serif" w:hAnsi="Times New Roman;serif"/>
          <w:b w:val="false"/>
          <w:sz w:val="16"/>
        </w:rPr>
        <w:t>As of June 30, 2023 and June 30, 2022, a total of 6,866,241</w:t>
      </w:r>
      <w:r>
        <w:rPr/>
        <w:t xml:space="preserve"> </w:t>
      </w:r>
      <w:r>
        <w:rPr>
          <w:rFonts w:ascii="Times New Roman;serif" w:hAnsi="Times New Roman;serif"/>
          <w:b w:val="false"/>
          <w:sz w:val="16"/>
        </w:rPr>
        <w:t>and 7,033,103</w:t>
      </w:r>
      <w:r>
        <w:rPr/>
        <w:t xml:space="preserve"> </w:t>
      </w:r>
      <w:r>
        <w:rPr>
          <w:rFonts w:ascii="Times New Roman;serif" w:hAnsi="Times New Roman;serif"/>
          <w:b w:val="false"/>
          <w:sz w:val="16"/>
        </w:rPr>
        <w:t>warrants outstanding, respectively, each carrying the right to subscribe for one ordinary share, and 575,000</w:t>
      </w:r>
      <w:r>
        <w:rPr/>
        <w:t xml:space="preserve"> </w:t>
      </w:r>
      <w:r>
        <w:rPr>
          <w:rFonts w:ascii="Times New Roman;serif" w:hAnsi="Times New Roman;serif"/>
          <w:b w:val="false"/>
          <w:sz w:val="16"/>
        </w:rPr>
        <w:t>convertible senior notes which can potentially be converted into 3,456,785</w:t>
      </w:r>
      <w:r>
        <w:rPr/>
        <w:t xml:space="preserve"> </w:t>
      </w:r>
      <w:r>
        <w:rPr>
          <w:rFonts w:ascii="Times New Roman;serif" w:hAnsi="Times New Roman;serif"/>
          <w:b w:val="false"/>
          <w:sz w:val="16"/>
        </w:rPr>
        <w:t xml:space="preserve">ordinary shares, can potentially dilute earnings per share in the future but have not been included in the calculation of diluted earnings per share because they are antidilutive for the periods presented.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7" w:name="tx355617_4"/>
      <w:bookmarkEnd w:id="7"/>
      <w:r>
        <w:rPr>
          <w:rFonts w:ascii="Times New Roman;serif" w:hAnsi="Times New Roman;serif"/>
          <w:b/>
          <w:sz w:val="20"/>
        </w:rPr>
        <w:t>Unaudited Condensed Consol</w:t>
      </w:r>
      <w:bookmarkStart w:id="8" w:name="un_cond_co_int_st_of_financial_position"/>
      <w:bookmarkEnd w:id="8"/>
      <w:r>
        <w:rPr>
          <w:rFonts w:ascii="Times New Roman;serif" w:hAnsi="Times New Roman;serif"/>
          <w:b/>
          <w:sz w:val="20"/>
        </w:rPr>
        <w:t>idated Interim Statements of Financial Position</w:t>
      </w:r>
      <w:r>
        <w:rPr>
          <w:rFonts w:ascii="Times New Roman" w:hAnsi="Times New Roman"/>
          <w:sz w:val="20"/>
        </w:rPr>
        <w:t xml:space="preserve"> </w:t>
      </w:r>
    </w:p>
    <w:p>
      <w:pPr>
        <w:pStyle w:val="TextBody"/>
        <w:bidi w:val="0"/>
        <w:spacing w:before="0" w:after="0"/>
        <w:jc w:val="left"/>
        <w:rPr/>
      </w:pPr>
      <w:r>
        <w:rPr/>
        <w:t> </w:t>
      </w:r>
    </w:p>
    <w:tbl>
      <w:tblPr>
        <w:tblW w:w="6459" w:type="dxa"/>
        <w:jc w:val="left"/>
        <w:tblInd w:w="0" w:type="dxa"/>
        <w:tblLayout w:type="fixed"/>
        <w:tblCellMar>
          <w:top w:w="28" w:type="dxa"/>
          <w:left w:w="28" w:type="dxa"/>
          <w:bottom w:w="28" w:type="dxa"/>
          <w:right w:w="28" w:type="dxa"/>
        </w:tblCellMar>
      </w:tblPr>
      <w:tblGrid>
        <w:gridCol w:w="3151"/>
        <w:gridCol w:w="146"/>
        <w:gridCol w:w="511"/>
        <w:gridCol w:w="146"/>
        <w:gridCol w:w="146"/>
        <w:gridCol w:w="781"/>
        <w:gridCol w:w="146"/>
        <w:gridCol w:w="146"/>
        <w:gridCol w:w="148"/>
        <w:gridCol w:w="947"/>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Non-current assets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4,828</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129,095</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associate</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22,932</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146,145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166,267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130,673</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receivables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11,910</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receivables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12,833</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Prepayments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31,717</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290,688</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444,767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677,678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923,471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823,823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1,089,738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 and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 capital</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7,675</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Distributable equity</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255,673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equity</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64,841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263,348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Non-current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482,956</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566,708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655,119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25,421</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 and accrued expenses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101,032</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31,989</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5,490</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192,274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171,271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758,982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826,390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equity and liabilities</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823,823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1,089,738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9" w:name="tx355617_5"/>
      <w:bookmarkEnd w:id="9"/>
      <w:r>
        <w:rPr>
          <w:rFonts w:ascii="Times New Roman;serif" w:hAnsi="Times New Roman;serif"/>
          <w:b/>
          <w:sz w:val="20"/>
        </w:rPr>
        <w:t xml:space="preserve">Unaudited </w:t>
      </w:r>
      <w:bookmarkStart w:id="10" w:name="una_cons_inter_state_of_chan_in_equity"/>
      <w:bookmarkEnd w:id="10"/>
      <w:r>
        <w:rPr>
          <w:rFonts w:ascii="Times New Roman;serif" w:hAnsi="Times New Roman;serif"/>
          <w:b/>
          <w:sz w:val="20"/>
        </w:rPr>
        <w:t>Condensed Consolidated Interim Statements of Changes in Equity</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192"/>
        <w:gridCol w:w="754"/>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Distributable 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br/>
              <w:t>Premium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w:t>
              <w:br/>
              <w:t>Currency</w:t>
              <w:br/>
              <w:t>Translation</w:t>
              <w:br/>
              <w:t>Reserve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809"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2,112,863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3,452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(1,860,493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263,348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(232,346</w:t>
            </w:r>
          </w:p>
        </w:tc>
        <w:tc>
          <w:tcPr>
            <w:tcW w:w="2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 (loss),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(1,803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comprehensive income /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(1,803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(232,346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(234,149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Transactions with Owners</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payment (Note 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33,568</w:t>
            </w:r>
          </w:p>
        </w:tc>
        <w:tc>
          <w:tcPr>
            <w:tcW w:w="211" w:type="dxa"/>
            <w:tcBorders/>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Capital increase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7,699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2,114,913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1,649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(2,059,271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64,841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210"/>
        <w:gridCol w:w="736"/>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5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Distributable 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br/>
              <w:t>Premium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w:t>
              <w:br/>
              <w:t>Currency</w:t>
              <w:br/>
              <w:t>Translation</w:t>
              <w:br/>
              <w:t>Reserve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809"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7,646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2,107,739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(1,235,508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883,635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(206,818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(206,818</w:t>
            </w:r>
          </w:p>
        </w:tc>
        <w:tc>
          <w:tcPr>
            <w:tcW w:w="2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 (loss),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comprehensive income /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(206,818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(207,150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Transactions with Owners</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payment (Note 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36,770</w:t>
            </w:r>
          </w:p>
        </w:tc>
        <w:tc>
          <w:tcPr>
            <w:tcW w:w="211" w:type="dxa"/>
            <w:tcBorders/>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Acquisition of treasury shares (Note 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(106,099</w:t>
            </w:r>
          </w:p>
        </w:tc>
        <w:tc>
          <w:tcPr>
            <w:tcW w:w="2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Capital increase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686</w:t>
            </w:r>
          </w:p>
        </w:tc>
        <w:tc>
          <w:tcPr>
            <w:tcW w:w="211" w:type="dxa"/>
            <w:tcBorders/>
            <w:vAlign w:val="center"/>
          </w:tcPr>
          <w:p>
            <w:pPr>
              <w:pStyle w:val="TableContents"/>
              <w:bidi w:val="0"/>
              <w:spacing w:before="0" w:after="0"/>
              <w:ind w:left="0" w:right="0" w:hanging="0"/>
              <w:jc w:val="left"/>
              <w:rPr/>
            </w:pPr>
            <w:r>
              <w:rPr/>
              <w:t> </w:t>
            </w:r>
          </w:p>
        </w:tc>
      </w:tr>
      <w:tr>
        <w:trPr/>
        <w:tc>
          <w:tcPr>
            <w:tcW w:w="303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5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7,649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2,108,422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57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(155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3,447</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90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(1,511,521</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607,842</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11" w:name="tx355617_6"/>
      <w:bookmarkEnd w:id="11"/>
      <w:r>
        <w:rPr>
          <w:rFonts w:ascii="Times New Roman;serif" w:hAnsi="Times New Roman;serif"/>
          <w:b/>
          <w:sz w:val="20"/>
        </w:rPr>
        <w:t xml:space="preserve">Unaudited Condensed </w:t>
      </w:r>
      <w:bookmarkStart w:id="12" w:name="unaudited_co_consolid_interim_cash_flow"/>
      <w:bookmarkEnd w:id="12"/>
      <w:r>
        <w:rPr>
          <w:rFonts w:ascii="Times New Roman;serif" w:hAnsi="Times New Roman;serif"/>
          <w:b/>
          <w:sz w:val="20"/>
        </w:rPr>
        <w:t>Consolidated Interim Cash Flow Statements for the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Six Months Ended June 30, 2023 and 2022</w:t>
      </w:r>
      <w:r>
        <w:rPr>
          <w:rFonts w:ascii="Times New Roman" w:hAnsi="Times New Roman"/>
          <w:sz w:val="20"/>
        </w:rPr>
        <w:t xml:space="preserve"> </w:t>
      </w:r>
    </w:p>
    <w:tbl>
      <w:tblPr>
        <w:tblW w:w="8679" w:type="dxa"/>
        <w:jc w:val="left"/>
        <w:tblInd w:w="0" w:type="dxa"/>
        <w:tblLayout w:type="fixed"/>
        <w:tblCellMar>
          <w:top w:w="28" w:type="dxa"/>
          <w:left w:w="28" w:type="dxa"/>
          <w:bottom w:w="28" w:type="dxa"/>
          <w:right w:w="28" w:type="dxa"/>
        </w:tblCellMar>
      </w:tblPr>
      <w:tblGrid>
        <w:gridCol w:w="5836"/>
        <w:gridCol w:w="146"/>
        <w:gridCol w:w="146"/>
        <w:gridCol w:w="841"/>
        <w:gridCol w:w="166"/>
        <w:gridCol w:w="146"/>
        <w:gridCol w:w="146"/>
        <w:gridCol w:w="841"/>
        <w:gridCol w:w="4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411" w:type="dxa"/>
            <w:tcBorders/>
            <w:vAlign w:val="center"/>
          </w:tcPr>
          <w:p>
            <w:pPr>
              <w:pStyle w:val="TableContents"/>
              <w:bidi w:val="0"/>
              <w:spacing w:before="0" w:after="0"/>
              <w:ind w:left="0" w:right="0" w:hanging="0"/>
              <w:jc w:val="center"/>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(232,346</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(206,818</w:t>
            </w:r>
          </w:p>
        </w:tc>
        <w:tc>
          <w:tcPr>
            <w:tcW w:w="4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finance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(84,171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finance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14,833</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gain and loss on disposal of property, plant and equipment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income taxes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 (decrease) in provisions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3,529</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for non-cash items:</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consideration relating to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6,039</w:t>
            </w:r>
          </w:p>
        </w:tc>
        <w:tc>
          <w:tcPr>
            <w:tcW w:w="411" w:type="dxa"/>
            <w:tcBorders/>
            <w:vAlign w:val="center"/>
          </w:tcPr>
          <w:p>
            <w:pPr>
              <w:pStyle w:val="TableContents"/>
              <w:bidi w:val="0"/>
              <w:spacing w:before="0" w:after="0"/>
              <w:ind w:left="0" w:right="0" w:firstLine="200"/>
              <w:jc w:val="left"/>
              <w:rPr/>
            </w:pPr>
            <w:r>
              <w:rPr/>
              <w:t> </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payment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36,770</w:t>
            </w:r>
          </w:p>
        </w:tc>
        <w:tc>
          <w:tcPr>
            <w:tcW w:w="411" w:type="dxa"/>
            <w:tcBorders/>
            <w:vAlign w:val="center"/>
          </w:tcPr>
          <w:p>
            <w:pPr>
              <w:pStyle w:val="TableContents"/>
              <w:bidi w:val="0"/>
              <w:spacing w:before="0" w:after="0"/>
              <w:ind w:left="0" w:right="0" w:firstLine="200"/>
              <w:jc w:val="left"/>
              <w:rPr/>
            </w:pPr>
            <w:r>
              <w:rPr/>
              <w:t> </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8,584</w:t>
            </w:r>
          </w:p>
        </w:tc>
        <w:tc>
          <w:tcPr>
            <w:tcW w:w="411" w:type="dxa"/>
            <w:tcBorders/>
            <w:vAlign w:val="center"/>
          </w:tcPr>
          <w:p>
            <w:pPr>
              <w:pStyle w:val="TableContents"/>
              <w:bidi w:val="0"/>
              <w:spacing w:before="0" w:after="0"/>
              <w:ind w:left="0" w:right="0" w:firstLine="200"/>
              <w:jc w:val="left"/>
              <w:rPr/>
            </w:pPr>
            <w:r>
              <w:rPr/>
              <w:t> </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working capital:</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Prepayments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liabilities (deferred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payables, accrued expenses and other payables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generated from / (used in) operations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(299,863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(257,235</w:t>
            </w:r>
          </w:p>
        </w:tc>
        <w:tc>
          <w:tcPr>
            <w:tcW w:w="4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 received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received / (paid)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 (used in) operating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(300,172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(255,181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property, plant and equipment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Reimbursement from acquisition of property, plant and equipment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9,535</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(89,700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Settlement of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136,139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 (used in) investing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257,603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48,430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principal portion of lease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proceeds from 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503,281</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treasury shares, net of transaction costs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(105,304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 (used in) financing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395,500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Increase /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188,749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January 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446,267</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balances held in foreign currencies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37,371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June 30</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394,222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672,387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include:</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Bank deposits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670,244</w:t>
            </w:r>
          </w:p>
        </w:tc>
        <w:tc>
          <w:tcPr>
            <w:tcW w:w="411" w:type="dxa"/>
            <w:tcBorders/>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June 30</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394,222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672,387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Notes to the Unaudited Condensed Consolidated Interim Financial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3" w:name="notes"/>
      <w:bookmarkEnd w:id="13"/>
      <w:r>
        <w:rPr>
          <w:rFonts w:ascii="Times New Roman;serif" w:hAnsi="Times New Roman;serif"/>
          <w:b/>
          <w:sz w:val="20"/>
        </w:rPr>
        <w:t>Note 1—General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address of the Company’s registered office is Tuborg Boulevard 12, DK-2900, Hellerup, Denmark.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February 2, 2015, the Company completed an initial public offering which resulted in the listing of American Depositary Shares (“ADSs”), representing the Company’s ordinary shares, under the symbol “ASND” in the United States on The Nasdaq Global Select Market.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Board of Directors (the “Board”) approved these unaudited condensed consolidated interim financial statements on September 5,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2—Summary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Basis of Preparation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2022, and accompanying notes, which have been prepared in accordance with IFRS as issued by the International Accounting Standards Board (the “IASB”) and as adopted by the European Union (the “EU”).</w:t>
      </w:r>
    </w:p>
    <w:p>
      <w:pPr>
        <w:pStyle w:val="TextBody"/>
        <w:bidi w:val="0"/>
        <w:spacing w:before="240" w:after="0"/>
        <w:jc w:val="left"/>
        <w:rPr>
          <w:rFonts w:ascii="Times New Roman" w:hAnsi="Times New Roman"/>
          <w:sz w:val="20"/>
        </w:rPr>
      </w:pPr>
      <w:r>
        <w:rPr>
          <w:rFonts w:ascii="Times New Roman;serif" w:hAnsi="Times New Roman;serif"/>
          <w:b w:val="false"/>
          <w:sz w:val="20"/>
        </w:rPr>
        <w:t>The accounting policies applied are consistent with those of the previous financial year. A description of the accounting policies is provided in the Accounting Policies section of the audited consolidated financial statements as of and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New International Financial Reporting Standards Not Yet Effective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IASB has issued a number of new or amended standards, which have not yet become effective or have not yet been adopted by the EU. Therefore, these new standards have not been incorporated in these unaudited condensed consolidated interim financial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Amendments to IAS 1, “Classification of Liabilities as Current or Non-current”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2020, the IASB issued amendments to paragraphs 69 to 76 of IAS 1, “Presentation of Financial Statements,” to specify the requirements for classifying liabilities as current or non-current. The amendments clarify: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What is meant by a right to defer settlement;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That a right to defer must exist at the end of the reporting period;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That classification is unaffected by the likelihood that an entity will exercise its deferral right;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That only if an embedded derivative in a convertible liability is itself an equity instrument would the terms of a liability not impact its classification.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approved by the EU, the amendments are effective for annual reporting periods beginning on or after January 1, 2024, and must be applied retrospectively. The amendments are expected to require the convertible notes (presented as part of borrowings on the statement of financial position) and derivative liabilities, both presented as non-current liabilities at June 30, 2023, to be presented as current liabilities.</w:t>
      </w:r>
    </w:p>
    <w:p>
      <w:pPr>
        <w:pStyle w:val="TextBody"/>
        <w:bidi w:val="0"/>
        <w:spacing w:before="240" w:after="0"/>
        <w:jc w:val="left"/>
        <w:rPr>
          <w:rFonts w:ascii="Times New Roman" w:hAnsi="Times New Roman"/>
          <w:sz w:val="20"/>
        </w:rPr>
      </w:pPr>
      <w:r>
        <w:rPr>
          <w:rFonts w:ascii="Times New Roman;serif" w:hAnsi="Times New Roman;serif"/>
          <w:b w:val="false"/>
          <w:sz w:val="20"/>
        </w:rPr>
        <w:t>On June 30, 2023, the carrying amount of convertible notes and derivative liabilities were €402.7</w:t>
      </w:r>
      <w:r>
        <w:rPr>
          <w:rFonts w:ascii="Times New Roman" w:hAnsi="Times New Roman"/>
          <w:sz w:val="20"/>
        </w:rPr>
        <w:t xml:space="preserve"> </w:t>
      </w:r>
      <w:r>
        <w:rPr>
          <w:rFonts w:ascii="Times New Roman;serif" w:hAnsi="Times New Roman;serif"/>
          <w:b w:val="false"/>
          <w:sz w:val="20"/>
        </w:rPr>
        <w:t>million and €86.4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consolidated financial statements are not expected to be affected by other new or amended standards.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F-7</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3—Significant Accounting Judgements and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 Additionally, there have been no changes to the application of significant accounting judgements, or estimation uncertainties regarding accounting estimates compared to December 31,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4—Significant Events in the Reporting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Global Banking Situation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2023, the Federal Deposit Insurance Corporation (the “FDIC”) announced that Silicon Valley Bank (“SVB”) had been closed by the California Department of Financial Protection and Innovation, which appointed the FDIC as receiver. The Company did not hold deposits or securities or maintain any accounts at SVB. Following the closure of SVB and subsequent developments in the global banking sector, the Company considered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line with previous periods, this assessment did not reveal a material impairment loss, and accordingly no provision for expected credit loss has been recognized.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Conflict in the Region Surrounding Ukraine and Russia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ongoing conflict in the region surrounding Ukraine and Russia has impacted the Company's ability to continue clinical trial activities in those countries. The conflict did not have a direct material impact on the unaudited condensed consolidated interim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F-8</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5—Revenue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from commercial sale of products relates to sale of SKYTROFA</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(lonapegsomatropin-tcgd) on the U.S. market, which is sold to specialty pharmacies and a specialty distributor (“commercial customers”). Customer payment terms are typically 30 days</w:t>
      </w:r>
      <w:r>
        <w:rPr>
          <w:rFonts w:ascii="Times New Roman" w:hAnsi="Times New Roman"/>
          <w:sz w:val="20"/>
        </w:rPr>
        <w:t xml:space="preserve"> </w:t>
      </w:r>
      <w:r>
        <w:rPr>
          <w:rFonts w:ascii="Times New Roman;serif" w:hAnsi="Times New Roman;serif"/>
          <w:b w:val="false"/>
          <w:sz w:val="20"/>
        </w:rPr>
        <w:t>from the transaction date. SKYTROFA was approved by the U.S. Food and Drug Administration in August 2021.</w:t>
      </w:r>
    </w:p>
    <w:p>
      <w:pPr>
        <w:pStyle w:val="TextBody"/>
        <w:bidi w:val="0"/>
        <w:spacing w:before="120" w:after="120"/>
        <w:jc w:val="left"/>
        <w:rPr>
          <w:rFonts w:ascii="Times New Roman" w:hAnsi="Times New Roman"/>
          <w:sz w:val="20"/>
        </w:rPr>
      </w:pPr>
      <w:r>
        <w:rPr>
          <w:rFonts w:ascii="Times New Roman;serif" w:hAnsi="Times New Roman;serif"/>
          <w:b w:val="false"/>
          <w:sz w:val="20"/>
        </w:rPr>
        <w:t>Other revenue is generated primarily from three license agreements, which grant VISEN Pharmaceuticals exclusive rights to develop and commercialize TransCon hGH, TransCon PTH and TransCon CNP in Greater China.</w:t>
      </w:r>
      <w:r>
        <w:rPr>
          <w:rFonts w:ascii="Times New Roman" w:hAnsi="Times New Roman"/>
          <w:sz w:val="20"/>
        </w:rPr>
        <w:t xml:space="preserve"> </w:t>
      </w:r>
    </w:p>
    <w:tbl>
      <w:tblPr>
        <w:tblW w:w="8267" w:type="dxa"/>
        <w:jc w:val="left"/>
        <w:tblInd w:w="0" w:type="dxa"/>
        <w:tblLayout w:type="fixed"/>
        <w:tblCellMar>
          <w:top w:w="28" w:type="dxa"/>
          <w:left w:w="28" w:type="dxa"/>
          <w:bottom w:w="28" w:type="dxa"/>
          <w:right w:w="28" w:type="dxa"/>
        </w:tblCellMar>
      </w:tblPr>
      <w:tblGrid>
        <w:gridCol w:w="3871"/>
        <w:gridCol w:w="146"/>
        <w:gridCol w:w="146"/>
        <w:gridCol w:w="676"/>
        <w:gridCol w:w="146"/>
        <w:gridCol w:w="146"/>
        <w:gridCol w:w="146"/>
        <w:gridCol w:w="571"/>
        <w:gridCol w:w="146"/>
        <w:gridCol w:w="146"/>
        <w:gridCol w:w="146"/>
        <w:gridCol w:w="676"/>
        <w:gridCol w:w="146"/>
        <w:gridCol w:w="146"/>
        <w:gridCol w:w="146"/>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3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 from external customers</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sale of products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6,323</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Rendering of 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 of clinical supply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4,407</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Licenses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47,393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80,982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12,988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Attributable to</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6,323</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partners and license agreements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47,393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80,982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12,988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Specified by timing of recognition</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over time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at a point in time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80,982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12,988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 by geographical location</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11,535</w:t>
            </w:r>
          </w:p>
        </w:tc>
        <w:tc>
          <w:tcPr>
            <w:tcW w:w="1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China</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47,393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80,982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12,988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6—Segment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managed and operated as one</w:t>
      </w:r>
      <w:r>
        <w:rPr>
          <w:rFonts w:ascii="Times New Roman" w:hAnsi="Times New Roman"/>
          <w:sz w:val="20"/>
        </w:rPr>
        <w:t xml:space="preserve"> </w:t>
      </w:r>
      <w:r>
        <w:rPr>
          <w:rFonts w:ascii="Times New Roman;serif" w:hAnsi="Times New Roman;serif"/>
          <w:b w:val="false"/>
          <w:sz w:val="20"/>
        </w:rPr>
        <w:t>business unit. No separate business areas or separate business units have been identified in relation to product candidates or geographical markets. Accordingly, no additional information on business segments or geographical areas is disclosed.</w:t>
      </w:r>
    </w:p>
    <w:p>
      <w:pPr>
        <w:pStyle w:val="TextBody"/>
        <w:bidi w:val="0"/>
        <w:spacing w:before="360" w:after="0"/>
        <w:jc w:val="left"/>
        <w:rPr>
          <w:rFonts w:ascii="Times New Roman" w:hAnsi="Times New Roman"/>
          <w:sz w:val="20"/>
        </w:rPr>
      </w:pPr>
      <w:r>
        <w:rPr>
          <w:rFonts w:ascii="Times New Roman;serif" w:hAnsi="Times New Roman;serif"/>
          <w:b/>
          <w:sz w:val="20"/>
        </w:rPr>
        <w:t>Note 7—Share-based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an incentive to the senior management and the Executive Board,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Share-based Compensation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Share-based compensation costs are determined using the grant date fair value and are recognized over the vesting period as research and development costs, selling, general and administrative expenses, or cost of sales. For the three and six months ended June 30, 2023 and 2022, share-based compensation costs recognized in the unaudited condensed consolidated interim statement of profit or loss were €19.9</w:t>
      </w:r>
      <w:r>
        <w:rPr>
          <w:rFonts w:ascii="Times New Roman" w:hAnsi="Times New Roman"/>
          <w:sz w:val="20"/>
        </w:rPr>
        <w:t xml:space="preserve"> </w:t>
      </w:r>
      <w:r>
        <w:rPr>
          <w:rFonts w:ascii="Times New Roman;serif" w:hAnsi="Times New Roman;serif"/>
          <w:b w:val="false"/>
          <w:sz w:val="20"/>
        </w:rPr>
        <w:t>million and €33.6</w:t>
      </w:r>
      <w:r>
        <w:rPr>
          <w:rFonts w:ascii="Times New Roman" w:hAnsi="Times New Roman"/>
          <w:sz w:val="20"/>
        </w:rPr>
        <w:t xml:space="preserve"> </w:t>
      </w:r>
      <w:r>
        <w:rPr>
          <w:rFonts w:ascii="Times New Roman;serif" w:hAnsi="Times New Roman;serif"/>
          <w:b w:val="false"/>
          <w:sz w:val="20"/>
        </w:rPr>
        <w:t>million, respectively, and €16.8</w:t>
      </w:r>
      <w:r>
        <w:rPr>
          <w:rFonts w:ascii="Times New Roman" w:hAnsi="Times New Roman"/>
          <w:sz w:val="20"/>
        </w:rPr>
        <w:t xml:space="preserve"> </w:t>
      </w:r>
      <w:r>
        <w:rPr>
          <w:rFonts w:ascii="Times New Roman;serif" w:hAnsi="Times New Roman;serif"/>
          <w:b w:val="false"/>
          <w:sz w:val="20"/>
        </w:rPr>
        <w:t>million and €36.8</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360" w:after="0"/>
        <w:jc w:val="left"/>
        <w:rPr>
          <w:rFonts w:ascii="Times New Roman" w:hAnsi="Times New Roman"/>
          <w:sz w:val="20"/>
        </w:rPr>
      </w:pPr>
      <w:r>
        <w:rPr>
          <w:rFonts w:ascii="Times New Roman;serif" w:hAnsi="Times New Roman;serif"/>
          <w:b/>
          <w:i/>
          <w:sz w:val="20"/>
        </w:rPr>
        <w:t>Restricted Stock Unit Program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RSUs are granted by the Board to certain members of senior management and the Executive Board, certain other employees and certain members of the Board (“RSU-holders”). In addition, RSUs may be granted to select consultants.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F-9</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One RSU represents a right for the RSU-holder to receive one ADS of Ascendis Pharma A/S upon vesting, if the vesting conditions are met. RSUs granted vest over three years with 1/3 of the RSUs vesting on each anniversary date from the date of grant, and require RSU-holders to be employed, or provide a specified period of service (“service conditions”).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Performance Stock Unit Program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PSUs are granted by the Board to certain members of senior management and the Executive Board (“PSU-holders”). In addition, PSUs may be granted to other employees, select consultants and members of the Board. PSUs were granted for the first time in March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One PSU represents a right for the PSU-holder to receive one ADS of Ascendis Pharma A/S upon vesting. PSUs vest in a manner similar to the service conditions of the RSUs; however, vesting is also contingent upon achievement of performance targets as determined by the Board, provided that no more than 10% of each tranche may be directly attributable to accomplishment of financial results achieved in the financial year prior to the vesting date. Exceeding performance targets will not result in granting of additional ADSs.</w:t>
      </w:r>
    </w:p>
    <w:p>
      <w:pPr>
        <w:pStyle w:val="TextBody"/>
        <w:bidi w:val="0"/>
        <w:spacing w:before="240" w:after="0"/>
        <w:jc w:val="left"/>
        <w:rPr>
          <w:rFonts w:ascii="Times New Roman" w:hAnsi="Times New Roman"/>
          <w:sz w:val="20"/>
        </w:rPr>
      </w:pPr>
      <w:r>
        <w:rPr>
          <w:rFonts w:ascii="Times New Roman;serif" w:hAnsi="Times New Roman;serif"/>
          <w:b w:val="false"/>
          <w:sz w:val="20"/>
        </w:rPr>
        <w:t>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All RSUs and PSUs are settled at the time of vesting by treasury shares that are ADSs repurchased in the market. The Company may at its sole discretion choose to make a cash settlement instead of delivering ADSs.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RSU and PSU Activity</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specifies the number of RSUs and PSUs granted and outstanding at June 30, 2023:</w:t>
      </w:r>
    </w:p>
    <w:tbl>
      <w:tblPr>
        <w:tblW w:w="7829" w:type="dxa"/>
        <w:jc w:val="left"/>
        <w:tblInd w:w="0" w:type="dxa"/>
        <w:tblLayout w:type="fixed"/>
        <w:tblCellMar>
          <w:top w:w="28" w:type="dxa"/>
          <w:left w:w="28" w:type="dxa"/>
          <w:bottom w:w="28" w:type="dxa"/>
          <w:right w:w="28" w:type="dxa"/>
        </w:tblCellMar>
      </w:tblPr>
      <w:tblGrid>
        <w:gridCol w:w="2311"/>
        <w:gridCol w:w="146"/>
        <w:gridCol w:w="269"/>
        <w:gridCol w:w="1441"/>
        <w:gridCol w:w="166"/>
        <w:gridCol w:w="146"/>
        <w:gridCol w:w="301"/>
        <w:gridCol w:w="1619"/>
        <w:gridCol w:w="146"/>
        <w:gridCol w:w="146"/>
        <w:gridCol w:w="146"/>
        <w:gridCol w:w="78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Performance Stock 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w:t>
            </w:r>
          </w:p>
        </w:tc>
        <w:tc>
          <w:tcPr>
            <w:tcW w:w="146" w:type="dxa"/>
            <w:tcBorders/>
            <w:vAlign w:val="center"/>
          </w:tcPr>
          <w:p>
            <w:pPr>
              <w:pStyle w:val="TableContents"/>
              <w:bidi w:val="0"/>
              <w:spacing w:before="0" w:after="0"/>
              <w:ind w:left="0" w:right="0" w:hanging="0"/>
              <w:jc w:val="left"/>
              <w:rPr/>
            </w:pPr>
            <w:r>
              <w:rPr/>
              <w:t> </w:t>
            </w:r>
          </w:p>
        </w:tc>
        <w:tc>
          <w:tcPr>
            <w:tcW w:w="5161"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21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6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82,492</w:t>
            </w:r>
          </w:p>
        </w:tc>
        <w:tc>
          <w:tcPr>
            <w:tcW w:w="2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period</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609,860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722,128</w:t>
            </w:r>
          </w:p>
        </w:tc>
        <w:tc>
          <w:tcPr>
            <w:tcW w:w="2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period</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662,869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112,268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775,137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Specified by vesting year</w:t>
            </w:r>
          </w:p>
        </w:tc>
        <w:tc>
          <w:tcPr>
            <w:tcW w:w="146" w:type="dxa"/>
            <w:tcBorders/>
            <w:vAlign w:val="center"/>
          </w:tcPr>
          <w:p>
            <w:pPr>
              <w:pStyle w:val="TableContents"/>
              <w:bidi w:val="0"/>
              <w:spacing w:before="0" w:after="0"/>
              <w:ind w:left="0" w:right="0" w:hanging="0"/>
              <w:jc w:val="left"/>
              <w:rPr/>
            </w:pPr>
            <w:r>
              <w:rPr/>
              <w:t> </w:t>
            </w:r>
          </w:p>
        </w:tc>
        <w:tc>
          <w:tcPr>
            <w:tcW w:w="17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6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40,794</w:t>
            </w:r>
          </w:p>
        </w:tc>
        <w:tc>
          <w:tcPr>
            <w:tcW w:w="2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271,891</w:t>
            </w:r>
          </w:p>
        </w:tc>
        <w:tc>
          <w:tcPr>
            <w:tcW w:w="2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231,202</w:t>
            </w:r>
          </w:p>
        </w:tc>
        <w:tc>
          <w:tcPr>
            <w:tcW w:w="2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662,869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112,268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775,137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Warrant Program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Warrant Activity</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specifies the warrant activity for the six months ended June 30, 2023:</w:t>
      </w:r>
    </w:p>
    <w:tbl>
      <w:tblPr>
        <w:tblW w:w="5222" w:type="dxa"/>
        <w:jc w:val="left"/>
        <w:tblInd w:w="0" w:type="dxa"/>
        <w:tblLayout w:type="fixed"/>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Warrants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w:t>
            </w:r>
          </w:p>
        </w:tc>
        <w:tc>
          <w:tcPr>
            <w:tcW w:w="191" w:type="dxa"/>
            <w:tcBorders/>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6,864,011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81.30</w:t>
            </w:r>
          </w:p>
        </w:tc>
        <w:tc>
          <w:tcPr>
            <w:tcW w:w="191"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274,045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91.25</w:t>
            </w:r>
          </w:p>
        </w:tc>
        <w:tc>
          <w:tcPr>
            <w:tcW w:w="191"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w:t>
            </w:r>
          </w:p>
        </w:tc>
        <w:tc>
          <w:tcPr>
            <w:tcW w:w="191"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6,866,241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83.16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Vested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5,227,588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72.56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exercise prices of outstanding warrants under the Company’s warrant programs range from €6.48</w:t>
      </w:r>
      <w:r>
        <w:rPr>
          <w:rFonts w:ascii="Times New Roman" w:hAnsi="Times New Roman"/>
          <w:sz w:val="20"/>
        </w:rPr>
        <w:t xml:space="preserve"> </w:t>
      </w:r>
      <w:r>
        <w:rPr>
          <w:rFonts w:ascii="Times New Roman;serif" w:hAnsi="Times New Roman;serif"/>
          <w:b w:val="false"/>
          <w:sz w:val="20"/>
        </w:rPr>
        <w:t>to €145.50</w:t>
      </w:r>
      <w:r>
        <w:rPr>
          <w:rFonts w:ascii="Times New Roman" w:hAnsi="Times New Roman"/>
          <w:sz w:val="20"/>
        </w:rPr>
        <w:t xml:space="preserve"> </w:t>
      </w:r>
      <w:r>
        <w:rPr>
          <w:rFonts w:ascii="Times New Roman;serif" w:hAnsi="Times New Roman;serif"/>
          <w:b w:val="false"/>
          <w:sz w:val="20"/>
        </w:rPr>
        <w:t>depending on the grant dates.</w:t>
      </w:r>
    </w:p>
    <w:p>
      <w:pPr>
        <w:pStyle w:val="TextBody"/>
        <w:bidi w:val="0"/>
        <w:spacing w:before="360" w:after="0"/>
        <w:jc w:val="left"/>
        <w:rPr>
          <w:rFonts w:ascii="Times New Roman" w:hAnsi="Times New Roman"/>
          <w:sz w:val="20"/>
        </w:rPr>
      </w:pPr>
      <w:r>
        <w:rPr>
          <w:rFonts w:ascii="Times New Roman;serif" w:hAnsi="Times New Roman;serif"/>
          <w:b/>
          <w:sz w:val="20"/>
        </w:rPr>
        <w:t>Note 8—Share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share capital of Ascendis Pharma A/S consists of 57,335,496</w:t>
      </w:r>
      <w:r>
        <w:rPr>
          <w:rFonts w:ascii="Times New Roman" w:hAnsi="Times New Roman"/>
          <w:sz w:val="20"/>
        </w:rPr>
        <w:t xml:space="preserve"> </w:t>
      </w:r>
      <w:r>
        <w:rPr>
          <w:rFonts w:ascii="Times New Roman;serif" w:hAnsi="Times New Roman;serif"/>
          <w:b w:val="false"/>
          <w:sz w:val="20"/>
        </w:rPr>
        <w:t>fully paid shares at a nominal value of DKK 1, all in the same share class.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9—Treasury Shares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holding of treasury shares is as follows:</w:t>
      </w:r>
    </w:p>
    <w:tbl>
      <w:tblPr>
        <w:tblW w:w="5515" w:type="dxa"/>
        <w:jc w:val="left"/>
        <w:tblInd w:w="0" w:type="dxa"/>
        <w:tblLayout w:type="fixed"/>
        <w:tblCellMar>
          <w:top w:w="28" w:type="dxa"/>
          <w:left w:w="28" w:type="dxa"/>
          <w:bottom w:w="28" w:type="dxa"/>
          <w:right w:w="28" w:type="dxa"/>
        </w:tblCellMar>
      </w:tblPr>
      <w:tblGrid>
        <w:gridCol w:w="1501"/>
        <w:gridCol w:w="146"/>
        <w:gridCol w:w="231"/>
        <w:gridCol w:w="669"/>
        <w:gridCol w:w="146"/>
        <w:gridCol w:w="146"/>
        <w:gridCol w:w="146"/>
        <w:gridCol w:w="931"/>
        <w:gridCol w:w="146"/>
        <w:gridCol w:w="146"/>
        <w:gridCol w:w="276"/>
        <w:gridCol w:w="685"/>
        <w:gridCol w:w="34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Nominal</w:t>
              <w:br/>
              <w:t>values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Holding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Holding in</w:t>
              <w:br/>
              <w:t>% of total</w:t>
              <w:br/>
              <w:t>outstanding</w:t>
              <w:br/>
              <w:t>shares</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Treasury shares</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2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9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1,113,152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8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1.9</w:t>
            </w:r>
          </w:p>
        </w:tc>
        <w:tc>
          <w:tcPr>
            <w:tcW w:w="3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10—Financial Assets and Liabilities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Financial assets comprise marketable securities, cash and cash equivalents, and receivables. Financial liabilities comprise convertible notes and lease liabilities, presented as borrowings on the statement of financial position, derivative liabilities, and trade payables and accrued expenses.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Marketable Securities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specifies the marketable securities portfolio:</w:t>
      </w:r>
      <w:r>
        <w:rPr>
          <w:rFonts w:ascii="Times New Roman" w:hAnsi="Times New Roman"/>
          <w:sz w:val="20"/>
        </w:rPr>
        <w:t xml:space="preserve"> </w:t>
      </w:r>
    </w:p>
    <w:tbl>
      <w:tblPr>
        <w:tblW w:w="6297" w:type="dxa"/>
        <w:jc w:val="left"/>
        <w:tblInd w:w="0" w:type="dxa"/>
        <w:tblLayout w:type="fixed"/>
        <w:tblCellMar>
          <w:top w:w="28" w:type="dxa"/>
          <w:left w:w="28" w:type="dxa"/>
          <w:bottom w:w="28" w:type="dxa"/>
          <w:right w:w="28" w:type="dxa"/>
        </w:tblCellMar>
      </w:tblPr>
      <w:tblGrid>
        <w:gridCol w:w="3751"/>
        <w:gridCol w:w="146"/>
        <w:gridCol w:w="146"/>
        <w:gridCol w:w="676"/>
        <w:gridCol w:w="146"/>
        <w:gridCol w:w="146"/>
        <w:gridCol w:w="172"/>
        <w:gridCol w:w="923"/>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0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79,086</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99,337</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104,236</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Classified based on maturity profiles</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assets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290,688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Specified by rate structure</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Fixed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205,825</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Floating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11,787</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Zero-coupon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80,568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Specified by investment grade credit rating</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High grade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203,530</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Upper medium grade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94,650</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92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portfolio of marketable securities is all denominated in U.S. Dollars. At June 30, 2023 and December 31, 2022, the portfolio had a weighted average duration of 3.1</w:t>
      </w:r>
      <w:r>
        <w:rPr>
          <w:rFonts w:ascii="Times New Roman" w:hAnsi="Times New Roman"/>
          <w:sz w:val="20"/>
        </w:rPr>
        <w:t xml:space="preserve"> </w:t>
      </w:r>
      <w:r>
        <w:rPr>
          <w:rFonts w:ascii="Times New Roman;serif" w:hAnsi="Times New Roman;serif"/>
          <w:b w:val="false"/>
          <w:sz w:val="20"/>
        </w:rPr>
        <w:t>months and</w:t>
      </w:r>
      <w:r>
        <w:rPr>
          <w:rFonts w:ascii="Times New Roman" w:hAnsi="Times New Roman"/>
          <w:sz w:val="20"/>
        </w:rPr>
        <w:t xml:space="preserve"> </w:t>
      </w:r>
      <w:r>
        <w:rPr>
          <w:rFonts w:ascii="Times New Roman;serif" w:hAnsi="Times New Roman;serif"/>
          <w:b w:val="false"/>
          <w:sz w:val="20"/>
        </w:rPr>
        <w:t>3.2</w:t>
      </w:r>
      <w:r>
        <w:rPr>
          <w:rFonts w:ascii="Times New Roman" w:hAnsi="Times New Roman"/>
          <w:sz w:val="20"/>
        </w:rPr>
        <w:t xml:space="preserve"> </w:t>
      </w:r>
      <w:r>
        <w:rPr>
          <w:rFonts w:ascii="Times New Roman;serif" w:hAnsi="Times New Roman;serif"/>
          <w:b w:val="false"/>
          <w:sz w:val="20"/>
        </w:rPr>
        <w:t>months, respectively. 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Convertible Senior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2022, the Company issued an aggregate principal amount of $575.0</w:t>
      </w:r>
      <w:r>
        <w:rPr>
          <w:rFonts w:ascii="Times New Roman" w:hAnsi="Times New Roman"/>
          <w:sz w:val="20"/>
        </w:rPr>
        <w:t xml:space="preserve"> </w:t>
      </w:r>
      <w:r>
        <w:rPr>
          <w:rFonts w:ascii="Times New Roman;serif" w:hAnsi="Times New Roman;serif"/>
          <w:b w:val="false"/>
          <w:sz w:val="20"/>
        </w:rPr>
        <w:t>million of fixed rate 2.25% convertible notes. The net proceeds from the offering of the convertible notes were $557.9</w:t>
      </w:r>
      <w:r>
        <w:rPr>
          <w:rFonts w:ascii="Times New Roman" w:hAnsi="Times New Roman"/>
          <w:sz w:val="20"/>
        </w:rPr>
        <w:t xml:space="preserve"> </w:t>
      </w:r>
      <w:r>
        <w:rPr>
          <w:rFonts w:ascii="Times New Roman;serif" w:hAnsi="Times New Roman;serif"/>
          <w:b w:val="false"/>
          <w:sz w:val="20"/>
        </w:rPr>
        <w:t>million (€503.3</w:t>
      </w:r>
      <w:r>
        <w:rPr>
          <w:rFonts w:ascii="Times New Roman" w:hAnsi="Times New Roman"/>
          <w:sz w:val="20"/>
        </w:rPr>
        <w:t xml:space="preserve"> </w:t>
      </w:r>
      <w:r>
        <w:rPr>
          <w:rFonts w:ascii="Times New Roman;serif" w:hAnsi="Times New Roman;serif"/>
          <w:b w:val="false"/>
          <w:sz w:val="20"/>
        </w:rPr>
        <w:t>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w:t>
      </w:r>
      <w:r>
        <w:rPr>
          <w:rFonts w:ascii="Times New Roman" w:hAnsi="Times New Roman"/>
          <w:sz w:val="20"/>
        </w:rPr>
        <w:t xml:space="preserve"> </w:t>
      </w:r>
      <w:r>
        <w:rPr>
          <w:rFonts w:ascii="Times New Roman;serif" w:hAnsi="Times New Roman;serif"/>
          <w:b w:val="false"/>
          <w:sz w:val="20"/>
        </w:rPr>
        <w:t>ADSs per $1,000</w:t>
      </w:r>
      <w:r>
        <w:rPr>
          <w:rFonts w:ascii="Times New Roman" w:hAnsi="Times New Roman"/>
          <w:sz w:val="20"/>
        </w:rPr>
        <w:t xml:space="preserve"> </w:t>
      </w:r>
      <w:r>
        <w:rPr>
          <w:rFonts w:ascii="Times New Roman;serif" w:hAnsi="Times New Roman;serif"/>
          <w:b w:val="false"/>
          <w:sz w:val="20"/>
        </w:rPr>
        <w:t>principal amount of convertible notes, which represents an initial conversion price of $166.34</w:t>
      </w:r>
      <w:r>
        <w:rPr>
          <w:rFonts w:ascii="Times New Roman" w:hAnsi="Times New Roman"/>
          <w:sz w:val="20"/>
        </w:rPr>
        <w:t xml:space="preserve"> </w:t>
      </w:r>
      <w:r>
        <w:rPr>
          <w:rFonts w:ascii="Times New Roman;serif" w:hAnsi="Times New Roman;serif"/>
          <w:b w:val="false"/>
          <w:sz w:val="20"/>
        </w:rPr>
        <w:t>per ADS. The conversion rate and conversion price will be subject to customary adjustments upon the occurrence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w:t>
      </w:r>
      <w:r>
        <w:rPr>
          <w:rFonts w:ascii="Times New Roman;serif" w:hAnsi="Times New Roman;serif"/>
          <w:sz w:val="20"/>
        </w:rPr>
        <w:t xml:space="preserve"> </w:t>
      </w:r>
      <w:r>
        <w:rPr>
          <w:rFonts w:ascii="Times New Roman;serif" w:hAnsi="Times New Roman;serif"/>
          <w:b w:val="false"/>
          <w:sz w:val="20"/>
        </w:rPr>
        <w:t>trading days, whether or not consecutive, during the 30</w:t>
      </w:r>
      <w:r>
        <w:rPr>
          <w:rFonts w:ascii="Times New Roman;serif" w:hAnsi="Times New Roman;serif"/>
          <w:sz w:val="20"/>
        </w:rPr>
        <w:t xml:space="preserve"> </w:t>
      </w:r>
      <w:r>
        <w:rPr>
          <w:rFonts w:ascii="Times New Roman;serif" w:hAnsi="Times New Roman;serif"/>
          <w:b w:val="false"/>
          <w:sz w:val="20"/>
        </w:rPr>
        <w:t>consecutive trading days ending on, and including, the trading day immediately before the date the Company sends the related optional redemption notice; and (ii) the trading day immediately before the date the Company sends such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June 30, 2023, the carrying amount of the convertible notes was €402.7</w:t>
      </w:r>
      <w:r>
        <w:rPr>
          <w:rFonts w:ascii="Times New Roman" w:hAnsi="Times New Roman"/>
          <w:sz w:val="20"/>
        </w:rPr>
        <w:t xml:space="preserve"> </w:t>
      </w:r>
      <w:r>
        <w:rPr>
          <w:rFonts w:ascii="Times New Roman;serif" w:hAnsi="Times New Roman;serif"/>
          <w:b w:val="false"/>
          <w:sz w:val="20"/>
        </w:rPr>
        <w:t>million, and the fair value was approximately €381.2</w:t>
      </w:r>
      <w:r>
        <w:rPr>
          <w:rFonts w:ascii="Times New Roman" w:hAnsi="Times New Roman"/>
          <w:sz w:val="20"/>
        </w:rPr>
        <w:t xml:space="preserve"> </w:t>
      </w:r>
      <w:r>
        <w:rPr>
          <w:rFonts w:ascii="Times New Roman;serif" w:hAnsi="Times New Roman;serif"/>
          <w:b w:val="false"/>
          <w:sz w:val="20"/>
        </w:rPr>
        <w:t>million. Fair value cannot be measured based on quoted prices in active markets or other observable input, and accordingly the fair value was measured by using an estimated market rate for an equivalent non-convertible instrument.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Derivative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Derivative liabilities relate to the foreign currency conversion option embedded in the convertible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(51%</w:t>
      </w:r>
      <w:r>
        <w:rPr>
          <w:rFonts w:ascii="Times New Roman" w:hAnsi="Times New Roman"/>
          <w:sz w:val="20"/>
        </w:rPr>
        <w:t xml:space="preserve"> </w:t>
      </w:r>
      <w:r>
        <w:rPr>
          <w:rFonts w:ascii="Times New Roman;serif" w:hAnsi="Times New Roman;serif"/>
          <w:b w:val="false"/>
          <w:sz w:val="20"/>
        </w:rPr>
        <w:t>as of June 30, 2023).</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additional description of fair values, refer to the following section “Fair Value Measurement.”</w:t>
      </w:r>
    </w:p>
    <w:p>
      <w:pPr>
        <w:pStyle w:val="TextBody"/>
        <w:bidi w:val="0"/>
        <w:spacing w:before="360" w:after="0"/>
        <w:jc w:val="left"/>
        <w:rPr>
          <w:rFonts w:ascii="Times New Roman" w:hAnsi="Times New Roman"/>
          <w:sz w:val="20"/>
        </w:rPr>
      </w:pPr>
      <w:r>
        <w:rPr>
          <w:rFonts w:ascii="Times New Roman;serif" w:hAnsi="Times New Roman;serif"/>
          <w:b w:val="false"/>
          <w:i/>
          <w:sz w:val="20"/>
        </w:rPr>
        <w:t>Sensitivity Analysis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June 30, 2023, all other inputs and assumptions held constant, a 10% relative increase in volatility, will increase the fair value of derivative liabilities by approximately €12.3</w:t>
      </w:r>
      <w:r>
        <w:rPr>
          <w:rFonts w:ascii="Times New Roman" w:hAnsi="Times New Roman"/>
          <w:sz w:val="20"/>
        </w:rPr>
        <w:t xml:space="preserve"> </w:t>
      </w:r>
      <w:r>
        <w:rPr>
          <w:rFonts w:ascii="Times New Roman;serif" w:hAnsi="Times New Roman;serif"/>
          <w:b w:val="false"/>
          <w:sz w:val="20"/>
        </w:rPr>
        <w:t>million and indicates a decrease in profit or loss and equity before tax. Similarly, a 10% relative decrease in volatility indicates the opposite impact.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Similarly, on June 30, 2023, all other inputs and assumptions held constant, a 10% increase in the share price, will increase the fair value of derivative liabilities by approximately €16.7</w:t>
      </w:r>
      <w:r>
        <w:rPr>
          <w:rFonts w:ascii="Times New Roman" w:hAnsi="Times New Roman"/>
          <w:sz w:val="20"/>
        </w:rPr>
        <w:t xml:space="preserve"> </w:t>
      </w:r>
      <w:r>
        <w:rPr>
          <w:rFonts w:ascii="Times New Roman;serif" w:hAnsi="Times New Roman;serif"/>
          <w:b w:val="false"/>
          <w:sz w:val="20"/>
        </w:rPr>
        <w:t>million and indicates a decrease in profit or loss and equity before tax. Similarly, a 10% decrease in the share price indicates the opposite impact.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Fair Value Measurement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Derivative liabilities are measured at fair value. All other financial assets and liabilities are measured at amortized cost.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Because of the short-term maturity for cash and cash equivalents, receivables and trade payables, their fair value approximate carrying amount. Fair value compared to carrying amount of marketable securities, convertible notes and derivatives and their level in the fair value hierarchy is summarized in the following table, where:</w:t>
      </w:r>
    </w:p>
    <w:p>
      <w:pPr>
        <w:pStyle w:val="TextBody"/>
        <w:bidi w:val="0"/>
        <w:spacing w:before="120" w:after="0"/>
        <w:jc w:val="left"/>
        <w:rPr>
          <w:rFonts w:ascii="Times New Roman" w:hAnsi="Times New Roman"/>
          <w:sz w:val="20"/>
        </w:rPr>
      </w:pPr>
      <w:r>
        <w:rPr>
          <w:rFonts w:ascii="Times New Roman;serif" w:hAnsi="Times New Roman;serif"/>
          <w:b/>
          <w:sz w:val="20"/>
        </w:rPr>
        <w:t xml:space="preserve">Level 1 </w:t>
      </w:r>
      <w:r>
        <w:rPr>
          <w:rFonts w:ascii="Times New Roman;serif" w:hAnsi="Times New Roman;serif"/>
          <w:b w:val="false"/>
          <w:sz w:val="20"/>
        </w:rPr>
        <w:t>is</w:t>
      </w:r>
      <w:r>
        <w:rPr>
          <w:rFonts w:ascii="Times New Roman" w:hAnsi="Times New Roman"/>
          <w:sz w:val="20"/>
        </w:rPr>
        <w:t xml:space="preserve"> </w:t>
      </w:r>
      <w:r>
        <w:rPr>
          <w:rFonts w:ascii="Times New Roman;serif" w:hAnsi="Times New Roman;serif"/>
          <w:b w:val="false"/>
          <w:sz w:val="20"/>
        </w:rPr>
        <w:t>quoted prices (unadjusted) in active markets for identical assets or liabilities that the entity can access at the measurement date;</w:t>
      </w:r>
    </w:p>
    <w:p>
      <w:pPr>
        <w:pStyle w:val="TextBody"/>
        <w:bidi w:val="0"/>
        <w:spacing w:before="120" w:after="0"/>
        <w:jc w:val="left"/>
        <w:rPr>
          <w:rFonts w:ascii="Times New Roman" w:hAnsi="Times New Roman"/>
          <w:sz w:val="20"/>
        </w:rPr>
      </w:pPr>
      <w:r>
        <w:rPr>
          <w:rFonts w:ascii="Times New Roman;serif" w:hAnsi="Times New Roman;serif"/>
          <w:b/>
          <w:sz w:val="20"/>
        </w:rPr>
        <w:t xml:space="preserve">Level 2 </w:t>
      </w:r>
      <w:r>
        <w:rPr>
          <w:rFonts w:ascii="Times New Roman;serif" w:hAnsi="Times New Roman;serif"/>
          <w:b w:val="false"/>
          <w:sz w:val="20"/>
        </w:rPr>
        <w:t>is based on valuation techniques for which the lowest level input that is significant to the fair value measurement is directly or indirectly observable;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120" w:after="120"/>
        <w:jc w:val="left"/>
        <w:rPr>
          <w:rFonts w:ascii="Times New Roman" w:hAnsi="Times New Roman"/>
          <w:sz w:val="20"/>
        </w:rPr>
      </w:pPr>
      <w:r>
        <w:rPr>
          <w:rFonts w:ascii="Times New Roman;serif" w:hAnsi="Times New Roman;serif"/>
          <w:b/>
          <w:sz w:val="20"/>
        </w:rPr>
        <w:t xml:space="preserve">Level 3 </w:t>
      </w:r>
      <w:r>
        <w:rPr>
          <w:rFonts w:ascii="Times New Roman;serif" w:hAnsi="Times New Roman;serif"/>
          <w:b w:val="false"/>
          <w:sz w:val="20"/>
        </w:rPr>
        <w:t>is based on valuation techniques for which the lowest level input that is significant to the fair value measurement is unobservable.</w:t>
      </w:r>
    </w:p>
    <w:tbl>
      <w:tblPr>
        <w:tblW w:w="10205" w:type="dxa"/>
        <w:jc w:val="left"/>
        <w:tblInd w:w="0" w:type="dxa"/>
        <w:tblLayout w:type="fixed"/>
        <w:tblCellMar>
          <w:top w:w="28" w:type="dxa"/>
          <w:left w:w="28" w:type="dxa"/>
          <w:bottom w:w="28" w:type="dxa"/>
          <w:right w:w="28" w:type="dxa"/>
        </w:tblCellMar>
      </w:tblPr>
      <w:tblGrid>
        <w:gridCol w:w="4141"/>
        <w:gridCol w:w="146"/>
        <w:gridCol w:w="146"/>
        <w:gridCol w:w="781"/>
        <w:gridCol w:w="146"/>
        <w:gridCol w:w="146"/>
        <w:gridCol w:w="146"/>
        <w:gridCol w:w="781"/>
        <w:gridCol w:w="146"/>
        <w:gridCol w:w="146"/>
        <w:gridCol w:w="146"/>
        <w:gridCol w:w="781"/>
        <w:gridCol w:w="146"/>
        <w:gridCol w:w="146"/>
        <w:gridCol w:w="146"/>
        <w:gridCol w:w="781"/>
        <w:gridCol w:w="146"/>
        <w:gridCol w:w="146"/>
        <w:gridCol w:w="1042"/>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level</w:t>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58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(1-3)</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298,180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295,843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assets measured at amortized cost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36,461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295,843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36,461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295,843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402,686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381,161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382,459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amortized cost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402,686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381,161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399,186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382,459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fair value through profit or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86,385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86,385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157,950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157,950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489,071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467,546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557,136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540,409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center"/>
              <w:rPr/>
            </w:pPr>
            <w:r>
              <w:rPr/>
              <w:t> </w:t>
            </w:r>
          </w:p>
        </w:tc>
      </w:tr>
    </w:tbl>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following table specifies movements in level 3 fair value measurements:</w:t>
      </w:r>
    </w:p>
    <w:tbl>
      <w:tblPr>
        <w:tblW w:w="7534" w:type="dxa"/>
        <w:jc w:val="left"/>
        <w:tblInd w:w="0" w:type="dxa"/>
        <w:tblLayout w:type="fixed"/>
        <w:tblCellMar>
          <w:top w:w="28" w:type="dxa"/>
          <w:left w:w="28" w:type="dxa"/>
          <w:bottom w:w="28" w:type="dxa"/>
          <w:right w:w="28" w:type="dxa"/>
        </w:tblCellMar>
      </w:tblPr>
      <w:tblGrid>
        <w:gridCol w:w="5011"/>
        <w:gridCol w:w="146"/>
        <w:gridCol w:w="146"/>
        <w:gridCol w:w="781"/>
        <w:gridCol w:w="166"/>
        <w:gridCol w:w="146"/>
        <w:gridCol w:w="146"/>
        <w:gridCol w:w="781"/>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 liabilities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142,467</w:t>
            </w:r>
          </w:p>
        </w:tc>
        <w:tc>
          <w:tcPr>
            <w:tcW w:w="21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Remeasurement recognized in financial (income) or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86,385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102,031</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Maturity Analysis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maturity analysis (on an undiscounted basis) for non-derivative financial liabilities recognized in the unaudited condensed consolidated statements of financial position at June 30, 2023:</w:t>
      </w:r>
      <w:r>
        <w:rPr>
          <w:rFonts w:ascii="Times New Roman" w:hAnsi="Times New Roman"/>
          <w:sz w:val="20"/>
        </w:rPr>
        <w:t xml:space="preserve"> </w:t>
      </w:r>
    </w:p>
    <w:tbl>
      <w:tblPr>
        <w:tblW w:w="9405" w:type="dxa"/>
        <w:jc w:val="left"/>
        <w:tblInd w:w="0" w:type="dxa"/>
        <w:tblLayout w:type="fixed"/>
        <w:tblCellMar>
          <w:top w:w="28" w:type="dxa"/>
          <w:left w:w="28" w:type="dxa"/>
          <w:bottom w:w="28" w:type="dxa"/>
          <w:right w:w="28" w:type="dxa"/>
        </w:tblCellMar>
      </w:tblPr>
      <w:tblGrid>
        <w:gridCol w:w="3151"/>
        <w:gridCol w:w="146"/>
        <w:gridCol w:w="146"/>
        <w:gridCol w:w="781"/>
        <w:gridCol w:w="146"/>
        <w:gridCol w:w="146"/>
        <w:gridCol w:w="146"/>
        <w:gridCol w:w="781"/>
        <w:gridCol w:w="146"/>
        <w:gridCol w:w="146"/>
        <w:gridCol w:w="146"/>
        <w:gridCol w:w="676"/>
        <w:gridCol w:w="146"/>
        <w:gridCol w:w="146"/>
        <w:gridCol w:w="148"/>
        <w:gridCol w:w="798"/>
        <w:gridCol w:w="146"/>
        <w:gridCol w:w="146"/>
        <w:gridCol w:w="146"/>
        <w:gridCol w:w="781"/>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&lt; 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&gt;5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contractual</w:t>
              <w:br/>
              <w:t>cash-flows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717"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391" w:type="dxa"/>
            <w:tcBorders/>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576,799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402,686</w:t>
            </w:r>
          </w:p>
        </w:tc>
        <w:tc>
          <w:tcPr>
            <w:tcW w:w="391" w:type="dxa"/>
            <w:tcBorders/>
            <w:vAlign w:val="center"/>
          </w:tcPr>
          <w:p>
            <w:pPr>
              <w:pStyle w:val="TableContents"/>
              <w:bidi w:val="0"/>
              <w:spacing w:before="0" w:after="0"/>
              <w:ind w:left="0" w:right="0" w:firstLine="200"/>
              <w:jc w:val="lef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103,252</w:t>
            </w:r>
          </w:p>
        </w:tc>
        <w:tc>
          <w:tcPr>
            <w:tcW w:w="3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 and accrued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148,080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628,973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54,625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831,678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628,058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360" w:after="120"/>
        <w:jc w:val="left"/>
        <w:rPr>
          <w:rFonts w:ascii="Times New Roman" w:hAnsi="Times New Roman"/>
          <w:sz w:val="20"/>
        </w:rPr>
      </w:pPr>
      <w:r>
        <w:rPr>
          <w:rFonts w:ascii="Times New Roman;serif" w:hAnsi="Times New Roman;serif"/>
          <w:b/>
          <w:sz w:val="20"/>
        </w:rPr>
        <w:t>Note 11—Subsequent Events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On September 5, 2023, the Company entered into a $150</w:t>
      </w:r>
      <w:r>
        <w:rPr>
          <w:rFonts w:ascii="Times New Roman" w:hAnsi="Times New Roman"/>
          <w:sz w:val="20"/>
        </w:rPr>
        <w:t xml:space="preserve"> </w:t>
      </w:r>
      <w:r>
        <w:rPr>
          <w:rFonts w:ascii="Times New Roman;serif" w:hAnsi="Times New Roman;serif"/>
          <w:b w:val="false"/>
          <w:sz w:val="20"/>
        </w:rPr>
        <w:t>million capped synthetic royalty funding agreement (the “Royalty Pharma Agreement”) with Royalty Pharma (the “Purchaser”). Under the terms of the Royalty Pharma Agreement, the Company receives an upfront payment of $150</w:t>
      </w:r>
      <w:r>
        <w:rPr>
          <w:rFonts w:ascii="Times New Roman" w:hAnsi="Times New Roman"/>
          <w:sz w:val="20"/>
        </w:rPr>
        <w:t xml:space="preserve"> </w:t>
      </w:r>
      <w:r>
        <w:rPr>
          <w:rFonts w:ascii="Times New Roman;serif" w:hAnsi="Times New Roman;serif"/>
          <w:b w:val="false"/>
          <w:sz w:val="20"/>
        </w:rPr>
        <w:t>million (the “Purchase Price”) in exchange for a 9.15% royalty on net U.S. SKYTROFA revenue, beginning on January 1, 2025. The royalty payments to the Purchaser will cease upon reaching a multiple of the Purchase Price of 1.925x, or 1.65x if the Purchaser receives royalties in that amount by December 31, 2031. The Royalty Pharma Agreement includes certain buy-out options under various terms and conditions.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 other events have occurred after the balance sheet date that would influence the evaluation of these unaudited condensed consolidated interim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ASCENDIS PHARMA A/S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14" w:name="tx355617_2"/>
      <w:bookmarkStart w:id="15" w:name="managements_discussion"/>
      <w:bookmarkEnd w:id="14"/>
      <w:bookmarkEnd w:id="15"/>
      <w:r>
        <w:rPr>
          <w:rFonts w:ascii="Times New Roman;serif" w:hAnsi="Times New Roman;serif"/>
          <w:b/>
          <w:sz w:val="20"/>
        </w:rPr>
        <w:t>MANAGEMENT’S DISCUSSION AND ANALYSIS OF FINANCIAL CONDITION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2022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or likelihood of regulatory filings and approvals for our product candidates, including the resubmission of the TransCon PTH New Drug Application (“NDA”) and timing of the U.S. Food &amp; Drug Administration’s (“FDA”) final regulatory decision;</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our expectations regarding the commercial availability of TransCon Growth Hormone (“TransCon hGH”), known by its brand name SKYTROFA</w:t>
      </w:r>
      <w:r>
        <w:rPr>
          <w:rFonts w:ascii="Times New Roman;serif" w:hAnsi="Times New Roman;serif"/>
          <w:b w:val="false"/>
          <w:sz w:val="13"/>
        </w:rPr>
        <w:t>®</w:t>
      </w:r>
      <w:r>
        <w:rPr/>
        <w:t xml:space="preserve"> </w:t>
      </w:r>
      <w:r>
        <w:rPr>
          <w:rFonts w:ascii="Times New Roman;serif" w:hAnsi="Times New Roman;serif"/>
          <w:b w:val="false"/>
          <w:sz w:val="20"/>
        </w:rPr>
        <w:t xml:space="preserve">(lonapegsomatropin-tcgd), in the United States and related patient support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launch of SKYTROFA in Germany;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commercialization of our products and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commercialization, marketing and manufacturing capabilities of our products and product candidates and associated devices;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timing, results and costs of developing our product candidates or any other future product candidates, and conducting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pursuit of Oncology as our second of three independent therapeutic areas of focus, and our development of a pipeline of product candidates related to oncology;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new TransCon technology carrier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pursuit of Ophthalmology as our third of three independent therapeutic areas of focus and our development of a pipeline of product candidates related to ophthalmology;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market opportunities and patient populations for our products and product candidates, if approved for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advantages of our products and product candidates over existing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enter into new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the ability to develop additional product candidates using our TransCon technologies and file Investigational New Drug Applications (“INDs”), or similar for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the ability to seek expedited regulatory approval pathways for our product candidates, including the potential ability to rely on the parent drug’s clinical and safety data with regard to our product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development plans with respect to our products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pursuit of additional indications for TransCon hGH;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acquire and advance product candidates into, and successfully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are able to establish and maintain for intellectual property rights covering our products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our ability to apply our technology platform and algorithm for product innovation to develop highly differentiated product candidates to address unmet medical needs;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apply our platform technology to build a leading, fully integrated, global biopharma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use of our TransCon technologies to create new and potentially best-in-class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estimates of our expenses, future revenue, capital requirements, our needs for additional financing and our ability to obtain additional capital;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and projections relating to our market conditions, competitors and industry;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international economic, political, legal, compliance, social and business factors, including inflation.</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2022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pStyle w:val="TextBody"/>
        <w:bidi w:val="0"/>
        <w:spacing w:before="360" w:after="0"/>
        <w:jc w:val="left"/>
        <w:rPr>
          <w:rFonts w:ascii="Times New Roman;serif" w:hAnsi="Times New Roman;serif"/>
          <w:b/>
          <w:sz w:val="20"/>
        </w:rPr>
      </w:pPr>
      <w:r>
        <w:rPr>
          <w:rFonts w:ascii="Times New Roman;serif" w:hAnsi="Times New Roman;serif"/>
          <w:b/>
          <w:sz w:val="20"/>
        </w:rPr>
        <w:t>Our Vision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January 2019, we announced Vision 3x3, our strategic roadmap through 2025 to build a leading fully integrated, global, biopharma company and achieve sustainable growth through multiple approaches: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regulatory approval for three independent Endocrinology Rare Disease products: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hGH for pediatric growth hormone deficiency</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TransCon PTH for adult hypoparathyroidism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TransCon CNP for achondroplasia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Grow Endocrinology Rare Disease pipeline through: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Global clinical reach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Pursuing 9 total indications, label optimization, and life cycle management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New endocrinology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global commercial presence for our Endocrinology Rare Disease area: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Build integrated commercial organization in North America and select European countries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global commercial presence through partners with local expertise and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Advance a high-value oncology pipeline with one investigational new drug (“IND”) or similar submission each year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Create a third independent therapeutic area with a diversified pipeline.</w:t>
      </w:r>
    </w:p>
    <w:p>
      <w:pPr>
        <w:pStyle w:val="TextBody"/>
        <w:bidi w:val="0"/>
        <w:spacing w:before="240" w:after="0"/>
        <w:jc w:val="left"/>
        <w:rPr>
          <w:rFonts w:ascii="Times New Roman" w:hAnsi="Times New Roman"/>
          <w:sz w:val="20"/>
        </w:rPr>
      </w:pPr>
      <w:r>
        <w:rPr>
          <w:rFonts w:ascii="Times New Roman;serif" w:hAnsi="Times New Roman;serif"/>
          <w:b w:val="false"/>
          <w:sz w:val="20"/>
        </w:rPr>
        <w:t>We have applied our TransCon technology platform in combination with clinically validated parent drugs or pathways using our algorithm for product innovation, with the goal of creating product candidates with the potential for best-in-class safety, efficacy, tolerability, and convenience in our therapeutic areas of Endocrinology Rare Disease, Oncology, and Ophthalmology. We plan to apply this algorithm for product innovation in additional therapeutic areas. We believe our approach to product innovation may reduce the risks associated with traditional drug development, and that our TransCon technology platform has been validated by non-clinical and clinical programs completed to date.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Ascendis Algorithm for Product Innovation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When we apply our TransCon technology platform to clinically validated parent drugs or pathways, we may benefit from established clinical safety and efficacy data, which we believe increases the probability of success compared to traditional drug development. As presented in the graphic below,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r>
        <w:rPr>
          <w:rFonts w:ascii="Times New Roman" w:hAnsi="Times New Roman"/>
          <w:sz w:val="20"/>
        </w:rPr>
        <w:t xml:space="preserve"> </w:t>
      </w:r>
    </w:p>
    <w:p>
      <w:pPr>
        <w:pStyle w:val="TextBody"/>
        <w:bidi w:val="0"/>
        <w:spacing w:before="0" w:after="0"/>
        <w:jc w:val="center"/>
        <w:rPr/>
      </w:pPr>
      <w:r>
        <w:rPr/>
        <w:drawing>
          <wp:inline distT="0" distB="0" distL="0" distR="0">
            <wp:extent cx="683895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1647825"/>
                    </a:xfrm>
                    <a:prstGeom prst="rect">
                      <a:avLst/>
                    </a:prstGeom>
                  </pic:spPr>
                </pic:pic>
              </a:graphicData>
            </a:graphic>
          </wp:inline>
        </w:drawing>
      </w:r>
      <w:r>
        <w:rPr/>
        <w:t> </w:t>
      </w:r>
    </w:p>
    <w:p>
      <w:pPr>
        <w:pStyle w:val="TextBody"/>
        <w:bidi w:val="0"/>
        <w:spacing w:before="360" w:after="0"/>
        <w:jc w:val="left"/>
        <w:rPr>
          <w:rFonts w:ascii="Times New Roman" w:hAnsi="Times New Roman"/>
          <w:sz w:val="20"/>
        </w:rPr>
      </w:pPr>
      <w:r>
        <w:rPr>
          <w:rFonts w:ascii="Times New Roman;serif" w:hAnsi="Times New Roman;serif"/>
          <w:b/>
          <w:sz w:val="20"/>
        </w:rPr>
        <w:t>TransCon Products and Product Candidates Pipeline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have one marketed product and a diversified portfolio of product candidates in clinical development in the areas of Endocrinology Rare Disease and Oncology. We are also working to apply our TransCon technology platform in additional therapeutic areas, including Ophthalmology.</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First Marketed Product</w:t>
      </w:r>
      <w:r>
        <w:rPr/>
        <w:t xml:space="preserve"> – </w:t>
      </w:r>
      <w:r>
        <w:rPr>
          <w:rFonts w:ascii="Times New Roman;serif" w:hAnsi="Times New Roman;serif"/>
          <w:b w:val="false"/>
          <w:sz w:val="20"/>
        </w:rPr>
        <w:t>Our first marketed product is SKYTROFA</w:t>
      </w:r>
      <w:r>
        <w:rPr>
          <w:rFonts w:ascii="Times New Roman;serif" w:hAnsi="Times New Roman;serif"/>
          <w:b w:val="false"/>
          <w:sz w:val="13"/>
        </w:rPr>
        <w:t>®</w:t>
      </w:r>
      <w:r>
        <w:rPr/>
        <w:t xml:space="preserve"> </w:t>
      </w:r>
      <w:r>
        <w:rPr>
          <w:rFonts w:ascii="Times New Roman;serif" w:hAnsi="Times New Roman;serif"/>
          <w:b w:val="false"/>
          <w:sz w:val="20"/>
        </w:rPr>
        <w:t xml:space="preserve">(lonapegsomatropin-tcgd), developed as TransCon Growth Hormone (“TransCon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TransCon hGH is a prodrug of somatropin (“hGH”), administered once weekly, composed of an unmodified somatropin that is transiently bound to a carrier and proprietary linker. TransCon hGH is designed to maintain the same mode of action as daily therapies by releasing the same recombinant growth hormone molecule, somatropin, as daily hGH therapy that is the current standard of care. SKYTROFA is commercially available for prescription in the United States. In the European Union (“EU”), we received marketing authorization for TransCon hGH – known by its brand name SKYTROFA (lonapegsomatropin) – from the European Commission (“EC”) as a once-weekly subcutaneous injection for the treatment of children and adolescents ages 3 to 18 years with growth failure due to insufficient secretion of endogenous growth hormone. We plan to commercially launch SKYTROFA in Germany during the third quarter of 2023.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Endocrinology Rare Disease Pipeline</w:t>
      </w:r>
      <w:r>
        <w:rPr/>
        <w:t xml:space="preserve"> – </w:t>
      </w:r>
      <w:r>
        <w:rPr>
          <w:rFonts w:ascii="Times New Roman;serif" w:hAnsi="Times New Roman;serif"/>
          <w:b w:val="false"/>
          <w:sz w:val="20"/>
        </w:rPr>
        <w:t xml:space="preserve">We are developing three product candidates in our Endocrinology Rare Disease portfolio, spanning five potential indications across multiple geographies. These include TransCon hGH for pediatric GHD in new markets, adult GHD, and Turner Syndrome; TransCon PTH, an investigational prodrug of parathyroid hormone composed of PTH(1-34), designed to be administered once-daily for adult patients with hypoparathyroidism; and TransCon CNP, an investigational prodrug of C-type natriuretic peptide (“CNP”) designed to be administered once-weekly, for children with achondroplasia (“ACH”).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Oncology</w:t>
      </w:r>
      <w:r>
        <w:rPr/>
        <w:t xml:space="preserve"> – </w:t>
      </w:r>
      <w:r>
        <w:rPr>
          <w:rFonts w:ascii="Times New Roman;serif" w:hAnsi="Times New Roman;serif"/>
          <w:b w:val="false"/>
          <w:sz w:val="20"/>
        </w:rPr>
        <w:t>We have initiated clinical development of two immuno-oncology product candidates: TransCon TLR7/8 Agonist, an investigational, long-acting prodrug of resiquimod, a small molecule agonist of Toll like receptors (“TLR”) 7 and 8 for intratumoral delivery and TransCon IL-2 ß/</w:t>
      </w:r>
      <w:r>
        <w:rPr>
          <w:rFonts w:ascii="Symbol;serif" w:hAnsi="Symbol;serif"/>
          <w:b w:val="false"/>
          <w:sz w:val="20"/>
        </w:rPr>
        <w:t>g</w:t>
      </w:r>
      <w:r>
        <w:rPr>
          <w:rFonts w:ascii="Times New Roman;serif" w:hAnsi="Times New Roman;serif"/>
          <w:b w:val="false"/>
          <w:sz w:val="20"/>
        </w:rPr>
        <w:t>, an investigational long-acting prodrug designed for sustained release of an IL-2 variant that selectively activates IL-2Rß/</w:t>
      </w:r>
      <w:r>
        <w:rPr>
          <w:rFonts w:ascii="Symbol;serif" w:hAnsi="Symbol;serif"/>
          <w:b w:val="false"/>
          <w:sz w:val="20"/>
        </w:rPr>
        <w:t>g</w:t>
      </w:r>
      <w:r>
        <w:rPr>
          <w:rFonts w:ascii="Times New Roman;serif" w:hAnsi="Times New Roman;serif"/>
          <w:b w:val="false"/>
          <w:sz w:val="20"/>
        </w:rPr>
        <w:t>, for systemic delivery. Our clinical development program for these product candidates also includes evaluation of them as a potential combination therapy.</w:t>
      </w:r>
    </w:p>
    <w:p>
      <w:pPr>
        <w:pStyle w:val="TextBody"/>
        <w:bidi w:val="0"/>
        <w:spacing w:before="120" w:after="120"/>
        <w:jc w:val="left"/>
        <w:rPr/>
      </w:pPr>
      <w:r>
        <w:rPr/>
        <w:t>•</w:t>
      </w:r>
    </w:p>
    <w:p>
      <w:pPr>
        <w:pStyle w:val="TextBody"/>
        <w:bidi w:val="0"/>
        <w:spacing w:before="120" w:after="120"/>
        <w:jc w:val="left"/>
        <w:rPr/>
      </w:pPr>
      <w:r>
        <w:rPr>
          <w:rFonts w:ascii="Times New Roman;serif" w:hAnsi="Times New Roman;serif"/>
          <w:b w:val="false"/>
          <w:i/>
          <w:sz w:val="20"/>
        </w:rPr>
        <w:t>Ophthalmology</w:t>
      </w:r>
      <w:r>
        <w:rPr/>
        <w:t xml:space="preserve"> – </w:t>
      </w:r>
      <w:r>
        <w:rPr>
          <w:rFonts w:ascii="Times New Roman;serif" w:hAnsi="Times New Roman;serif"/>
          <w:b w:val="false"/>
          <w:sz w:val="20"/>
        </w:rPr>
        <w:t>In January 2023, we announced Ophthalmology as our third independent therapeutic area. TransCon RBZ (ranibizumab) is our first investigational pipeline candidate in this therapeutic area, being developed to address vision loss caused by abnormal blood vessel growth and/or fluid build-up in the back of the eye. Our Ophthalmology R&amp;D pipeline includes other opportunities in early stages of development.</w:t>
      </w:r>
    </w:p>
    <w:p>
      <w:pPr>
        <w:pStyle w:val="TextBody"/>
        <w:bidi w:val="0"/>
        <w:spacing w:before="0" w:after="120"/>
        <w:jc w:val="left"/>
        <w:rPr/>
      </w:pPr>
      <w:r>
        <w:rPr/>
        <w:drawing>
          <wp:inline distT="0" distB="0" distL="0" distR="0">
            <wp:extent cx="6858000" cy="285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857500"/>
                    </a:xfrm>
                    <a:prstGeom prst="rect">
                      <a:avLst/>
                    </a:prstGeom>
                  </pic:spPr>
                </pic:pic>
              </a:graphicData>
            </a:graphic>
          </wp:inline>
        </w:drawing>
      </w:r>
      <w:r>
        <w:rPr/>
        <w:t>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1.</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Not yet marketed in the EU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riGHt Trial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3.</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foresiGHt Trial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4.</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New InsiGHts Trial</w:t>
      </w:r>
    </w:p>
    <w:p>
      <w:pPr>
        <w:pStyle w:val="TextBody"/>
        <w:bidi w:val="0"/>
        <w:spacing w:before="120" w:after="0"/>
        <w:jc w:val="left"/>
        <w:rPr>
          <w:rFonts w:ascii="Times New Roman" w:hAnsi="Times New Roman"/>
          <w:b w:val="false"/>
          <w:i/>
          <w:sz w:val="20"/>
        </w:rPr>
      </w:pPr>
      <w:r>
        <w:rPr>
          <w:rFonts w:ascii="Times New Roman" w:hAnsi="Times New Roman"/>
          <w:b w:val="false"/>
          <w:i/>
          <w:sz w:val="20"/>
        </w:rPr>
        <w:t>5.</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Re-submission of NDA to the FDA pending – for additional discussion of recent developments with the FDA see TransCon Product Candidates – Endocrinology Rare Diseases – TransCon PTH – Clinical Development of TransCon PTH for Adult Hypoparathyroidism; EU MAA submitted November 2022, EC decision anticipated Q4 2023</w:t>
      </w:r>
    </w:p>
    <w:p>
      <w:pPr>
        <w:pStyle w:val="TextBody"/>
        <w:bidi w:val="0"/>
        <w:spacing w:before="120" w:after="0"/>
        <w:jc w:val="left"/>
        <w:rPr>
          <w:rFonts w:ascii="Times New Roman" w:hAnsi="Times New Roman"/>
          <w:b w:val="false"/>
          <w:i/>
          <w:sz w:val="20"/>
        </w:rPr>
      </w:pPr>
      <w:r>
        <w:rPr>
          <w:rFonts w:ascii="Times New Roman" w:hAnsi="Times New Roman"/>
          <w:b w:val="false"/>
          <w:i/>
          <w:sz w:val="20"/>
        </w:rPr>
        <w:t>6.</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PaTHway Japan Trial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7.</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ApproaCH Trial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8.</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transcendIT-101 Trial, including 4 indication-specific cohorts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9.</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 xml:space="preserve">IL-Believe Trial </w:t>
      </w:r>
    </w:p>
    <w:p>
      <w:pPr>
        <w:pStyle w:val="TextBody"/>
        <w:bidi w:val="0"/>
        <w:spacing w:before="360" w:after="0"/>
        <w:jc w:val="left"/>
        <w:rPr>
          <w:rFonts w:ascii="Times New Roman;serif" w:hAnsi="Times New Roman;serif"/>
          <w:b/>
          <w:sz w:val="20"/>
        </w:rPr>
      </w:pPr>
      <w:r>
        <w:rPr>
          <w:rFonts w:ascii="Times New Roman;serif" w:hAnsi="Times New Roman;serif"/>
          <w:b/>
          <w:sz w:val="20"/>
        </w:rPr>
        <w:t>Global Commercialization Strategy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establishing a global presence to commercialize approved TransCon products. In the U.S., we have established a multi-faceted organization to support the ongoing commercialization of SKYTROFA. This organization will also serve as the foundation for future Endocrinology Rare Disease product launches in the U.S. We are expanding our presence in Europe by building integrated organizations in select countries, beginning with the planned launch of SKYTROFA in Germany, and through established distribution channels in other countries. In other markets, we plan to establish commercial presence through partners with local expertise and infrastructure.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TransCon Technology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TransCon technology platform is designed to combine the benefits of conventional prodrug and sustained release technologies to solve the fundamental limitations seen in other approaches to extending duration of a drug’s action in the body, with the goal of developing product candidates that are highly differentiated based on efficacy, safety, tolerability and convenience.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r>
        <w:rPr>
          <w:rFonts w:ascii="Times New Roman" w:hAnsi="Times New Roman"/>
          <w:sz w:val="20"/>
        </w:rPr>
        <w:t xml:space="preserve"> </w:t>
      </w:r>
    </w:p>
    <w:p>
      <w:pPr>
        <w:pStyle w:val="TextBody"/>
        <w:bidi w:val="0"/>
        <w:spacing w:before="240" w:after="200"/>
        <w:jc w:val="left"/>
        <w:rPr>
          <w:rFonts w:ascii="Times New Roman" w:hAnsi="Times New Roman"/>
          <w:sz w:val="20"/>
        </w:rPr>
      </w:pPr>
      <w:r>
        <w:rPr>
          <w:rFonts w:ascii="Times New Roman;serif" w:hAnsi="Times New Roman;serif"/>
          <w:b w:val="false"/>
          <w:sz w:val="20"/>
        </w:rPr>
        <w:t>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r>
        <w:rPr>
          <w:rFonts w:ascii="Times New Roman" w:hAnsi="Times New Roman"/>
          <w:sz w:val="20"/>
        </w:rPr>
        <w:t xml:space="preserve"> </w:t>
      </w:r>
    </w:p>
    <w:p>
      <w:pPr>
        <w:pStyle w:val="TextBody"/>
        <w:bidi w:val="0"/>
        <w:spacing w:before="240" w:after="0"/>
        <w:jc w:val="center"/>
        <w:rPr/>
      </w:pPr>
      <w:r>
        <w:rPr/>
        <w:drawing>
          <wp:inline distT="0" distB="0" distL="0" distR="0">
            <wp:extent cx="5724525" cy="2143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24525" cy="2143125"/>
                    </a:xfrm>
                    <a:prstGeom prst="rect">
                      <a:avLst/>
                    </a:prstGeom>
                  </pic:spPr>
                </pic:pic>
              </a:graphicData>
            </a:graphic>
          </wp:inline>
        </w:drawing>
      </w: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recently announced a new TransCon technology carrier platform with the potential to unlock large market opportunities, where high volume and low-cost manufacturing is required, and demonstrated proof-of-principle for GLP-1 analogs (semaglutide), with data supporting potential best-in-class weekly and monthly administration profiles.</w:t>
      </w:r>
    </w:p>
    <w:p>
      <w:pPr>
        <w:pStyle w:val="TextBody"/>
        <w:bidi w:val="0"/>
        <w:spacing w:before="360" w:after="0"/>
        <w:jc w:val="left"/>
        <w:rPr>
          <w:rFonts w:ascii="Times New Roman;serif" w:hAnsi="Times New Roman;serif"/>
          <w:b/>
          <w:sz w:val="20"/>
        </w:rPr>
      </w:pPr>
      <w:r>
        <w:rPr>
          <w:rFonts w:ascii="Times New Roman;serif" w:hAnsi="Times New Roman;serif"/>
          <w:b/>
          <w:sz w:val="20"/>
        </w:rPr>
        <w:t>TransCon Products – Endocrinology Rare Disease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TransCon Growth Hormone (hGH) for Pediatric Growth Hormone Deficiency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hGH is a prodrug of somatropin composed of an unmodified somatropin, administered once weekly, that is transiently bound to a carrier and proprietary linker. TransCon hGH is designed to maintain the same mode of action as daily therapies by releasing the same recombinant growth hormone molecule, somatropin, as daily hGH therapy.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March 2023, we enrolled our first patient in SkybriGHt, a Phase 4 U.S. multi-center, non-interventional, observational cohort study of subjects treated with SKYTROFA in the post-marketing setting.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January 2022, the EC granted marketing authorization for SKYTROFA (developed under the name TransCon hGH) as a once-weekly subcutaneous injection for the treatment of children and adolescents ages 3 to 18 years with growth failure due to insufficient secretion of endogenous growth hormone.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August 2021, the FDA approved TransCon hGH, known by its brand name SKYTROFA, for the treatment of pediatric patients one year and older who weigh at least 11.5 kg and have growth failure due to inadequate secretion of endogenous growth hormone, also known as GHD. SKYTROFA is the first FDA approved product that delivers somatropin, or growth hormone, by sustained release over one week.</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TransCon Product Candidates – Endocrinology Rare Diseases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TransCon Growth Hormone (hGH) for Other Indications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Clinical Development in Adults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currently conducting foresiGHt, a global Phase 3 trial investigating the metabolic benefits of TransCon hGH in adults with GHD. Patients in the trial are randomized in a 1:1:1 ratio into the three arms of the study—treatment with once-weekly TransCon hGH, once-weekly placebo, or daily hGH. The primary endpoint of the trial is a change from baseline in percentage trunk fat at 38 weeks. Following the 38-week main trial period, all patients will be eligible to receive once-weekly TransCon hGH during the 52-week open-label extension. During the fourth quarter of 2022, we completed recruitment into this trial, and topline results are expected in the fourth quarter of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Development Plans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2022, we submitted a trial protocol to the FDA for New InsiGHTS, a Phase 2 trial to evaluate TransCon hGH in Turner Syndrome. Based on the nature of Turner Syndrome, in this trial we are evaluating higher doses of TransCon hGH and daily hGH compared to doses studied for pediatric GHD. In addition, we are also considering other potential indications for TransCon hGH where we believe a long-acting hGH therapy may offer benefits to patients.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TransCon PTH</w:t>
      </w:r>
    </w:p>
    <w:p>
      <w:pPr>
        <w:pStyle w:val="TextBody"/>
        <w:bidi w:val="0"/>
        <w:spacing w:before="120" w:after="0"/>
        <w:jc w:val="left"/>
        <w:rPr>
          <w:rFonts w:ascii="Times New Roman" w:hAnsi="Times New Roman"/>
          <w:sz w:val="20"/>
        </w:rPr>
      </w:pPr>
      <w:r>
        <w:rPr>
          <w:rFonts w:ascii="Times New Roman;serif" w:hAnsi="Times New Roman;serif"/>
          <w:b w:val="false"/>
          <w:sz w:val="20"/>
        </w:rPr>
        <w:t>TransCon PTH (palopegteriparatide) is an investigational prodrug of parathyroid hormone composed of PTH(1-34) transiently conjugated to an inert carrier via a TransCon linker that is designed to be administered once-daily to achieve and maintain a steady concentration of PTH in the bloodstream, thereby more fully addressing all aspects of the disease including normalizing serum and urinary calcium and serum phosphate levels and reducing the burden of conventional therapy. Pharmacokinetic data from our multiple ascending dose cohorts in our Phase 1 trial of TransCon PTH in healthy subjects demonstrated a half-life of approximately 60 hours, supporting an infusion-like profile with daily administration. We believe TransCon PTH can address the fundamental limitations of short-acting PTH molecules and become a highly differentiated therapy for hypoparathyroidism.</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Clinical Development of TransCon PTH for Adult Hypoparathyroidism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Phase 3 PaTHway Trial, Phase 3 PaTHway Japan Trial, and Phase 2 PaTH Forward Trial evaluated TransCon PTH in adult patients with hypoparathyroidism. Following the primary outcome period, all three trials continue in the extension portion to collect long term data.</w:t>
      </w:r>
    </w:p>
    <w:p>
      <w:pPr>
        <w:pStyle w:val="TextBody"/>
        <w:bidi w:val="0"/>
        <w:spacing w:before="240" w:after="0"/>
        <w:jc w:val="left"/>
        <w:rPr>
          <w:rFonts w:ascii="Times New Roman" w:hAnsi="Times New Roman"/>
          <w:sz w:val="20"/>
        </w:rPr>
      </w:pPr>
      <w:r>
        <w:rPr>
          <w:rFonts w:ascii="Times New Roman;serif" w:hAnsi="Times New Roman;serif"/>
          <w:b w:val="false"/>
          <w:sz w:val="20"/>
        </w:rPr>
        <w:t>Following receipt of our Day 180 assessment report of our Marketing Authorisation Application (“MAA”) which was submitted to the EMA in November 2022, we remain on track for an EC decision on the MAA for TransCon PTH during the fourth quarter of 2023. If approved, the first launch is planned in Germany in early 2024.</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June 2023, we requested a Type A meeting with FDA and submitted an updated control strategy. The Type A meeting was held with FDA in late August based on the Agency’s availability. Following a constructive Type A meeting, we submitted additional information to FDA supporting the updated control strategy. We believe the materials submitted to FDA combined with the Type A meeting discussions will position us to resubmit the NDA for TransCon PTH for adults with hypoparathyroidism in October 2023.</w:t>
      </w:r>
    </w:p>
    <w:p>
      <w:pPr>
        <w:pStyle w:val="TextBody"/>
        <w:bidi w:val="0"/>
        <w:spacing w:before="240" w:after="0"/>
        <w:jc w:val="left"/>
        <w:rPr>
          <w:rFonts w:ascii="Times New Roman" w:hAnsi="Times New Roman"/>
          <w:sz w:val="20"/>
        </w:rPr>
      </w:pPr>
      <w:r>
        <w:rPr>
          <w:rFonts w:ascii="Times New Roman;serif" w:hAnsi="Times New Roman;serif"/>
          <w:b w:val="false"/>
          <w:sz w:val="20"/>
        </w:rPr>
        <w:t>On June 17, 2023, we announced one-year (Week 52) data from the open-label extension (“OLE”) portion of the Phase 3 PaTHway Trial of TransCon PTH in adults with hypoparathyroidism. PaTHway is a Phase 3 trial of TransCon PTH with a placebo ("PBO")-controlled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PBO/TransCon PTH) completed Week 52. The data showed that treatment with TransCon PTH resulted in sustained improvements through Week 52, as well as safety and tolerability similar to that reported for the initial 26-week blinded portion of the trial.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Week 52 Highlights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95% of patients in the OLE (74 out of 78) achieved independence from conventional therapy (defined as no active vitamin D and calcium supplements of &lt;600mg/day), and none required active vitamin 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At Week 52, 81% of participants treated with TransCon PTH achieved both normal serum calcium and independence from conventional therapy.</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TransCon PTH continued to be well-tolerated in the Phase 3 open-label extension, with no new safety signal identified. Most treatment emergent adverse events were mild or moderate (Grades 1-2) and none reported during the OLE through Week 52 led to discontinuation of the study drug or trial.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76 out of 79 patients have exceeded two years of follow-up in the PaTHway Trial.</w:t>
      </w:r>
    </w:p>
    <w:p>
      <w:pPr>
        <w:pStyle w:val="TextBody"/>
        <w:bidi w:val="0"/>
        <w:spacing w:before="240" w:after="0"/>
        <w:jc w:val="left"/>
        <w:rPr>
          <w:rFonts w:ascii="Times New Roman" w:hAnsi="Times New Roman"/>
          <w:sz w:val="20"/>
        </w:rPr>
      </w:pPr>
      <w:r>
        <w:rPr>
          <w:rFonts w:ascii="Times New Roman;serif" w:hAnsi="Times New Roman;serif"/>
          <w:b w:val="false"/>
          <w:sz w:val="20"/>
        </w:rPr>
        <w:t>On June 5, 2023, we announced that we started enrollment for a Compassionate Use Program (“CUP”) in Germany for TransCon PTH (palopegteriparatide). The CUP was approved by Germany’s Federal Institute for Drugs &amp; Medical Devices (Bundesinstitut für Arzneimittel &amp; Medizinprodukte). Through the CUP, treating physicians can request TransCon PTH (palopegteriparatide) for eligible adult patients with hypoparathyroidism whose clinical condition, in the opinion of the treating physician, requires PTH treatment with palopegteriparatide, and who cannot be adequately treated with currently approved products or participate in a palopegteriparatide clinical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May 1, 2023, we announced that the FDA issued a complete response letter for the TransCon PTH (palopegteriparatide) NDA for the treatment of adults with hypoparathyroidism. In the letter, the FDA cited concerns related to the manufacturing control strategy for variability of delivered dose in the TransCon PTH drug/device combination product. The FDA did not express concern about the clinical data submitted as part of the NDA package and no new preclinical studies, or Phase 3 clinical trials to evaluate safety or efficacy, were requested in the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composite endpoint, which was defined as serum calcium levels in the normal range (8.3–10.6 mg/dL) and independence from conventional therapy (active vitamin D and &gt;600 mg/day of calcium supplements). In this trial, TransCon PTH was generally well-tolerated, with no discontinuations related to study drug. As of June 30, 2023, 12 patients continue in the ongoing 3-year extension portion of the PaTHway Japan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December 2022, the FDA allowed Ascendis to initiate a U.S. expanded access program (“EAP”) for TransCon PTH for eligible adult patients with hypoparathyroidism with prior PTH treatment experience. This EAP is open for enrollment, allowing U.S. physicians to request access to investigational TransCon PTH for their eligible patients.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September 2022, we announced new Week 110 data from the Phase 2 PaTH Forward Trial showing that long-term therapy with TransCon PTH provided a durable response in adult patients with hypoparathyroidism, as evidenced by continued normalization of mean serum calcium levels and 93% of patients achieving independence from conventional therapy with active vitamin D and therapeutic levels of calcium. As of June 30, 2023, 57 out of the 59 patients continued in the OLE portion of the trial, where they receive an individualized maintenance dose of TransCon PTH. In addition, all 57 subjects have exceeded three years of follow-up in the PaTH Forward Trial. Two patients withdrew from the trial for reasons unrelated to safety or efficacy of the study drug.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March 2022, we announced that topline data from the randomized, double-blind, placebo-controlled portion of our Phase 3 PaTHway Trial of TransCon PTH in adults with hypoparathyroidism demonstrated statistically significant improvement with TransCon PTH compared to control on the primary composite endpoint and all key secondary endpoints. The primary endpoint, defined as serum calcium levels in the normal range (8.3–10.6 mg/dL) and independence from conventional therapy (active vitamin D and &gt;600 mg/day of calcium supplements)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360" w:after="0"/>
        <w:jc w:val="left"/>
        <w:rPr>
          <w:rFonts w:ascii="Times New Roman" w:hAnsi="Times New Roman"/>
          <w:sz w:val="20"/>
        </w:rPr>
      </w:pPr>
      <w:r>
        <w:rPr>
          <w:rFonts w:ascii="Times New Roman;serif" w:hAnsi="Times New Roman;serif"/>
          <w:b/>
          <w:i/>
          <w:sz w:val="20"/>
        </w:rPr>
        <w:t>TransCon CNP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TransCon CNP is an investigational long-acting prodrug of C-type natriuretic peptide designed to provide continuous CNP exposure at therapeutic levels with a well-tolerated and convenient once-weekly dose. It is being developed for the treatment of children with ACH.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w:t>
      </w:r>
      <w:r>
        <w:rPr>
          <w:rFonts w:ascii="Times New Roman;serif" w:hAnsi="Times New Roman;serif"/>
          <w:b w:val="false"/>
          <w:sz w:val="13"/>
        </w:rPr>
        <w:t>max</w:t>
      </w:r>
      <w:r>
        <w:rPr>
          <w:rFonts w:ascii="Times New Roman" w:hAnsi="Times New Roman"/>
          <w:sz w:val="20"/>
        </w:rPr>
        <w:t xml:space="preserve"> </w:t>
      </w:r>
      <w:r>
        <w:rPr>
          <w:rFonts w:ascii="Times New Roman;serif" w:hAnsi="Times New Roman;serif"/>
          <w:b w:val="false"/>
          <w:sz w:val="20"/>
        </w:rPr>
        <w:t>levels that may cause adverse cardiovascular events. We believe the therapeutically sustained release of TransCon CNP offers advantages that may mitigate this issue, leading to more constant CNP exposure at lower C</w:t>
      </w:r>
      <w:r>
        <w:rPr>
          <w:rFonts w:ascii="Times New Roman;serif" w:hAnsi="Times New Roman;serif"/>
          <w:b w:val="false"/>
          <w:sz w:val="13"/>
        </w:rPr>
        <w:t>max</w:t>
      </w:r>
      <w:r>
        <w:rPr>
          <w:rFonts w:ascii="Times New Roman" w:hAnsi="Times New Roman"/>
          <w:sz w:val="20"/>
        </w:rPr>
        <w:t xml:space="preserve"> </w:t>
      </w:r>
      <w:r>
        <w:rPr>
          <w:rFonts w:ascii="Times New Roman;serif" w:hAnsi="Times New Roman;serif"/>
          <w:b w:val="false"/>
          <w:sz w:val="20"/>
        </w:rPr>
        <w:t>to correlate with better therapeutic outcomes.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Clinical Development of TransCon CNP for Achondroplasia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ongoing pivotal, Phase 3 ApproaCH Trial and Phase 2 ACcomplisH trial, as well as our long-term extension trial AttaCH, are evaluating the safety and efficacy TransCon CNP in children with ACH.</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September 5, 2023, we announced completion of enrollment in ApproaCH with a total of 84 subjects randomized. U.S. and EU regulatory agencies have endorsed ApproaCH, a global randomized, double-blind, placebo-controlled trial in children ages 2–11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second half of 2024.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November 2022, we announced topline results from ACcomplisH, a Phase 2 randomized, double-blind, placebo-controlled, dose-escalation trial evaluating the safety and efficacy of once-weekly TransCon CNP compared to placebo.</w:t>
      </w:r>
    </w:p>
    <w:p>
      <w:pPr>
        <w:pStyle w:val="TextBody"/>
        <w:bidi w:val="0"/>
        <w:spacing w:before="240" w:after="120"/>
        <w:jc w:val="left"/>
        <w:rPr>
          <w:rFonts w:ascii="Times New Roman" w:hAnsi="Times New Roman"/>
          <w:sz w:val="20"/>
        </w:rPr>
      </w:pPr>
      <w:r>
        <w:rPr>
          <w:rFonts w:ascii="Times New Roman;serif" w:hAnsi="Times New Roman;serif"/>
          <w:b w:val="false"/>
          <w:sz w:val="20"/>
        </w:rPr>
        <w:t>The ACcomplisH Trial evaluated 57 children with ACH aged 2 to 10 years, randomized in a 3:1 ratio to receive either sequential ascending doses of once-weekly TransCon CNP or placebo for 52 weeks. The trial met its primary objectives, demonstrating that TransCon CNP at 100 µg/kg/week was superior to placebo on the primary efficacy endpoint of annualized height velocity (“AHV”) at 52 weeks (p=0.0218). All 57 randomized children completed the blinded portion of ACcomplisH and continued in the OLE portion of ACcomplisH at the 100 µg/kg/week dose. As of June 30, 2023, 57 out of 57 children continued in the OLE.</w:t>
      </w:r>
      <w:r>
        <w:rPr>
          <w:rFonts w:ascii="Times New Roman" w:hAnsi="Times New Roman"/>
          <w:sz w:val="20"/>
        </w:rPr>
        <w:t xml:space="preserve"> </w:t>
      </w:r>
    </w:p>
    <w:tbl>
      <w:tblPr>
        <w:tblW w:w="7563" w:type="dxa"/>
        <w:jc w:val="left"/>
        <w:tblInd w:w="0" w:type="dxa"/>
        <w:tblLayout w:type="fixed"/>
        <w:tblCellMar>
          <w:top w:w="28" w:type="dxa"/>
          <w:left w:w="28" w:type="dxa"/>
          <w:bottom w:w="28" w:type="dxa"/>
          <w:right w:w="28" w:type="dxa"/>
        </w:tblCellMar>
      </w:tblPr>
      <w:tblGrid>
        <w:gridCol w:w="2791"/>
        <w:gridCol w:w="1666"/>
        <w:gridCol w:w="3106"/>
      </w:tblGrid>
      <w:tr>
        <w:trPr/>
        <w:tc>
          <w:tcPr>
            <w:tcW w:w="279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left"/>
              <w:rPr/>
            </w:pPr>
            <w:r>
              <w:rPr/>
              <w:t> </w:t>
            </w:r>
            <w:r>
              <w:rPr>
                <w:rFonts w:ascii="Times New Roman;serif" w:hAnsi="Times New Roman;serif"/>
                <w:b/>
                <w:sz w:val="20"/>
              </w:rPr>
              <w:t>TransCon CNP Dose Group</w:t>
            </w:r>
            <w:r>
              <w:rPr>
                <w:rFonts w:ascii="Times New Roman" w:hAnsi="Times New Roman"/>
                <w:sz w:val="20"/>
              </w:rPr>
              <w:t> </w:t>
            </w:r>
            <w:r>
              <w:rPr>
                <w:rFonts w:ascii="Times New Roman;serif" w:hAnsi="Times New Roman;serif"/>
                <w:b w:val="false"/>
                <w:sz w:val="20"/>
              </w:rPr>
              <w:t>(n)</w:t>
            </w:r>
          </w:p>
        </w:tc>
        <w:tc>
          <w:tcPr>
            <w:tcW w:w="16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AHV (cm/year)</w:t>
            </w:r>
          </w:p>
          <w:p>
            <w:pPr>
              <w:pStyle w:val="TableContents"/>
              <w:bidi w:val="0"/>
              <w:spacing w:before="0" w:after="0"/>
              <w:ind w:left="0" w:right="0" w:hanging="0"/>
              <w:jc w:val="left"/>
              <w:rPr/>
            </w:pPr>
            <w:r>
              <w:rPr/>
              <w:t>  </w:t>
            </w:r>
            <w:r>
              <w:rPr>
                <w:rFonts w:ascii="Times New Roman;serif" w:hAnsi="Times New Roman;serif"/>
                <w:b w:val="false"/>
                <w:sz w:val="20"/>
              </w:rPr>
              <w:br/>
              <w:t> LS Mean [95% CI]</w:t>
            </w:r>
          </w:p>
        </w:tc>
        <w:tc>
          <w:tcPr>
            <w:tcW w:w="31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p-value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(TransCon CNP vs. Pooled Placebo)</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r>
              <w:rPr>
                <w:rFonts w:ascii="Times New Roman;serif" w:hAnsi="Times New Roman;serif"/>
                <w:b/>
                <w:sz w:val="20"/>
              </w:rPr>
              <w:t>6 µg/kg/week</w:t>
            </w:r>
            <w:r>
              <w:rPr>
                <w:rFonts w:ascii="Times New Roman" w:hAnsi="Times New Roman"/>
                <w:sz w:val="20"/>
              </w:rPr>
              <w:t> </w:t>
            </w:r>
            <w:r>
              <w:rPr>
                <w:rFonts w:ascii="Times New Roman;serif" w:hAnsi="Times New Roman;serif"/>
                <w:b w:val="false"/>
                <w:sz w:val="20"/>
              </w:rPr>
              <w:t>(n=10)</w:t>
            </w:r>
          </w:p>
        </w:tc>
        <w:tc>
          <w:tcPr>
            <w:tcW w:w="16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4.09</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[3.34, 4.84]</w:t>
            </w:r>
          </w:p>
        </w:tc>
        <w:tc>
          <w:tcPr>
            <w:tcW w:w="31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0.6004</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r>
              <w:rPr>
                <w:rFonts w:ascii="Times New Roman;serif" w:hAnsi="Times New Roman;serif"/>
                <w:b/>
                <w:sz w:val="20"/>
              </w:rPr>
              <w:t xml:space="preserve">20 µg/kg/week </w:t>
            </w:r>
            <w:r>
              <w:rPr>
                <w:rFonts w:ascii="Times New Roman;serif" w:hAnsi="Times New Roman;serif"/>
                <w:b w:val="false"/>
                <w:sz w:val="20"/>
              </w:rPr>
              <w:t>(n=11)</w:t>
            </w:r>
            <w:r>
              <w:rPr>
                <w:rFonts w:ascii="Times New Roman" w:hAnsi="Times New Roman"/>
                <w:sz w:val="20"/>
              </w:rPr>
              <w:t xml:space="preserve"> </w:t>
            </w:r>
          </w:p>
        </w:tc>
        <w:tc>
          <w:tcPr>
            <w:tcW w:w="16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4.52</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[3.82, 5.22]</w:t>
            </w:r>
          </w:p>
        </w:tc>
        <w:tc>
          <w:tcPr>
            <w:tcW w:w="31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0.7022</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r>
              <w:rPr>
                <w:rFonts w:ascii="Times New Roman;serif" w:hAnsi="Times New Roman;serif"/>
                <w:b/>
                <w:sz w:val="20"/>
              </w:rPr>
              <w:t>50 µg/kg/week</w:t>
            </w:r>
            <w:r>
              <w:rPr>
                <w:rFonts w:ascii="Times New Roman" w:hAnsi="Times New Roman"/>
                <w:sz w:val="20"/>
              </w:rPr>
              <w:t> </w:t>
            </w:r>
            <w:r>
              <w:rPr>
                <w:rFonts w:ascii="Times New Roman;serif" w:hAnsi="Times New Roman;serif"/>
                <w:b w:val="false"/>
                <w:sz w:val="20"/>
              </w:rPr>
              <w:t>(n=10)</w:t>
            </w:r>
            <w:r>
              <w:rPr>
                <w:rFonts w:ascii="Times New Roman" w:hAnsi="Times New Roman"/>
                <w:sz w:val="20"/>
              </w:rPr>
              <w:t xml:space="preserve"> </w:t>
            </w:r>
          </w:p>
        </w:tc>
        <w:tc>
          <w:tcPr>
            <w:tcW w:w="16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5.16</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[4.43, 5.90]</w:t>
            </w:r>
          </w:p>
        </w:tc>
        <w:tc>
          <w:tcPr>
            <w:tcW w:w="31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0.0849</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r>
              <w:rPr>
                <w:rFonts w:ascii="Times New Roman;serif" w:hAnsi="Times New Roman;serif"/>
                <w:b/>
                <w:sz w:val="20"/>
              </w:rPr>
              <w:t>100 µg/kg/week</w:t>
            </w:r>
            <w:r>
              <w:rPr>
                <w:rFonts w:ascii="Times New Roman" w:hAnsi="Times New Roman"/>
                <w:sz w:val="20"/>
              </w:rPr>
              <w:t> </w:t>
            </w:r>
            <w:r>
              <w:rPr>
                <w:rFonts w:ascii="Times New Roman;serif" w:hAnsi="Times New Roman;serif"/>
                <w:b w:val="false"/>
                <w:sz w:val="20"/>
              </w:rPr>
              <w:t>(n=11)</w:t>
            </w:r>
            <w:r>
              <w:rPr>
                <w:rFonts w:ascii="Times New Roman" w:hAnsi="Times New Roman"/>
                <w:sz w:val="20"/>
              </w:rPr>
              <w:t xml:space="preserve"> </w:t>
            </w:r>
          </w:p>
        </w:tc>
        <w:tc>
          <w:tcPr>
            <w:tcW w:w="16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5.42</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[4.74, 6.11]</w:t>
            </w:r>
          </w:p>
        </w:tc>
        <w:tc>
          <w:tcPr>
            <w:tcW w:w="31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0.0218</w:t>
            </w:r>
          </w:p>
        </w:tc>
      </w:tr>
      <w:tr>
        <w:trPr/>
        <w:tc>
          <w:tcPr>
            <w:tcW w:w="27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r>
              <w:rPr>
                <w:rFonts w:ascii="Times New Roman;serif" w:hAnsi="Times New Roman;serif"/>
                <w:b/>
                <w:sz w:val="20"/>
              </w:rPr>
              <w:t>Pooled Placebo</w:t>
            </w:r>
            <w:r>
              <w:rPr>
                <w:rFonts w:ascii="Times New Roman" w:hAnsi="Times New Roman"/>
                <w:sz w:val="20"/>
              </w:rPr>
              <w:t> </w:t>
            </w:r>
            <w:r>
              <w:rPr>
                <w:rFonts w:ascii="Times New Roman;serif" w:hAnsi="Times New Roman;serif"/>
                <w:b w:val="false"/>
                <w:sz w:val="20"/>
              </w:rPr>
              <w:t>(n=15)</w:t>
            </w:r>
            <w:r>
              <w:rPr>
                <w:rFonts w:ascii="Times New Roman" w:hAnsi="Times New Roman"/>
                <w:sz w:val="20"/>
              </w:rPr>
              <w:t xml:space="preserve"> </w:t>
            </w:r>
          </w:p>
        </w:tc>
        <w:tc>
          <w:tcPr>
            <w:tcW w:w="16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4.35</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br/>
              <w:t> [3.75, 4.94]</w:t>
            </w:r>
          </w:p>
        </w:tc>
        <w:tc>
          <w:tcPr>
            <w:tcW w:w="31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NA</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Additional highlights: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CNP demonstrated a consistent dose-dependent increase in AHV across the four dose groups.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Mean improvements in AHV for TransCon CNP-treated patients were consistent across age groups &lt;5 years and &gt;5 years, with dose response established.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CNP at 100 µg/kg/week improved change in ACH-specific height SDS compared to placebo (p=0.0283).</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CNP was generally well tolerated, with no discontinuations.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 serious adverse events (“SAEs”) related to treatment were reported; two unrelated SAEs were reported.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Injections were generally well tolerated with low frequency of injection site reactions (“ISRs”):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11 mild ISRs (in 8 patients) out of &gt;2,000 injections.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Patients treated ≥6 months at 100 µg/kg/week in the blinded or OLE period demonstrated a consistent and sustained response, with mean AHV of 5.39 cm/year (n=40).</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One-year follow-up from the OLE portion of the ACcomplisH Trial is expected during the fourth quarter of 2023.</w:t>
      </w:r>
    </w:p>
    <w:p>
      <w:pPr>
        <w:pStyle w:val="TextBody"/>
        <w:bidi w:val="0"/>
        <w:spacing w:before="240" w:after="0"/>
        <w:jc w:val="left"/>
        <w:rPr>
          <w:rFonts w:ascii="Times New Roman" w:hAnsi="Times New Roman"/>
          <w:sz w:val="20"/>
        </w:rPr>
      </w:pPr>
      <w:r>
        <w:rPr>
          <w:rFonts w:ascii="Times New Roman;serif" w:hAnsi="Times New Roman;serif"/>
          <w:b w:val="false"/>
          <w:sz w:val="20"/>
        </w:rPr>
        <w:t>We are also conducting ACHieve, a multi-center natural history study designed to gain insight into the experiences of pediatric subjects with ACH. ACHieve will study growth velocity, body proportionality, and comorbidities over time in children with ACH up to eight years old. No study medication will be administered.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we are planning a trial to evaluate TransCon CNP in children under the age of 2 years. We plan to submit an IND or similar application for this trial in the third quarter of 2023. We also plan to submit an IND or similar application in the fourth quarter of 2023 for the evaluation of TransCon CNP in combination with TransCon hGH.</w:t>
      </w:r>
    </w:p>
    <w:p>
      <w:pPr>
        <w:pStyle w:val="TextBody"/>
        <w:bidi w:val="0"/>
        <w:spacing w:before="360" w:after="0"/>
        <w:jc w:val="left"/>
        <w:rPr>
          <w:rFonts w:ascii="Times New Roman" w:hAnsi="Times New Roman"/>
          <w:sz w:val="20"/>
        </w:rPr>
      </w:pPr>
      <w:r>
        <w:rPr>
          <w:rFonts w:ascii="Times New Roman;serif" w:hAnsi="Times New Roman;serif"/>
          <w:b/>
          <w:sz w:val="20"/>
        </w:rPr>
        <w:t>TransCon Product Candidates – Oncology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TransCon for Immuno-Oncology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prolonging therapeutic activity and targeting drug activity to relevant cell types and tissues have the potential to improve treatment outcomes while reducing toxicities, and could offer potential new combination and multi-agent regimens that would not otherwise be feasible. In addition, we believe our TransCon technology platform is well-suited to improve cancer treatments given the large number of validated targets with known limitations. We are currently investigating two clinical-stage product candidates designed to activate the patient’s own immune system to eradicate malignant cells.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Clinical Development in Immuno-Oncology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two product candidates in Oncology are designed to provide sustained therapeutic levels of an active drug locally (TransCon TLR7/8 Agonist), or systemically (TransCon IL-2 ß/</w:t>
      </w:r>
      <w:r>
        <w:rPr>
          <w:rFonts w:ascii="Symbol;serif" w:hAnsi="Symbol;serif"/>
          <w:b w:val="false"/>
          <w:sz w:val="20"/>
        </w:rPr>
        <w:t>g</w:t>
      </w:r>
      <w:r>
        <w:rPr>
          <w:rFonts w:ascii="Times New Roman;serif" w:hAnsi="Times New Roman;serif"/>
          <w:b w:val="false"/>
          <w:sz w:val="20"/>
        </w:rPr>
        <w:t>), which we believe could provide potent and durable systemic anti-tumor efficacy.</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TransCon TLR7/8 Agonist for Sustained Localized Release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TLR7/8 Agonist is an investigational long-acting prodrug, designed for sustained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is enrolling patients in four indication-specific cohorts.</w:t>
      </w:r>
    </w:p>
    <w:p>
      <w:pPr>
        <w:pStyle w:val="TextBody"/>
        <w:bidi w:val="0"/>
        <w:spacing w:before="240" w:after="0"/>
        <w:jc w:val="left"/>
        <w:rPr>
          <w:rFonts w:ascii="Times New Roman" w:hAnsi="Times New Roman"/>
          <w:sz w:val="20"/>
        </w:rPr>
      </w:pPr>
      <w:r>
        <w:rPr>
          <w:rFonts w:ascii="Times New Roman;serif" w:hAnsi="Times New Roman;serif"/>
          <w:b w:val="false"/>
          <w:sz w:val="20"/>
        </w:rPr>
        <w:t>On May 31, 2023, we announced additional follow-up from the Phase1/2 transcendIT-101 Trial indicating further clinical activity in patients receiving TransCon TLR7/8 Agonist as monotherapy or in combination with pembrolizumab. Enrollment continues in the Phase 2 portion of transcendIT-101 at the recommended Phase 2 dose (“RP2D”) of 0.5 mg/lesion for up to two lesions, which is being evaluated in four indication-specific cohorts focused on cancers where increased TLR activity has potential to improve innate and adaptive immune activation and host defense against cancers.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November 2022, we announced new data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cohorts focused on cancers.</w:t>
      </w:r>
    </w:p>
    <w:p>
      <w:pPr>
        <w:pStyle w:val="TextBody"/>
        <w:bidi w:val="0"/>
        <w:spacing w:before="360" w:after="0"/>
        <w:jc w:val="left"/>
        <w:rPr>
          <w:rFonts w:ascii="Times New Roman" w:hAnsi="Times New Roman"/>
          <w:sz w:val="20"/>
        </w:rPr>
      </w:pPr>
      <w:r>
        <w:rPr>
          <w:rFonts w:ascii="Times New Roman;serif" w:hAnsi="Times New Roman;serif"/>
          <w:b/>
          <w:i/>
          <w:sz w:val="20"/>
        </w:rPr>
        <w:t>TransCon IL-2 ß/</w:t>
      </w:r>
      <w:r>
        <w:rPr>
          <w:rFonts w:ascii="Symbol;serif" w:hAnsi="Symbol;serif"/>
          <w:b/>
          <w:i/>
          <w:sz w:val="20"/>
        </w:rPr>
        <w:t>g</w:t>
      </w:r>
      <w:r>
        <w:rPr>
          <w:rFonts w:ascii="Times New Roman" w:hAnsi="Times New Roman"/>
          <w:sz w:val="20"/>
        </w:rPr>
        <w:t xml:space="preserve"> </w:t>
      </w:r>
      <w:r>
        <w:rPr>
          <w:rFonts w:ascii="Times New Roman;serif" w:hAnsi="Times New Roman;serif"/>
          <w:b/>
          <w:i/>
          <w:sz w:val="20"/>
        </w:rPr>
        <w:t>for Sustained Systemic Release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is an investigational long-acting prodrug designed to improve cancer immunotherapy through sustained release of an IL-2 variant that selectively activates IL-2Rß/</w:t>
      </w:r>
      <w:r>
        <w:rPr>
          <w:rFonts w:ascii="Symbol;serif" w:hAnsi="Symbol;serif"/>
          <w:b w:val="false"/>
          <w:sz w:val="20"/>
        </w:rPr>
        <w:t>g</w:t>
      </w:r>
      <w:r>
        <w:rPr>
          <w:rFonts w:ascii="Times New Roman;serif" w:hAnsi="Times New Roman;serif"/>
          <w:b w:val="false"/>
          <w:sz w:val="20"/>
        </w:rPr>
        <w:t xml:space="preserve">, with minimal binding to IL-2Rα. The Phase 1/2 IL-Believe Trial evaluating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monotherapy or in combination with pembrolizumab in patients with advanced cancer is enrolling patients in dose escalation cohorts.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September 5, 2023, we announced completion of the Phase 1 dose escalation in combination with pembrolizumab of the Phase 1/2 IL-Believe Trial with RP2D determined at 120 µg/kg IV every three weeks. Twenty-one patients were enrolled. No dose limiting toxicity, vascular leak syndrome, or grade 3 or 4 cytokine release syndrome was observed at any dose level evaluated.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On May 31, 2023, we announced completion of the Phase 1 monotherapy dose escalation of the Phase 1/2 IL-Believe Trial with RP2D determined at 120 µg/kg IV every three weeks. Twenty-five heavily pre-treated patients were enrolled (median of four prior lines of systemic therapies). Eight monotherapy patients dosed at RP2D; of the three efficacy evaluable patients to date, one partial response in a metastatic colorectal cancer patient, and one stable disease in a renal cell carcinoma patient (data cut April 28, 2023). At RP2D, TransCon IL-2 β/γ was generally well-tolerated with no dose limiting toxicity observed, no vascular leak syndrome and no grade 3 or 4 cytokine release syndrome.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Topline/interim analysis from Phase 2 dose expansion cohorts are expected in 2024.</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Other Development Plans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believe that a combination TransCon TLR7/8 Agonist and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 xml:space="preserve">may have the potential to produce greater anti-tumor activity than either candidate alone. We plan to evaluate clinical activity of the combination of TransCon TLR7/8 Agonist and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in 2023.</w:t>
      </w:r>
    </w:p>
    <w:p>
      <w:pPr>
        <w:pStyle w:val="TextBody"/>
        <w:bidi w:val="0"/>
        <w:spacing w:before="360" w:after="0"/>
        <w:jc w:val="left"/>
        <w:rPr>
          <w:rFonts w:ascii="Times New Roman;serif" w:hAnsi="Times New Roman;serif"/>
          <w:b/>
          <w:sz w:val="20"/>
        </w:rPr>
      </w:pPr>
      <w:r>
        <w:rPr>
          <w:rFonts w:ascii="Times New Roman;serif" w:hAnsi="Times New Roman;serif"/>
          <w:b/>
          <w:sz w:val="20"/>
        </w:rPr>
        <w:t>TransCon Product Candidates – Ophthalmology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Market Opportunity in Ophthalmology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According to the Centers for Disease Control and Prevention, more than four million Americans aged 40 years and older are either legally blind or live with low vision. Age-related eye diseases such as age-related macular degeneration (“AMD”), cataract, diabetic retinopathy, and glaucoma are the leading causes of blindness and low vision. Advances in technology have resulted in new treatment options for disorders such as wet AMD, diabetic macular edema, and retinal vein occlusion. Through intravitreal injections, medication is placed directly into a space in the back of the eye called the vitreous cavity.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use of anti-vascular endothelial growth factor (“anti-VEGF”) agents have transformed the treatment of wet AMD. Clinical studies have shown that anti-VEGF treatments are very successful in preventing vision loss resulting from wet AMD and may help regain some lost vision. However, anti-VEGF treatment requires repetitive intravitreal injections, representing a high treatment burden for the patients. Lack of adherence and undertreatment remains a significant issue in real-world outcomes, and extending duration of therapeutic effect and reduce treatment frequency remains a key unmet medical need. Intravitreal treatments represent an established, well-understood, and high-value therapeutic category, characterized by high unmet medical need. We estimate the global market for ophthalmology treatments exceeds $10 billion and is primed for disruption.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TransCon Hydrogel for Ophthalmology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TransCon Hydrogel platform has been designed to provide sustained levels of a drug at a localized site and to allow for prolonged, continuous release over months. In vivo data demonstrated that the TransCon Hydrogel platform provided continuous local drug release over at least six months, supporting twice yearly administration. By reducing the frequency of intravitreal injection, we believe the TransCon Hydrogel platform could potentially increase patient adherence and persistence, resulting in better outcomes.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Development of TransCon Ophthalmology Pipeline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TransCon RBZ (ranibizumab) has been selected as our lead pipeline candidate for Ophthalmology. Lucentis® (ranibizumab) was first approved by the FDA in 2006 for the treatment of wet AMD. It has been studied extensively and demonstrated efficacy following sustained infusion from an implantable osmotic minipump. Thus, we believe ranibizumab represents a clinically validated parent drug that could provide lower development risk compared to new candidate discovery.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TransCon RBZ, we are evaluating additional Ophthalmology product candidates.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12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200"/>
        <w:jc w:val="left"/>
        <w:rPr>
          <w:rFonts w:ascii="Times New Roman;serif" w:hAnsi="Times New Roman;serif"/>
          <w:b/>
          <w:sz w:val="20"/>
        </w:rPr>
      </w:pPr>
      <w:r>
        <w:rPr>
          <w:rFonts w:ascii="Times New Roman;serif" w:hAnsi="Times New Roman;serif"/>
          <w:b/>
          <w:sz w:val="20"/>
        </w:rPr>
        <w:t>Comparison of the Three and Six Months Ended June 30, 2023 and 2022 (unaudited)</w:t>
      </w:r>
    </w:p>
    <w:tbl>
      <w:tblPr>
        <w:tblW w:w="8977"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841"/>
        <w:gridCol w:w="166"/>
        <w:gridCol w:w="146"/>
        <w:gridCol w:w="146"/>
        <w:gridCol w:w="841"/>
        <w:gridCol w:w="166"/>
        <w:gridCol w:w="146"/>
        <w:gridCol w:w="146"/>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Statement of Profit or Loss</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12,988</w:t>
            </w:r>
          </w:p>
        </w:tc>
        <w:tc>
          <w:tcPr>
            <w:tcW w:w="2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profit /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34,464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63,431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7,656</w:t>
            </w:r>
          </w:p>
        </w:tc>
        <w:tc>
          <w:tcPr>
            <w:tcW w:w="2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173,576</w:t>
            </w:r>
          </w:p>
        </w:tc>
        <w:tc>
          <w:tcPr>
            <w:tcW w:w="2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profit /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(140,838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(141,893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(284,523</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(269,922</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84,171</w:t>
            </w:r>
          </w:p>
        </w:tc>
        <w:tc>
          <w:tcPr>
            <w:tcW w:w="2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Profit / (loss) before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(121,862</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(81,366</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(231,478</w:t>
            </w:r>
          </w:p>
        </w:tc>
        <w:tc>
          <w:tcPr>
            <w:tcW w:w="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(206,623</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(121,433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(81,319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(232,346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(206,818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had a net loss of €232.3 million for the six months ended June 30, 2023, compared to a net loss of €206.8 million for the same period last year. Total equity was €64.8 million as of June 30, 2023, compared to €263.3 million as of December 31, 2022. Further details about our results of operations are described in the following sections.</w:t>
      </w:r>
    </w:p>
    <w:p>
      <w:pPr>
        <w:pStyle w:val="TextBody"/>
        <w:bidi w:val="0"/>
        <w:spacing w:before="3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for the three and six months ended June 30, 2023 was €47.4 million and €81.0 million, representing an increase of €41.2 million and €68.0 million, respectively, compared to the three and six months ended June 30, 2022. This increase was primarily attributable to the higher commercial sale of products and higher revenue from rendering of services, partly offset by lower sale of clinical supply. For the three months ended June 30, 2023, sale of commercial products was negatively impacted by an adjustment to provision for estimated sales rebates related to sales from prior periods of €2.1 million.</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development in quarterly revenue from sale of commercial products from the second quarter of 2022 to the second quarter of 2023 was:</w:t>
      </w:r>
    </w:p>
    <w:tbl>
      <w:tblPr>
        <w:tblW w:w="10205" w:type="dxa"/>
        <w:jc w:val="left"/>
        <w:tblInd w:w="0" w:type="dxa"/>
        <w:tblLayout w:type="fixed"/>
        <w:tblCellMar>
          <w:top w:w="28" w:type="dxa"/>
          <w:left w:w="28" w:type="dxa"/>
          <w:bottom w:w="28" w:type="dxa"/>
          <w:right w:w="28" w:type="dxa"/>
        </w:tblCellMar>
      </w:tblPr>
      <w:tblGrid>
        <w:gridCol w:w="2395"/>
        <w:gridCol w:w="146"/>
        <w:gridCol w:w="220"/>
        <w:gridCol w:w="863"/>
        <w:gridCol w:w="146"/>
        <w:gridCol w:w="146"/>
        <w:gridCol w:w="261"/>
        <w:gridCol w:w="1216"/>
        <w:gridCol w:w="146"/>
        <w:gridCol w:w="146"/>
        <w:gridCol w:w="253"/>
        <w:gridCol w:w="1179"/>
        <w:gridCol w:w="146"/>
        <w:gridCol w:w="146"/>
        <w:gridCol w:w="215"/>
        <w:gridCol w:w="1000"/>
        <w:gridCol w:w="146"/>
        <w:gridCol w:w="146"/>
        <w:gridCol w:w="193"/>
        <w:gridCol w:w="900"/>
        <w:gridCol w:w="196"/>
      </w:tblGrid>
      <w:tr>
        <w:trPr/>
        <w:tc>
          <w:tcPr>
            <w:tcW w:w="2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9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7468"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468"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6" w:type="dxa"/>
            <w:tcBorders/>
            <w:vAlign w:val="center"/>
          </w:tcPr>
          <w:p>
            <w:pPr>
              <w:pStyle w:val="TableContents"/>
              <w:bidi w:val="0"/>
              <w:spacing w:before="0" w:after="0"/>
              <w:ind w:left="0" w:right="0" w:hanging="0"/>
              <w:jc w:val="center"/>
              <w:rPr/>
            </w:pPr>
            <w:r>
              <w:rPr/>
              <w:t> </w:t>
            </w:r>
          </w:p>
        </w:tc>
      </w:tr>
      <w:tr>
        <w:trPr/>
        <w:tc>
          <w:tcPr>
            <w:tcW w:w="23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Sale of commercial products</w:t>
            </w:r>
          </w:p>
        </w:tc>
        <w:tc>
          <w:tcPr>
            <w:tcW w:w="146" w:type="dxa"/>
            <w:tcBorders/>
            <w:vAlign w:val="center"/>
          </w:tcPr>
          <w:p>
            <w:pPr>
              <w:pStyle w:val="TableContents"/>
              <w:bidi w:val="0"/>
              <w:spacing w:before="0" w:after="0"/>
              <w:ind w:left="0" w:right="0" w:hanging="0"/>
              <w:jc w:val="left"/>
              <w:rPr/>
            </w:pPr>
            <w:r>
              <w:rPr/>
              <w:t> </w:t>
            </w:r>
          </w:p>
        </w:tc>
        <w:tc>
          <w:tcPr>
            <w:tcW w:w="22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6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4,435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2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12,252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7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17,084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31,551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0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35,895</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sales for the three and six months ended June 30, 2023 was €12.9 million and €17.6 million, representing an increase of €11.8 million and €12.2 million, respectively, compared to the three and six months ended June 30, 2022. This increase was primarily attributable to higher non-commercial activities as well as higher commercial revenue.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Research and Development Costs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specifies external project costs on the development pipeline and other research and development costs.</w:t>
      </w:r>
    </w:p>
    <w:tbl>
      <w:tblPr>
        <w:tblW w:w="8612" w:type="dxa"/>
        <w:jc w:val="left"/>
        <w:tblInd w:w="0" w:type="dxa"/>
        <w:tblLayout w:type="fixed"/>
        <w:tblCellMar>
          <w:top w:w="28" w:type="dxa"/>
          <w:left w:w="28" w:type="dxa"/>
          <w:bottom w:w="28" w:type="dxa"/>
          <w:right w:w="28" w:type="dxa"/>
        </w:tblCellMar>
      </w:tblPr>
      <w:tblGrid>
        <w:gridCol w:w="3796"/>
        <w:gridCol w:w="146"/>
        <w:gridCol w:w="146"/>
        <w:gridCol w:w="781"/>
        <w:gridCol w:w="146"/>
        <w:gridCol w:w="146"/>
        <w:gridCol w:w="146"/>
        <w:gridCol w:w="676"/>
        <w:gridCol w:w="146"/>
        <w:gridCol w:w="146"/>
        <w:gridCol w:w="146"/>
        <w:gridCol w:w="781"/>
        <w:gridCol w:w="146"/>
        <w:gridCol w:w="146"/>
        <w:gridCol w:w="146"/>
        <w:gridCol w:w="78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04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External project costs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hGH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42,867</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PTH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22,578</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CNP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17,113</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IL-2 ß/γ</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3,355</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TLR7/8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7,648</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project costs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external project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60,142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50,481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123,525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95,846</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research and development costs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61,771</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10,534</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other research and development costs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39,902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87,609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77,730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research and development costs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105,021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90,383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211,134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173,576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increase in research and development (“R&amp;D”) costs reflects the advancement of our pipeline of endocrinology and oncology, where we have multiple prodrug candidates in development, as well as initial activities within our new therapeutic area of ophthalmology.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R&amp;D costs for the three and six months ended June 30, 2023 was €105.0 million and €211.1 million, representing an increase of €14.6 million and €37.6 million, respectively, compared to the three and six months ended June 30, 2022. This increase was primarily due to higher development costs for our oncology programs TransCon IL-2 ß</w:t>
      </w:r>
      <w:r>
        <w:rPr>
          <w:rFonts w:ascii="Times New Roman;serif" w:hAnsi="Times New Roman;serif"/>
          <w:b/>
          <w:i/>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and TransCon TLR7/8, reflecting increasing product development and clinical trial activities for these product candidates, increasing clinical trial activities for TransCon CNP, and higher employee and other costs attributable to organizational growth, partly offset by lower development costs for TransCon hGH.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Selling, general and administrative (“SG&amp;A”) expenses for the three and six months ended June 30, 2023 was €70.3 million and €136.8 million, representing an increase of €13.7 million and €32.8 million, respectively, compared to the three and six months ended June 30, 2022. This increase was primarily due to higher external commercial expenses related to SKYTROFA in the U.S., pre-launch activities for SKYTROFA outside the U.S., global pre-launch activities for TransCon PTH, higher employee related expenses and other general and administrative expenses attributable to organizational growth.</w:t>
      </w:r>
    </w:p>
    <w:p>
      <w:pPr>
        <w:pStyle w:val="TextBody"/>
        <w:bidi w:val="0"/>
        <w:spacing w:before="360" w:after="0"/>
        <w:jc w:val="left"/>
        <w:rPr>
          <w:rFonts w:ascii="Times New Roman" w:hAnsi="Times New Roman"/>
          <w:sz w:val="20"/>
        </w:rPr>
      </w:pPr>
      <w:r>
        <w:rPr>
          <w:rFonts w:ascii="Times New Roman;serif" w:hAnsi="Times New Roman;serif"/>
          <w:b/>
          <w:i/>
          <w:sz w:val="20"/>
        </w:rPr>
        <w:t>Finance Income and Finance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Finance income for the three and six months ended June 30, 2023 was €35.8 million and €80.4 million, representing a decrease of €35.4 million and €3.8 million, respectively, compared to the three and six months ended June 30, 2022. For the three months ended June 30, 2023, the decrease was primarily due to €29.5 million lower exchange rate gains and €9.0 million lower gain on derivative liabilities, partly offset by €3.1 million higher interest income compared to the same period last year. For the six months ended June 30, 2023, the decrease was primarily due to €41.7 million lower exchange rate gains, partly offset by €31.1 million higher gain on derivative liabilities and €6.7 million higher interest income compared to the same period last year.</w:t>
      </w:r>
    </w:p>
    <w:p>
      <w:pPr>
        <w:pStyle w:val="TextBody"/>
        <w:bidi w:val="0"/>
        <w:spacing w:before="120" w:after="0"/>
        <w:jc w:val="left"/>
        <w:rPr>
          <w:rFonts w:ascii="Times New Roman" w:hAnsi="Times New Roman"/>
          <w:sz w:val="20"/>
        </w:rPr>
      </w:pPr>
      <w:r>
        <w:rPr>
          <w:rFonts w:ascii="Times New Roman;serif" w:hAnsi="Times New Roman;serif"/>
          <w:b w:val="false"/>
          <w:sz w:val="20"/>
        </w:rPr>
        <w:t>Finance expenses for the three and six months ended June 30, 2023 was €9.3 million and €18.7 million, representing a decrease of €0.1 million and an increase of €3.8 million, respectively, compared to the three and six months ended June 30, 2022. For the three months ended June 30, 2023, the expenses were in line with the same period last year, and for the six months ended June 30, 2023, the increase of €3.8 million was primarily due to €8.6 million higher amortization charges and interest on convertible notes, partly offset by €4.2 million lower transaction costs attributable to the convertible notes compared to the same period last year.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liquidity and capital resources comprise cash, cash equivalents and marketable securities (“capital resources”).</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As of June 30, 2023, these amounted to €431.1 million, specified as follows:</w:t>
      </w:r>
      <w:r>
        <w:rPr>
          <w:rFonts w:ascii="Times New Roman" w:hAnsi="Times New Roman"/>
          <w:sz w:val="20"/>
        </w:rPr>
        <w:t xml:space="preserve"> </w:t>
      </w:r>
    </w:p>
    <w:tbl>
      <w:tblPr>
        <w:tblW w:w="5679" w:type="dxa"/>
        <w:jc w:val="left"/>
        <w:tblInd w:w="0" w:type="dxa"/>
        <w:tblLayout w:type="fixed"/>
        <w:tblCellMar>
          <w:top w:w="28" w:type="dxa"/>
          <w:left w:w="28" w:type="dxa"/>
          <w:bottom w:w="28" w:type="dxa"/>
          <w:right w:w="28" w:type="dxa"/>
        </w:tblCellMar>
      </w:tblPr>
      <w:tblGrid>
        <w:gridCol w:w="3196"/>
        <w:gridCol w:w="146"/>
        <w:gridCol w:w="146"/>
        <w:gridCol w:w="781"/>
        <w:gridCol w:w="146"/>
        <w:gridCol w:w="146"/>
        <w:gridCol w:w="146"/>
        <w:gridCol w:w="78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Liquidity and capital resources</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36,461</w:t>
            </w:r>
          </w:p>
        </w:tc>
        <w:tc>
          <w:tcPr>
            <w:tcW w:w="1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394,222</w:t>
            </w:r>
          </w:p>
        </w:tc>
        <w:tc>
          <w:tcPr>
            <w:tcW w:w="1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liquidity and capital resources</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431,102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430,683</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marketable securities had a weighted average duration of 3.1 months and are classified as current positions (i.e., those maturing within twelve months after the reporting date).</w:t>
      </w:r>
    </w:p>
    <w:p>
      <w:pPr>
        <w:pStyle w:val="TextBody"/>
        <w:bidi w:val="0"/>
        <w:spacing w:before="240" w:after="0"/>
        <w:jc w:val="left"/>
        <w:rPr>
          <w:rFonts w:ascii="Times New Roman" w:hAnsi="Times New Roman"/>
          <w:sz w:val="20"/>
        </w:rPr>
      </w:pPr>
      <w:r>
        <w:rPr>
          <w:rFonts w:ascii="Times New Roman;serif" w:hAnsi="Times New Roman;serif"/>
          <w:b w:val="false"/>
          <w:sz w:val="20"/>
        </w:rPr>
        <w:t>Our expenditures primarily relate to research and development activities and selling, general and administrative activities to support our business, including our continued development of therapeutic areas within endocrinology, oncology and ophthalmology, the commercialization of SKYTROFA and expenses made in anticipation of potential future product launches. 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Based on our current operating plan, we believe that our existing capital resources as of June 30, 2023, will be sufficient to meet our projected cash requirements for at least twelve months from the date of this report. However, our operating plan may change as a result of many factors currently unknown to us, and we may need to seek additional funds sooner than planned.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Historically, we have funded our operations primarily through issuance of preference shares, ordinary shares, including our initial public offering, follow-on offerings and exercise of warrants, convertible debt securities, and payments to us made under collaboration agreements. Including our initial public offering, since February 2015, we have completed public offerings of American Depositary Shares (“ADSs”) with net proceeds of $2,256.6 million (or €1,968.4 million at the time of the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March 2022, we issued an aggregate principal amount of $575.0 million of fixed rate 2.25% convertible notes. Refer to Note 10, “Financial Assets and Liabilities” for further information. We used $116.7 million (€105.3 million) of the net proceeds from the offering in March 2022 to repurchase 1,000,000 ADSs representing our ordinary shares. The holding of treasury shares is disclosed in Note 9, “Treasury Shares.”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September 5, 2023, we entered into a $150 million capped synthetic royalty funding agreement (the “Royalty Pharma Agreement”) with Royalty Pharma (the “Purchaser”). Under the terms of the Royalty Pharma Agreement, in exchange for the Purchaser’s payment of a cash purchase price of $150 million at closing (the “Purchase Price”), we have agreed to sell to the Purchaser its right to receive payment in full of 9.15% on net U.S. SKYTROFA revenue, beginning on January 1, 2025. The royalty payments to the Purchaser will cease upon reaching a multiple of the Purchase Price of 1.925x, or 1.65x if the Purchaser receives royalties in that amount by December 31, 2031. The Royalty Pharma Agreement includes certain buy-out options under various terms and conditions.</w:t>
      </w:r>
    </w:p>
    <w:p>
      <w:pPr>
        <w:pStyle w:val="TextBody"/>
        <w:bidi w:val="0"/>
        <w:spacing w:before="240" w:after="0"/>
        <w:jc w:val="left"/>
        <w:rPr>
          <w:rFonts w:ascii="Times New Roman" w:hAnsi="Times New Roman"/>
          <w:sz w:val="20"/>
        </w:rPr>
      </w:pPr>
      <w:r>
        <w:rPr>
          <w:rFonts w:ascii="Times New Roman;serif" w:hAnsi="Times New Roman;serif"/>
          <w:b w:val="false"/>
          <w:sz w:val="20"/>
        </w:rPr>
        <w:t>For additional description of our cash requirements, public offerings, expense structure and commitments, refer to “Item 5B. Liquidity and Capital Resources,” set forth in our 2022 Annual Report on Form 20-F.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funding requirements will depend on many factors,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manufacturing, selling and marketing costs associated with our products and product candidates, if approved, including the cost and timing of building our sales and marketing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royalties on, TransCon hGH and any future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sales price and the availability of adequate third-party coverage and reimbursement for our products and product candidates, if approved;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partnerships, licensing or other arrangements and the financial terms of such agreements;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progress, timing, scope, results and costs of our preclinical studies and clinical trials and manufacturing activities for our product candidates that have not been licensed, including the ability to enroll patients in a timely manner for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time and cost necessary to obtain regulatory approvals for our product candidates and the costs of post-marketing studies that could be required by regulatory authorities, including related to the possibility of a delay in the FDA's final regulatory decision on the TransCon PTH NDA;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cash requirements of any future acquisitions or discovery of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preclinical and discovery programs that we decide to pursue or initiate;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acquisition and in-licensing of other technologies, products or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time and cost necessary to respond to technological and market developments, including further development of our TransCon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progress in the successful commercialization and co-promotion of our products and product candidates, if approved, and our efforts to develop and commercialize our other existing product candidates, including related to any potential delay in the timing of commercial launch for TransCon PTH in the United States, if approved, caused by the FDA's identification of deficiencies in the NDA for TransCon PTH;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market opportunities and patient populations for our products and product candidates, if approved, including with respect to TransCon PTH, and our ability to obtain market acceptance of our products and product candidates, if approved;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 summarizes our cash flows for the six months ended June 30, 2023 and 2022:</w:t>
      </w:r>
      <w:r>
        <w:rPr>
          <w:rFonts w:ascii="Times New Roman" w:hAnsi="Times New Roman"/>
          <w:sz w:val="20"/>
        </w:rPr>
        <w:t xml:space="preserve"> </w:t>
      </w:r>
    </w:p>
    <w:tbl>
      <w:tblPr>
        <w:tblW w:w="8518" w:type="dxa"/>
        <w:jc w:val="left"/>
        <w:tblInd w:w="0" w:type="dxa"/>
        <w:tblLayout w:type="fixed"/>
        <w:tblCellMar>
          <w:top w:w="28" w:type="dxa"/>
          <w:left w:w="28" w:type="dxa"/>
          <w:bottom w:w="28" w:type="dxa"/>
          <w:right w:w="28" w:type="dxa"/>
        </w:tblCellMar>
      </w:tblPr>
      <w:tblGrid>
        <w:gridCol w:w="4576"/>
        <w:gridCol w:w="146"/>
        <w:gridCol w:w="146"/>
        <w:gridCol w:w="841"/>
        <w:gridCol w:w="166"/>
        <w:gridCol w:w="146"/>
        <w:gridCol w:w="146"/>
        <w:gridCol w:w="841"/>
        <w:gridCol w:w="166"/>
        <w:gridCol w:w="146"/>
        <w:gridCol w:w="146"/>
        <w:gridCol w:w="84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58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58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 (used in)</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(300,172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257,603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209,173</w:t>
            </w:r>
          </w:p>
        </w:tc>
        <w:tc>
          <w:tcPr>
            <w:tcW w:w="21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(398,511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(45,580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188,749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(234,329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240" w:after="0"/>
        <w:jc w:val="left"/>
        <w:rPr>
          <w:rFonts w:ascii="Times New Roman" w:hAnsi="Times New Roman"/>
          <w:sz w:val="20"/>
        </w:rPr>
      </w:pPr>
      <w:r>
        <w:rPr>
          <w:rFonts w:ascii="Times New Roman;serif" w:hAnsi="Times New Roman;serif"/>
          <w:b/>
          <w:i/>
          <w:sz w:val="20"/>
        </w:rPr>
        <w:t>Cash Flows from / (used in) 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Cash flows used in operating activities for the six months ended June 30, 2023 was €300.2 million, representing an increase of €45.0 million compared to the six months ended June 30, 2022. This increase was primarily attributable to a €17.2 million higher loss for the period when adjusted for non-operating financial income and expenses, taxes and non-cash items. In addition, the increase relates to higher working capital balances of €25.4 million, primarily higher inventories and receivables due to increased commercial activities, and lower contract liabilities due to deferred income, which was recognized as revenue in the period.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Cash Flows from / (used in) 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flows from investing activities for the six months ended June 30, 2023 was €257.6 million, representing an increase of €209.2 million compared to the six months ended June 30, 2022. This increase was primarily attributable to €212.6 million higher net settlements of marketable securities in line with our liquidity management strategy.</w:t>
      </w:r>
    </w:p>
    <w:p>
      <w:pPr>
        <w:pStyle w:val="TextBody"/>
        <w:bidi w:val="0"/>
        <w:spacing w:before="360" w:after="0"/>
        <w:jc w:val="left"/>
        <w:rPr>
          <w:rFonts w:ascii="Times New Roman" w:hAnsi="Times New Roman"/>
          <w:sz w:val="20"/>
        </w:rPr>
      </w:pPr>
      <w:r>
        <w:rPr>
          <w:rFonts w:ascii="Times New Roman;serif" w:hAnsi="Times New Roman;serif"/>
          <w:b/>
          <w:i/>
          <w:sz w:val="20"/>
        </w:rPr>
        <w:t>Cash Flows from / (used in) 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Cash flows used in financing activities for the six months ended June 30, 2023 was €3.0 million, representing a decrease of €398.5 million compared to cash flows from financing activities for the six months ended June 30, 2022. This decrease was primarily attributable to the convertible notes issuance and acquisition of treasury shares completed during the six 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not entered into any off-balance sheet arrangements or any holdings in variable interest entities.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and processes for managing these risks, please refer to “Liquidity and Capital Resources,” set forth above.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Foreign Currency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foreign exchange risk arising from various currency exposures, primarily with respect to the U.S. Dollar, the Swiss Franc and the British Pound. We have received payments in U.S. Dollars under our collaboration and license agreements, and the proceeds from our Series D financing in November 2014, our initial public offering in February 2015 and our follow-on offerings were in U.S. Dollars. In addition, our outstanding convertible notes are denominated in U.S. Dollars. We seek to minimize our exchange rate risk by maintaining cash positions in the currencies in which we expect to incur the majority of our future expenses and we make payments from those positions.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Derivative liabilities are measured at fair value through profit or loss. Accordingly, since the fair value is exposed from the development in interest rates, the profit or loss is exposed to volatility from such development.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Inflation affects us as our vendors may pass on any increased costs to us and accordingly increase our R&amp;D costs, SG&amp;A expenses and cost of manufacturing. We do not believe that inflation had a material impact on our results of operation for the three and six months ended June 30, 2023.</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Credit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A2/A-) assigned by international credit-rating agencies.</w:t>
      </w:r>
    </w:p>
    <w:p>
      <w:pPr>
        <w:pStyle w:val="TextBody"/>
        <w:bidi w:val="0"/>
        <w:spacing w:before="240" w:after="0"/>
        <w:jc w:val="left"/>
        <w:rPr>
          <w:rFonts w:ascii="Times New Roman" w:hAnsi="Times New Roman"/>
          <w:sz w:val="20"/>
        </w:rPr>
      </w:pPr>
      <w:r>
        <w:rPr>
          <w:rFonts w:ascii="Times New Roman;serif" w:hAnsi="Times New Roman;serif"/>
          <w:b w:val="false"/>
          <w:sz w:val="20"/>
        </w:rPr>
        <w:t>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order to mitigate the concentration of credit risks on bank deposits and to preserve capital, a portion of the bank deposits have been placed into U.S. government bonds and corporate bonds. Our investment policy, approved by the Board, only allows investment in marketable securities having investment grade credit-ratings, assigned by international credit-rating agencies. Accordingly, the risk from probability of default is low. The marketable securities portfolio is disclosed in Note 10, “Financial Assets and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Equity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from the development in our share price, when remeasuring derivative liabilities at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our share price. Sensitivity analysis over derivative liabilities is disclosed in Note 10, “Financial Assets and Liabilities.”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13988</Words>
  <Characters>79506</Characters>
  <CharactersWithSpaces>94797</CharactersWithSpaces>
  <Paragraphs>4213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