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98425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130810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right="20" w:firstLine="8"/>
        <w:spacing w:after="0" w:line="245" w:lineRule="auto"/>
        <w:tabs>
          <w:tab w:leader="none" w:pos="24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right="460" w:firstLine="8"/>
        <w:spacing w:after="0" w:line="262" w:lineRule="auto"/>
        <w:tabs>
          <w:tab w:leader="none" w:pos="249"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right="280" w:firstLine="8"/>
        <w:spacing w:after="0" w:line="262" w:lineRule="auto"/>
        <w:tabs>
          <w:tab w:leader="none" w:pos="249"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122555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107315</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Kingdom of Denmark</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Jan Møller Mikkelsen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+45 70 22 22 44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60" w:type="dxa"/>
            <w:vAlign w:val="bottom"/>
          </w:tcPr>
          <w:p>
            <w:pPr>
              <w:spacing w:after="0"/>
              <w:rPr>
                <w:sz w:val="16"/>
                <w:szCs w:val="16"/>
                <w:color w:val="auto"/>
              </w:rPr>
            </w:pPr>
          </w:p>
        </w:tc>
        <w:tc>
          <w:tcPr>
            <w:tcW w:w="4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363"/>
        </w:trPr>
        <w:tc>
          <w:tcPr>
            <w:tcW w:w="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one ordinary share,</w:t>
            </w:r>
          </w:p>
        </w:tc>
        <w:tc>
          <w:tcPr>
            <w:tcW w:w="14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ASND</w:t>
            </w:r>
          </w:p>
        </w:tc>
        <w:tc>
          <w:tcPr>
            <w:tcW w:w="160" w:type="dxa"/>
            <w:vAlign w:val="bottom"/>
          </w:tcPr>
          <w:p>
            <w:pPr>
              <w:spacing w:after="0"/>
              <w:rPr>
                <w:sz w:val="24"/>
                <w:szCs w:val="24"/>
                <w:color w:val="auto"/>
              </w:rPr>
            </w:pPr>
          </w:p>
        </w:tc>
        <w:tc>
          <w:tcPr>
            <w:tcW w:w="43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nominal value DKK 1 per share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nominal value DKK 1 per share*</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20" w:type="dxa"/>
            <w:vAlign w:val="bottom"/>
          </w:tcPr>
          <w:p>
            <w:pPr>
              <w:spacing w:after="0"/>
              <w:rPr>
                <w:sz w:val="24"/>
                <w:szCs w:val="24"/>
                <w:color w:val="auto"/>
              </w:rPr>
            </w:pPr>
          </w:p>
        </w:tc>
      </w:tr>
      <w:tr>
        <w:trPr>
          <w:trHeight w:val="1627"/>
        </w:trPr>
        <w:tc>
          <w:tcPr>
            <w:tcW w:w="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4200" w:firstLine="8"/>
        <w:spacing w:after="0" w:line="313"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 None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137160</wp:posOffset>
            </wp:positionV>
            <wp:extent cx="2383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59"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60,689,487 ordinary shares (including 845,887 ordinary shares represented by ADSs held by the registrant and its consolidated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9" w:lineRule="exact"/>
        <w:rPr>
          <w:sz w:val="20"/>
          <w:szCs w:val="20"/>
          <w:color w:val="auto"/>
        </w:rPr>
      </w:pPr>
    </w:p>
    <w:p>
      <w:pPr>
        <w:spacing w:after="0" w:line="207" w:lineRule="exact"/>
        <w:tabs>
          <w:tab w:leader="none" w:pos="862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99"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 w:lineRule="exact"/>
        <w:rPr>
          <w:sz w:val="20"/>
          <w:szCs w:val="20"/>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5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 w:lineRule="exact"/>
        <w:rPr>
          <w:sz w:val="20"/>
          <w:szCs w:val="20"/>
          <w:color w:val="auto"/>
        </w:rPr>
      </w:pPr>
    </w:p>
    <w:p>
      <w:pPr>
        <w:ind w:left="20"/>
        <w:spacing w:after="0" w:line="207" w:lineRule="exact"/>
        <w:tabs>
          <w:tab w:leader="none" w:pos="3260" w:val="left"/>
          <w:tab w:leader="none" w:pos="5620" w:val="left"/>
          <w:tab w:leader="none" w:pos="83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417" w:right="339" w:bottom="1440" w:gutter="0" w:footer="0" w:header="0"/>
        </w:sectPr>
      </w:pPr>
    </w:p>
    <w:p>
      <w:pPr>
        <w:spacing w:after="0" w:line="10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260" w:hanging="28"/>
        <w:spacing w:after="0" w:line="239"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20" w:lineRule="exact"/>
        <w:rPr>
          <w:sz w:val="20"/>
          <w:szCs w:val="20"/>
          <w:color w:val="auto"/>
        </w:rPr>
      </w:pPr>
    </w:p>
    <w:p>
      <w:pPr>
        <w:sectPr>
          <w:pgSz w:w="11900" w:h="16838" w:orient="portrait"/>
          <w:cols w:equalWidth="0" w:num="5">
            <w:col w:w="1780" w:space="100"/>
            <w:col w:w="1300" w:space="720"/>
            <w:col w:w="4060" w:space="720"/>
            <w:col w:w="400" w:space="100"/>
            <w:col w:w="2060"/>
          </w:cols>
          <w:pgMar w:left="320" w:top="1417" w:right="339" w:bottom="1440" w:gutter="0" w:footer="0" w:header="0"/>
          <w:type w:val="continuous"/>
        </w:sectPr>
      </w:pPr>
    </w:p>
    <w:p>
      <w:pPr>
        <w:ind w:right="540"/>
        <w:spacing w:after="0" w:line="223"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ind w:right="120"/>
        <w:spacing w:after="0" w:line="21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Auditor Firm ID:</w:t>
            </w:r>
          </w:p>
        </w:tc>
        <w:tc>
          <w:tcPr>
            <w:tcW w:w="54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Auditor Name:  Deloitte Statsautoriseret</w:t>
            </w:r>
          </w:p>
        </w:tc>
        <w:tc>
          <w:tcPr>
            <w:tcW w:w="3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Auditor Location:</w:t>
            </w:r>
          </w:p>
        </w:tc>
      </w:tr>
      <w:tr>
        <w:trPr>
          <w:trHeight w:val="245"/>
        </w:trPr>
        <w:tc>
          <w:tcPr>
            <w:tcW w:w="21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1294</w:t>
            </w:r>
          </w:p>
        </w:tc>
        <w:tc>
          <w:tcPr>
            <w:tcW w:w="54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Revisionspartnerselskab</w:t>
            </w:r>
          </w:p>
        </w:tc>
        <w:tc>
          <w:tcPr>
            <w:tcW w:w="36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Copenhagen, Denmark</w:t>
            </w:r>
          </w:p>
        </w:tc>
      </w:tr>
      <w:tr>
        <w:trPr>
          <w:trHeight w:val="324"/>
        </w:trPr>
        <w:tc>
          <w:tcPr>
            <w:tcW w:w="21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1392"/>
        </w:trPr>
        <w:tc>
          <w:tcPr>
            <w:tcW w:w="21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 w:name="page3"/>
    <w:bookmarkEnd w:id="2"/>
    <w:p>
      <w:pPr>
        <w:jc w:val="center"/>
        <w:ind w:left="106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61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3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461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Summary of Material Risks Associated With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694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4305"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color w:val="0000FF"/>
                <w:w w:val="84"/>
              </w:rPr>
              <w:t>PART I</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continue"/>
          </w:tcPr>
          <w:p>
            <w:pPr>
              <w:spacing w:after="0"/>
              <w:rPr>
                <w:sz w:val="24"/>
                <w:szCs w:val="24"/>
                <w:color w:val="auto"/>
              </w:rPr>
            </w:pPr>
          </w:p>
        </w:tc>
        <w:tc>
          <w:tcPr>
            <w:tcW w:w="40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Identity of Directors, Senior Management and Advisers</w:t>
            </w:r>
          </w:p>
        </w:tc>
        <w:tc>
          <w:tcPr>
            <w:tcW w:w="1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26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Key Information</w:t>
            </w:r>
          </w:p>
        </w:tc>
        <w:tc>
          <w:tcPr>
            <w:tcW w:w="20" w:type="dxa"/>
            <w:vAlign w:val="bottom"/>
            <w:tcBorders>
              <w:bottom w:val="single" w:sz="8" w:color="0000EE"/>
            </w:tcBorders>
          </w:tcPr>
          <w:p>
            <w:pPr>
              <w:spacing w:after="0"/>
              <w:rPr>
                <w:sz w:val="18"/>
                <w:szCs w:val="18"/>
                <w:color w:val="auto"/>
              </w:rPr>
            </w:pPr>
          </w:p>
        </w:tc>
        <w:tc>
          <w:tcPr>
            <w:tcW w:w="430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Information on the Company</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4A</w:t>
            </w:r>
          </w:p>
        </w:tc>
        <w:tc>
          <w:tcPr>
            <w:tcW w:w="20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344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5</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34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21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3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Senior Management and Employees</w:t>
            </w:r>
          </w:p>
        </w:tc>
        <w:tc>
          <w:tcPr>
            <w:tcW w:w="20" w:type="dxa"/>
            <w:vAlign w:val="bottom"/>
            <w:tcBorders>
              <w:bottom w:val="single" w:sz="8" w:color="0000EE"/>
            </w:tcBorders>
          </w:tcPr>
          <w:p>
            <w:pPr>
              <w:spacing w:after="0"/>
              <w:rPr>
                <w:sz w:val="18"/>
                <w:szCs w:val="18"/>
                <w:color w:val="auto"/>
              </w:rPr>
            </w:pPr>
          </w:p>
        </w:tc>
        <w:tc>
          <w:tcPr>
            <w:tcW w:w="21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560" w:type="dxa"/>
            <w:vAlign w:val="bottom"/>
            <w:tcBorders>
              <w:top w:val="single" w:sz="8" w:color="0000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6"/>
              </w:rPr>
              <w:t>Financial Information</w:t>
            </w:r>
          </w:p>
        </w:tc>
        <w:tc>
          <w:tcPr>
            <w:tcW w:w="2140" w:type="dxa"/>
            <w:vAlign w:val="bottom"/>
            <w:tcBorders>
              <w:top w:val="single" w:sz="8" w:color="0000FF"/>
            </w:tcBorders>
            <w:gridSpan w:val="15"/>
          </w:tcPr>
          <w:p>
            <w:pPr>
              <w:spacing w:after="0"/>
              <w:rPr>
                <w:sz w:val="18"/>
                <w:szCs w:val="18"/>
                <w:color w:val="auto"/>
              </w:rPr>
            </w:pPr>
          </w:p>
        </w:tc>
        <w:tc>
          <w:tcPr>
            <w:tcW w:w="18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The Offer and Listing</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10</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11</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43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39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Description of Securities Other than Equity Securities</w:t>
            </w:r>
          </w:p>
        </w:tc>
        <w:tc>
          <w:tcPr>
            <w:tcW w:w="16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9"/>
          </w:tcPr>
          <w:p>
            <w:pPr>
              <w:jc w:val="center"/>
              <w:ind w:right="1060"/>
              <w:spacing w:after="0"/>
              <w:rPr>
                <w:sz w:val="20"/>
                <w:szCs w:val="20"/>
                <w:color w:val="auto"/>
              </w:rPr>
            </w:pPr>
            <w:r>
              <w:rPr>
                <w:rFonts w:ascii="Times New Roman" w:cs="Times New Roman" w:eastAsia="Times New Roman" w:hAnsi="Times New Roman"/>
                <w:sz w:val="18"/>
                <w:szCs w:val="18"/>
                <w:color w:val="0000FF"/>
                <w:w w:val="99"/>
              </w:rPr>
              <w:t>PART II</w:t>
            </w: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35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Defaults, Dividend Arrearages and Delinquencies</w:t>
            </w:r>
          </w:p>
        </w:tc>
        <w:tc>
          <w:tcPr>
            <w:tcW w:w="20" w:type="dxa"/>
            <w:vAlign w:val="bottom"/>
            <w:tcBorders>
              <w:bottom w:val="single" w:sz="8" w:color="0000EE"/>
            </w:tcBorders>
          </w:tcPr>
          <w:p>
            <w:pPr>
              <w:spacing w:after="0"/>
              <w:rPr>
                <w:sz w:val="24"/>
                <w:szCs w:val="24"/>
                <w:color w:val="auto"/>
              </w:rPr>
            </w:pPr>
          </w:p>
        </w:tc>
        <w:tc>
          <w:tcPr>
            <w:tcW w:w="200" w:type="dxa"/>
            <w:vAlign w:val="bottom"/>
            <w:gridSpan w:val="3"/>
          </w:tcPr>
          <w:p>
            <w:pPr>
              <w:spacing w:after="0"/>
              <w:rPr>
                <w:sz w:val="24"/>
                <w:szCs w:val="24"/>
                <w:color w:val="auto"/>
              </w:rPr>
            </w:pPr>
          </w:p>
        </w:tc>
        <w:tc>
          <w:tcPr>
            <w:tcW w:w="620" w:type="dxa"/>
            <w:vAlign w:val="bottom"/>
            <w:tcBorders>
              <w:top w:val="single" w:sz="8" w:color="0000FF"/>
            </w:tcBorders>
            <w:gridSpan w:val="4"/>
          </w:tcPr>
          <w:p>
            <w:pPr>
              <w:spacing w:after="0"/>
              <w:rPr>
                <w:sz w:val="24"/>
                <w:szCs w:val="24"/>
                <w:color w:val="auto"/>
              </w:rPr>
            </w:pPr>
          </w:p>
        </w:tc>
        <w:tc>
          <w:tcPr>
            <w:tcW w:w="1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5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Material Modification to the Rights of Security Holders and Use of Proceeds</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16A</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continue"/>
          </w:tcPr>
          <w:p>
            <w:pPr>
              <w:spacing w:after="0"/>
              <w:rPr>
                <w:sz w:val="18"/>
                <w:szCs w:val="18"/>
                <w:color w:val="auto"/>
              </w:rPr>
            </w:pPr>
          </w:p>
        </w:tc>
        <w:tc>
          <w:tcPr>
            <w:tcW w:w="2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Audit Committee Financial Expert</w:t>
            </w:r>
          </w:p>
        </w:tc>
        <w:tc>
          <w:tcPr>
            <w:tcW w:w="29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16B</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Code of Ethics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16C</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28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6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16D</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16E</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700" w:type="dxa"/>
            <w:vAlign w:val="bottom"/>
            <w:tcBorders>
              <w:right w:val="single" w:sz="8" w:color="0000EE"/>
            </w:tcBorders>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continue"/>
          </w:tcPr>
          <w:p>
            <w:pPr>
              <w:spacing w:after="0"/>
              <w:rPr>
                <w:sz w:val="18"/>
                <w:szCs w:val="18"/>
                <w:color w:val="auto"/>
              </w:rPr>
            </w:pP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16F</w:t>
            </w:r>
          </w:p>
        </w:tc>
        <w:tc>
          <w:tcPr>
            <w:tcW w:w="502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16G</w:t>
            </w:r>
          </w:p>
        </w:tc>
        <w:tc>
          <w:tcPr>
            <w:tcW w:w="3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22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16H</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vMerge w:val="continue"/>
          </w:tcPr>
          <w:p>
            <w:pPr>
              <w:spacing w:after="0"/>
              <w:rPr>
                <w:sz w:val="18"/>
                <w:szCs w:val="18"/>
                <w:color w:val="auto"/>
              </w:rPr>
            </w:pPr>
          </w:p>
        </w:tc>
        <w:tc>
          <w:tcPr>
            <w:tcW w:w="17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Mine Safety Disclosure</w:t>
            </w:r>
          </w:p>
        </w:tc>
        <w:tc>
          <w:tcPr>
            <w:tcW w:w="80" w:type="dxa"/>
            <w:vAlign w:val="bottom"/>
            <w:tcBorders>
              <w:bottom w:val="single" w:sz="8" w:color="0000EE"/>
            </w:tcBorders>
          </w:tcPr>
          <w:p>
            <w:pPr>
              <w:spacing w:after="0"/>
              <w:rPr>
                <w:sz w:val="18"/>
                <w:szCs w:val="18"/>
                <w:color w:val="auto"/>
              </w:rPr>
            </w:pPr>
          </w:p>
        </w:tc>
        <w:tc>
          <w:tcPr>
            <w:tcW w:w="37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16I</w:t>
            </w:r>
          </w:p>
        </w:tc>
        <w:tc>
          <w:tcPr>
            <w:tcW w:w="49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16J</w:t>
            </w:r>
          </w:p>
        </w:tc>
        <w:tc>
          <w:tcPr>
            <w:tcW w:w="55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16K</w:t>
            </w:r>
          </w:p>
        </w:tc>
        <w:tc>
          <w:tcPr>
            <w:tcW w:w="1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37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9"/>
          </w:tcPr>
          <w:p>
            <w:pPr>
              <w:jc w:val="center"/>
              <w:ind w:right="1080"/>
              <w:spacing w:after="0" w:line="196" w:lineRule="exact"/>
              <w:rPr>
                <w:sz w:val="20"/>
                <w:szCs w:val="20"/>
                <w:color w:val="auto"/>
              </w:rPr>
            </w:pPr>
            <w:r>
              <w:rPr>
                <w:rFonts w:ascii="Times New Roman" w:cs="Times New Roman" w:eastAsia="Times New Roman" w:hAnsi="Times New Roman"/>
                <w:sz w:val="18"/>
                <w:szCs w:val="18"/>
                <w:color w:val="0000FF"/>
                <w:w w:val="99"/>
              </w:rPr>
              <w:t>PART III</w:t>
            </w: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17</w:t>
            </w:r>
          </w:p>
        </w:tc>
        <w:tc>
          <w:tcPr>
            <w:tcW w:w="1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60" w:type="dxa"/>
            <w:vAlign w:val="bottom"/>
            <w:tcBorders>
              <w:bottom w:val="single" w:sz="8" w:color="0000EE"/>
            </w:tcBorders>
          </w:tcPr>
          <w:p>
            <w:pPr>
              <w:spacing w:after="0"/>
              <w:rPr>
                <w:sz w:val="24"/>
                <w:szCs w:val="24"/>
                <w:color w:val="auto"/>
              </w:rPr>
            </w:pPr>
          </w:p>
        </w:tc>
        <w:tc>
          <w:tcPr>
            <w:tcW w:w="2200" w:type="dxa"/>
            <w:vAlign w:val="bottom"/>
            <w:gridSpan w:val="16"/>
          </w:tcPr>
          <w:p>
            <w:pPr>
              <w:spacing w:after="0"/>
              <w:rPr>
                <w:sz w:val="24"/>
                <w:szCs w:val="24"/>
                <w:color w:val="auto"/>
              </w:rPr>
            </w:pPr>
          </w:p>
        </w:tc>
        <w:tc>
          <w:tcPr>
            <w:tcW w:w="700" w:type="dxa"/>
            <w:vAlign w:val="bottom"/>
            <w:tcBorders>
              <w:top w:val="single" w:sz="8" w:color="0000FF"/>
            </w:tcBorders>
            <w:gridSpan w:val="6"/>
          </w:tcPr>
          <w:p>
            <w:pPr>
              <w:spacing w:after="0"/>
              <w:rPr>
                <w:sz w:val="24"/>
                <w:szCs w:val="24"/>
                <w:color w:val="auto"/>
              </w:rPr>
            </w:pPr>
          </w:p>
        </w:tc>
        <w:tc>
          <w:tcPr>
            <w:tcW w:w="10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18</w:t>
            </w:r>
          </w:p>
        </w:tc>
        <w:tc>
          <w:tcPr>
            <w:tcW w:w="1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02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19</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 w:type="dxa"/>
            <w:vAlign w:val="bottom"/>
            <w:tcBorders>
              <w:bottom w:val="single" w:sz="8" w:color="0000EE"/>
            </w:tcBorders>
          </w:tcPr>
          <w:p>
            <w:pPr>
              <w:spacing w:after="0"/>
              <w:rPr>
                <w:sz w:val="18"/>
                <w:szCs w:val="18"/>
                <w:color w:val="auto"/>
              </w:rPr>
            </w:pPr>
          </w:p>
        </w:tc>
        <w:tc>
          <w:tcPr>
            <w:tcW w:w="490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1136015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178</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2">
            <w:col w:w="10120" w:space="720"/>
            <w:col w:w="360"/>
          </w:cols>
          <w:pgMar w:left="340" w:top="1413" w:right="359" w:bottom="1440" w:gutter="0" w:footer="0" w:header="0"/>
        </w:sectPr>
      </w:pPr>
    </w:p>
    <w:bookmarkStart w:id="3" w:name="page4"/>
    <w:bookmarkEnd w:id="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euros except where otherwise indicated, and are prepared in accordance with IFRS Accounting Standards (“IFRS”), as issued by the International Accounting Standards Board. All references in this annual report to “Dollars”, “USD” and “$” are to U.S. Dollars, and all references to “euro”, “EUR” or “€” are to European Union euro. Throughout this annual report, references to ADSs mean ADSs or ordinary shares represented by ADSs, as the case may be.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81"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 availability of our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 and product candidates, if approved for commercial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of our products and product candidates and associated devices;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developing our product candidates or any other future product candidates, and conducting preclinical studies and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Oncology as an independent therapeutic area of focus and our development of product candidates related to oncology;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Eyconis’s ability to develop, manufacture, and commercialize TransCon ophthalmology assets globally;</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 if approved for commercial use;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collaborations and license agreements and our ability to enter into new collaborations and license agreements;</w:t>
      </w:r>
    </w:p>
    <w:p>
      <w:pPr>
        <w:spacing w:after="0" w:line="11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develop additional product candidates using our TransCon technologies and submit Investigational New Drug Applications (“INDs”) or similar for such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established data of clinically validated parent drugs or pathways to which we apply our TransCon technologies;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current and future collaboration partners to pursue the development of our product candidates and submit INDs or similar for such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products and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additional indications for TransCon hGH;</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acquire and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our products and product candidates and technologies, including global commercialization strategies;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product candidates;</w:t>
      </w:r>
    </w:p>
    <w:p>
      <w:pPr>
        <w:spacing w:after="0" w:line="117"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apply our technology platform and algorithm for product innovation to develop highly differentiated product candidates to address unmet medical needs;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TransCon Technology platform to build a leading, fully integrated, global biopharmaceutical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TransCon technologies to create new and potentially best-in-class therapies;</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hire qualified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market conditions, competitors and industry;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ongoing and potential litigation;</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economic, political, legal, compliance, social and business factors, including inflation, tariffs, geopolitical conflicts and energy shortages; and</w:t>
      </w:r>
    </w:p>
    <w:p>
      <w:pPr>
        <w:spacing w:after="0" w:line="53"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of the worldwide pandemics and the ongoing conflict in the region surrounding Ukraine and Russia and the conflict between Israel and Hamas.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3.D—Key Information—Risk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U.S. Securities and Exchange Commission (“SEC”) after the date of this annual report. We qualify all of our forward-looking statements by these cautionary statements.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“Item 3.D - Key Information - Risk Factors” in this annual report.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we may incur significant losses in the future, which makes it difficult to assess our future viability.</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additional financing to achieve our goals, and a failure to obtain this capital if needed on acceptable terms, or at all, could force us to delay, limit, scale back or cease our commercialization activities, product development or any other or all operations.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products and product candidates, which may not be successful in nonclinical studies or clinical trials, receive regulatory approval or be successfully commercialized.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efforts may not be effective and we may not be successful in our commercial efforts.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53" w:lineRule="exact"/>
        <w:rPr>
          <w:rFonts w:ascii="Times New Roman" w:cs="Times New Roman" w:eastAsia="Times New Roman" w:hAnsi="Times New Roman"/>
          <w:sz w:val="18"/>
          <w:szCs w:val="18"/>
          <w:color w:val="auto"/>
        </w:rPr>
      </w:pPr>
    </w:p>
    <w:p>
      <w:pPr>
        <w:ind w:left="520" w:right="8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third-parties to manufacture preclinical, clinical and commercial supplies of our products, product candidates and their device components.</w:t>
      </w:r>
    </w:p>
    <w:p>
      <w:pPr>
        <w:spacing w:after="0" w:line="5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drug, drug product and other components of our products and product candidates are currently acquired from certain single-source suppliers. The loss of these suppliers, or their failure to supply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 and these variations may be difficult to predict.</w:t>
      </w:r>
    </w:p>
    <w:p>
      <w:pPr>
        <w:spacing w:after="0" w:line="117"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(“FDA”), the European Medicines Agency (“EMA”), and comparable authorities are lengthy, time consuming, and inherently unpredictable. If we are ultimately unable to obtain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adequate coverage and reimbursement for our product candidates could limit our ability to market those products and decrease our ability to generate revenue.</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allegedly infringing intellectual property rights of third parties, it will be costly and time consuming, and an unfavorable outcome in such litigation could harm our business.</w:t>
      </w:r>
    </w:p>
    <w:p>
      <w:pPr>
        <w:spacing w:after="0" w:line="53" w:lineRule="exact"/>
        <w:rPr>
          <w:rFonts w:ascii="Times New Roman" w:cs="Times New Roman" w:eastAsia="Times New Roman" w:hAnsi="Times New Roman"/>
          <w:sz w:val="18"/>
          <w:szCs w:val="18"/>
          <w:color w:val="auto"/>
        </w:rPr>
      </w:pPr>
    </w:p>
    <w:p>
      <w:pPr>
        <w:ind w:left="520" w:right="60" w:hanging="512"/>
        <w:spacing w:after="0" w:line="312"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effects of geopolitical conflicts, such as the military conflict between Russia and Ukraine and the conflict between Israel and Hamas could materially adversely impact our business, including our clinical trials, supply chain operation, regulatory timelines and commercial activities.</w:t>
      </w:r>
    </w:p>
    <w:p>
      <w:pPr>
        <w:spacing w:after="0" w:line="31" w:lineRule="exact"/>
        <w:rPr>
          <w:rFonts w:ascii="Times New Roman" w:cs="Times New Roman" w:eastAsia="Times New Roman" w:hAnsi="Times New Roman"/>
          <w:sz w:val="17"/>
          <w:szCs w:val="17"/>
          <w:color w:val="auto"/>
        </w:rPr>
      </w:pPr>
    </w:p>
    <w:p>
      <w:pPr>
        <w:ind w:left="520" w:right="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pandemics could materially adversely impact our business, including our clinical trials, supply chain operation, regulatory timelines and commercial activities.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20-F,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 w:name="page8"/>
    <w:bookmarkEnd w:id="7"/>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faces significant risks. You should carefully consider all of the information set forth in this annual report and in our other filings with the SEC, including the following risk factors which we face and which are faced by our industry. Our business, financial condition or results of operations could be materially adversely affected by any of these risks. This annual report also contains forward-looking statements that involve risks and uncertainties. Our results could materially differ from those anticipated in these forward-looking statements, as a result of certain factors including the risks described below and elsewhere in this annual report and our other materials we file or furnish with the SEC. See “Special Note Regarding Forward-Looking Statements”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we may incur significant losses in the future, which makes it difficult to assess our future viability.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applying our innovative TransCon technology platform to build a leading, fully integrated biopharma company focused on making a meaningful difference in patients’ lives. Guided by our core values of patients, science, and passion, we use our TransCon technologies to create new and potentially best-in-class therapies. We currently have a pipeline of multiple independent endocrinology rare disease, and oncology candidates in development. We are also working to apply our TransCon technology platform in additional therapeutic areas to address unmet medical needs. On August 25, 2021, the FDA approved TransCon hGH, known by its brand name SKYTROFA and its international nonproprietary name lonapegsomatropin-tcgd in the U.S. for the treatment of pediatric patients one year and older who weigh at least 11.5 kg (25.4 lb) and have growth failure due to inadequate secretion of endogenous growth hormone, and on August 9, 2024, the FDA approved TransCon PTH, known by its brand name YORVIPATH, for the treatment of hypoparathyroidism in adults. SKYTROFA (lonapegsomatropin), was granted marketing authorisation by the European Commission, or the EC, as a once-weekly subcutaneous injection for the treatment of children and adolescents ages 3 to 18 years with growth failure due to insufficient secretion of endogenous growth hormone on January 11, 2022. In addition, in November 2023, the EC granted marketing authorisation to YORVIPATH (palopegteriparatide), as a replacement therapy indicated for the treatment of adults with chronic hypoparathyroidism.</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To date, we have focused substantially all of our efforts on our research and development activities relating to our products, SKYTROFA and YORVIPATH, our product candidate TransCon CNP, our product candidates in oncology and our proprietary TransCon technologies, as well as on the commercialization of SKYTROFA and YORVIPATH in the United States. We have a limited operating history upon which our shareholders and ADS holders can evaluate our business and prospects. Going forward, we may incur significant losses from our operations. We had a net loss of €378.1 million for the year ended December 31, 2024, and a net loss of €481.4 million for the year ended December 31, 2023. Our total equity was negative by €105.7 million as of December 31, 2024, compared to a negative balance of €145.7 million as of December 31, 2023. The net losses we have experienced in prior years are not necessarily indicative of our future results.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Apart from the FDA’s, the EC’s and MHRA’s respective approval of SKYTROFA and YORVIPATH, none of our other product candidates have been approved for commercial sale by the FDA, the EC or similar non-U.S. regulatory authorities. Our annual operating expenses may increase over the next several years as we incur additional commercialization expenses and continue our research and development expenses. Although we have begun to receive revenue from commercial product sales, we may incur substantial operating losses for the foreseeable future as we execute our operating plan.</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revenue from commercial product sales and rely significantly on our TransCon technologies and TransCon products and product candidates.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YORVIPATH has only recently been launched in the U.S. and consequently we have had limited revenue from commercial product sales of YORVIPATH. We are yet to commercially launch SKYTROFA and YORVIPATH in the EU outside of Germany and Austria. Our ability to generate revenue will continue to depend significantly on our ability to successfully commercialize SKYTROFA and YORVIPATH in the U.S. and the EU, complete the research and development of our other product candidates and obtain the regulatory and marketing approvals necessary to commercialize such product candidates. Our ability to generate additional revenue from commercial product sales from SKYTROFA, YORVIPATH or other approved products, or pursuant to milestone payments or royalties from collaboration partners depends heavily on many factors, including but not limited to:</w:t>
      </w:r>
    </w:p>
    <w:p>
      <w:pPr>
        <w:spacing w:after="0" w:line="7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development of our product candidates;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approvals and pricing and reimbursement approvals for our products and product candidates on our own, or together with our strategic collaboration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of and entering into collaboration, licensing or other arrangements;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co-promote, and/or the ability of our collaboration partners to successfully commercialize, our products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sustaining a scalable manufacturing process for our products and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products and product candidates, if approved,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in-licensing and/or developing new product candidates;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avoid, and possibly recover from severe cyber attack(s) with impact on our intellectual property, e.g., data breach and ransomware attacks;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approvals to market one or more of our product candidates (such as the approvals we have obtained for SKYTROFA and YORVIPATH),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products or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products or product candidates, even if approved. Limitations on our ability to generate revenue from commercial product sales or pursuant to up-front or milestone payments and royalties from collaboration partners would likely depress our market value and could impair our ability to raise capital, expand our business, discover or develop other products and product candidates or continue our operations.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our revenue includes provision for a variety of sales deductions such as prompt pay discounts, shelf stock adjustments and applicable sales deductions attributable to various commercial arrangements, managed healthcare organizations, government programs, and co-pay arrangement. Provisions for sales deductions attributed to commercial arrangements are recognized when the related sales takes place and measured using the expected value method. Provisions for unsettled sales deductions and product returns are estimated on the basis of a percentage of sales as defined by individual agreements and contracts, and for government rebates by individual state- and plan agreements. Further inputs to the calculations are based on payer channel mix, current contract prices under eligible programs and current inventory levels in the distribution channels. Inputs to the calculations are subject to estimation and assumptions and are based on historical experience and other factors that are relevant, and which are available at the reporting date. These estimates and assumptions are subject to material uncertainties and could result in outcomes that require a material adjustment in future periods.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additional financing to achieve our goals, and a failure to obtain this capital if needed on acceptable terms, or at all, could force us to delay, limit, scale back or cease our commercialization activities, product development or any other or all operations.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and commercialization activities. We have funded our operations primarily through issuance of shares and convertible debt securities, royalty arrangements with third parties, and payments to us under collaboration agreements. As of December 31, 2024, we had cash and cash equivalents totaling €559.5 million. We believe that we will continue to expend substantial resources for the foreseeable future, including costs associated with research and development and commercialization activities. The Company maintains the majority of its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currently estimate that our existing cash and cash equivalents will be sufficient to fund our operations for at least the next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68" w:lineRule="exact"/>
        <w:rPr>
          <w:sz w:val="20"/>
          <w:szCs w:val="20"/>
          <w:color w:val="auto"/>
        </w:rPr>
      </w:pPr>
    </w:p>
    <w:p>
      <w:pPr>
        <w:ind w:left="1020" w:right="4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products and any future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products and product candidates, including the ability to enroll patients in a timely manner for clinical trials;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products and product candidates and the costs of post-marketing studies that could be required by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platform;</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and our ability to obtain market acceptance of our products and product candidates, if approved;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purchase ADSs prior to granting rights or awards for such shares under our equity incentive plans.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Furthermore, uncertainty about the interest rate environment and an increase in interest rates, may make it more difficult, costly or dilutive for us to secure additional financing, which may have a negative impact on earnings and cash flow.</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 w:name="page12"/>
    <w:bookmarkEnd w:id="11"/>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of shares or ADSs, restrict our operations or require us to relinquish rights to our products or product candidates on unfavorable terms to us.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or royalty arrangements with third parties. To the extent that we raise additional capital through the issuance of convertible debt or equity securities, the ownership interest of our shareholders and ADS holders would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third-parties, we may have to relinquish valuable rights to our products or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example, in September 2023, we entered into a $150.0 million capped synthetic royalty funding agreement (“the SKYTROFA Agreement”), with Royalty Pharma. Under the terms of the SKYTROFA Agreement, we received an upfront payment of $150.0 million in exchange for a 9.15% royalty on net U.S. SKYTROFA revenue. In September 2024, we entered into a $150.0 million capped synthetic royalty funding agreement (“the YORVIPATH Agreement”), and together with the SKYTROFA Agreement, the Royalty Pharma Agreements, with Royalty Pharma. Under the terms of the YORVIPATH Agreement, we received an upfront payment of $150.0 million in exchange for a 3.0% royalty on net U.S. YORVIPATH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product candidates, which may not be successful in nonclinical studies or clinical trials, receive regulatory approval or be successfully commercialized.</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date, we have invested a significant amount of our efforts and financial resources in research and development, including with respect to our proprietary TransCon technologies, and in commercialization activities. Our near-term prospects, including the extent of revenue from commercial product sales, will depend heavily on our successful development and commercialization of our products and product candidates, if approved. The clinical and commercial success of our products and product candidates and our TransCon technologies will depend on a number of factors, including the following:</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successful execution of our ongoing and planned clinical trials of our products and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to establish and maintain commercial-scale manufacturing processes for our products, product candidates and device components;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safety, purity, potency, tolerability and/or efficacy profiles will be satisfactory to the EMA, the FDA and similar regulatory authorities to warrant marketing approval;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EMA, the FDA or similar regulatory authorities will require additional clinical trials prior to approving or issuing a positive opinion in order for our product candidates to be authorized, if ever;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adverse events that implicate the TransCon technologies, including among any out-licensed product candidates;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authorizations or certifications for our product candidates and associated device components from the FDA, similar regulatory authorities and notified bodies;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to successfully commercialize our products or product candidates, if approved for marketing and sale by the FDA, the EC or similar regulatory authorities, including educating physicians and patients about the benefits, administration and use of such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 acceptance of our products or product candidates, if approved, including by patients and the medical community;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 acceptance of the device components of our combination products, and of our combination product candidates, if approved, including by patients and the medical community;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our products and product candidates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and any collaboration partners’ marketing, sales and distribution strategies and operations;</w:t>
      </w:r>
    </w:p>
    <w:p>
      <w:pPr>
        <w:spacing w:after="0" w:line="117"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or any third-party manufacturer we contract with, to manufacture supplies of our products and product candidates and to develop, validate and maintain commercially viable manufacturing processes that are compliant with current good manufacturing practice (“cGMP”), or similar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intellectual property rights in and to our products and product candidates;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profiles of our products and product candidates following any potential approval.</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control, including clinical development, the regulatory submission process, potential threats to our intellectual property rights and the manufacturing, marketing and sales efforts of any collaboration partners.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be certain that we will be able to successfully commercialize our products or that such products will be approved in additional jurisdictions, and we cannot be certain that any of our product candidates will ever be approved or successfully commercialized, or that we will ever generate revenue from sales of such product candidates. If we are not successful in completing the development of, obtaining approval for, and commercializing our product candidates, or are significantly delayed in doing so, our business will be harmed.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marketing efforts may not be effective and we may not be successful in our commercial efforts.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launching our commercial sales in 2021, as a company we had no prior experience commercializing approved products. The success of our commercialization efforts is difficult to predict and subject to the effective execution of our business plan, including, among others, the continued development of our internal sales, marketing, and distribution capabilities and our ability to navigate the significant expenses and risks involved with the development and management of such capabilities. For example, our commercial launch of YORVIPATH in the United States may not develop as planned or anticipated, which may require us to, among others, adjust or amend our business plan and incur significant expenses. Further, given our limited experience commercializing products, we do not have a long track record of successfully executing commercial launches. If we are unsuccessful in accomplishing our objectives and executing on our business plan, or if our commercialization efforts do not develop as planned, we may not be able to successfully commercialize our approved products and any future approved products, we may require significant additional capital and financial resources, we may not become profitable, and we may not be able to compete against more established companies in our industry.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which may affect the success of our commercialization efforts include, but are not limited to:</w:t>
      </w:r>
    </w:p>
    <w:p>
      <w:pPr>
        <w:spacing w:after="0" w:line="117" w:lineRule="exact"/>
        <w:rPr>
          <w:sz w:val="20"/>
          <w:szCs w:val="20"/>
          <w:color w:val="auto"/>
        </w:rPr>
      </w:pPr>
    </w:p>
    <w:p>
      <w:pPr>
        <w:ind w:left="1020" w:right="7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required and qualified sales and marketing personnel, including in connection with any specialty sales organization for specific products or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sufficient training to develop and strengthen the technical expertise of our sales and marketing personnel;</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required support materials and resources to our sales personnel to help them educate physicians and healthcare providers regarding our products, including the proper administration of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resources to meet and timely fulfill supply obligations to our customers.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we or any collaboration partners may be required to build and/or maintain marketing, sales, distribution, managerial and other non-technical capabilities or make arrangements with third-parties to perform these services, and we or any collaboration partners may not be successful in doing so. In addition, arrangements we enter into with third-parties to market and sell our products and product candidates, if approved, in one or multiple geographies might not be successful, and We may not be able to enter into such arrangements with others on acceptable terms, or at all. To the extent that we enter into such arrangements with other companies, our revenues, if any, will depend on the terms of any such arrangements and the efforts of others. These efforts may turn out not to be sufficient.</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acceptance and commercial success of our products and product candidates, if approved, will depend, in part, upon the degree of acceptance among physicians, patients, patient advocacy groups, third-party payors and the medical community.</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Even after obtaining FDA or other regulatory approvals, our products and product candidates, if approved, may not achieve significant market acceptance among physicians, patients, patient advocacy groups, third-party payors and the medical community. The degree of market acceptance, if any, for our products for which marketing approval is obtained will depend on a number of factors, including:</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and/or efficacy of the products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overall safety profile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safety of the TransCon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features of the auto-injector or drug delivery device used to administer the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of, and acceptance by, physicians, major operators of clinics and patients of the product as a safe and effective treatment and their willingness to pay for them;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supply of our products and their ability to meet market demand;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relationships with patient advocacy groups;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of government and other commercial and third-party payors.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our products or product candidates that obtain regulatory approval do not achieve significant market acceptance or commercial success, this could harm our business, results of operations and prospects, and the value of our shares or ADSs.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 w:name="page15"/>
    <w:bookmarkEnd w:id="14"/>
    <w:p>
      <w:pPr>
        <w:spacing w:after="0" w:line="29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products and product candidates, if approved,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plan is based in part on our estimated addressable markets and market opportunities for our products and product candidates, if approved, which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Such estimates, whether obtained or derived from third-party sources or developed internally, are subject to significant uncertainty and are based on assumptions and estimates that may not prove to be accurate. While we believe the market opportunity estimates underlying our business plan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must conduct extensive clinical studies to demonstrate the safety, purity, potency and/or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preclinical, toxicology, or other in vivo or in vitro data to support the initiation or continuation of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consensus with regulatory authorities on study design or implementation of the clinical trials and/or obtain regulatory authorization to commence a trial;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train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(“IRB”), or ethics committee approval at each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test, release, validate or import sufficient quantities of drug product for use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screen and enroll suitable patients to participate in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clinical sites observe trial protocol or continue to participate in a trial;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with new or existing laws or regulations;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for a product candidate, by the IRBs of the institutions in which such trials are being conducted, by an independent data safety monitoring board, for such trial or by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Further, we are conducting, and plan to conduct, clinical trials in sites outside of the United States and the EU.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establish the safety, purity, potency and/or efficacy of a product candidate when administered in EU or U.S. patients, and are thus not supportive of approval of a marketing authorisation application (“MAA”), in the EU or of a New Drug Application (“NDA”), or Biologics License Application (“BLA”), in the United States. As a result, the EMA or the FDA may not accept data from clinical trials conducted outside the EU or the United States, respectively, and may require that we conduct additional clinical trials or obtain additional data before we can submit an NDA or BLA in the United States or a MAA in the EU. The EMA or the FDA may even require us to conduct additional clinical trials in the EU or the United States, respectively, before we are able to submit an NDA, BLA, MAA or other marketing application for any of our product candidates.</w:t>
      </w:r>
    </w:p>
    <w:p>
      <w:pPr>
        <w:spacing w:after="0" w:line="19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commercial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commercial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(“EU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EU CTR introduced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CTA must include, among other things,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IT portal. Once the CTA is approved, clinical study development may proceed. One of the main aims of EU CTR is to increase transparency about clinical trials, which is done by making documents and data from the CTA publicly available through the Clinical Trials Information System at the time of decision about the clinical trial. There are few exceptions to this, and release of personal data and company confidential information may be controlled through redaction. The CTR transition period ended on January 31, 2025, and all clinical trials (and related applications) are now fully subject to the provisions of the CTR. Compliance with the EU CTR requirements by us and our third-party service providers, such as CROs, may impact our development plans.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(“UK”), will seek to align its regulations with the EU. The UK regulatory framework in relation to clinical trials is governed by the Medicines for Human Use (Clinical Trials) Regulations 2004, as amended, which is derived from existing EU legislation (as implemented into UK law, through secondary legislation). The extent to which the regulation of clinical trials in the UK will mirror the EU CTR in the long term is not yet certain, however, on December 12, 2024, the UK government introduced a legislative proposal - the Medicines for Human Use (Clinical Trials) Amendment Regulations 2024 - that, if implemented, will replace the current regulatory framework for clinical trials in the UK. The legislative proposal aims to provide a more flexible regime to make it easier to conduct clinical trials in the UK, increase the transparency of clinical trials conducted in the UK and make clinical trials more patient centered. The UK government has provided the legislative proposal to the UK Parliament for its review and approval. Once the legislative proposal is approved (with or without amendment), it will be adopted into UK law which is expected in early 2026. A decision by the UK not to closely align its regulations with the new approach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adversely impacted.</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in various stages of preclinical development and we may not be successful in our efforts to successfully develop these products or expand our pipeline of product candidates.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pipeline of product candidates utilizing our proprietary TransCon technologies, and to advance such product candidates through clinical development. Certain of our product candidates are in preclinical development and may require significant time and additional research and development before we can submit Investigational New Drug Applications, CTAs or other equivalent foreign regulatory applications to regulatory authorities to begin clinical studies. Of the large number of drugs and biologics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pure, potent and/or effective. Our research programs may initially show promise in identifying potential product candidates, yet fail to yield product candidates for clinical development or commercialization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and our TransCon technologies may not be successful in creating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third-parties’ intellectual property rights or other types of exclusivity and we may not be able to obtain a license from such third-party or the license terms may not be acceptable to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a product candidate may change during our program or we may discover that such market opportunity was smaller than initially expected so that such a product may become financially unfeasible to continue to develop;</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demonstrated to have harmful side effects or not to be effective, or otherwise not to meet other requirements for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or reimbursable by third-party payors, if applicable.</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commercial product sales in future periods or achieve or sustain profitability.</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By expending our limited resources to pursue particular product candidates and areas of focus we may fail to capitalize on product candidates or areas of focus that are more profitable or for which there is a greater likelihood of success.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focused on research programs and product candidates within the endocrinology and oncology therapeutic areas. As a result, we may forego or delay pursuit of opportunities with other product candidates or in other therapeutic areas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studies and clinical trials. If these third-parties do not successfully carry out their contractual duties or meet expected deadlines, we may be unable to obtain regulatory approval for, or commercialize, our product candidates.</w:t>
      </w:r>
    </w:p>
    <w:p>
      <w:pPr>
        <w:spacing w:after="0" w:line="5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do not currently have the ability to independently conduct clinical trials or IND-enabling nonclinical studies. We rely on medical institutions, clinical investigators, contract laboratories, collaboration partners and other third-parties, such as CROs, to conduct clinical trials of our products and product candidates. The third-parties with whom we contract for execution of our clinical trials play a significant role in the conduct of these trials and the subsequent collection and analysis of data. However, these third-parties are not our employees, and except for contractual duties and obligations, we control only certain aspects of their activities and have limited ability to control the amount or timing of resources that they devote to our programs. Although we rely on these third-parties to conduct our nonclinical studies and our clinical trials, we remain responsible for ensuring that each of our nonclinical studies and clinical trials is conducted in accordance with the applicable protocol, scientific standards and legal and regulatory requirements, and our reliance on third-parties does not relieve us of our regulatory responsibilities. We and these third-parties are required to comply with current good laboratory practices (“GLPs”), for certain nonclinical studies, and good clinical practices (“GCPs”), for clinical studies. GLPs and GCPs are regulations and guidelines enforced by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or similar foreign regulations outside the United States. The failure of our contract manufacturers to comply with these regulations may require us to repeat clinical trials, which would delay the regulatory approval process.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any of our approved products or our product candidates could cause us or regulatory authorities to interrupt, delay or halt clinical trials and could result in a more restrictive label or the delay or denial of regulatory approval by the FDA or similar authorities. In the event that trials conducted by us or any collaboration partners, or trials we conduct with our product candidates, reveal a high and unacceptable severity and prevalence of side effects, such trials could be suspended or terminated and the FDA or similar regulatory authorities could order any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marketing approval,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Foreign regulatory authorities may require us to adopt similar risk management measures.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required to recall the product;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example, a number of adverse reactions have been reported among users of daily somatropin, and we may observe and be required to report similar adverse reactions for users of SKYTROFA. This reporting may result in Dear Healthcare Provider letters or other communications containing warnings or other safety information about the product.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of the foregoing events could prevent us, or any collaboration partners, from achieving or maintaining market acceptance of our products or product candidates, if approved, and could result in the loss of significant revenue to us, which would harm our results of operations and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markets in which we intend to compete are undergoing, and are expected to continue to undergo, rapid and significant technological changes. Some of our products and product candidates are for fields in which competitive products already exist and are established. We expect competition to intensify as technological advances are made or new drugs and biotechnology products are introduced. New developments by competitors may render our products and current or future product candidates and/or technologies non-competitive, obsolete or not economical. Our competitors’ products may be more efficacious or marketed and sold more effectively than our products and product candidates.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aware of several pharmaceutical and biopharmaceutical companies that have commenced clinical studies of products or have successfully commercialized products addressing areas that we are targeting. A permanently PEGylated long-acting growth hormone (brand name Jintrolong®) developed by GeneScience Pharmaceuticals Co., Ltd. is available in China and the Somatropin Biopartners product (LB03002), is available in Korea. Novo Nordisk has received regulatory approval of once-weekly somapacitan (brand name SOGROYA®) for replacement of endogenous growth hormone in adult patients with GHD in the United States, Japan, Europe, Australia and Saudi Arabia and in pediatric patients with GHD in the United States, Japan, Europe, Canada, Brazil and Saudi Arabia. Pfizer (in collaboration with OPKO Health Inc.) has received regulatory approval of once-weekly somatrogon (brand name NGENLA) in more than 40 countries for pediatric GHD. Other experimental growth hormone therapies are in different stages of clinical development by various companies, including Genexine Inc., I-MAB, and JCR Pharmaceuticals Co., Ltd. In addition, Takeda owns the rights to parathyroid hormone (brand name NATPARA®), a treatment for hypoparathyroidism. Parathyroid hormone was voluntarily recalled in September 2019 in the U.S. and is now only available to a limited number of patients through a Special Use Program offered by its manufacturer, Takeda. In October 2022, Takeda announced manufacturing of all strengths of NATPARA will be discontinued globally by the end of 2024. In addition, we are aware of several academic groups and companies working on making longer-acting agonists of the PTH receptor, or PTH1R. Other companies and groups are developing or commercializing therapies for hypoparathyroidism, including Calcilytix (a BridgeBio company), Entera Bio, Extend Biosciences, Massachusetts General Hospital, Amolyt Pharma, and MBX Biosciences. Other companies are developing therapies for achondroplasia, including BioMarin Pharmaceutical, Inc. (“BioMarin”), and QED Therapeutics (a BridgeBio company). BioMarin has received regulatory approval for vosoritide (brand name VOXZOGO®) in more than 40 active markets for the treatment of achondroplasia and is developing BMN 333, a long-acting C-type natriuretic peptide (CNP) for multiple growth disorders. Tyra Biosciences, Sanofi, ProLynx Inc. and Ribomic, Inc., have achondroplasia programs in various clinical stages.</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companies are developing toll like receptor agonists for cancer immunotherapy including: Seven and Eight Biopharmaceuticals Inc., Regeneron Pharmaceuticals Inc., Bolt Therapeutics, Inc., Surge Therapeutics Inc., Canwell Biotech Ltd., BioNTech SE and Tallac Therapeutics Inc. Other companies have Interleukin 2 program under development for cancer immunotherapy including: Mural Oncology plc, Medicenna Therapeutics Corp., Anaveon AG, Xilio Therapeutics Inc, Werewolf Therapeutics Inc., Sutro Biopharma Inc. and Philogen SpA.</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product-based competition, our TransCon technologies face technology-based competition as we believe other companies are developing or evaluating enhanced drug delivery and sustained release technologies. In particular, we believe Nektar Therapeutics, OPKO Health, Inc., ProLynx Inc., MBX Biosciences and Serina Therapeutics, Inc. are developing technology platforms in the areas of enhanced drug delivery and/or reversible linkers that may be competitive with our TransCon technologies. We also expect that technological developments will occur at a rapid rate and that competition is likely to intensify as various enhanced delivery and sustained release technologies may achieve similar advantages.</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It is also possible that our competitors will commercialize competing drugs or treatments before we can launch any other product candidates that are ultimately approved by regulatory authorities. We also anticipate that we will face increased competition in the future as new companies enter into our current and target markets.</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Furthermore, to the extent we are developing TransCon product candidates that incorporate already approved drugs, we face competition from the pharmaceutical companies which are currently marketing such approved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pharmaceutical companies can generally be expected to seek to delay the introduction of competing products through a variety of means including: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new formulation patent applications on drugs whose original patent protection is about to expire;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 increasing number of patent applications that are more complex and costly to challenge;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for alleged patent infringement that automatically delay FDA or foreign regulatory authorities’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that challenge our marketing and promotion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patented controlled-release or other “next-generation” products, which may compete with TransCon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exclusive contracts with third-party payors;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claims and product labeling.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one of these strategies may increase the costs and risks associated with our efforts to develop and commercialize our products and product candidates and may delay or altogether prevent such development or commercialization.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competitors have:</w:t>
      </w:r>
    </w:p>
    <w:p>
      <w:pPr>
        <w:spacing w:after="0" w:line="117" w:lineRule="exact"/>
        <w:rPr>
          <w:sz w:val="20"/>
          <w:szCs w:val="20"/>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 financial, marketing, research, drug portfolios,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arrangements in our target markets with leading companies and research institutions.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products and product candidates that we successfully develop, we will face competition based on many different factors, including:</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such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specific circumstances relating to regulatory approvals for these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third-party reimbursement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patent position.</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TransCon technologies include a new approach to extending the residence time and duration of action of a variety of drug products.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TransCon technologies have been developed to improve the delivery of a variety of drug products. However, we cannot be certain that any of our other products or product candidates using our TransCon technologies will be deemed safe, pure, potent or efficacious (or that any of our products will be deemed safe, pure, potent or effective for other indications), nor that any aspects of our TransCon technologies will yield additional product candidates that could be commercially valuable. Further, our TransCon hydrogel carrier system has limited experience in humans and our drug molecules based on albumin avidity has no experience in humans. As a result, our TransCon hydrogel carriers and our albumin avidity based drug molecules, when dosed extensively in humans, may fail to perform as we expect. Failure of any of our product candidates to be successfully developed, approved and commercialized may result in our TransCon technologies being viewed as an ineffective approach to developing drug products which would harm our business and prospects.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apply our TransCon technologies to both approved and unapproved parent drugs to extend the half-life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is unknown, and it is possible that our product candidates may have an increased risk of unforeseen reactions following extended treatment relative to other approved products. If extended treatment with our products or product candidates utilizing TransCon in our ongoing or future clinical trials results in any concerns about the safety or efficacy of our TransCon technologies, we may be unable to successfully develop or commercialize our products or product candidates.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on product candidates utilizing our TransCon technologies to indicate whether they are safe or effective for long-term use in humans.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products and product candidates are designed to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regarding utilizing the systemic TransCon technologies to indicate whether they are safe, pure, potent and/or effective for long-term use in humans, including the safety of any degradation products that may result after the TransCon carrier and TransCon linker are cleaved from the parent drug molecule. If treatment with any of our product candidates in our clinical trials results in concerns about their safety or efficacy, we and any collaboration partners may be unable to successfully develop or commercialize any or all of our TransCon technologies based on such product candidates or enter into collaborations with respect to our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9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collaboration partners to develop and conduct clinical studies with, obtain regulatory approvals for, market and sell product candidates, and if such collaboration partners fail to perform as expected, or are unable to obtain the required regulatory approvals for such product candidates, the potential of such product candidates would be significantly reduced and our business would be significantly harmed.</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rely on our collaboration partners to conduct certain clinical studies. For example, in November 2018, we announced the formation of VISEN Pharmaceuticals (“VISEN”), a company established to develop, manufacture, and commercialize our endocrinology rare disease therapy candidates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As another example, in November 2023, we announced that we entered into an exclusive license agreement with Teijin Limited, (“Teijin”), to develop and commercialize TransCon hGH, TransCon PTH and TransCon CNP for certain endocrinology rare diseases in Japan. As a further example, in January 2024, we announced the formation of Eyconis, Inc. (“Eyconis”), a separate company created to develop, manufacture, and commercialize TransCon ophthalmology assets globally, together with an investor syndicate. In connection with the formation of Eyconis, we granted Eyconis exclusive rights to develop and commercialize TransCon ophthalmology products globally and received an equity position in the newly formed company. We may also enter into collaboration agreements with other parties relating to our other product candidates and technology platform. For example, in November 2024, we entered into a research and development collaboration and license agreement with Novo Nordisk A/S (“Novo Nordisk”), pursuant to which we granted Novo Nordisk an exclusive worldwide license to our TransCon technology platform to develop, manufacture and commercialize Novo Nordisk proprietary products in metabolic diseases and a product-by-product exclusive license in cardiovascular diseases.</w:t>
      </w:r>
    </w:p>
    <w:p>
      <w:pPr>
        <w:spacing w:after="0" w:line="19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third-parties may not be scientifically or commercially successful. In addition to the risks inherent in the development of a drug product candidate, factors that may affect the success of our collaborations include the following:</w:t>
      </w:r>
    </w:p>
    <w:p>
      <w:pPr>
        <w:spacing w:after="0" w:line="80" w:lineRule="exact"/>
        <w:rPr>
          <w:sz w:val="20"/>
          <w:szCs w:val="20"/>
          <w:color w:val="auto"/>
        </w:rPr>
      </w:pPr>
    </w:p>
    <w:p>
      <w:pPr>
        <w:ind w:left="1020" w:right="8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have the unilateral ability to choose not to develop a collaboration product or product candidate for one or more indications for which such product or product candidate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7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choose not to develop or commercialize our collaboration product or product candidate in certain relevant markets;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take considerably more time in advancing our product or product candidate through the clinical and regulatory process than we currently anticipate, which could materially delay the achievement of milestones and, consequently the receipt of milestone payments or royalties from our collaboration partners;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have substantial discretion under their respective agreements regarding how they structure their efforts and allocate resources to fulfill their obligations to diligently develop, obtain regulatory approval for and commercialize our collaboration products and product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left="1020" w:right="4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control all or substantially all of the aspects of development and/or commercialization efforts under their respective license agreements and may change the focus of their development and/or commercialization efforts or pursue other higher-priority programs and, accordingly, reduce the efforts and resources allocated to their collaborations with us;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solely be responsible for or have substantially all of the responsibility related to obtaining and maintaining all regulatory approvals of our products or product candidates, and we or our collaboration partners may fail to develop a commercially viable formulation or manufacturing process for our products or product candidates, and we or our collaboration partners may fail to manufacture or supply sufficient drug substance for commercial use, if approved, which could result in lost revenue under such collaborations;</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not comply with all applicable regulatory requirements or may fail to report safety data in accordance with all applicable regulatory requirements;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agreements with our collaboration partners terminate, we would need to identify alternative means to continue the development, manufacture and commercialization of the affected products or product candidates, alone or with others;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have the discretion to sublicense their rights with respect to our collaboration technology in connection with collaboration products and product candidates to one or more third-parties without our consent;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be pursuing alternative technologies or developing alternative products or product candidates, either on their own or in collaboration with others, that may be competitive with our technology, products or product candidates on which they are collaborating with us or which could affect our collaboration partners’ commitment to the collaboration;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experience financial difficulties.</w:t>
      </w:r>
    </w:p>
    <w:p>
      <w:pPr>
        <w:spacing w:after="0" w:line="22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timing and amount of any milestone and royalty payments we may receive under agreements with collaboration partners and the value of any equity we own in our collaboration partners (such as the equity we own in VISEN and Eyconis) will depend on, among other things, the efforts, allocation of resources, and successful development and commercialization of our products or product candidates by our collaboration partners. We cannot be certain that any development and regulatory milestones will be achieved or that we will receive any future milestone payments under agreements we may enter into with collaboration partners. In addition, in certain circumstances we may believe that a particular milestone has been achieved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and Eyconis) will maintain its value or grow in value.</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form strategic collaborations, create joint ventures or similar structures or enter into licensing arrangements with third-parties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As another example, in November 2023, we announced that we entered into an exclusive license agreement with Teijin to develop and commercialize TransCon hGH, TransCon PTH and TransCon CNP for certain endocrinology rare diseases in Japan. As a further example, in January 2024, we announced the formation of Eyconis, a separate company created to develop, manufacture, and commercialize TransCon ophthalmology assets globally, together with an investor syndicate.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connection with the formation of Eyconis, we granted Eyconis exclusive rights to develop and commercialize TransCon ophthalmology products globally and received an equity position in the newly formed company.</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to secure appropriate terms is time-consuming and complex. Any delays in identifying suitable development partners and entering into agreements to develop our products or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 parties in that market may be hampered by such rights we granted to VISEN. Additionally, our product candidates and programs may be deemed to be at too early of a stage of development for collaborative effort, our research and development pipeline may be viewed as insufficient, and/or third-parties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designation for some of our product candidates and we may be unsuccessful, or may be unable to maintain the benefits associated with orphan designation, including the potential for market exclusivity, for product candidates for which we obtain orphan designation.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Orphan designation must be requested before submitting a BLA or NDA in the United States or a MAA in the EU.</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 drug or biologic with an orphan designation subsequently receives the first marketing approval for the indication for which it has such designation, the drug or biologic is entitled to a period of marketing exclusivity, which precludes the FDA from approving another marketing application for the same drug or biologic for the same disease or condition for a seven-year period, except in limited circumstances. If our competitors are able to obtain orphan drug exclusivity prior to us, for products that constitute the “same drug” and treat the same diseases or conditions as our product candidates, we may not be able to have competing products approved by the applicable regulatory authority for a significant period of time. The applicable period is seven years in the United States. The applicable exclusivity period is ten years in the EU, but such exclusivity period can be reduced to six years if, at the end of the fifth year, a product no longer meets the criteria for orphan designation or if the product is sufficiently profitable so that market exclusivity is no longer justified.</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intend to pursue orphan designation for certain of our product candidates. For example, in June 2018, we were granted orphan drug designation by the FDA for TransCon PTH for the treatment of hypoparathyroidism, in February 2019, we were granted orphan drug designation by the FDA for TransCon CNP for the treatment of achondroplasia, and in April 2020, we were granted orphan drug designation by the FDA for TransCon hGH for the treatment of GHD.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in October 2019, we were granted orphan designation by the EC for TransCon hGH for GHD, in July 2020, we were granted orphan designation by the EC for TransCon CNP for the treatment of achondroplasia and in October 2020, we were granted orphan designation by the EC for TransCon PTH for treatment of hypoparathyroidism. In July 2021, we were granted orphan drug designation from the Japanese Ministry of Health, Labour and Welfare for TransCon PTH. However, we may be unsuccessful in obtaining additional orphan designations, and may be unable to maintain the benefits associated with orphan designation, such as orphan drug exclusivity.</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obtained orphan drug exclusivity from the FDA for YORVIPATH for the treatment of hypoparathyroidism in adults, and for SKYTROFA for the treatment of pediatric patients one year and older who weigh at least 11.5 kg and have growth failure due to inadequate secretion of endogenous GH. However,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foreign regulatory authorities from approving the same or a different drug in another indication. Even after an orphan drug is granted orphan exclusivity and approved, the FDA or foreign regulatory authorities can subsequently approve a later application for the same drug for the same condition before the expiration of the exclusivity period if the FDA or foreign regulatory authorities conclude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and in foreign jurisdictions may be lost if the FDA or foreign regulatory authorities later determine that the request for designation was materially defective or if we are unable to manufacture sufficient quantities of the product to meet the needs of patients with the rare disease or condition. Orphan designation neither shortens the development time or regulatory review time of a drug nor gives the drug any advantage in the regulatory review or approval process.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biological product for which we intend to seek approval may face competition sooner than anticipated.</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and regulatory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preclinical, clinical, and commercial supplies of our products, product candidates and their device components.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own facilities for manufacturing our products and product candidates. We depend on third-parties to manufacture and provide analytical services with respect to our products and product candidates and their respective device components.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produce the quantities necessary to meet anticipated market demand, we and/or any collaboration partners will need to secure sufficient manufacturing capacity with third-party manufacturers. For SKYTROFA and YORVIPATH, we believe we have secured agreements to provide for sufficient manufacturing capacity with third-party manufacturers; however, our estimates of market demand may be inaccurate and third-party manufacturers may fail to produce sufficient quantities on a timely basis or at all. If we and/or any collaboration partners are unable to produce our products and product candidates in sufficient quantities to meet the requirements for the launch of the product or to meet future demand, our revenues and gross margins would be adversely affected. To be successful, our products and product candidates must be manufactured in commercial quantities in compliance with regulatory requirements and at acceptable costs. We and/or any collaboration partners will regularly need to maintain access to facilities to manufacture commercial supplies of our products and product candidates, if approved. All of this will require additional funds and successful completion of inspection or audits and approval by the FDA, other regulatory authorities and by notified bodies with respect to the device components. If we and/or any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and/or any collaboration partners may encounter problems with aspects of manufacturing our products and product candidates,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FDA and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advanced manufacturing techniques and process controls.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evaluate our options for clinical study supplies and commercial production of our products and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products and product candidates can be manufactured under cGMP or similar foreign regulations, a requirement for all pharmaceutical products. We cannot be certain that we will be able to contract with any of these companies on acceptable terms, if at all, all of which could harm our business, results of operations and prospects, and the value of our shares or ADSs.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as well as any third-party manufacturer, will be required to register such manufacturing facilities with the FDA (and have a U.S. agent for the facility, if outside the United States) and other regulatory authorities. The facilities will be subject to inspections confirming compliance with the FDA, and other regulatory authority cGMP or similar foreign requirements. We do not control the manufacturing process of our product candidates, and we are dependent on our contract manufacturing partners for compliance with cGMPs or similar regulations for manufacture of both active drug substances and finished drug products. If we or any third-party manufacturer fails to maintain regulatory compliance, our business, financial condition and results of operations may be harmed, and the FDA or other regulatory authorities can impose regulatory sanctions that range from a warning letter to withdrawal of approval to seeking product seizures, injunctions and, where appropriate, criminal prosecution. Pursuant to our agreements with VISEN, we have provided and may in the future provide, clinical supplies of our product candidates and commercial supplies of our products to VISEN for its use in clinical trials and commercialization. Pursuant to our agreements with Teijin, we may also provide Teijin with clinical supplies of our product candidates and commercial supplies of our products for Teijin’s use in future clinical trials and commercialization. In order to fulfill these supplies, we rely on third-party manufacturers over which we have no or very limited control or power.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may also rely on other foreign contract research organizations (“CROs”), and contract manufacturing organizations (“CMOs”), such as WuXi Biologics.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The BIOSECURE Act was passed by the House of Representatives in September 2024. If these bills become law, or similar laws are passed, they would have the potential to severely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the legislation described above.</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our product candidates or products that conform to our specifications and the strict regulatory requirements of the FDA or similar regulatory authorities, they will not be able to secure and/or maintain regulatory approval for the use of their manufacturing facilities for the manufacture of our products. In addition, we have no control over the ability of our contract manufacturers to maintain adequate quality control, quality assurance and qualified personnel. If the FDA or a similar regulatory authority does not approve these facilities for the manufacture of our products or product candidates or if it withdraws any such approval in the future, we may need to find alternative manufacturing facilities, which would significantly impact our ability to develop, obtain regulatory approval for or market our products or product candidates, if approved.</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manufacturers to purchase from third-party suppliers the materials necessary to produce our products and product candidates. Any significant delay or discontinuation in the supply of such materials would delay commercialization and the completion of our clinical studies and harm our business.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are a limited number of suppliers for raw materials that we use to manufacture our products and product candidates, and there may be a need to identify alternate suppliers to prevent a possible disruption of the manufacture of the materials necessary to produce our products or product candidates for commercial sale and/or our clinical studies.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which relies on us for clinical supply of our product candidates, as well as Teijin, which we currently contemplate will rely on us for future clinical and commercial supplies of our product candidates, would do the same, any significant delay or discontinuity in the supply of a product candidate, or the raw material components thereof, for a clinical study due to the need to replace a third-party manufacturer could considerably delay completion of our, VISEN’s or Teijin’s clinical studies, product testing, and potential regulatory approval of our product candidates, which could harm our business and results of operations.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inability to obtain suppliers, including an inability to obtain, or delay in obtaining, approval of a supplier from the FDA or other regulatory authorities, would delay or prevent the clinical development and commercialization of our products and product candidates.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products and product candidates.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which are inherent in research and development, preclinical and clinical studies, manufacturing, marketing and use of our products and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Product liability claims may be expensive to defend and may result in judgements against us which are potentially punitive. If we cannot successfully defend ourselves against product liability claims, we may incur substantial liabilities or be required to limit commercialization of our products and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our products or product candidates.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commercial sales and use in our clinical trials in the amount of $20 million in the aggregate on our primary insurance policy and $100 million in the aggregate on our excess insurance policy. Any claim that may be brought against us could result in a court judgement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significantly increase the size of our organization and we may have difficulties in managing our growth and expanding our operations successfully.</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we advance our products and product candidates through the development and commercialization process, we will need to expand managerial, operational, financial, sales and marketing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collaboration partners or through third-party contractors, as applicable: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general and administrative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screen, retain, incentivize and integrate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third-parties;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a marketing and commercial organization;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legal, financial, compliance and management controls, reporting systems and procedures.</w:t>
      </w:r>
    </w:p>
    <w:p>
      <w:pPr>
        <w:spacing w:after="0" w:line="225"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8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6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pacing w:after="0" w:line="1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our senior management and independent registered public accounting firm to report on the effectiveness of our internal control over financial reporting. Section 404 requires an annual management assessment of the effectiveness of our internal control over financial reporting, and we are required to include an opinion from our independent registered public accounting firm on the effectiveness of our internal controls over financial reporting.</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period to period and these variations may be difficult to predict.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expected to vary significantly from period to period due to a number of factors. Many of these factors are outside of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9" w:lineRule="exact"/>
        <w:rPr>
          <w:sz w:val="20"/>
          <w:szCs w:val="20"/>
          <w:color w:val="auto"/>
        </w:rPr>
      </w:pPr>
    </w:p>
    <w:p>
      <w:pPr>
        <w:ind w:left="5540" w:right="5180" w:hanging="5023"/>
        <w:spacing w:after="0" w:line="541" w:lineRule="auto"/>
        <w:tabs>
          <w:tab w:leader="none" w:pos="103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regulatory approvals, if any, for our product candidates;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8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from product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opportunities and patient populations for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intellectual property litigation by third-parties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commencement, completion or termination of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to us under collaboration agreements,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services by us, collaboration partners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preclinical testing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preclinical testing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regional and global effect of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multiple interest rate increases implemented by the U.S. Federal Reserve;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license fees for the right to use third-party proprietary rights, if any.</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revenues in any particular period may be lower than we anticipate and, if we are unable to reduce spending in that period, our operating results will be harmed.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79" w:lineRule="exact"/>
        <w:rPr>
          <w:sz w:val="20"/>
          <w:szCs w:val="20"/>
          <w:color w:val="auto"/>
        </w:rPr>
      </w:pPr>
    </w:p>
    <w:p>
      <w:pPr>
        <w:ind w:left="1020" w:right="2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 including potential indemnification claims from a potential spin-off or out-license of certain of our intellectual property rights;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lower-than-expected benefits, from out-licensing or selling our technology, intellectual property or any of our subsidiaries or, from in-licensing intellectual property or purchasing assets;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or separating the operations and personnel of any acquired or sold businesses with our existing operations and personnel;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disagree with our strategic partners about decisions affecting the business, which could result in litigation or arbitration that increases our expenses, distracts our officers and directors and disrupts the day-to-day operations of the strategic venture, including by delaying important decisions until the dispute is resolved;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 may take actions that we oppose;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 might experience financial distress or become bankrupt;</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or sold businesses due to changes in our senior management and ownership;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extent we enter into a strategic transaction that includes ongoing operations or shared ownership and management, our strategic partners may take actions that we oppose or we may disagree with our strategic partners about decisions affecting the business, which could result in litigation or arbitration, distract our officers and directors and otherwise disrupt the day-to-day operations of our business and the business of the strategic partner or entity. Furthermore, to the extent that our directors and officers serve on the boards of our strategic partners, such directors may be required to abstain from board decision-making in the event of a conflict of interest.</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2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Royalty Pharma Agreements place restrictions on our operating and financial flexibility, and if we fail to comply with certain covenants in the Royalty Pharma Agreements, our results of operations and financial condition may be harmed.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2023 and September 2024, we entered into the Royalty Pharma Agreements with Royalty Pharma. The Royalty Pharma Agreements contain covenants that impose on us certain obligations with respect to payment, diligence, reporting, intellectual property, in-licenses, out-licenses and certain other actions, as well as indemnification obligations. Among other things, these covenants require us to use commercially reasonable efforts to manufacture and commercialize SKYTROFA and YORVIPATH in the United States and to develop SKYTROFA for a new indication, and limit our ability to create or incur liens or dispose of certain assets related to SKYTROFA and YORVIPATH. Compliance with these covenants may limit our flexibility in operating our business and our ability to take actions that might otherwise be advantageous to us and our stockholders. Pursuant to the Royalty Pharma Agreements, we have granted to Royalty Pharma back-up security interest in certain assets to secure our obligations under the Royalty Pharma Agreements. If we are unable to comply with our obligations, Royalty Pharma may be entitled to take possession of such assets, which could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harm our results of operations and financial condition.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 could harm our business in the future. Despite measures taken by the EU to provide funding to certain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 the exit of one or more EU member states from the EU or the abandonment of the Euro as a currency, are impossible to predict with certainty, and any such events could harm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(“GB”) has not been directly subject to EU laws, however between January 1, 2021 and December 31, 2024 and as a result of the Northern Ireland Protocol, different rules applied in Northern Ireland than in GB; broadly, Northern Ireland continued to follow the EU regulatory regime. On January 1, 2025, a new arrangement called the “Windsor Framework” came into effect and reintegrated Northern Ireland under the regulatory authority of the UK’s Medicines and Healthcare products Regulatory Agency (“MHRA”) with respect to medicinal products. The Windsor Framework removes EU licensing processes and EU labelling and serialization requirements in relation to Northern Ireland and introduces a UK-wide licensing process for medicines. In addition, new legislation such as the EU CTR is not applicable in Great Britain. While the EU-UK Trade and Cooperation Agreement includes the mutual recognition of Good Manufacturing Practice (“GMP”),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member states within the EMA Clinical Trial Information System, adding further complexity, cost and potential risk to future clinical and development activity in the UK. Significant political and economic uncertainty remains about how much the relationship between the UK and EU will differ as a result of the UK’s withdrawal.</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the ADSs.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product candidates in jurisdictions outside the U.S. and EU, could harm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 extensively in international operations, which include seeking marketing approval for certain of our product candidates in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entering into these international business markets and relationships, including:</w:t>
      </w:r>
    </w:p>
    <w:p>
      <w:pPr>
        <w:spacing w:after="0" w:line="99"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and device approvals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drug import and export rules;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lacking or reduced protection for intellectual property rights in foreign countries;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policies governing the terms of foreign trade, and in particular increased trade restrictions, tariffs or taxes on imports or exports from or to countries where we manufacture or sell, or our partners sell, our products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work conducted by distributors;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Foreign Corrupt Practices Act, its books and records provisions, or its anti-bribery provisions;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example, we originally planned to conduct the Phase 3 foresiGHt trial utilizing sites in Belarus and Russia, but instead we engaged alternative sites for the study following the outbreak of conflict in Ukraine, which adversely affected patient enrollment. In addition, the manufacture of our products and product candidates is dependent upon third-party manufacturers that are based in other parts of the world, including the United States, Europe (including the UK and Switzerland), Japan and China. This manufacturing process requires that the components used in our products and product candidates are transported long distances, through multiple countries, which increases the risk that issues in the global supply chain or other disruptions to the international marketplace could harm our business.</w:t>
      </w:r>
    </w:p>
    <w:p>
      <w:pPr>
        <w:spacing w:after="0" w:line="29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parent drug, drug product and other components of our products and product candidates are currently acquired from certain single-source suppliers. The loss of these suppliers, or their failure to supply could materially and adversely affect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TransCon hGH drug product in vials is manufactured for use in clinical trials by Vetter Pharma Fertigung (“Vetter”), pursuant to our agreement with Vetter. TransCon hGH drug product in dual chamber cartridges for commercial and clinical use is supplied by Vetter for use in our drug delivery device made by Phillips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(“NOF”), supplies PEGs. Furthermore, NOF is responsible for coupling the TransCon linker used for TransCon hGH to methoxy PEG, under manufacturing agreements and accompanying purchase orders. Our growth hormone parent drug as well as our TransCon hGH drug substance are supplied by both Fujifilm Diosynth Biotechnologies UK Limited (“Fujifilm”), and Lonza Ltd. Our PTH as well as our TransCon PTH drug substance is supplied by Bachem, Switzerland, pursuant to our agreement with Bachem. Vetter manufactures the TransCon PTH drug product in cartridges and assembles the cartridges with a drug delivery device made by Ypsomed AG. CNP drug substance is supplied by Wacker Biotech, Germany. Our TransCon CNP drug product in vials is manufactured by Vetter pursuant to our agreement with Vetter. We do not currently have any other suppliers for the drug substance, drug product or other components of our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commercialization or development of our products and product candidates. Additionally, we may not be able to enter into supply arrangements with alternative suppliers on commercially reasonable terms or at all. A delay in the commercialization or development of our products or product candidates or having to enter into a new agreement with a different third-party on less favorable terms than we have with our current suppliers could have a material adverse impact upon our business.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additional product candidates based on our TransCon technologies.</w:t>
      </w:r>
    </w:p>
    <w:p>
      <w:pPr>
        <w:spacing w:after="0" w:line="12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17" w:lineRule="exact"/>
        <w:rPr>
          <w:rFonts w:ascii="Times New Roman" w:cs="Times New Roman" w:eastAsia="Times New Roman" w:hAnsi="Times New Roman"/>
          <w:sz w:val="18"/>
          <w:szCs w:val="18"/>
          <w:color w:val="auto"/>
        </w:rPr>
      </w:pPr>
    </w:p>
    <w:p>
      <w:pPr>
        <w:jc w:val="both"/>
        <w:ind w:left="1020" w:right="56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particular, we are highly dependent upon Jan Møller Mikkelsen, our President and Chief Executive Officer. The loss of services of this individual could result in delays in product development and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difficulties in attracting and retaining key personnel, and if we fail to do so our business may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highly dependent on the principal members of our senior management and scientific staff, the loss of whose services could adversely affect the achievement of planned development objectives. In addition, we could experience difficulties attracting and retaining qualified employees in the future. For example, competition for qualified personnel in the biotechnology and pharmaceuticals field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additional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29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may fail or suffer in the event of information technology system failures, cyberattacks or deficiencies in our cybersecurity, which could result in a material disruption of our product development programs and other critical business functions.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CROs and other contractors and consultants are vulnerable to attack and damage from computer viruses and malware (e.g., ransomware), unauthorized access, natural disasters, terrorism, war, telecommunication and electrical failures, malfeasance by external or internal parties,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We and certain of our service providers may from time to time be subject to cyberattacks and security incidents. While we do not believe that we have experienced any significant system failure, accident or security breach to date, if such an event were to occur and cause interruptions in our and our critical third parties’ operations, it could result in a material disruption of our programs, our operations, and ultimately, our financial results. For example, the loss of clinical trial data from completed or ongoing clinical trials for our products or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products or product candidates could be delayed.</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applicable privacy and security laws. 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Laws around cybersecurity are also developing, and changes in such laws may require additional compliance costs. For example, in the EU, more stringent rules around cybersecurity are being adopted, such as the NIS2 Directive, which requires in-scope entities to implement heightened cybersecurity measures and responses, including with respect to security incident handling and reporting obligations.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adversely affected by health epidemics, pandemics and other outbreaks of infectious disease.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potential future measures put in place as a result of any future epidemic, pandemic, or health crisis could cause disruptions that could severely impact our business, clinical trials and commercialization activities, including by causing delays to our clinical trials, interrupting our supply chain, restricting access to our facilities, placing restrictions on our workforce and the workforce of our partners, or delaying interactions with regulators.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any future pandemic may cause further disruption to global financial markets. This may reduce our ability to access capital on favorable terms or to access capital at all. Furthermore, sustained adverse market events (such as a recession or depression) resulting from any future pandemic could materially and adversely affect our business and the price of the ADSs.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extent to which any future epidemic, pandemic, or other health crisis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and regional economic, political, health, climate and other conditions and events could adversely affect our business, financial condition or results of operations.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or regional economic, political, health, climate and other conditions and events. A global financial crisis or global or regional political and economic instability, failure of banks, wars, terrorism, civil unrest, outbreaks of disease, such as COVID-19, and other unexpected events, such as natural disasters, internet security threats, and damage to global communication networks, could cause extreme volatility, disrupt our business and increase our costs and expenses. Business disruptions could include, among others, disruptions to clinical enrollment, clinical site availability, patient accessibility, conduct of our clinical trials and commercialization activities, as well as temporary closures of our facilities and the facilities of suppliers or manufacturers in our supply chain.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example, trade policies and geopolitical disputes (including as a result of China-Taiwan geo-political instability) and other international conflicts can result in tariffs, sanctions and other measures that restrict international trade, and can materially adversely affect our business, particularly if these measures occur in regions where our third-party contract manufacturers operate. Countries may also adopt measures, such as controls on imports or exports of goods, technology or data, that could adversely impact the Company’s operations and supply chain. These geopolitical risks could also adversely affect VISEN’s activities in China.</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global credit and financial markets have experienced volatility and disruptions over the past years, including concerns about declines in consumer confidence, declines in economic growth, increases in the rate of inflation, increases in borrowing rates and changes in liquidity and credit availability, and uncertainty about economic stability, including most recently in connection with actions undertaken by the U.S. Federal Reserve Board to address inflation.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military conflict between Russia and Ukraine has increased the likelihood of supply interruptions and made it difficult to conduct business operations, including clinical trials, in the region and in nearby countries. We originally planned to conduct the Phase 3 foresiGHt trial utilizing sites in Belarus and Russia, but instead we engaged with alternative sites for the study following the outbreak of conflict in Ukraine, which adversely affected patient enrollment. Such developments could negatively impact such operations or require use to delay or suspend clinical trial activities, which may increase product development costs and harm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Separately, on October 7, 2023, Hamas, an organization designated by the U.S. as a terrorist organization, launched a series of coordinated attacks from the Gaza Strip onto Israel. On October 8, 2023, Israel formally declared war on Hamas, and the armed conflict is ongoing as of the date of this filing. Hostilities between Israel and Hamas could escalate and involve surrounding countries in the Middle East. To date, we have not experienced any material interruptions in our infrastructure, supplies, technology systems, or networks needed to support our operations as a result of the conflict between Israel and Hamas.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 way to predict the progress, outcome or consequences of the military conflict in Ukraine or its impacts in Ukraine, Russia, Belarus, Europe, or the U.S, or of the conflict in the Israel-Gaza regions and any potential increases in hostilities in the Middle East. 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COVID-19 outbreak, including developments involving subsequent COVID-19 variants, significantly affected the financial markets of many countries and resulted and may in the future result in a variety of regulatory orders, guidance and restrictions. Similarly, global climate change could result in certain types of natural disasters occurring more frequently or with more intense effects. Some of our corporate and operational functions, including certain of our oncology research facilities, are located in California, which has experienced severe earthquakes, droughts, fires and other natural disasters in the past. We do not have multiple-site capacity for all of our operations in the event of a business disruption. Furthermore, parties in our supply chain and our customers are similarly vulnerable to these global or regional economic, political, health, climate and other conditions and events. Global or regional economic, political, health, climate and other conditions and events could result in a variety of risks to our business, including our ability to raise capital when needed on acceptable terms, if at all. Any of the foregoing could harm our business and we cannot anticipate all of the ways in which such conditions and events could adversely impact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Regulatory and Legal Requirements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EU legislative bodies and other regulatory authorities in the United States, the EU and other jurisdictions, which regulations differ from country to country. We are not permitted to market any drug product in the United States until we receive marketing approval from the FDA. Equally, we are not permitted to market any drug product in the EU until we receive a marketing authorisation from the EC or EU member state competent authorities.</w:t>
      </w:r>
    </w:p>
    <w:p>
      <w:pPr>
        <w:spacing w:after="0" w:line="18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Obtaining regulatory approval of an NDA, BLA or MAA, can be a lengthy, expensive and uncertain process. In addition, failure to comply with FDA and other applicable U.S., EU and foreign regulatory requirements may subject us to administrative or judicially imposed sanctions or other actions, including:</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left="1020" w:right="4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NDAs or BLAs, MAA, or supplements to approved NDAs or BLAs or extensions or variations to marketing authorizations.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drug or biological product candidate in the United States, the EU or other regions, we must demonstrate with substantial evidence from well-controlled clinical trials, and to the satisfaction of the EMA, the FDA or other similar regulatory authorities, that any drug product candidates are safe and effective for their intended uses, and that any biological product candidates are safe, pure and potent for their intended uses. The number of nonclinical studies and clinical trials that will be required for FDA, or EC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drug or biological product candidates to humans may produce undesirable side effects, which could interrupt, delay or halt clinical trials and result in the FDA or other regulatory authorities denying approval of a product candidate for any or all targeted indications.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authorities is unpredictable, typically takes many years following the commencement of clinical studies, and depends upon numerous factors. The EMA,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86" w:lineRule="exact"/>
        <w:rPr>
          <w:sz w:val="20"/>
          <w:szCs w:val="20"/>
          <w:color w:val="auto"/>
        </w:rPr>
      </w:pPr>
    </w:p>
    <w:p>
      <w:pPr>
        <w:ind w:left="1020" w:right="6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FDA or other comparable foreign regulatory authorities may disagree with the design or implementation of our, or any collaboration partners’, clinical studies;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FDA or comparable foreign regulatory authorities may disagree with the interpretation of data from preclinical studies or clinical studies;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an NDA or BLA, MAA, or other submission or to obtain regulatory approval in the United States, the EU or elsewhere;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unable to demonstrate to the EMA, the FDA or comparable foreign regulatory authorities that a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EC’s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even if we ultimately obtain approval for any product candidate,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similar risk management measures,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marketing authorizations for any of our product candidates that we develop as combination products.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August 9, 2024, the FDA approved YORVIPATH for the treatment of hypoparathyroidism in adults. The approved presentation for YORVIPATH includes a pen-injector device we developed with Ypsomed to facilitate patient administration of TransCon PTH. As such, the pen-injector version of TransCon PTH is regulated as a combination product by the FDA and other regulatory authorities. Combination products require coordination within the FDA and within comparable regulatory agencies for review of their drug and device components.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MAA must include – where available – 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additional studies with the device which may delay the approval of the combination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example, in April 2023 the FDA issued a Complete Response Letter in response to our original NDA submission for TransCon PTH, in which the FDA cited concerns related to the manufacturing control strategy for variability of delivered dose in the TransCon PTH drug/device combination product. Although the FDA subsequently approved our NDA for YORVIPATH, there is no guarantee that we will not encounter similar challenges or delays with respect to any other combination-product development programs we may pursue.</w:t>
      </w:r>
    </w:p>
    <w:p>
      <w:pPr>
        <w:spacing w:after="0" w:line="28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after a regulatory approval for a product candidate, we are subject to ongoing regulatory obligations and review, which may result in significant additional expenses. Additionally, our products and product candidates, if approved, could be subject to labeling and other restrictions and we may be subject to penalties if we fail to comply with regulatory requirements or experience unanticipated problems with our products.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governmental regulation of the development of products, including SKYTROFA and YORVIPATH in the U.S. and EU, and our other product candidates extend beyond clinical studies to approval required for their sale and monitoring of such products after sale. This regulation, approval and monitoring is the responsibility of numerous authorities in the United States, the EU and authorities in other territories. Following any regulatory approval of a product candidate, we, any collaboration partners and the manufacturers of our products will be subject to continuing regulatory obligations, including safety reporting requirements, regulatory oversight of product promotion and marketing, and cGMP or similar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recordkeeping of our products. If we or any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or similar requirements and GCPs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under the Federal Food, Drug, and Cosmetic Act, particular restrictions are placed on the distribution of human growth hormone products, including TransCon hGH. The distribution of product samples to physicians must also comply with the requirements of the Prescription Drug Marketing Act. Manufacturing facilities for our products remain subject to periodic inspection by regulatory authorities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or foreign regulatory authorities,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or foreign regulatory authorities approval.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or holds on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future or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contract manufacturers’ operations;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FDA’s and foreign regulatory authorities’ policies may change and additional government laws or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Within the EU, once a marketing authorisation is obtained, numerous post-approval requirements similar to the above ones also apply, and as in the United States, advertising and promotional activities for the product must be consistent with the approved summary of product characteristics and therefore off-label promotion of medicinal products is not permitted. Furthermore, the advertising and promotion of medicinal products is also subject to laws concerning promotion of medicinal products, interactions with physicians, misleading and comparative advertising and unfair commercial practices. Direct-to-consumer advertising of prescription medicines is also prohibited in the EU. The requirements are regulated by both EU regulations as well as national applicable regulations.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regulatory requirements relating to the manufacturing, testing, marketing and sale of pharmaceutical products are subject to periodic change. This may impact our development plans. Changes in the regulations governing us could increase costs and adversely affect our business.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medical devices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at domestic and foreign manufacturing facilities from March 2020 until July 2021.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in the United States are essential for most patients to be able to afford treatments including our products and product candidates, if approved. Our ability to achieve acceptable levels of coverage and reimbursement for drug treatments by governmental authorities, private health insurers and other organizations will have an effect on our ability to successfully commercialize our products, and potentially attract additional collaboration partners to invest in the development of our product candidates. We cannot be sure that adequate coverage and reimbursement in the United States, the EU or elsewhere will be available for our products or any products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the generic or biosimilar parent drug as substitutable and only offer to reimburse patients for the generic drug. Even if we show improved efficacy or improved convenience of administration with our products or product candidates, if approved, pricing of the existing parent drug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related parent drugs.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authorization.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9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29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contract manufacturers are subject to significant regulation with respect to manufacturing our products and product candidates. The manufacturing facilities on which we rely may not continue to meet regulatory requirements or may not be able to meet supply demands.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depend on third-parties to manufacture products employing our TransCon technologies. Components of a finished therapeutic product approved for commercial sale or used in late-stage clinical studies must be manufactured in accordance with cGMP or similar requirements outside the United States.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our products and product candidates for clinical studies or commercial sale, including our existing contract manufacturers for our products and product candidates, are subject to extensive regulation. Manufacturing facilities are subject to pre-approval and ongoing periodic inspection by the FDA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BLA, MAA or comparable regulatory filing on a timely basis and must adhere to cGMP or similar regulations enforced by the FDA and other regulatory authorities through their facilities inspection programs.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addition, we have no control over the ability of our contract manufacturers to maintain adequate quality control, quality assurance and qualified personnel.</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third-parties with whom we contract could harm our business.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submission and subsequent approval of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 Furthermore, interruption or delay in supplies from one contract manufacturer may cause delays further down the supply chain, as certain contract manufacturers may rely on delivery of materials from other contract manufacturers.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hazardous materials and we and third-parties with whom we contract must comply with environmental laws and regulations, which can be expensive and restrict how we do business.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9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matters, including related social expectations and concerns, may impose unexpected costs on us or result in reputational or other harm to us that could have a material adverse effect on our business, financial condition and results of operations.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is an increasing focus and rapid and ongoing developments and changing expectations from certain investors, customers, consumers, employees and other stakeholders concerning environmental, social and corporate governance (“ESG”) matters. Additionally, public interest and legislative pressure related to public companies’ ESG practices continue to grow, which may result in increased regulatory, social or other scrutiny on us.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past, we have undertaken, and in future may undertake, various initiatives to improve our ESG profile or respond to stakeholder expectations; however, such initiatives entail costs and may not have the desired effect. For example, many initiatives rely on methodologies, standards, or data that are complex and evolving. Our approach to such matters also evolves, and there can be no guarantee that our approach will align with the expectations of any particular stakeholder. Stakeholder expectations vary, and in some circumstances conflict. For example, various policymakers, such as the EU and State of California, have adopted requirements for certain disclosures or other actions on climate and related ESG matters. Such requirements are not uniform, and may not be interpreted or applied uniformly, which can increase the cost and complexity of compliance, along with any other risks. Simultaneously, other stakeholders (including some policymakers) have sought to constrain companies attention to certain ESG matters.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failure or perceived failure to meet the standards set by various constituencies, or to successfully navigate competing expectations, could damage our reputation and our relationships with investors, governments, customers, employees, third parties and the communities in which we operate and expose us to increased regulatory risk, put us at a commercial disadvantage relative to our peers and materially adversely affect our business, financial condition, results of operations, ability to participate in debt and equity markets and the value of our shares or ADSs. Various of our suppliers, business partners, or other stakeholders are subject to similar expectations, which may augment or create additional risks.</w:t>
      </w:r>
    </w:p>
    <w:p>
      <w:pPr>
        <w:spacing w:after="0" w:line="28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EU, FDA and other local regulations related to the promotion of our products for unapproved uses, we could be subject to criminal penalties, substantial fines or other sanctions and damage awards.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regulatory authorities, as well as courts. For example, we are restricted from marketing SKYTROFA and YORVIPATH and any other product candidate that receives marketing approval outside of its approved labeling, also referred to as off-label promotion. However, physicians may nevertheless lawfully prescribe an approved product to their patients in a manner that is inconsistent with the approved label, which is an off-label use. The FDA or other government authorities may allege or find that our practices constitute prohibited promotion for unapproved uses.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or similar foreign regulations, including those laws that require the reporting of true, complete and accurate information to the FDA or foreign regulatory authorities; (2) manufacturing standards; (3) U.S. federal and state fraud and abuse and other healthcare laws and regulations including foreign requirements;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or falsification of clinical trial data,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w:t>
      </w:r>
    </w:p>
    <w:p>
      <w:pPr>
        <w:spacing w:after="0" w:line="2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global anti-corruption laws, including but not limited to the U.S. Foreign Corrupt Practices Act, and non-compliance with such laws can subject us to criminal or civil liability and harm our business, financial condition and results of operations.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is no certainty that all of our employees, agents, contractors, or collaborators, or those of our affiliates, will comply with all applicable laws and regulations, particularly given the high level of complexity of these requirements. We have adopted a code of conduct, but it is not always possible to identify and deter employee misconduct, and the precautions we take to detect and prevent this activity may be ineffective in controlling unknown or unmanaged risks or losses or in protecting us from allegations, governmental investigations or other actions or lawsuits stemming from a failure to comply with these requirements.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If any such actions are instituted against us, and we are not successful in defending ourselves or asserting our rights, those actions could have a significant impact on our business,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Investigations of alleged violations can also be disruptive and cause us to incur significant legal and investigatory fees.</w:t>
      </w:r>
    </w:p>
    <w:p>
      <w:pPr>
        <w:spacing w:after="0" w:line="26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2012, the SEC adopted a rule requiring disclosures of specified minerals, known as conflict minerals, that are necessary to the functionality or production of products manufactured or contracted to be manufactured by U.S.-listed companies. The conflict minerals rule requires companies annually to diligence, disclose and report whether or not such minerals originate from the Democratic Republic of Congo and/or adjoining countries of Angola, Burundi, Central African Republic, the Republic of the Congo, Rwanda, South Sudan, Tanzania, Uganda, and Zambia. The rule could affect sourcing at competitive prices and availability in sufficient quantities of certain minerals, including gold and tin, which are necessary to the functionality of our products, including our TransCon hGH auto-injector.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Due to the depth and complexity of the supply chain, we may not be able to sufficiently verify the origins of the relevant minerals used in our products through the due diligence procedures that we implement or the information that we receive from our suppliers may be inaccurate or inadequate, which may harm our reputation or subject us to SEC enforcement risks. In addition, we may encounter challenges to satisfy those customers who require that all of the components of our products be certified as conflict-free, which could place us at a competitive disadvantage if we are unable to do so.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non-U.S. jurisdictions would prevent us from marketing our products outside of the United States.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order to market our products outside of the United States, we, or any potential partner, must obtain separate regulatory approvals and comply with numerous and varying regulatory requirements of other countries regarding safety and efficacy and governing, among other things, clinical trials and commercial sales, pricing and distribution of our products. The time required to obtain approval in other countries might differ from and be longer than that required to obtain FDA approval. The regulatory approval process in other countries may include all of the risks detailed in these “Risk Factors”, as well as other risks.</w:t>
      </w:r>
    </w:p>
    <w:p>
      <w:pPr>
        <w:spacing w:after="0" w:line="18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authorisation. For additional information, see “Item 4 B. Information on the Company - Business Overview - Foreign Regulation.”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Outside the U.S. and the EU, approval procedures vary among countries and can involve additional clinical testing, and the time required to obtain approval may differ from that required to obtain FDA or EU approval. Clinical trials conducted in one country may not be accepted by regulatory authorities in other countries. Approval by the FDA, EC, or EU member state competent authorities does not ensure approval by regulatory authorities in other countries, and approval by one or more foreign regulatory authorities does not ensure approval by regulatory authorities in other foreign countries or by the FDA, EC, or EU member states competent authorities. However, a failure or delay in obtaining regulatory approval in one country may have a negative effect on the regulatory process in others. The foreign regulatory approval process may include all of the risks associated with obtaining FDA approval, EC, or EU member states competent authority. We may not be able to file for regulatory approvals or to do so on a timely basis, and even if we do file, we may not receive necessary approvals to commercialize our products in any market.</w:t>
      </w:r>
    </w:p>
    <w:p>
      <w:pPr>
        <w:spacing w:after="0" w:line="29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regulation and enforcement; our failure to comply with these laws could harm our results of operations and financial conditions.</w:t>
      </w:r>
    </w:p>
    <w:p>
      <w:pPr>
        <w:spacing w:after="0" w:line="5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We are subject to healthcare, statutory and regulatory requirements and enforcement by the U.S. federal government and the states and foreign governments in which we conduct our business. The laws that affect our ability to operate include:</w:t>
      </w:r>
    </w:p>
    <w:p>
      <w:pPr>
        <w:spacing w:after="0" w:line="54" w:lineRule="exact"/>
        <w:rPr>
          <w:sz w:val="20"/>
          <w:szCs w:val="20"/>
          <w:color w:val="auto"/>
        </w:rPr>
      </w:pPr>
    </w:p>
    <w:p>
      <w:pPr>
        <w:ind w:left="1020" w:right="60" w:hanging="503"/>
        <w:spacing w:after="0" w:line="258"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U.S. federal Anti-Kickback Statute constitutes a false or fraudulent claim for purposes of the False Claims Act;</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criminal laws that prohibit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Payments Sunshine Act, which requires certain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under statute) and their immediate family members;</w:t>
      </w:r>
    </w:p>
    <w:p>
      <w:pPr>
        <w:spacing w:after="0" w:line="79"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consumers;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1020" w:right="5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 and pricing information;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regulation regarding advertising of medicinal products and reporting requirements detailing interactions with and payments to healthcare providers.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activities being found in violation of these laws is increased by the fact that many of them have not been fully interpreted by the regulatory authorities or the courts, and their provisions are open to a variety of interpretations.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significant penalties, including civil and criminal penalties, damages, fines, the curtailment or restructuring of our operations, the exclusion from participation in U.S. federal and state and/or foreign healthcare programs and imprisonment, any of which could adversely affect our ability to market our products and adversely impact our financial results.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Complying with these numerous, complex and often changing regulations is expensive and difficult, and any failure or perceived failure to comply with any data privacy laws or security laws, our policies and procedures, our contracts governing our processing of personal information or any security incident or breach involving the misappropriation, loss or other unauthorized use or disclosure of sensitive or confidential patient or consumer information, whether by us, one of our partners or another third-party, could adversely affect our business, financial condition and results of operations, and could result in negative publicity, government investigations and enforcement actions, claims by third-parties and damage to our reputation, any of which could have a material adverse effect on our operations, financial performance and business.</w:t>
      </w:r>
    </w:p>
    <w:p>
      <w:pPr>
        <w:spacing w:after="0" w:line="1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Even when HIPAA or a state law does not apply, according to the FTC, violating consumers’ privacy rights or failing to take appropriate steps to keep consumers’ personal information secure may constitute unfair and/or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Europe, the General Data Protection Regulation (“GDPR”), imposes comprehensive data privacy compliance obligations in relation to our processing of personal data of individuals within the European Economic Area, or EEA, including clinical trial data, or in the context of our activities within the EEA, including a principle of accountability and the obligation to demonstrate compliance through policies, procedures, training and audit, as well as regulating cross-border transfers of personal data out of the EEA and the UK.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Economic Area, or the EEA, and the United States remains uncertain. Case law from the Court of Justice of the European Union, or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In relation to data transfers from the EEA to the United States, the EU-US Data Privacy Framework (“DPF”), was approved by the European Commission in July 2023 as an effective EU GDPR data transfer mechanism to U.S. entities self-certified under the DPF. We expect the existing legal complexity and uncertainty regarding international personal data transfers to continue. In particular, we expect the European Commission approval of the current DPF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Relatedly, from January 1, 2021, companies have had to comply with both the GDPR and the UK GDPR, the latter regime having the ability to separately fine up to the greater of £17.5 million or 4% of global turnover.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12, 2023, the UK Extension to the DPF came into effect (as approved by the UK Government), as a UK GDPR data transfer mechanism to U.S. entities self-certified under the UK Extension to the DPF. As we continue to expand into other foreign countries and jurisdictions, we may be subject to additional laws and regulations that may affect how we conduct business.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the Council of the European Union adopted the NIS2 Directive on November 28, 2022, which replaced and repealed the existing EU Directive on the Security of Network and Information Systems. The NIS2 Directive establishes cybersecurity risk management measures and reporting requirements for highly critical sectors, including for manufacturers of medical devices. This includes requirements to implement appropriate technical and operational measures to manage security risks, including measures with respect to business continuity, incident handling, encryption, and data access control. Important entities and essential entities will also be required to report cybersecurity incidents within specified timeframes. The NIS2 Directive became effective on January 16, 2023, with EU member states having until October 17, 2024 to then incorporate the NIS2 Directive into their national law, although, as of this date, national transposition legislation has only been fully adopted in a limited number of countries. The NIS2 Directive requires EU member states to impose administrative fines for breaches of the NIS2 Directive of up to €7 million or 1.4% of the total worldwide turnover of the entity for the preceding financial year, whichever is greater for certain “important entities”. Other entities, considered “essential entities” may be subject to administrative fines for breaches of the NIS2 Directive of up to €10 million or 2% of the total worldwide turnover of the entity for the preceding financial year, whichever is greater.</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29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and in foreign jurisdictions may make it more difficult and costly for us to obtain regulatory clearance or approval of our product candidates in the United States and in foreign jurisdictions and to produce, market and distribute our products in the United States and in foreign jurisdictions after clearance or approval is obtained.</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Similar risks exist in foreign jurisdictions. We cannot determine what effect changes in regulations, statutes, legal interpretation or policies, when and if promulgated, enacted or adopted may have on our business in the future. Such changes could, among other things, require:</w:t>
      </w:r>
    </w:p>
    <w:p>
      <w:pPr>
        <w:spacing w:after="0" w:line="75"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products that may be offered by us. In addition, any future regulatory change regarding the healthcare industry or third-party coverage and reimbursement may affect demand for any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point-of-sale discounts, which, through subsequent legislative amendments, was increased to 70%, starting in 2019, off negotiated prices of applicable brand drugs to eligible beneficiaries during their coverage gap period as a condition for the manufacturer’s outpatient drugs to be covered under Medicare Part D.</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provisions of the ACA. For example, on June 17, 2021, the U.S. Supreme Court dismissed a challenge on procedural grounds that argued the ACA is unconstitutional in its entirety because the “individual mandate” was repealed by Congress. Thus, the ACA will remain in effect in its current form.</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including reductions in Medicare payments to providers, which went into effect on April 1, 2013 and will stay in effect through 2032, with the exception of a temporary suspension from May 1, 2020 through March 31, 2022, unless additional Congressional action is taken. Further, the American Taxpayer Relief Act of 2012 reduced Medicare payments to several types of providers, including hospitals, and increased the statute of limitations period for the government to recover overpayments to providers from three to five years. Further, in March 2021, the American Rescue Plan Act of 2021 was signed into law, which, among other things, eliminated the statutory cap on drug manufacturers’ Medicaid Drug Rebate Program rebate liability effective January 1, 2024. The rebate was previously capped at 100% of the average manufacturer price for a covered outpatient drug. These new laws may result in additional reductions in Medicare and other healthcare funding and otherwise affect the prices we may obtain for our products.</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Most recently, in August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and the impact of the IRA on our business and the pharmaceutical industry cannot yet be fully determined. Individual states in the United States have also become increasingly 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products or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including TransCon hGH,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8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While the Regulation entered into force in January 2022, it will only begin to apply from January 12,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products and product candidates is not adequate, we may not be able to compete effectively in our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in part on our ability to:</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obtain, maintain and enforce patents;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the proprietary rights of others.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will be able to protect our proprietary technologies from unauthorized use by third-parties only to the extent that such proprietary rights are covered by valid and enforceable patents or are effectively maintained as trade secrets. Any non-confidential disclosure to or misappropriation by third-parties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December 31, 2024, 62 patents have been issued to us in the United States, 21 of which are directed to our TransCon technologies, nine of which are directed to TransCon hGH, ten of which are directed to TransCon CNP, one of which is directed to a combination of TransCon hGH and TransCon CNP, six of which are directed to TransCon PTH, one of which is directed to TransCon IL-2 β/γ and twelve of which are directed to the TransCon hGH autoinjector. In addition, as of December 31, 2024, we have over 365 issued patents in jurisdictions outside of the United States, at least 87 of which are directed to our TransCon technologies, and 182 of which are directed to TransCon hGH and/or our other product candidates. For additional information, see “Item 4 B. Information on the Company - Business Overview - Intellectual Property.” We are not aware of any challenge to our issued patents, in the United States, Europe or in any other jurisdiction.</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inventorship, although we are unaware of any such defects. If we or our current licensors or licensees, or any future licensors or licensees, fail to establish, maintain or protect such patents and other intellectual property rights,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patent applications may be invalid and unenforceable. Any of these outcomes could impair our ability to prevent competition from third-parties, which may harm our business.</w:t>
      </w:r>
    </w:p>
    <w:p>
      <w:pPr>
        <w:spacing w:after="0" w:line="19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June 1, 2023, the European Unitary Patent system and the European Unified Patent Court (“UPC”), were successfully launched, creating a single pan-European Unitary Patent and a new European patent court for litigation involving European patents.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is a significant change to European patent practice and deciding whether to opt-in or opt-out of Unitary Patent practice entail strategic and cost considerations. It will be several years before we will understand the scope of patent rights that are recognized and the strength of patent remedies that are provided by the UPC. While we have the right to opt our patents out of the UPC over the first seven years of the court’s existence, doing so may preclude us from realizing the benefits of the UPC. We have opted our current European patents out of the UPC, but if we do not meet all of the formalities and requirements for opting our patents out of the UPC, our current or future European patents could remain under the jurisdiction of the UPC. The UPC provides our competitors with a new forum to centrally revoke our European patents, and allows for the possibility of a competitor to obtain pan-European injunctions. Such a loss of patent protection could have a material adverse impact on our business and our ability to commercialize our technology and product candidates and, resultantly, on our business, financial condition, prospects and results of operations. It is uncertain how the UPC will impact granted European patents in the biotechnology and pharmaceutical industries and our European patent applications, if issued, could be challenged in the UPC. Moreover, the decision whether to opt-in or opt-out of Unitary Patent status will require coordinating with co-applicants, if any, adding complexity to any such decision.</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third-parties can raise questions of validity with a patent office even before a patent has been granted.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one or more of our products or product candidates but that has a different composition that falls outside the scope of our patent protection. If the breadth or strength of protection provided by the patents and patent applications we hold or pursue with respect to our products or product candidates is successfully challenged, then our ability to commercialize our products or product candidates could be negatively affected, and we may face unexpected competition that could harm our business. Further, patents have a limited lifespan and patent terms may be inadequate to protect our competitive position on our product candidates for an adequate amount of time. In the United States, if all maintenance fees are paid timely, the natural expiration of a patent is generally 20 years after its first effective filing date excluding U.S. provisional patent applications. Given the amount of time required for the development, testing and regulatory review of new product candidates, patents protecting such candidates might expire before or shortly after such product candidates are commercialized. Although various extensions may be available, the life of a patent, and the protection it affords, is limited. If we encounter delays in our clinical trials, the period of time during which we could market our products or product candidates, if approved, under patent protection would be reduced. If we do not have sufficient patent life to protect our products, our business and results of operations will be adversely affected.</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54" w:lineRule="exact"/>
        <w:rPr>
          <w:sz w:val="20"/>
          <w:szCs w:val="20"/>
          <w:color w:val="auto"/>
        </w:rPr>
      </w:pPr>
    </w:p>
    <w:p>
      <w:pPr>
        <w:ind w:left="1020" w:right="3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invent or the first to file the inventions covered by each of our pending patent applications and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encompass commercially viable products or product candidates, may not provide us with any competitive advantages or may be challenged by third-parties;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be valid or enforceable, or the scope may be narrowed;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or our current licensors or licensees, or any future licensors or licensees, fail to prosecute, maintain and enforce patent protection for our products or product candidates, our ability to develop and commercialize our products or product candidates could be harmed and we might not be able to prevent competitors from making, using, selling, importing or otherwise exploiting competing products or product candidates. This failure to properly protect the intellectual property rights relating to our products or product candidates could harm our business, financial condition and operating results. Moreover, our competitors may independently develop equivalent knowledge, methods and know-how on their own without relying on our proprietary technologies or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Even where laws provide protection, litigation or any other dispute resolution proceedings necessary to enforce and determine the scope of our proprietary rights may be costly and time-consuming, and the outcome of such litigation or dispute resolution proceedings would be uncertain. If we were to initiate legal proceedings against a third-party to enforce a patent covering one of our products or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our products or product candidates, we would lose at least part, and perhaps all, of the patent protection on such product or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30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license intellectual property rights from third-parties. Such licenses may be subject to early termination if we fail to comply with our obligations in our licenses with third-parties, which could result in the loss of rights or technology that are material to our business.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or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or product candidates using the licensed technology. If we fail to comply with these obligations, including due to the impact of global pandemics, on our business operations or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products or product candidates.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products or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products or product candidates that we may seek to acquire. The failure to obtain or in-license 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prevent disclosure of our trade secrets or other confidential information to third-parties, our competitive position may be impaired.</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Costly and time-consuming litigation could be necessary to enforce and determine the scope of our proprietary rights, and failure to obtain or maintain trade secret protection could adversely affect our competitive business position. Furthermore, the laws of some foreign countries do not protect proprietary rights to the same extent or in the same manner as the laws of the United States.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The failure to obtain or maintain trade secret protection could adversely affect our competitive business position.</w:t>
      </w:r>
    </w:p>
    <w:p>
      <w:pPr>
        <w:spacing w:after="0" w:line="2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allegedly infringing intellectual property rights of third parties, it will be costly and time consuming, and an unfavorable outcome in such litigation could harm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violating or misappropriating the patents and other proprietary rights of third-parties. Our own technologies, products or product candidates may be found to infringe, violate or misappropriate the patents or other proprietary rights of third-parties, or we may be subject to third-party claims of such infringement. Numerous U.S. and foreign issued patents and pending patent applications owned by third-parties exist in the fields in which we are developing our products and product candidates. Additionally, we are aware of patents owned by a competitor that are related to CNP variants. In particular, BioMarin owns a patent in Europe relating to CNP variants, against which we filed an opposition in September 2022. At first instance, BioMarin was required to restrict the scope of their patent claims. Both parties have appealed the first instance decision with oral proceedings on appeal scheduled to take place in the fourth quarter of 2025. Further, BioMarin has alleged that the same European patent, expiring May 2030, is infringed by our “development program” relating to TransCon CNP, and has initiated infringement proceedings before the UPC. We have not received the documents filed by BioMarin before the UPC at the time of the filing of this Annual Report on Form 20-F. We believe that this patent is invalid and not infringed by us. However, should the UPC decide in favor of BioMarin, such a decision could harm our ability to bring TransCon CNP to patients, prior to patent expiration. There is a risk that BioMarin will allege patent infringement in other jurisdictions and before other courts. Furthermore, BioMarin also owns a re-issue patent in the U.S. relating to CNP variants. Although we believe that this patent is not infringed by us and/or is invalid, it is possible that a court or other form of tribunal would come to a different conclusion. We thus cannot be certain that our technologies, products and product candidates will not be found to infringe these or other existing or future patents of third-parties.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import or sale of our technologies, products or product candidates. We may not be aware of patents that have already been issued that a third-party might assert are infringed by our technologies, products or product candidates.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It is also possible that patents of which we are aware, but which we do not believe are relevant to our technologies, products or product candidates, could nevertheless be found to be infringed by our products or product candidates.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we may face patent infringement claims from non-practicing entities that have no relevant product revenue and against whom our own patent portfolio may thus have no deterrent effect.</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may face costly and time-consuming intellectual property litigation with the NDA holders, BLA holders and Orange Book patentees of the products in respect of which we seek to obtain FDA approval. Companies that produce branded biopharmaceutical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Intellectual property litigation involves many risks and uncertainties, and there is no assurance that we will prevail in any lawsuit brought against us. Third-parties making claims against us for infringement, violation or misappropriation of their intellectual property rights may seek and obtain injunctive or other equitable relief, which could effectively block our ability to further develop and commercialize our products and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third-parties and we may be prevented from pursuing product or product candidate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may be necessary to:</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our patents and any future patents issuing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or clarify the terms of the licenses we have granted or may be granted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trade secrets, know-how and other proprietary rights that we own or have licensed, or may license in the future;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third-parties and defend against alleged patent infringement.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Competitors may infringe our intellectual property. As a result, we may be required to file infringement claims to stop third-party infringement or unauthorized use. This can be expensive, particularly for a company of our size, and time-consuming.</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and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or other intellectual property litigation or other proceedings could have a material adverse effect on our ability to compete in the marketplace.</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products or product candidates or to prevent others from marketing similar products.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third-parties. Even if we are successful, domestic or foreign litigation or USPTO or foreign patent office proceedings may result in substantial costs and distraction to our management and scientific personnel. We may not be able, alone or with our licensors or potential collaboration partners, to prevent misappropriation of our proprietary rights, particularly in countries where the laws may not protect such rights as fully as in the United States.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this kind of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technologies, products and product candidates.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filed after March 16, 2013, are prosecuted, redefine prior art and provide more efficient and cost-effective avenues for competitors to challenge the validity of patents. In addition, the Leahy-Smith Act has transformed the U.S. patent system into a “first to file” system. The Leahy-Smith Act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June 1, 2023, European patent applications have the option, upon grant of a patent, of becoming a Unitary Patent which will be subject to the jurisdiction of the UPC. For additional information, see “If our intellectual property related to our products and product candidates is not adequate, we may not be able to compete effectively in our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employees and patents are subject to German law.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2024, over 100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296"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Although an inadvertent lapse can in many cases 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Losing our patent rights could enable competitors to enter the market earlier than would otherwise have been the case.</w:t>
      </w:r>
    </w:p>
    <w:p>
      <w:pPr>
        <w:spacing w:after="0" w:line="3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trademark registrations for a commercial trade name for our products or product candidates in the United States or elsewhere could adversely affect our business.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use various trademark rights in our business, including, Ascendis, Ascendis Pharma, TransCon, SKYTROFA and YORVIPATH. Trademark applications for TransCon hGH, TransCon PTH and TransCon CNP have been filed in the U.S. as well as the EU and other countries across the globe. However, our current or future trademarks and trade names may be challenged, infringed, circumvented or declared generic or determined to be infringing on other marks, and we may not be able to obtain trademark protection in other territories that we consider of significant importance to us. Furthermore, other than for TransCon hGH and TransCon PTH, we have not yet registered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third-parties can oppose pending trademark applications and seek to cancel registered trademarks. Opposition or cancellation proceedings may be filed against our trademarks, and our trademarks may not survive such proceedings.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event that our trademarks are successfully challenged, we could be forced to rebrand our products, which could result in loss of brand recognition and could require us to devote resources to advertising and marketing our products under new brands. Over the long term, if we are unable to establish name recognition based on our trademarks and trade names, then we may not be able to compete effectively and our business may be adversely affected. We may license our trademarks and trade names to third-parties,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has approved the use of SKYTROFA for TransCon hGH and YORVIPATH for TransCon PTH in the United States; however, any name we propose to use with TransCon CNP, or our other product candidates in the United States or any other country must be approved by the FDA, EMA or any other relevant health authority regardless of whether we have registered it, or applied to register it, as a trademark. For example, the FDA has approved the use of SKYTROFA and YORVIPATH for certain indications in the United States and the EC has granted marketing authorisations for SKYTROFA and YORVIPATH in the EU.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third-parties and be acceptable to the FDA, EMA or any other relevant approval authority.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our products or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Additionally, laws of some countries outside of the United States and Europe do not afford intellectual property protection to the same extent as the laws of the United States and Europe. For example, patents with claims directed to dry pharmaceutical formulations of TransCon hGH have issued in the United States, Europe, and other jurisdictions, but related claims were rejected in China, and our subsequent appeals were unsuccessful. As a result, our patent protection for TransCon hGH may expire sooner in China than in other jurisdictions. Many companies have encountered significant problems in protecting and defending intellectual property rights in certain foreign jurisdictions. The legal systems of some countries, including India, China and certain developing countries, do not favor the enforcement of patents and other intellectual property rights. This could make it difficult for us to stop the infringement of our patents or the misappropriation of our other intellectual property rights in such countries. For example, many foreign countries have compulsory licensing laws under which a patent owner must grant licenses to third-parties. Consequently, we may not be able to prevent third-parties from practicing our inventions in certain countries outside the United States and many countries in Europe.</w:t>
      </w:r>
    </w:p>
    <w:p>
      <w:pPr>
        <w:spacing w:after="0" w:line="19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obtained patent protection to develop their own products and product candidates and, further, may export otherwise infringing products to territories where we have patent protection, if our ability to enforce our patents to stop infringing activities is inadequate.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These products and product candidates may compete with our products, and our patents or other intellectual property rights may not be effective or sufficient to prevent them from competing.</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and product candidates. Accordingly, our efforts to protect our intellectual property rights in such countries may be inadequate.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third-party, or claiming ownership of what we regard as our own intellectual property.</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and contractors have used or disclosed such third-party intellectual property, including know-how, trade secrets or other proprietary information.</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third-parties involved in developing our products or product candidates or as a result of questions regarding co-ownership of potential joint inventions. For example, we may have inventorship disputes arise from conflicting obligations of consultants or others who are involved in developing our products or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or our licensors may have relied on third-party consultants or collaborators or on funds from third-parties, such as national governments, such that we or our licensors are not the sole and exclusive owners of the patents we in-licensed. If other third-parties have ownership rights or other rights to our patents, including in-licensed patents, they may be able to license such patents to our competitors, and our competitors could market competing products, product candidates and technologies.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could have a material adverse effect on our competitive position, business, financial conditions, results of operations, and prospects.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4" w:name="page65"/>
    <w:bookmarkEnd w:id="6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Convertible Notes.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we had $575 million principal amount of indebtedness as a result of the 2.25% Convertible Senior Notes due 2028 (“Convertible Notes”) offering. We may also incur additional indebtedness to meet future financing needs. Our indebtedness could have significant negative consequences for our shareholders and our business, results of operations, and financial condition by, among other things:</w:t>
      </w:r>
    </w:p>
    <w:p>
      <w:pPr>
        <w:spacing w:after="0" w:line="68"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shareholders as a result of issuing ADSs upon conversion of the Convertible Notes and the ordinary shares represented by such ADSs;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redeem the Convertible Notes for cash following a fundamental change, and our future indebtedness may limit our ability to redeem the Convertible Notes in connection with such fundamental change.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may, subject to a limited exception described in the indenture, require us to redeem their Convertible Notes following a fundamental change under the indenture at a cash fundamental change redemption price generally equal to the principal amount of the Convertible Notes to be redeemed in connection with such fundamental change, plus accrued and unpaid interest, if any. We may not have enough available cash or be able to obtain financing at the time we are required to redeem the Convertible Notes in connection with a fundamental change. In addition, applicable law, regulatory authorities and the agreements governing our other indebtedness may restrict our ability to redeem the Convertible Notes in connection with a fundamental change. Our failure to redeem Convertible Notes in connection with a fundamental change when required will constitute a default under the indenture. A default under the indenture or the fundamental change itself could also lead to a default under agreements governing our other consolidated indebtedness (if any), which may result in that other indebtedness becoming immediately payable in full. If the repayment of such other indebtedness were to be accelerated after any applicable notice or grace periods, then we may not have sufficient funds to repay that indebtedness and redeem the Convertible Notes in connection with such fundamental change.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provisions in the Convertible Notes and the indenture could make a third party attempt to acquire us more difficult or expensive. For example, a takeover will under certain circumstances constitute a fundamental change, and the noteholders will then have the right to require us to redeem their Convertible Notes for cash.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a takeover constitutes a make-whole fundamental change, then we may be required to temporarily increase the conversion rate. In either case, and in other cases, our obligations under the Convertible Notes and the indenture could increase the cost of acquiring us or otherwise discourage a third party from acquiring us or removing incumbent management, including in a transaction that noteholders or holders of the ADSs or our ordinary shares may view as favorable.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Convertible Notes are treated as a compound financial instrument with a foreign currency financial liability component (“host”), and an embedded derivative (“derivative”) related to a written option to exchange a fixed number of our shares for a fixed amount of Convertible Notes that is denominated in a foreign currency. The derivative is not closely related to the host, because it is exposed to dissimilar risks, such as volatility from the Company’s own share price. Accordingly, the derivative is accounted for separately at fair value through profit or loss.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initial fair value of the host was the residual amount after separating the embedded derivative at fair value, net of transaction costs attributable to the host component. Transaction costs were allocated to the host and the derivative in proportion to the allocation of proceeds. Transaction costs attributable to the derivative were recognized immediately in the profit or loss as a financial expense.</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difference between the principal amount of the Convertible Notes and the initial fair value of the host is amortized into interest expense over the expected lifetime of the Convertible Notes using the effective interest method. As a result of this amortization, the interest expense that we expect to recognize for the Convertible Notes for accounting purposes will be greater than the cash interest payments we will pay on the Convertible Notes, which will result in lower reported income or higher reported loss. The lower reported income or higher reported loss resulting from this accounting treatment could depress the trading price of our common stock and the Convertible Notes.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fair value of the derivative cannot be measured based on quoted prices in active markets, or other observable input, and accordingly, the derivative is measured by using the Black-Scholes option-pricing model, where the pricing is exposed from changes in the Company’s share price. Since the fair value is exposed to development in the Company’s share price, the profit or loss is exposed to volatility from such development, which could result in lower reported income or higher reported loss. The lower reported income or higher reported loss resulting from this accounting treatment could have a negative effect on the trading price of the ADSs.</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the accounting method for reflecting the ordinary shares represented by ADSs underlying the Convertible Notes in our diluted earnings per share may adversely affect our reported earnings and financial condition. We expect that, under applicable accounting principles, the ordinary shares represented by ADSs underlying the Convertible Notes will be reflected in our diluted earnings per share assuming that all the Convertible Notes were converted into ADSs at the beginning of the reporting period (or, if later, the date the Convertible Notes are first issued), unless the result would be antidilutive. Accounting for the Convertible Notes in this manner may reduce our diluted earnings per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 and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ADSs may be volatile and the holders of the ADSs may not be able to resell ADSs at or above the price they paid.</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trading price of the ADSs has been and could continue to be highly volatile and could be subject to wide fluctuations in response to various factors, some of which are beyond our control. These factors include:</w:t>
      </w:r>
    </w:p>
    <w:p>
      <w:pPr>
        <w:spacing w:after="0" w:line="54" w:lineRule="exact"/>
        <w:rPr>
          <w:sz w:val="20"/>
          <w:szCs w:val="20"/>
          <w:color w:val="auto"/>
        </w:rPr>
      </w:pPr>
    </w:p>
    <w:p>
      <w:pPr>
        <w:ind w:left="1020" w:right="1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obtain regulatory approval for our products or product candidates, or delays in commercializing or obtaining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products or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TransCon technologies to therapeutic areas other than endocrinology, including the therapeutic areas of oncology and ophthalmology;</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a complete response letter to our product candidates, or specific label indications or patient populations for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current or future collaborations or joint ventures;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parent drugs that we use in developing our product candidates;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authorities with respect to our clinical trials, manufacturing supply chain or sales and marketing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any manufacturers or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license or discover additional products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FDA or other similar regulatory actions affecting us or our industry or other healthcare reform measures in the EU, United States or in other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ordinary shares and/or ADSs by us, our senior management and board members, holders of the ADSs or our shareholders in the future;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United States and international equity markets, including deteriorating market conditions due to investor concerns regarding inflation and hostilities between Russia and Ukraine and between Israel and Hamas;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operating results, prospects and financial condition of potential future pandemics such as COVID-19;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ADSs. In the past, when the market price of a stock has been volatile, holders of that stock have sometimes instituted securities class action litigation against the issuer. If any of the holders of ordinary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do not directly hold our ordinary shares and do not have the rights of a holder of our ordinary shares.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Danish law governs shareholder rights. Our depositary, The Bank of New York Mellon, is the holder of the ordinary shares underlying our ADSs through its custodian. The deposit agreement among us, the depositary, and all other persons directly and indirectly holding ADSs, sets out ADS holder rights as well as the rights and obligations of the depositary. In addition, our depositary charges and/or deducts certain fees to holders of the ADSs.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not be able to exercise their right to vote the ordinary shares underlying their ADSs.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However, we may not request the depositary to distribute this information which could effectively limit the ability of ADS holders to direct voting of the ordinary shares underlying their ADSs.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ADS holder may be subject to limitations on the transfer of their ADSs and the withdrawal of the underlying ordinary shares.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ADSs, which may be evidenced by American Depositary Receipts,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2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issue additional shares or ADSs at a discount from the trading price of the ADSs.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shares, ADSs or ordinary shares. If we issue shares or securities convertible into shares of our share capital, our ordinary shareholders and holders of ADSs would experience additional dilution and, as a result, the price of the ADSs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exercise or conversion of warrants, RSUs, PSUs and convertible notes.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2024, approximately 12.9 million ordinary shares that are subject to outstanding warrants, RSUs, PSUs, convertible notes or reserved for future issuance under our warrant incentive program are eligible for sale in the public market to the extent permitted by the provisions of various vesting schedules and the terms of our convertible notes. Exercise or conversion of warrants and convertible notes may take place at a price below the market price of the ADSs at the time of exercise and may therefore result in dilution of the value of the ADSs. In addition, to the extent that RSUs or PSUs settle into ADSs, we would also issue to the holders of such RSUs or PSUs ADSs held by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or ADSs in the public market could cause the price of the ADSs to fall.</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our existing shareholders or holders of ADSs sell, or indicate an intention to sell, substantial amounts of our ordinary shares or ADSs representing our ordinary shares in the public market, the trading price of the ADSs could decline. If our outstanding warrants are exercised or ADSs subject to restricted stock units and performance stock units vest and settle, additional ordinary shares or ADSs may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As of December 31, 2024, our senior management, board members, holders of 5% or more of our share capital and their respective affiliates beneficially own approximately 60.0% of our outstanding voting securities. See “Item 7 A. Major Shareholders and Related Party Transactions – Major Shareholders” for information relating to the determination of the number of shares beneficially owned by an entity or a person.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be different from the rights of shareholders in companies governed by the laws of U.S. jurisdictions.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12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judgements predicated upon the civil liability provisions of the U.S. securities laws of the United States.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United States and Denmark currently do not have a treaty providing for the reciprocal recognition and enforcement of judgements, other than arbitration awards, in civil and commercial matters. Consequently, a final judgement for payment given by a court in the United States, whether or not predicated solely upon U.S. securities laws, would not automatically be recognized or enforceable in Denmark. Danish courts are likely to deny the recognition and enforcement of punitive damages or other awards. Moreover, a Danish court may reduce the amount of damages granted by a U.S. court and recognize damages only to the extent that they are necessary to compensate for actual losses or damages. Enforcement and recognition of judgements of U.S. courts in Denmark are solely governed by the provisions of the Danish Administration of Justice Act.</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judgements obtained in U.S. courts in civil and commercial matters, including judgements under the U.S. federal securities laws.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not subject to certain Exchange Act reporting obligations that, to some extent, are more lenient and less frequent than those of a U.S. domestic public company.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the ADS may not have the same protections afforded to shareholders of companies that are not foreign private issuers.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“foreign private issuer” allows us to adopt IFRS accounting principles, which are different from accounting principles under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Generally Accepted Accounting Principles (“US GAAP”).</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adopted and presented our consolidated financial statements in accordance with IFRS as issued by the International Accounting Standards Board and as adopted by the EU.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9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foreign private issuer,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The Nasdaq Listing Rules.</w:t>
      </w:r>
    </w:p>
    <w:p>
      <w:pPr>
        <w:spacing w:after="0" w:line="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the ADSs may not have the same protections afforded to shareholders of companies that are subject to these Nasdaq requirements.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16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2025, which would require us to comply with all of the periodic disclosure and current reporting requirements of the Exchange Act applicable to U.S. domestic issuers as of January 1, 2026. To maintain our current status as a foreign private issuer, either (a) a majority of our ordinary shares or ADSs must be either directly or indirectly owned of record by non-residents of the United States or (b) (i) a majority of our executive officers or directors may not be U.S. citizens or residents, (ii) 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These rules and regulations could also make it more difficult for us to attract and retain qualified members of our board of directors and members of our senior management.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16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Under Danish corporate law, except in certain limited circumstances (which require as a minimum that a proposal for inspection has been supported by a minimum of 25% of share capital),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 or management liability under limited circumstances. In addition, a majority of our shareholders may release a board member or manager from any claim of liability we may have, including if such board member or manager has acted in bad faith or has breached his or 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distribution of dividends from Danish companies to foreign companies and individuals may be subject to non-refundable withholding tax, which may not be creditable or deductible under the tax laws of the country in which the recipient shareholder is resident for tax purposes.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Further, repurchases of ordinary shares or ADSs by Ascendis Pharma A/S may have adverse tax consequences to the Company or shareholders under applicable Danish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9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holding of ADSs of such shareholders or ADS holders may be materially diluted in the event shares or ADSs are issued in the future.</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However,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performance of the ADSs, or if our commercial sales, clinical trials or operating results fail to meet the expectations of analysts, the price of the ADSs would likely decline. If one or more of these analysts cease coverage of us or fail to publish reports on us regularly, we could lose visibility in the financial markets, which in turn could cause the price of the ADSs or trading volume to decline.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2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Internal Revenue Code of 1986, as amended (“Code”), and U.S. Treasury Regulations, the determination of passive foreign investment company (“PFIC”), status is fact-specific, and generally cannot be made until after the close of the taxable year in question. Based on our market capitalization and the composition of our income, assets and operations, we do not believe we were a PFIC for U.S. federal income tax purposes for our taxable year ended December 31, 2024. However, this is a factual determination, and the application of the PFIC rules is subject to uncertainty in several respects, and we cannot assure you we will not be a PFIC for any taxable year. A non-U.S. corporation will be considered a PFIC for any taxable year if, after the application of certain look-through rules, either (1) at least 75% of its gross income for such taxable year is passive income (as defined in the relevant provisions of the Code) or (2) at least 50% of the value of its assets (generally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“Item 10 E. Additional Information – Taxation – 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Although we do not believe we were a PFIC for U.S. federal income tax purposes for our taxable year ended December 31, 2024, the application of the PFIC rules is subject to uncertainty in several respects. Whether we will be a PFIC in any year depends on the composition of our income and assets, and the relative fair market value of our assets from time to time, which we expect may vary substantially over time. In addition, because the value of our assets, including unbooked goodwill, for purposes of the asset test will generally be determined by reference to the market price of the ADSs, our PFIC status will depend in large part on the market price of the ADSs, which may fluctuate significantly. For these reasons, we cannot assure you we will not be a PFIC for any taxable year.</w:t>
      </w:r>
    </w:p>
    <w:p>
      <w:pPr>
        <w:spacing w:after="0" w:line="1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Each U.S. Holder is strongly urged to consult its tax advisor regarding these issues. See “Item 10 E. Additional Information – Taxation – Material U.S. Federal Income Tax Consequences to U.S. Holders.”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 U.S. Holder (as defined in “Item 10 E. Additional Information – Taxation – Material U.S. Federal Income Tax Consequences to U.S. Holders”) is treated as owning (directly, indirectly or constructively) at least 10% of the value or voting power of our ordinary shares or ADSs, such U.S. Holder will be treated as a “United States shareholder” with respect to each “controlled foreign corporation” in our group. Because our group includes one or more U.S. subsidiaries, certain of our non-U.S. subsidiaries will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changes in tax laws and regulations and the interpretation thereof.</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tax liabilities could be adversely affected by several factors, including changing tax laws, regulations and treaties, or the interpretation thereof; tax policy initiatives and reforms implemented or under consideration; the practices of tax authorities in jurisdictions in which we operate; and the resolution of issues arising from tax audits or examinations and any related interest or penalties. For example, legislation has been enacted or is currently under consideration in a number of jurisdictions to adopt and implement Pillar Two of the base erosion and profit shifting (“BEPS”) project initiated by the Organization for Economic Cooperation and Development (“OECD”), which is designed to introduce a global minimum tax rate of 15% for certain multinational groups. In December 2021 and March 2022, the OECD published model rules and related commentary to support member jurisdictions of the G20/OECD Inclusive Framework on BEPS (including Denmark) to implement the Pillar Two framework. Denmark has transposed the rule into its tax legislation effective January 1, 2024. We are not subject to Pillar II rules until the consolidated turnover of Ascendis Pharma exceeds €750 million and certain other conditions are met. The ultimate impact of any such changes on our tax obligations remains uncertain and will continue to be monitored by the Company.</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unable to predict what tax reforms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its consolidated statements of operations and comprehensive loss, and otherwise affect the future results of operations, cash flows in a particular period and overall or effective tax rates in the future in countries where we have operations, reduce post-tax returns to shareholders and increase the complexity, burden and cost of tax compliance.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were organized under the laws of the Kingdom of Denmark in September 2006 as a private limited liability company (</w:t>
      </w:r>
      <w:r>
        <w:rPr>
          <w:rFonts w:ascii="Times New Roman" w:cs="Times New Roman" w:eastAsia="Times New Roman" w:hAnsi="Times New Roman"/>
          <w:sz w:val="18"/>
          <w:szCs w:val="18"/>
          <w:i w:val="1"/>
          <w:iCs w:val="1"/>
          <w:color w:val="auto"/>
        </w:rPr>
        <w:t>Anpartsselskab</w:t>
      </w:r>
      <w:r>
        <w:rPr>
          <w:rFonts w:ascii="Times New Roman" w:cs="Times New Roman" w:eastAsia="Times New Roman" w:hAnsi="Times New Roman"/>
          <w:sz w:val="18"/>
          <w:szCs w:val="18"/>
          <w:color w:val="auto"/>
        </w:rPr>
        <w:t>, or ApS) and then transformed into a public limited liability company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located at 1000 Page Mill Road. Palo Alto, CA 94304. Our corporate website address is www.ascendispharma.com. The information on, or that can be accessed through, our website is not part of and should not be incorporated by reference into this annual report or any other report we file or furnish to the U.S. Securities and Exchange Commission (“SEC”). We have included our website address as an inactive textual reference only. Our ADSs are traded on The Nasdaq Global Select Market under the symbol “ASND.”</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www.sec.gov that contains reports, proxy and information statements, and other information regarding issuers that file electronically with the SEC.</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the development of our company, see “Item 4 B. Information on the Company – Business Overview.” For additional information relating to the Company’s capital expenditures, see “Item 5 A. Operating and Financial Review and Prospects—Operating Results.”</w:t>
      </w:r>
    </w:p>
    <w:p>
      <w:pPr>
        <w:spacing w:after="0" w:line="266" w:lineRule="exact"/>
        <w:rPr>
          <w:sz w:val="20"/>
          <w:szCs w:val="20"/>
          <w:color w:val="auto"/>
        </w:rPr>
      </w:pPr>
    </w:p>
    <w:p>
      <w:pPr>
        <w:ind w:right="9260" w:firstLine="8"/>
        <w:spacing w:after="0" w:line="378" w:lineRule="auto"/>
        <w:tabs>
          <w:tab w:leader="none" w:pos="50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TransCon-based therapies that demonstrate best-in-class potential to address unmet medical needs. Our portfolio of approved Endocrinology Rare Disease products and product candidates addresses hypoparathyroidism as well as growth disorders such as growth hormone deficiency and achondroplasia. To create additional value, we have established partnerships to develop and bring to market TransCon-based products in large therapeutic areas including Metabolic, Cardiovascular and Ophthalmology.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announced in January 2024, Vision 2030 is our vision to achieve blockbuster status for multiple products and expand our engine for future innovation.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w:t>
      </w:r>
    </w:p>
    <w:p>
      <w:pPr>
        <w:spacing w:after="0" w:line="9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Leading Endocrinology Rare Disease Company</w:t>
      </w:r>
    </w:p>
    <w:p>
      <w:pPr>
        <w:spacing w:after="0" w:line="117" w:lineRule="exact"/>
        <w:rPr>
          <w:rFonts w:ascii="Times New Roman" w:cs="Times New Roman" w:eastAsia="Times New Roman" w:hAnsi="Times New Roman"/>
          <w:sz w:val="18"/>
          <w:szCs w:val="18"/>
          <w:color w:val="auto"/>
        </w:rPr>
      </w:pPr>
    </w:p>
    <w:p>
      <w:pPr>
        <w:ind w:left="1540" w:right="11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oAchieve blockbuster status (&gt;$1B) for each of TransCon PTH, TransCon hGH, and TransCon CNP through worldwide commercialization</w:t>
      </w:r>
    </w:p>
    <w:p>
      <w:pPr>
        <w:spacing w:after="0" w:line="53" w:lineRule="exact"/>
        <w:rPr>
          <w:rFonts w:ascii="Times New Roman" w:cs="Times New Roman" w:eastAsia="Times New Roman" w:hAnsi="Times New Roman"/>
          <w:sz w:val="18"/>
          <w:szCs w:val="18"/>
          <w:color w:val="auto"/>
        </w:rPr>
      </w:pPr>
    </w:p>
    <w:p>
      <w:pPr>
        <w:ind w:left="1540" w:right="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 the leader in growth disorders and hypoparathyroidism, pursuing clinical conditions, innovative life cycle management, and complementary patient offerings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pipeline with Endocrinology Rare Disease blockbuster product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Value in Additional Therapeutic Areas through Innovative Business Models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oObtain accelerated approval in oncology with registrational trials ongoing</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Pursue TransCon product opportunities in &gt;$5B indications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ind w:left="1540" w:hanging="514"/>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value creation of these product opportunities through collaboration with therapeutic area market leaders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with Ascendis Fundamentals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Outperform industry drug development benchmarks with Ascendis’ product innovation algorithm</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independent as a profitable biopharma through lean and flexible ways of working</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 our values Patients, Science, Passion drive our decisions to success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products and product candidates combine our TransCon technologies with clinically validated parent drugs or pathways, with the goal of optimizing safety, efficacy, tolerability, and convenience.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apply these technologies using our algorithm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5349240" cy="128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Summaries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currently have two marketed products and a diversified portfolio of four product candidates in clinical development in the areas of Endocrinology Rare Disease and Oncology, and we are working to apply our TransCon technology platform in additional therapeutic areas such as the glucagon-like peptide 1 (“GLP-1”) class, where we believe we have designed a potentially best-in-class, once-monthly program.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93" w:lineRule="exact"/>
        <w:rPr>
          <w:sz w:val="20"/>
          <w:szCs w:val="20"/>
          <w:color w:val="auto"/>
        </w:rPr>
      </w:pPr>
    </w:p>
    <w:p>
      <w:pPr>
        <w:ind w:left="1020" w:right="60" w:hanging="503"/>
        <w:spacing w:after="0" w:line="24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SKYTROFA </w:t>
      </w:r>
      <w:r>
        <w:rPr>
          <w:rFonts w:ascii="Times New Roman" w:cs="Times New Roman" w:eastAsia="Times New Roman" w:hAnsi="Times New Roman"/>
          <w:sz w:val="18"/>
          <w:szCs w:val="18"/>
          <w:color w:val="auto"/>
        </w:rPr>
        <w:t>– Our first marketed product is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(lonapegsomatropin-tcgd), developed as TransCon Growth Hormone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hGH”), which has received regulatory approval in the United States for the treatment of pediatric patients one year and older who weigh at least 11.5 kg and have growth failure due to inadequate secretion of endogenous growth hormone, also known as growth hormone deficiency (“GHD”). SKYTROFA has been commercially available for prescription in the United States since October 2021. In addition, SKYTROFA (lonapegsomatropin) was granted marketing authorization in the European Union (“EU”), Norway, Iceland, Liechtenstein, and Great Britain (covering England, Wales, Scotland) as a once-weekly subcutaneous injection for the treatment of children and adolescents aged 3 to 18 years with growth failure due to insufficient secretion of endogenous growth hormone. In the EU, SKYTROFA has been commercially available for prescription in Germany since September 2023.</w:t>
      </w:r>
    </w:p>
    <w:p>
      <w:pPr>
        <w:spacing w:after="0" w:line="95" w:lineRule="exact"/>
        <w:rPr>
          <w:rFonts w:ascii="Times New Roman" w:cs="Times New Roman" w:eastAsia="Times New Roman" w:hAnsi="Times New Roman"/>
          <w:sz w:val="18"/>
          <w:szCs w:val="18"/>
          <w:color w:val="auto"/>
        </w:rPr>
      </w:pPr>
    </w:p>
    <w:p>
      <w:pPr>
        <w:ind w:left="1020" w:right="60" w:hanging="503"/>
        <w:spacing w:after="0" w:line="24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YORVIPATH </w:t>
      </w:r>
      <w:r>
        <w:rPr>
          <w:rFonts w:ascii="Times New Roman" w:cs="Times New Roman" w:eastAsia="Times New Roman" w:hAnsi="Times New Roman"/>
          <w:sz w:val="18"/>
          <w:szCs w:val="18"/>
          <w:color w:val="auto"/>
        </w:rPr>
        <w:t>– Our second marketed product is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(palopegteriparatide), developed as TransCon PTH. In the EU, Norway,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Iceland, Liechtenstein, and Great Britain (covering England, Wales, and Scotland), YORVIPATH has been granted marketing authorization as a once-daily subcutaneous injection for the treatment of adults with chronic hypoparathyroidism. In the EU, YORVIPATH has been commercially available for prescription in Germany and Austria since January 2024 and has also been available to patients in other countries under named patient programs. In August 2024, YORVIPATH received regulatory approval in the U.S. for the treatment of hypoparathyroidism in adults. YORVIPATH has been commercially available for prescription in the United States since December 2024. As of February 7, 2025, 908 new prescriptions by 539 unique prescribing healthcare providers in the U.S.</w:t>
      </w:r>
    </w:p>
    <w:p>
      <w:pPr>
        <w:spacing w:after="0" w:line="8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Endocrinology Rare Disease Pipeline </w:t>
      </w:r>
      <w:r>
        <w:rPr>
          <w:rFonts w:ascii="Times New Roman" w:cs="Times New Roman" w:eastAsia="Times New Roman" w:hAnsi="Times New Roman"/>
          <w:sz w:val="18"/>
          <w:szCs w:val="18"/>
          <w:color w:val="auto"/>
        </w:rPr>
        <w:t>– Two product candidates in our Endocrinology Rare Disease portfolio are currently in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spanning multiple indications and geographies. These product candidates are TransCon hGH (lonapegsomatropin) for adult GHD and children with Turner syndrome and TransCon CNP (navepegritide) for infants, children, and adolescents with achondroplasia. We are also investigating TransCon CNP in combination with TransCon hGH in children with achondroplasia. In addition, we plan to investigate TransCon hGH in other established daily growth hormone indications. Through our strategic collaboration, Teijin Limited is developing and, if approved, plans to commercialize TransCon hGH, TransCon PTH, and TransCon CNP for endocrinology rare disease in Japan. In addition, through our strategic investment, VISEN Pharmaceuticals (“VISEN”) is developing and, if approved, plans to commercialize TransCon hGH, TransCon PTH, and TransCon CNP for endocrinology rare diseases in Greater China.</w:t>
      </w:r>
    </w:p>
    <w:p>
      <w:pPr>
        <w:spacing w:after="0" w:line="76"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Oncology Pipeline </w:t>
      </w:r>
      <w:r>
        <w:rPr>
          <w:rFonts w:ascii="Times New Roman" w:cs="Times New Roman" w:eastAsia="Times New Roman" w:hAnsi="Times New Roman"/>
          <w:sz w:val="18"/>
          <w:szCs w:val="18"/>
          <w:color w:val="auto"/>
        </w:rPr>
        <w:t>– In Oncology, we are leveraging our TransCon technologies with the goal of enhancing the anti-tumor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clinically-validated parent drugs and pathways and to provide sustained modulation of tumor microenvironments and activate cytotoxic immune cells. We initiated clinical development of two programs: TransCon TLR7/8 Agonist, an investigational, long-acting prodrug of resiquimod, a small molecule agonist of Toll-like receptors (“TLR”) 7 and 8, for intratumoral delivery, and TransCon IL-2 b/g (onvapegleukin alfa) for systemic delivery, which is designed for prolonged exposure to an IL-2 variant that selectively activates IL-2 b/g with minimal binding to IL-2Rα. During the fourth quarter of 2024, we closed enrollment in our BelieveIT-201 clinical trial and to dose expansion cohorts involving TransCon TLR7/8 Agonist in the transcendIT-101 and IL-Believe trials to prioritize our efforts on TransCon IL-2 b/g.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Pipeline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than the rights we have granted to Eyconis, Novo Nordisk, Teijin Limited, and VISEN as noted in this annual report, we hold worldwide rights to our TransCon technologies and, other than our royalty financing arrangements with Royalty Pharma as noted in this annual report, we owe no third-party royalty or milestone payment obligations with respect to our TransCon technologies, TransCon hGH, TransCon PTH or any of our other product candidates. The following chart lists our product candidates.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349240" cy="213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Pivotal ApproaCH Trial (NCT05598320).</w:t>
      </w:r>
    </w:p>
    <w:p>
      <w:pPr>
        <w:spacing w:after="0" w:line="12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sBLA submitted to U.S. FDA, PDUFA goal date July, 27</w:t>
      </w:r>
      <w:r>
        <w:rPr>
          <w:rFonts w:ascii="Times New Roman" w:cs="Times New Roman" w:eastAsia="Times New Roman" w:hAnsi="Times New Roman"/>
          <w:sz w:val="24"/>
          <w:szCs w:val="24"/>
          <w:i w:val="1"/>
          <w:iCs w:val="1"/>
          <w:color w:val="auto"/>
          <w:vertAlign w:val="superscript"/>
        </w:rPr>
        <w:t>th</w:t>
      </w:r>
      <w:r>
        <w:rPr>
          <w:rFonts w:ascii="Times New Roman" w:cs="Times New Roman" w:eastAsia="Times New Roman" w:hAnsi="Times New Roman"/>
          <w:sz w:val="18"/>
          <w:szCs w:val="18"/>
          <w:i w:val="1"/>
          <w:iCs w:val="1"/>
          <w:color w:val="auto"/>
        </w:rPr>
        <w:t xml:space="preserve"> 2025.</w:t>
      </w:r>
    </w:p>
    <w:p>
      <w:pPr>
        <w:spacing w:after="0" w:line="68"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InsiGHTS Trial (NCT05690386).</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reACHin Trial (NCT06079398).</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teACH Trial (NCT06732895).</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COACH Trial (NCT06433557).</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VISEN Pharmaceuticals’ Phase 3 trial.</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Japanese riGHt Trial.</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China (NCT05387070).</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Japan.</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ACcomplisH China (NCT05246033).</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BelieveIT-201 Trial (NCT05980598).</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IL-Believe Trial (NCT05081609).</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an intellectual property portfolio comprising over 425 issued patents and over 525 patent applications as of December 31, 2024,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TransCon hGH, TransCon PTH, and each of our other product candidates are new molecular entities and therefore eligible to be granted new intellectual property rights, including new composition of matter patents.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Commercialization Strategy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establishing a global presence to commercialize TransCon products and product candidates, where approved, to address patients’ unmet medical needs.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U.S., we have established an integrated organization to commercialize our approved Endocrinology Rare Disease products, SKYTROFA and YORVIPATH. Our U.S. organization includes sales, market access, patient support, and medical affairs teams. The sales team engages with healthcare providers and present products, usage and safety guidelines in accordance with the label. Our market access team engages with health authorities, insurance companies, and payers to help patients in need of our products gain access to them. Our patient support team facilitates reimbursement support, out of pocket assistance, provides educational resources and product training. Our medical affairs team provides scientific exchange to the physician and medical community. We have also established a network of specialty pharmacies to support product distribution.</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Europe, we are expanding our presence by building integrated organizations in select countries, which we call Europe Direct, beginning with Germany, where we have launched our Endocrinology Rare Disease products, SKYTROFA and YORVIPATH. We are establishing commercial infrastructure in other Europe Direct country clusters, including DACH (Germany, Austria, Switzerland), France &amp; BeNeLux (Belgium, the Netherlands, and Luxembourg), Iberia (Portugal and Spain), Italy, Nordics (Denmark, Norway, Sweden, Iceland, Finland), and the United Kingdom &amp; Ireland.</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Beyond the U.S. and Europe Direct, we are expanding global reach for our Endocrinology Rare Disease programs through exclusive distribution agreements with geographic market leaders, which we call International Markets. As of December 31, 2024, we have established eight such regional agreements:</w:t>
      </w:r>
    </w:p>
    <w:p>
      <w:pPr>
        <w:spacing w:after="0" w:line="68"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Acino Pharma Proprietary Limited (South Africa)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Adium Pharma S.A. (Argentina, Brazil, Colombia and Mexico)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Er-Kim İlac Sanayi ve Ticaret A.S (Central &amp; Eastern Europe, Turkey, and certain countries in Eurasia)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Neopharm (Israel) 1996 Ltd (Israel, Armenia, Azerbaijan, Georgia, Kazakhstan, Kyrgyzstan, Tajikistan, Turkmenistan and Uzbekistan)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Pendopharm, a division of Pharmascience Inc. (Canada)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Specialised Therapeutics Asia Pte Ltd. (Australia, New Zealand, Singapore, Malaysia, Brunei, Thailand, and Vietnam)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SRS Pharmaceuticals Pvt. Ltd. (India and Philippines)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Vector Pharma FZCO (Saudi Arabia, United Arab Emirates, Kuwait, Oman, Qatar, and Bahrain)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we are making our products commercially available in select markets through exclusive license agreements with partners with local development and commercialization expertise and infrastructure. In China, VISEN has exclusive license rights to develop and commercialize TransCon hGH, TransCon PTH, and TransCon CNP. In Japan, Teijin Limited has exclusive license rights to develop and commercialize TransCon hGH, TransCon PTH, and TransCon CNP.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19970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Technology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Carriers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spacing w:after="0" w:line="70" w:lineRule="exact"/>
        <w:rPr>
          <w:sz w:val="20"/>
          <w:szCs w:val="20"/>
          <w:color w:val="auto"/>
        </w:rPr>
      </w:pPr>
    </w:p>
    <w:p>
      <w:pPr>
        <w:ind w:left="1020" w:right="60" w:hanging="503"/>
        <w:spacing w:after="0" w:line="25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Systemic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systemic carriers are used to provide systemic drug exposure and are based on soluble compounds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60325</wp:posOffset>
            </wp:positionV>
            <wp:extent cx="4286250" cy="1405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8625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81" w:name="page82"/>
    <w:bookmarkEnd w:id="81"/>
    <w:p>
      <w:pPr>
        <w:spacing w:after="0" w:line="84" w:lineRule="exact"/>
        <w:rPr>
          <w:sz w:val="20"/>
          <w:szCs w:val="20"/>
          <w:color w:val="auto"/>
        </w:rPr>
      </w:pPr>
    </w:p>
    <w:p>
      <w:pPr>
        <w:ind w:left="1020" w:right="60" w:hanging="503"/>
        <w:spacing w:after="0" w:line="257"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localized carriers include TransCon hydrogels based on PEG, hyaluronic acid, or other biopolymers.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59690</wp:posOffset>
            </wp:positionV>
            <wp:extent cx="3994785" cy="14573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947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Linkers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 Drugs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approach has enabled us to develop two approved products and generate a pipeline of product candidates designed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Products – Endocrinology Rare Disease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for Recombinant Human Growth Hormone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Growth hormone deficiency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growth hormone deficiency in a US pediatric population. </w:t>
      </w:r>
      <w:r>
        <w:rPr>
          <w:rFonts w:ascii="Times New Roman" w:cs="Times New Roman" w:eastAsia="Times New Roman" w:hAnsi="Times New Roman"/>
          <w:sz w:val="18"/>
          <w:szCs w:val="18"/>
          <w:i w:val="1"/>
          <w:iCs w:val="1"/>
          <w:color w:val="auto"/>
        </w:rPr>
        <w:t>J Manag Care Spec Pharm.</w:t>
      </w:r>
      <w:r>
        <w:rPr>
          <w:rFonts w:ascii="Times New Roman" w:cs="Times New Roman" w:eastAsia="Times New Roman" w:hAnsi="Times New Roman"/>
          <w:sz w:val="18"/>
          <w:szCs w:val="18"/>
          <w:color w:val="auto"/>
        </w:rPr>
        <w:t xml:space="preserve"> 2021; 27(8):1118-1128).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 adult patients with GHD, underdiagnosis and undertreatment are also a concern. Untreated adult GHD (“AGHD”) patients can experience reduced quality of life and increased risk of morbidity and mortality. A retrospective cohort study presented at ENDO 2023 analyzed an electronic health records database and selected adult patients with suspected AGHD. Of the 51,588 patients with suspected AGHD, fewer than 4% were treated with growth hormone.</w:t>
      </w:r>
    </w:p>
    <w:p>
      <w:pPr>
        <w:spacing w:after="0" w:line="18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(Novo Nordisk A/S), Humatrope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(Eli Lilly and Company), Genotropin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(Pfizer Inc.), Zomacton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(Ferring Pharmaceuticals, Inc.) and Omnitrope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However, according to the FDA drug shortage website, Humatrope has been discontinued due to a business decision which might impact the hGH global market share in the future.</w:t>
      </w:r>
    </w:p>
    <w:p>
      <w:pPr>
        <w:spacing w:after="0" w:line="19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Landscape for Long-Acting Growth Hormone Therapies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w:t>
      </w:r>
    </w:p>
    <w:p>
      <w:pPr>
        <w:spacing w:after="0" w:line="68" w:lineRule="exact"/>
        <w:rPr>
          <w:sz w:val="20"/>
          <w:szCs w:val="20"/>
          <w:color w:val="auto"/>
        </w:rPr>
      </w:pPr>
    </w:p>
    <w:p>
      <w:pPr>
        <w:ind w:left="1020" w:right="40" w:hanging="503"/>
        <w:spacing w:after="0" w:line="24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Unmodified somatropin</w:t>
      </w:r>
      <w:r>
        <w:rPr>
          <w:rFonts w:ascii="Times New Roman" w:cs="Times New Roman" w:eastAsia="Times New Roman" w:hAnsi="Times New Roman"/>
          <w:sz w:val="18"/>
          <w:szCs w:val="18"/>
          <w:color w:val="auto"/>
        </w:rPr>
        <w:t>: Two long-acting growth hormone products using encapsulation technologies previously received regulatory approval in the U.S. and Europe, but were subsequently discontinued due to commercial challenges. These include Nutropin Depot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formerly marketed by Genentech, and Somatropin Biopartners, developed by LG Life Sciences and Biopartners GmbH. Nutropin Depot was approved by the FDA in 1999 and later withdrawn; Somatropin Biopartners (LB03002) was approved by the European Medicines Agency (“EMA”) in 2013, and later withdrawn. We believe that the lack of market acceptance was a result of the various safety and tolerability issues that tend to arise with encapsulation technologies.</w:t>
      </w:r>
    </w:p>
    <w:p>
      <w:pPr>
        <w:spacing w:after="0" w:line="87"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Permanent modification of growth hormone</w:t>
      </w:r>
      <w:r>
        <w:rPr>
          <w:rFonts w:ascii="Times New Roman" w:cs="Times New Roman" w:eastAsia="Times New Roman" w:hAnsi="Times New Roman"/>
          <w:sz w:val="18"/>
          <w:szCs w:val="18"/>
          <w:color w:val="auto"/>
        </w:rPr>
        <w:t>: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w:t>
      </w:r>
    </w:p>
    <w:p>
      <w:pPr>
        <w:spacing w:after="0" w:line="183" w:lineRule="exact"/>
        <w:rPr>
          <w:sz w:val="20"/>
          <w:szCs w:val="20"/>
          <w:color w:val="auto"/>
        </w:rPr>
      </w:pPr>
    </w:p>
    <w:p>
      <w:pPr>
        <w:ind w:right="1060"/>
        <w:spacing w:after="0" w:line="289" w:lineRule="auto"/>
        <w:rPr>
          <w:sz w:val="20"/>
          <w:szCs w:val="20"/>
          <w:color w:val="auto"/>
        </w:rPr>
      </w:pPr>
      <w:r>
        <w:rPr>
          <w:rFonts w:ascii="Times New Roman" w:cs="Times New Roman" w:eastAsia="Times New Roman" w:hAnsi="Times New Roman"/>
          <w:sz w:val="18"/>
          <w:szCs w:val="18"/>
          <w:color w:val="auto"/>
        </w:rPr>
        <w:t>Novo Nordisk received regulatory approval in various countries and regions including the U.S., Japan, and EU for once-weekly somapacitan (SOGROYA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adult and pediatric patients with GHD.</w:t>
      </w:r>
    </w:p>
    <w:p>
      <w:pPr>
        <w:spacing w:after="0" w:line="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Pfizer (in collaboration with OPKO Health Inc.) received regulatory approval of once-weekly somatrogon (NGENLA™) in various countries and regions including the U.S., Japan, and EU for pediatric GHD.</w:t>
      </w:r>
    </w:p>
    <w:p>
      <w:pPr>
        <w:spacing w:after="0" w:line="16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permanently PEGylated long-acting growth hormone developed by GeneScience Pharmaceuticals Co., Ltd. (Jintrolong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available in China for pediatric GHD, Turner syndrome and idiopathic short stature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and JCR Pharmaceuticals Co., 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hGH</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TransCon hGH is a prodrug composed of somatropin that is transiently bound to a carrier by a proprietary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Pediatric GHD</w:t>
      </w:r>
    </w:p>
    <w:p>
      <w:pPr>
        <w:spacing w:after="0" w:line="15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TransCon hGH, marketed under the brand name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Liechtenstein,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September 2023, we announced top-line results from the completed enliGHten Trial, an open-label extension trial evaluating the long-term safety and efficacy of TransCon hGH as a once-weekly treatment for children and adolescents with GHD. The enliGHten Trial enrolled 298 participants (mean age 10.3 years) from the Phase 3 heiGHt Trial of treatment-naïve pediatric GHD patients and the Phase 3 fliGHt Trial of pediatric GHD patients switching from daily somatropin treatment. Patients in these trials received a total of up to 6 years of treatment with TransCon hGH. At the time of the enliGHten Trial closure, 81 participants were designated as treatment completers, based on their physician’s determination that treatment for pediatric GHD was no longer required. Of these treatment completers, 59% met or exceeded their average parental height standard deviation score (“SDS”), with mean TransCon hGH treatment duration of 3.2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of TransCon hGH in Japanese Pediatric GHD</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somatropin’s. Trial subjects continue in the extension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Auto-Injector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SKYTROFA includes the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69215</wp:posOffset>
            </wp:positionV>
            <wp:extent cx="1765935" cy="2957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6593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Our state-of-the-art auto-injector is designed to improve treatment compliance.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 Endocrinology Rare Diseases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Other Indications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in Adult GHD</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2024, we announced the submission of a supplemental Biologics License Application (“sBLA”) to the FDA for TransCon hGH to expand its currently approved label to include eligible adults for the treatment of GHD. The submission was based on results from foresiGHt, a Phase 3 randomized, parallel-arm, placebo-controlled (double-blind), and active-controlled (open-label) trial that compared the efficacy and safety of weekly TransCon hGH with weekly placebo and daily hGH in adults with GHD. In December, we announced the FDA accepted the sBLA for review and set a Prescription Drug User Fee Act (“PDUFA”) goal date of July 27, 2025.</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December 2023, we announced positive top-line results from foresiGHt. The trial aims to evaluate the metabolic benefits of TransCon hGH in adults, with the primary objective to evaluate change in trunk fat percentage.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foresiGHt Trial evaluated 259 adults with GHD aged 23 to 80 years old, randomized 1:1:1, titrated to receive a target fixed dose of TransCon hGH, placebo, or daily hGH based on age and oral estrogen intake, with approximately equivalent hGH mg/week for TransCon hGH and daily hGH.</w:t>
      </w:r>
    </w:p>
    <w:p>
      <w:pPr>
        <w:spacing w:after="0" w:line="54"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demonstrated superiority on its primary efficacy endpoint at Week 38:</w:t>
      </w:r>
    </w:p>
    <w:p>
      <w:pPr>
        <w:spacing w:after="0" w:line="117"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trunk percent fat as measured by dual x-ray absorptiometry (TransCon hGH -1.67% vs. placebo +0.37%, LS mean difference = -2.04%, p &lt; 0.0001)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demonstrated superiority on its key secondary efficacy endpoints at Week 38:</w:t>
      </w:r>
    </w:p>
    <w:p>
      <w:pPr>
        <w:spacing w:after="0" w:line="117" w:lineRule="exact"/>
        <w:rPr>
          <w:rFonts w:ascii="Times New Roman" w:cs="Times New Roman" w:eastAsia="Times New Roman" w:hAnsi="Times New Roman"/>
          <w:sz w:val="18"/>
          <w:szCs w:val="18"/>
          <w:color w:val="auto"/>
        </w:rPr>
      </w:pPr>
    </w:p>
    <w:p>
      <w:pPr>
        <w:ind w:left="1540" w:right="4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total body lean mass (TransCon hGH +1.60 kg vs placebo -0.10 kg, LS mean difference = 1.70 kg, p &lt; 0.0001)</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trunk fat mass (TransCon hGH -0.48 kg vs placebo +0.22 kg, LS mean difference = -0.70 kg, p = 0.0053)</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Exploratory post-hoc analysis at Week 38 demonstrated comparable treatment effect of TransCon hGH and daily hGH on target tissues. For patients with average insulin-like Growth Factor 1 (“IGF-1”) SDS levels ≤ 1.75 at Week 38:</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oChange from baseline in trunk percent fat (TransCon hGH -2.42% vs. daily hGH -2.59%)</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total body lean mass (TransCon hGH +1.70 kg vs daily hGH +1.37 kg)</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Change from baseline in trunk fat mass (TransCon hGH -0.90 kg vs daily hGH -0.94 kg)</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was generally safe and well tolerated, with no discontinuations related to study drug and with comparable safety and tolerability to daily hGH.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in Turner Syndrome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and secondary endpoint of change from baseline in height SDS, children treated with TransCon hGH demonstrated improved growth similar to daily somatropin at Week 26, independent of starting dose. TransCon hGH was generally safe and well tolerated, with no discontinuations related to study drug and with comparable safety and tolerability to daily somatropin.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third quarter of 2025, we plan to submit an Investigational New Drug (“IND”) application or similar for a basket trial evaluating other indications (planned for small for gestational age without catch-up growth (“SGA”); idiopathic short stature (“ISS”); SHOX deficiency (including Turner syndrome)). In addition, we are investigating other potential indications for TransCon hGH where we believe a long-acting hGH therapy may offer benefits to patients with rare growth disorders, including in combination with our TransCon CNP product candidate in our Phase 2 COACH Trial for children with achondroplasia.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Hypoparathyroidism</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Hypoparathyroidism is a rare endocrine disease caused by insufficient levels of parathyroid hormone (“PTH”). As reported in a 2016 paper, most patients with hypoparathyroidism (70-80% of cases) develop the disease following damage to or accidental removal of the parathyroid glands during thyroid surgery.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in interviews conducted on 42 individuals with hypoparathyroidism, 98% reported reduced functioning and well-being, including anxiety (81%), feeling sad or depressed (62%), and feeling irritable or short-tempered (43%) despite management with conventional therapy.</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 retrospective review published in 2019 of clinical burden and healthcare resource utilization showed that 90.7% of individuals had ≥1 hypoparathyroidism-related healthcare utilization event during a 12-month period, including 87.8% with ≥1 outpatient visit, 41% with ≥1 emergency department visit, and 19.5% with ≥1 hospitalization. The management of hypoparathyroidism is also associated with substantial economic burdens and consequences of hypoparathyroidism may negatively impact employment status and work productivity.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spacing w:after="0" w:line="195"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In 2015, Takeda’s NATPARA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(parathyroid hormone)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would discontinue manufacturing NATPARA/NATPAR globally by the end of 2024.</w:t>
      </w:r>
    </w:p>
    <w:p>
      <w:pPr>
        <w:spacing w:after="0" w:line="2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also aware of several academic groups and companies working on making longer-acting agonists of the PTH receptor. In addition, other companies and groups are developing therapies for hypoparathyroidism at the clinical stage, including Calcilytix (a BridgeBio company), Entera Bio, Extend Biosciences, Massachusetts General Hospital, AstraZeneca, MBX Biosciences, and Septerna.</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estimate hypoparathyroidism affects over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over 100,000 patients in the rest of Europe.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PTH</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providing steady levels of PTH in the physiological range, we believe TransCon PTH may be a highly differentiated therapy for hypoparathyroidism.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 for the Treatment of Hypoparathyroidism</w:t>
      </w:r>
    </w:p>
    <w:p>
      <w:pPr>
        <w:spacing w:after="0" w:line="12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August 2024, the FDA approved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developed as TransCon PTH) for the treatment of hypoparathyroidism in adults. In September 2024, the FDA granted Orphan Drug exclusivity to YORVIPATH, providing seven years of market exclusivity for YORVIPATH in the United States for the treatment of hypoparathyroidism in adults. YORVIPATH has been commercially available for prescription since late December 2024 in the United States.</w:t>
      </w:r>
    </w:p>
    <w:p>
      <w:pPr>
        <w:spacing w:after="0" w:line="208"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18"/>
          <w:szCs w:val="18"/>
          <w:color w:val="auto"/>
        </w:rPr>
        <w:t>In November 2023, TransCon PTH received regulatory approval in the EU and European Economic Area and is marketed as YORVIPATH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(palopegteriparatide), a parathyroid hormone replacement therapy indicated for the treatment of adults with chronic hypoparathyroidism. In addition, YORVIPATH was granted Orphan status in the EU in November 2023. In January 2024, we announced commercial availability of YORVIPATH in Germany and Austria, and we began shipping to customers in February 2024.</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8" w:name="page89"/>
    <w:bookmarkEnd w:id="88"/>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2024, TransCon PTH received regulatory approval in Great Britain as a PTH replacement therapy indicated for the treatment of adults with chronic hypoparathyroidism. In addition, in April 2024, we announced that the United Kingdom’s Medicines &amp; Healthcare products Regulatory Agency granted YORVIPATH Orphan Drug status.</w:t>
      </w:r>
    </w:p>
    <w:p>
      <w:pPr>
        <w:spacing w:after="0" w:line="17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In December 2022, the FDA allowed us to initiate a U.S. expanded access program (“EAP”) for TransCon PTH for eligible adult patients with hypoparathyroidism with prior PTH treatment experience. The EAP closed to new patients on November 29, 2024, in preparation for the U.S. commercial availability of YORVIPATH. Beginning in December 2024, we started enrolling EAP patients into the Ascendis Signature Access Program Ascendis’ patient support program. Patients enrolled in the EAP are now working with their healthcare providers (“HCPs”) to transition to the commercially available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YORVIPATH.</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July 2021, the Ministry of Health, Labour and Welfare in Japan granted Orphan Drug Designation (“ODD”) to TransCon PTH for the treatment of hypoparathyroidism.</w:t>
      </w:r>
    </w:p>
    <w:p>
      <w:pPr>
        <w:spacing w:after="0" w:line="162"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In October 2020, we were granted Orphan Designation (“OD”) by the European Commission (“EC”) for TransCon PTH for the treatment of hypoparathyroidism.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PTH for Treatment of Hypoparathyroidism in Adults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TransCon PTH is being evaluated for the treatment of hypoparathyroidism in adults in the Phase 3 PaTHway Trial, Phase 3 PaTHway Japan Trial, and the Phase 2 PaTH Forward Trial. Last patient, last visit (“LPLV”) in the Phase 3 PaTHway Trial occurred in January 2024. LPLV in the Phase 2 PaTH Forward Trial is expected in March of 2025.</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September 2024, we announced results from the ongoing Phase 2 PaTH Forward Trial of adults with hypoparathyroidism showing that long-term treatment with TransCon PTH (palopegteriparatide; marketed as YORVIPATH) through Week 162 drove bone remodeling into the normal range. Deficiency of parathyroid hormone is associated with low rates of bone remodeling, accumulation of overly mature bone, and higher-than-average bone mineral density that may correspond with poorer overall bone quality compared to that seen in the general population. In contrast, these results suggest that long-term palopegteriparatide treatment promotes attainment of skeletal health parameters in line with those expected with states of parathyroid sufficiency. As of December 31, 2024, 10 patients successfully completed the trial, while 46 out of the 59 patients originally enrolled in the trial continued in the open label (“OLE”) portion and had exceeded four and a half years of follow-up. Three patients withdrew from the trial for reasons unrelated to safety or efficacy of the study drug.</w:t>
      </w:r>
    </w:p>
    <w:p>
      <w:pPr>
        <w:spacing w:after="0" w:line="192"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In May 2024, we announced two-year (Week 104) results from a post-hoc analysis of the Phase 3 PaTHway Trial demonstrating sustained improvements (nominal p-value &lt;0.05)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PTH:placebo; both arms initially co-administered with conventional therapy of active vitamin D and calcium), with a 26-week blinded period followed by an ongoing 156-week open-label extension period. Across both treatment arms, TransCon PTH treatment resulted in a mean eGFR increase of 8.9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(p&lt;0.0001) from baseline at Week 52, sustained at Week 104 with a mean change from baseline of 9.0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(p&lt;0.0001). Treatment was generally well-tolerated, with no new safety signals.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909955</wp:posOffset>
            </wp:positionV>
            <wp:extent cx="7146925" cy="357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6925" cy="3575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b w:val="1"/>
          <w:bCs w:val="1"/>
          <w:color w:val="auto"/>
        </w:rPr>
        <w:t>eGFR* Change from Baseline by Study Arm</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720" w:type="dxa"/>
            <w:vAlign w:val="bottom"/>
            <w:tcBorders>
              <w:top w:val="single" w:sz="8" w:color="auto"/>
              <w:left w:val="single" w:sz="8" w:color="F2F2F2"/>
              <w:right w:val="single" w:sz="8" w:color="F2F2F2"/>
            </w:tcBorders>
            <w:shd w:val="clear" w:color="auto" w:fill="F2F2F2"/>
          </w:tcPr>
          <w:p>
            <w:pPr>
              <w:spacing w:after="0"/>
              <w:rPr>
                <w:sz w:val="19"/>
                <w:szCs w:val="19"/>
                <w:color w:val="auto"/>
              </w:rPr>
            </w:pPr>
          </w:p>
        </w:tc>
        <w:tc>
          <w:tcPr>
            <w:tcW w:w="1760" w:type="dxa"/>
            <w:vAlign w:val="bottom"/>
            <w:tcBorders>
              <w:top w:val="single" w:sz="8" w:color="auto"/>
              <w:right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Baseline</w:t>
            </w:r>
          </w:p>
        </w:tc>
        <w:tc>
          <w:tcPr>
            <w:tcW w:w="820" w:type="dxa"/>
            <w:vAlign w:val="bottom"/>
            <w:tcBorders>
              <w:top w:val="single" w:sz="8" w:color="auto"/>
              <w:right w:val="single" w:sz="8" w:color="F2F2F2"/>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800" w:type="dxa"/>
            <w:vAlign w:val="bottom"/>
            <w:tcBorders>
              <w:top w:val="single" w:sz="8" w:color="auto"/>
              <w:right w:val="single" w:sz="8" w:color="F2F2F2"/>
            </w:tcBorders>
            <w:shd w:val="clear" w:color="auto" w:fill="F2F2F2"/>
          </w:tcPr>
          <w:p>
            <w:pPr>
              <w:spacing w:after="0"/>
              <w:rPr>
                <w:sz w:val="19"/>
                <w:szCs w:val="19"/>
                <w:color w:val="auto"/>
              </w:rPr>
            </w:pPr>
          </w:p>
        </w:tc>
        <w:tc>
          <w:tcPr>
            <w:tcW w:w="1820" w:type="dxa"/>
            <w:vAlign w:val="bottom"/>
            <w:tcBorders>
              <w:top w:val="single" w:sz="8" w:color="auto"/>
              <w:right w:val="single" w:sz="8" w:color="auto"/>
            </w:tcBorders>
            <w:shd w:val="clear" w:color="auto" w:fill="F2F2F2"/>
          </w:tcPr>
          <w:p>
            <w:pPr>
              <w:ind w:left="240"/>
              <w:spacing w:after="0"/>
              <w:rPr>
                <w:sz w:val="20"/>
                <w:szCs w:val="20"/>
                <w:color w:val="auto"/>
              </w:rPr>
            </w:pPr>
            <w:r>
              <w:rPr>
                <w:rFonts w:ascii="Times New Roman" w:cs="Times New Roman" w:eastAsia="Times New Roman" w:hAnsi="Times New Roman"/>
                <w:sz w:val="16"/>
                <w:szCs w:val="16"/>
                <w:b w:val="1"/>
                <w:bCs w:val="1"/>
                <w:color w:val="auto"/>
              </w:rPr>
              <w:t>Week 52</w:t>
            </w:r>
          </w:p>
        </w:tc>
        <w:tc>
          <w:tcPr>
            <w:tcW w:w="800" w:type="dxa"/>
            <w:vAlign w:val="bottom"/>
            <w:tcBorders>
              <w:top w:val="single" w:sz="8" w:color="auto"/>
              <w:right w:val="single" w:sz="8" w:color="F2F2F2"/>
            </w:tcBorders>
            <w:shd w:val="clear" w:color="auto" w:fill="F2F2F2"/>
          </w:tcPr>
          <w:p>
            <w:pPr>
              <w:spacing w:after="0"/>
              <w:rPr>
                <w:sz w:val="19"/>
                <w:szCs w:val="19"/>
                <w:color w:val="auto"/>
              </w:rPr>
            </w:pPr>
          </w:p>
        </w:tc>
        <w:tc>
          <w:tcPr>
            <w:tcW w:w="1820" w:type="dxa"/>
            <w:vAlign w:val="bottom"/>
            <w:tcBorders>
              <w:top w:val="single" w:sz="8" w:color="auto"/>
              <w:right w:val="single" w:sz="8" w:color="auto"/>
            </w:tcBorders>
            <w:shd w:val="clear" w:color="auto" w:fill="F2F2F2"/>
          </w:tcPr>
          <w:p>
            <w:pPr>
              <w:ind w:left="200"/>
              <w:spacing w:after="0"/>
              <w:rPr>
                <w:sz w:val="20"/>
                <w:szCs w:val="20"/>
                <w:color w:val="auto"/>
              </w:rPr>
            </w:pPr>
            <w:r>
              <w:rPr>
                <w:rFonts w:ascii="Times New Roman" w:cs="Times New Roman" w:eastAsia="Times New Roman" w:hAnsi="Times New Roman"/>
                <w:sz w:val="16"/>
                <w:szCs w:val="16"/>
                <w:b w:val="1"/>
                <w:bCs w:val="1"/>
                <w:color w:val="auto"/>
              </w:rPr>
              <w:t>Week 104</w:t>
            </w:r>
          </w:p>
        </w:tc>
      </w:tr>
      <w:tr>
        <w:trPr>
          <w:trHeight w:val="153"/>
        </w:trPr>
        <w:tc>
          <w:tcPr>
            <w:tcW w:w="1720" w:type="dxa"/>
            <w:vAlign w:val="bottom"/>
            <w:tcBorders>
              <w:top w:val="single" w:sz="8" w:color="EEECE1"/>
              <w:left w:val="single" w:sz="8" w:color="auto"/>
              <w:right w:val="single" w:sz="8" w:color="auto"/>
            </w:tcBorders>
            <w:shd w:val="clear" w:color="auto" w:fill="F2F2F2"/>
          </w:tcPr>
          <w:p>
            <w:pPr>
              <w:ind w:left="120"/>
              <w:spacing w:after="0" w:line="153" w:lineRule="exact"/>
              <w:rPr>
                <w:sz w:val="20"/>
                <w:szCs w:val="20"/>
                <w:color w:val="auto"/>
              </w:rPr>
            </w:pPr>
            <w:r>
              <w:rPr>
                <w:rFonts w:ascii="Times New Roman" w:cs="Times New Roman" w:eastAsia="Times New Roman" w:hAnsi="Times New Roman"/>
                <w:sz w:val="16"/>
                <w:szCs w:val="16"/>
                <w:b w:val="1"/>
                <w:bCs w:val="1"/>
                <w:color w:val="auto"/>
              </w:rPr>
              <w:t>Study Arm</w:t>
            </w:r>
          </w:p>
        </w:tc>
        <w:tc>
          <w:tcPr>
            <w:tcW w:w="1760" w:type="dxa"/>
            <w:vAlign w:val="bottom"/>
            <w:tcBorders>
              <w:top w:val="single" w:sz="8" w:color="EEECE1"/>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eGFR</w:t>
            </w:r>
          </w:p>
        </w:tc>
        <w:tc>
          <w:tcPr>
            <w:tcW w:w="820" w:type="dxa"/>
            <w:vAlign w:val="bottom"/>
            <w:tcBorders>
              <w:top w:val="single" w:sz="8" w:color="auto"/>
              <w:right w:val="single" w:sz="8" w:color="auto"/>
            </w:tcBorders>
            <w:shd w:val="clear" w:color="auto" w:fill="F2F2F2"/>
          </w:tcPr>
          <w:p>
            <w:pPr>
              <w:spacing w:after="0"/>
              <w:rPr>
                <w:sz w:val="13"/>
                <w:szCs w:val="13"/>
                <w:color w:val="auto"/>
              </w:rPr>
            </w:pPr>
          </w:p>
        </w:tc>
        <w:tc>
          <w:tcPr>
            <w:tcW w:w="1700" w:type="dxa"/>
            <w:vAlign w:val="bottom"/>
            <w:tcBorders>
              <w:top w:val="single" w:sz="8" w:color="auto"/>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Mean</w:t>
            </w:r>
          </w:p>
        </w:tc>
        <w:tc>
          <w:tcPr>
            <w:tcW w:w="800" w:type="dxa"/>
            <w:vAlign w:val="bottom"/>
            <w:tcBorders>
              <w:top w:val="single" w:sz="8" w:color="auto"/>
              <w:right w:val="single" w:sz="8" w:color="auto"/>
            </w:tcBorders>
            <w:shd w:val="clear" w:color="auto" w:fill="F2F2F2"/>
          </w:tcPr>
          <w:p>
            <w:pPr>
              <w:spacing w:after="0"/>
              <w:rPr>
                <w:sz w:val="13"/>
                <w:szCs w:val="13"/>
                <w:color w:val="auto"/>
              </w:rPr>
            </w:pPr>
          </w:p>
        </w:tc>
        <w:tc>
          <w:tcPr>
            <w:tcW w:w="1820" w:type="dxa"/>
            <w:vAlign w:val="bottom"/>
            <w:tcBorders>
              <w:top w:val="single" w:sz="8" w:color="auto"/>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Mean</w:t>
            </w:r>
          </w:p>
        </w:tc>
        <w:tc>
          <w:tcPr>
            <w:tcW w:w="800" w:type="dxa"/>
            <w:vAlign w:val="bottom"/>
            <w:tcBorders>
              <w:top w:val="single" w:sz="8" w:color="auto"/>
              <w:right w:val="single" w:sz="8" w:color="auto"/>
            </w:tcBorders>
            <w:shd w:val="clear" w:color="auto" w:fill="F2F2F2"/>
          </w:tcPr>
          <w:p>
            <w:pPr>
              <w:spacing w:after="0"/>
              <w:rPr>
                <w:sz w:val="13"/>
                <w:szCs w:val="13"/>
                <w:color w:val="auto"/>
              </w:rPr>
            </w:pPr>
          </w:p>
        </w:tc>
        <w:tc>
          <w:tcPr>
            <w:tcW w:w="1820" w:type="dxa"/>
            <w:vAlign w:val="bottom"/>
            <w:tcBorders>
              <w:top w:val="single" w:sz="8" w:color="auto"/>
              <w:right w:val="single" w:sz="8" w:color="auto"/>
            </w:tcBorders>
            <w:shd w:val="clear" w:color="auto" w:fill="F2F2F2"/>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Mean</w:t>
            </w:r>
          </w:p>
        </w:tc>
      </w:tr>
      <w:tr>
        <w:trPr>
          <w:trHeight w:val="246"/>
        </w:trPr>
        <w:tc>
          <w:tcPr>
            <w:tcW w:w="172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1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(mL/min/1.73m</w:t>
            </w:r>
            <w:r>
              <w:rPr>
                <w:rFonts w:ascii="Times New Roman" w:cs="Times New Roman" w:eastAsia="Times New Roman" w:hAnsi="Times New Roman"/>
                <w:sz w:val="21"/>
                <w:szCs w:val="21"/>
                <w:b w:val="1"/>
                <w:bCs w:val="1"/>
                <w:color w:val="auto"/>
                <w:w w:val="99"/>
                <w:vertAlign w:val="superscript"/>
              </w:rPr>
              <w:t>2</w:t>
            </w: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right w:val="single" w:sz="8" w:color="auto"/>
            </w:tcBorders>
            <w:shd w:val="clear" w:color="auto" w:fill="F2F2F2"/>
          </w:tcPr>
          <w:p>
            <w:pPr>
              <w:ind w:left="360"/>
              <w:spacing w:after="0"/>
              <w:rPr>
                <w:sz w:val="20"/>
                <w:szCs w:val="20"/>
                <w:color w:val="auto"/>
              </w:rPr>
            </w:pPr>
            <w:r>
              <w:rPr>
                <w:rFonts w:ascii="Times New Roman" w:cs="Times New Roman" w:eastAsia="Times New Roman" w:hAnsi="Times New Roman"/>
                <w:sz w:val="16"/>
                <w:szCs w:val="16"/>
                <w:b w:val="1"/>
                <w:bCs w:val="1"/>
                <w:color w:val="auto"/>
              </w:rPr>
              <w:t>N</w:t>
            </w:r>
          </w:p>
        </w:tc>
        <w:tc>
          <w:tcPr>
            <w:tcW w:w="17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 value)</w:t>
            </w:r>
          </w:p>
        </w:tc>
        <w:tc>
          <w:tcPr>
            <w:tcW w:w="800" w:type="dxa"/>
            <w:vAlign w:val="bottom"/>
            <w:tcBorders>
              <w:bottom w:val="single" w:sz="8" w:color="auto"/>
              <w:right w:val="single" w:sz="8" w:color="auto"/>
            </w:tcBorders>
            <w:shd w:val="clear" w:color="auto" w:fill="F2F2F2"/>
          </w:tcPr>
          <w:p>
            <w:pPr>
              <w:ind w:left="380"/>
              <w:spacing w:after="0"/>
              <w:rPr>
                <w:sz w:val="20"/>
                <w:szCs w:val="20"/>
                <w:color w:val="auto"/>
              </w:rPr>
            </w:pPr>
            <w:r>
              <w:rPr>
                <w:rFonts w:ascii="Times New Roman" w:cs="Times New Roman" w:eastAsia="Times New Roman" w:hAnsi="Times New Roman"/>
                <w:sz w:val="16"/>
                <w:szCs w:val="16"/>
                <w:b w:val="1"/>
                <w:bCs w:val="1"/>
                <w:color w:val="auto"/>
              </w:rPr>
              <w:t>N</w:t>
            </w:r>
          </w:p>
        </w:tc>
        <w:tc>
          <w:tcPr>
            <w:tcW w:w="18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 value)</w:t>
            </w:r>
          </w:p>
        </w:tc>
        <w:tc>
          <w:tcPr>
            <w:tcW w:w="800" w:type="dxa"/>
            <w:vAlign w:val="bottom"/>
            <w:tcBorders>
              <w:bottom w:val="single" w:sz="8" w:color="auto"/>
              <w:right w:val="single" w:sz="8" w:color="auto"/>
            </w:tcBorders>
            <w:shd w:val="clear" w:color="auto" w:fill="F2F2F2"/>
          </w:tcPr>
          <w:p>
            <w:pPr>
              <w:ind w:left="380"/>
              <w:spacing w:after="0"/>
              <w:rPr>
                <w:sz w:val="20"/>
                <w:szCs w:val="20"/>
                <w:color w:val="auto"/>
              </w:rPr>
            </w:pPr>
            <w:r>
              <w:rPr>
                <w:rFonts w:ascii="Times New Roman" w:cs="Times New Roman" w:eastAsia="Times New Roman" w:hAnsi="Times New Roman"/>
                <w:sz w:val="16"/>
                <w:szCs w:val="16"/>
                <w:b w:val="1"/>
                <w:bCs w:val="1"/>
                <w:color w:val="auto"/>
              </w:rPr>
              <w:t>N</w:t>
            </w:r>
          </w:p>
        </w:tc>
        <w:tc>
          <w:tcPr>
            <w:tcW w:w="18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 value)</w:t>
            </w:r>
          </w:p>
        </w:tc>
      </w:tr>
      <w:tr>
        <w:trPr>
          <w:trHeight w:val="182"/>
        </w:trPr>
        <w:tc>
          <w:tcPr>
            <w:tcW w:w="172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6"/>
                <w:szCs w:val="16"/>
                <w:color w:val="auto"/>
              </w:rPr>
              <w:t>TransCon PTH /</w:t>
            </w:r>
          </w:p>
        </w:tc>
        <w:tc>
          <w:tcPr>
            <w:tcW w:w="176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eGFR &lt; 60</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19</w:t>
            </w:r>
          </w:p>
        </w:tc>
        <w:tc>
          <w:tcPr>
            <w:tcW w:w="17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+11.4</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19</w:t>
            </w:r>
          </w:p>
        </w:tc>
        <w:tc>
          <w:tcPr>
            <w:tcW w:w="1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+11.5</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18</w:t>
            </w:r>
          </w:p>
        </w:tc>
        <w:tc>
          <w:tcPr>
            <w:tcW w:w="1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+13.4</w:t>
            </w:r>
          </w:p>
        </w:tc>
      </w:tr>
      <w:tr>
        <w:trPr>
          <w:trHeight w:val="213"/>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TransCon PTH</w:t>
            </w:r>
          </w:p>
        </w:tc>
        <w:tc>
          <w:tcPr>
            <w:tcW w:w="17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(p=0.0002)</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(p=0.0003)</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r>
      <w:tr>
        <w:trPr>
          <w:trHeight w:val="185"/>
        </w:trPr>
        <w:tc>
          <w:tcPr>
            <w:tcW w:w="172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eGFR ≥ 60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+6.3</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+8.6</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+6.9</w:t>
            </w: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(p=0.0002)</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r>
      <w:tr>
        <w:trPr>
          <w:trHeight w:val="185"/>
        </w:trPr>
        <w:tc>
          <w:tcPr>
            <w:tcW w:w="172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+7.9</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+9.3</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+8.9</w:t>
            </w:r>
          </w:p>
        </w:tc>
      </w:tr>
      <w:tr>
        <w:trPr>
          <w:trHeight w:val="213"/>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(p&lt;0.0001)</w:t>
            </w:r>
          </w:p>
        </w:tc>
      </w:tr>
      <w:tr>
        <w:trPr>
          <w:trHeight w:val="185"/>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Placebo</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eGFR &lt; 60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+0.1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+11.7</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+15.6</w:t>
            </w:r>
          </w:p>
        </w:tc>
      </w:tr>
      <w:tr>
        <w:trPr>
          <w:trHeight w:val="210"/>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(first 26 weeks) /</w:t>
            </w:r>
          </w:p>
        </w:tc>
        <w:tc>
          <w:tcPr>
            <w:tcW w:w="17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(p=0.9877)</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(p=0.0018)</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(p=0.0067)</w:t>
            </w:r>
          </w:p>
        </w:tc>
      </w:tr>
      <w:tr>
        <w:trPr>
          <w:trHeight w:val="188"/>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TransCon PTH**</w:t>
            </w: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eGFR ≥ 60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+6.5</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+7.6</w:t>
            </w: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(p=0.3280)</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(p=0.0199)</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(p=0.0121)</w:t>
            </w:r>
          </w:p>
        </w:tc>
      </w:tr>
      <w:tr>
        <w:trPr>
          <w:trHeight w:val="185"/>
        </w:trPr>
        <w:tc>
          <w:tcPr>
            <w:tcW w:w="1720" w:type="dxa"/>
            <w:vAlign w:val="bottom"/>
            <w:tcBorders>
              <w:left w:val="single" w:sz="8" w:color="auto"/>
              <w:right w:val="single" w:sz="8" w:color="auto"/>
            </w:tcBorders>
          </w:tcPr>
          <w:p>
            <w:pPr>
              <w:spacing w:after="0"/>
              <w:rPr>
                <w:sz w:val="16"/>
                <w:szCs w:val="16"/>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+7.6</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+9.4</w:t>
            </w:r>
          </w:p>
        </w:tc>
      </w:tr>
      <w:tr>
        <w:trPr>
          <w:trHeight w:val="213"/>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(p=0.3468)</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(p=0.0014)</w:t>
            </w:r>
          </w:p>
        </w:tc>
        <w:tc>
          <w:tcPr>
            <w:tcW w:w="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(p=0.0006)</w:t>
            </w:r>
          </w:p>
        </w:tc>
      </w:tr>
    </w:tbl>
    <w:p>
      <w:pPr>
        <w:spacing w:after="0" w:line="8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i w:val="1"/>
          <w:iCs w:val="1"/>
          <w:color w:val="auto"/>
        </w:rPr>
        <w:t>*eGFR (an assessment of kidney filtering capacity) was calculated by the trial’s central lab using the Modification of Diet in Renal Disease Study Group (MDRD) equation (Levey, Ann Intern Med 2006). An eGFR level &lt;60 mL/min/1.73m</w:t>
      </w: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8"/>
          <w:szCs w:val="18"/>
          <w:i w:val="1"/>
          <w:iCs w:val="1"/>
          <w:color w:val="auto"/>
        </w:rPr>
        <w:t xml:space="preserve"> is considered the threshold for impaired kidney function.</w:t>
      </w:r>
    </w:p>
    <w:p>
      <w:pPr>
        <w:spacing w:after="0"/>
        <w:rPr>
          <w:sz w:val="20"/>
          <w:szCs w:val="20"/>
          <w:color w:val="auto"/>
        </w:rPr>
      </w:pPr>
      <w:r>
        <w:rPr>
          <w:rFonts w:ascii="Times New Roman" w:cs="Times New Roman" w:eastAsia="Times New Roman" w:hAnsi="Times New Roman"/>
          <w:sz w:val="18"/>
          <w:szCs w:val="18"/>
          <w:i w:val="1"/>
          <w:iCs w:val="1"/>
          <w:color w:val="auto"/>
        </w:rPr>
        <w:t>**Patients in the placebo arm switched to TransCon PTH following the Week 26 visit.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TransCon PTH treatment was associated with clinically meaningful increases (≥ 5 mL/min/1.73 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in eGFR within 26 weeks that were sustained through</w:t>
      </w:r>
    </w:p>
    <w:p>
      <w:pPr>
        <w:spacing w:after="0"/>
        <w:rPr>
          <w:sz w:val="20"/>
          <w:szCs w:val="20"/>
          <w:color w:val="auto"/>
        </w:rPr>
      </w:pPr>
      <w:r>
        <w:rPr>
          <w:rFonts w:ascii="Times New Roman" w:cs="Times New Roman" w:eastAsia="Times New Roman" w:hAnsi="Times New Roman"/>
          <w:sz w:val="18"/>
          <w:szCs w:val="18"/>
          <w:color w:val="auto"/>
        </w:rPr>
        <w:t>Week 104 of PaTHway:</w:t>
      </w:r>
    </w:p>
    <w:p>
      <w:pPr>
        <w:spacing w:after="0" w:line="99" w:lineRule="exact"/>
        <w:rPr>
          <w:sz w:val="20"/>
          <w:szCs w:val="20"/>
          <w:color w:val="auto"/>
        </w:rPr>
      </w:pPr>
    </w:p>
    <w:p>
      <w:pPr>
        <w:ind w:left="120" w:right="5280"/>
        <w:spacing w:after="0" w:line="260" w:lineRule="auto"/>
        <w:rPr>
          <w:sz w:val="20"/>
          <w:szCs w:val="20"/>
          <w:color w:val="auto"/>
        </w:rPr>
      </w:pPr>
      <w:r>
        <w:rPr>
          <w:rFonts w:ascii="Times New Roman" w:cs="Times New Roman" w:eastAsia="Times New Roman" w:hAnsi="Times New Roman"/>
          <w:sz w:val="16"/>
          <w:szCs w:val="16"/>
          <w:b w:val="1"/>
          <w:bCs w:val="1"/>
          <w:color w:val="auto"/>
        </w:rPr>
        <w:t>Proportion of Participants (%) with ≥ 5 and ≥ 10 mL/min/1.73 m</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 xml:space="preserve"> Increases in eGFR from Baseline through Week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-283845</wp:posOffset>
            </wp:positionV>
            <wp:extent cx="7136130" cy="295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952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4"/>
        </w:trPr>
        <w:tc>
          <w:tcPr>
            <w:tcW w:w="2420" w:type="dxa"/>
            <w:vAlign w:val="bottom"/>
            <w:tcBorders>
              <w:top w:val="single" w:sz="8" w:color="auto"/>
              <w:left w:val="single" w:sz="8" w:color="auto"/>
              <w:bottom w:val="single" w:sz="8" w:color="F2F2F2"/>
              <w:right w:val="single" w:sz="8" w:color="auto"/>
            </w:tcBorders>
            <w:shd w:val="clear" w:color="auto" w:fill="F2F2F2"/>
          </w:tcPr>
          <w:p>
            <w:pPr>
              <w:spacing w:after="0"/>
              <w:rPr>
                <w:sz w:val="21"/>
                <w:szCs w:val="21"/>
                <w:color w:val="auto"/>
              </w:rPr>
            </w:pPr>
          </w:p>
        </w:tc>
        <w:tc>
          <w:tcPr>
            <w:tcW w:w="120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22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46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440" w:type="dxa"/>
            <w:vAlign w:val="bottom"/>
            <w:tcBorders>
              <w:top w:val="single" w:sz="8" w:color="auto"/>
              <w:bottom w:val="single" w:sz="8" w:color="auto"/>
              <w:right w:val="single" w:sz="8" w:color="F2F2F2"/>
            </w:tcBorders>
            <w:shd w:val="clear" w:color="auto" w:fill="F2F2F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All Participants</w:t>
            </w:r>
          </w:p>
        </w:tc>
        <w:tc>
          <w:tcPr>
            <w:tcW w:w="176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740" w:type="dxa"/>
            <w:vAlign w:val="bottom"/>
            <w:tcBorders>
              <w:top w:val="single" w:sz="8" w:color="auto"/>
              <w:bottom w:val="single" w:sz="8" w:color="auto"/>
              <w:right w:val="single" w:sz="8" w:color="auto"/>
            </w:tcBorders>
            <w:shd w:val="clear" w:color="auto" w:fill="F2F2F2"/>
          </w:tcPr>
          <w:p>
            <w:pPr>
              <w:spacing w:after="0"/>
              <w:rPr>
                <w:sz w:val="21"/>
                <w:szCs w:val="21"/>
                <w:color w:val="auto"/>
              </w:rPr>
            </w:pPr>
          </w:p>
        </w:tc>
      </w:tr>
      <w:tr>
        <w:trPr>
          <w:trHeight w:val="200"/>
        </w:trPr>
        <w:tc>
          <w:tcPr>
            <w:tcW w:w="2420" w:type="dxa"/>
            <w:vAlign w:val="bottom"/>
            <w:tcBorders>
              <w:left w:val="single" w:sz="8" w:color="auto"/>
              <w:right w:val="single" w:sz="8" w:color="auto"/>
            </w:tcBorders>
            <w:shd w:val="clear" w:color="auto" w:fill="F2F2F2"/>
          </w:tcPr>
          <w:p>
            <w:pPr>
              <w:spacing w:after="0"/>
              <w:rPr>
                <w:sz w:val="17"/>
                <w:szCs w:val="17"/>
                <w:color w:val="auto"/>
              </w:rPr>
            </w:pPr>
          </w:p>
        </w:tc>
        <w:tc>
          <w:tcPr>
            <w:tcW w:w="3880" w:type="dxa"/>
            <w:vAlign w:val="bottom"/>
            <w:tcBorders>
              <w:right w:val="single" w:sz="8" w:color="auto"/>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TransCon PTH / TransCon PTH</w:t>
            </w:r>
          </w:p>
        </w:tc>
        <w:tc>
          <w:tcPr>
            <w:tcW w:w="4940" w:type="dxa"/>
            <w:vAlign w:val="bottom"/>
            <w:tcBorders>
              <w:right w:val="single" w:sz="8" w:color="auto"/>
            </w:tcBorders>
            <w:gridSpan w:val="3"/>
            <w:shd w:val="clear" w:color="auto" w:fill="F2F2F2"/>
          </w:tcPr>
          <w:p>
            <w:pPr>
              <w:ind w:left="960"/>
              <w:spacing w:after="0"/>
              <w:rPr>
                <w:sz w:val="20"/>
                <w:szCs w:val="20"/>
                <w:color w:val="auto"/>
              </w:rPr>
            </w:pPr>
            <w:r>
              <w:rPr>
                <w:rFonts w:ascii="Times New Roman" w:cs="Times New Roman" w:eastAsia="Times New Roman" w:hAnsi="Times New Roman"/>
                <w:sz w:val="16"/>
                <w:szCs w:val="16"/>
                <w:b w:val="1"/>
                <w:bCs w:val="1"/>
                <w:color w:val="auto"/>
              </w:rPr>
              <w:t>Placebo (first 26 weeks) / TransCon PTH**</w:t>
            </w:r>
          </w:p>
        </w:tc>
      </w:tr>
      <w:tr>
        <w:trPr>
          <w:trHeight w:val="225"/>
        </w:trPr>
        <w:tc>
          <w:tcPr>
            <w:tcW w:w="2420" w:type="dxa"/>
            <w:vAlign w:val="bottom"/>
            <w:tcBorders>
              <w:left w:val="single" w:sz="8" w:color="auto"/>
              <w:bottom w:val="single" w:sz="8" w:color="F2F2F2"/>
              <w:right w:val="single" w:sz="8" w:color="auto"/>
            </w:tcBorders>
            <w:shd w:val="clear" w:color="auto" w:fill="F2F2F2"/>
          </w:tcPr>
          <w:p>
            <w:pPr>
              <w:spacing w:after="0"/>
              <w:rPr>
                <w:sz w:val="19"/>
                <w:szCs w:val="19"/>
                <w:color w:val="auto"/>
              </w:rPr>
            </w:pPr>
          </w:p>
        </w:tc>
        <w:tc>
          <w:tcPr>
            <w:tcW w:w="1200" w:type="dxa"/>
            <w:vAlign w:val="bottom"/>
            <w:tcBorders>
              <w:bottom w:val="single" w:sz="8" w:color="auto"/>
              <w:right w:val="single" w:sz="8" w:color="F2F2F2"/>
            </w:tcBorders>
            <w:shd w:val="clear" w:color="auto" w:fill="F2F2F2"/>
          </w:tcPr>
          <w:p>
            <w:pPr>
              <w:spacing w:after="0"/>
              <w:rPr>
                <w:sz w:val="19"/>
                <w:szCs w:val="19"/>
                <w:color w:val="auto"/>
              </w:rPr>
            </w:pPr>
          </w:p>
        </w:tc>
        <w:tc>
          <w:tcPr>
            <w:tcW w:w="1220" w:type="dxa"/>
            <w:vAlign w:val="bottom"/>
            <w:tcBorders>
              <w:bottom w:val="single" w:sz="8" w:color="auto"/>
              <w:right w:val="single" w:sz="8" w:color="F2F2F2"/>
            </w:tcBorders>
            <w:shd w:val="clear" w:color="auto" w:fill="F2F2F2"/>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(n=61)</w:t>
            </w:r>
          </w:p>
        </w:tc>
        <w:tc>
          <w:tcPr>
            <w:tcW w:w="1460" w:type="dxa"/>
            <w:vAlign w:val="bottom"/>
            <w:tcBorders>
              <w:bottom w:val="single" w:sz="8" w:color="auto"/>
              <w:right w:val="single" w:sz="8" w:color="auto"/>
            </w:tcBorders>
            <w:shd w:val="clear" w:color="auto" w:fill="F2F2F2"/>
          </w:tcPr>
          <w:p>
            <w:pPr>
              <w:spacing w:after="0"/>
              <w:rPr>
                <w:sz w:val="19"/>
                <w:szCs w:val="19"/>
                <w:color w:val="auto"/>
              </w:rPr>
            </w:pP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1760" w:type="dxa"/>
            <w:vAlign w:val="bottom"/>
            <w:tcBorders>
              <w:bottom w:val="single" w:sz="8" w:color="auto"/>
              <w:right w:val="single" w:sz="8" w:color="F2F2F2"/>
            </w:tcBorders>
            <w:shd w:val="clear" w:color="auto" w:fill="F2F2F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(n=21)</w:t>
            </w:r>
          </w:p>
        </w:tc>
        <w:tc>
          <w:tcPr>
            <w:tcW w:w="174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50"/>
        </w:trPr>
        <w:tc>
          <w:tcPr>
            <w:tcW w:w="2420" w:type="dxa"/>
            <w:vAlign w:val="bottom"/>
            <w:tcBorders>
              <w:left w:val="single" w:sz="8" w:color="auto"/>
              <w:bottom w:val="single" w:sz="8" w:color="F2F2F2"/>
              <w:right w:val="single" w:sz="8" w:color="auto"/>
            </w:tcBorders>
            <w:shd w:val="clear" w:color="auto" w:fill="F2F2F2"/>
          </w:tcPr>
          <w:p>
            <w:pPr>
              <w:spacing w:after="0"/>
              <w:rPr>
                <w:sz w:val="21"/>
                <w:szCs w:val="21"/>
                <w:color w:val="auto"/>
              </w:rPr>
            </w:pPr>
          </w:p>
        </w:tc>
        <w:tc>
          <w:tcPr>
            <w:tcW w:w="1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12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52</w:t>
            </w:r>
          </w:p>
        </w:tc>
        <w:tc>
          <w:tcPr>
            <w:tcW w:w="14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c>
          <w:tcPr>
            <w:tcW w:w="14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1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52</w:t>
            </w:r>
          </w:p>
        </w:tc>
        <w:tc>
          <w:tcPr>
            <w:tcW w:w="17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r>
      <w:tr>
        <w:trPr>
          <w:trHeight w:val="250"/>
        </w:trPr>
        <w:tc>
          <w:tcPr>
            <w:tcW w:w="2420" w:type="dxa"/>
            <w:vAlign w:val="bottom"/>
            <w:tcBorders>
              <w:left w:val="single" w:sz="8" w:color="auto"/>
              <w:bottom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6"/>
                <w:szCs w:val="16"/>
                <w:b w:val="1"/>
                <w:bCs w:val="1"/>
                <w:color w:val="auto"/>
              </w:rPr>
              <w:t>eGFR Change from Baseline</w:t>
            </w:r>
          </w:p>
        </w:tc>
        <w:tc>
          <w:tcPr>
            <w:tcW w:w="1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PTH</w:t>
            </w:r>
          </w:p>
        </w:tc>
        <w:tc>
          <w:tcPr>
            <w:tcW w:w="12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4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4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c>
          <w:tcPr>
            <w:tcW w:w="17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r>
      <w:tr>
        <w:trPr>
          <w:trHeight w:val="230"/>
        </w:trPr>
        <w:tc>
          <w:tcPr>
            <w:tcW w:w="2420" w:type="dxa"/>
            <w:vAlign w:val="bottom"/>
            <w:tcBorders>
              <w:left w:val="single" w:sz="8" w:color="auto"/>
              <w:bottom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 mL/min/1.73 m</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57%</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52%</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w:t>
            </w:r>
          </w:p>
        </w:tc>
      </w:tr>
      <w:tr>
        <w:trPr>
          <w:trHeight w:val="223"/>
        </w:trPr>
        <w:tc>
          <w:tcPr>
            <w:tcW w:w="24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 mL/min/1.73 m</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w:t>
            </w:r>
          </w:p>
        </w:tc>
      </w:tr>
      <w:tr>
        <w:trPr>
          <w:trHeight w:val="258"/>
        </w:trPr>
        <w:tc>
          <w:tcPr>
            <w:tcW w:w="2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r>
      <w:tr>
        <w:trPr>
          <w:trHeight w:val="260"/>
        </w:trPr>
        <w:tc>
          <w:tcPr>
            <w:tcW w:w="2420" w:type="dxa"/>
            <w:vAlign w:val="bottom"/>
            <w:tcBorders>
              <w:top w:val="single" w:sz="8" w:color="auto"/>
              <w:left w:val="single" w:sz="8" w:color="auto"/>
              <w:bottom w:val="single" w:sz="8" w:color="F2F2F2"/>
              <w:right w:val="single" w:sz="8" w:color="auto"/>
            </w:tcBorders>
            <w:shd w:val="clear" w:color="auto" w:fill="F2F2F2"/>
          </w:tcPr>
          <w:p>
            <w:pPr>
              <w:spacing w:after="0"/>
              <w:rPr>
                <w:sz w:val="22"/>
                <w:szCs w:val="22"/>
                <w:color w:val="auto"/>
              </w:rPr>
            </w:pPr>
          </w:p>
        </w:tc>
        <w:tc>
          <w:tcPr>
            <w:tcW w:w="1200" w:type="dxa"/>
            <w:vAlign w:val="bottom"/>
            <w:tcBorders>
              <w:top w:val="single" w:sz="8" w:color="F2F2F2"/>
              <w:bottom w:val="single" w:sz="8" w:color="auto"/>
              <w:right w:val="single" w:sz="8" w:color="F2F2F2"/>
            </w:tcBorders>
            <w:shd w:val="clear" w:color="auto" w:fill="F2F2F2"/>
          </w:tcPr>
          <w:p>
            <w:pPr>
              <w:spacing w:after="0"/>
              <w:rPr>
                <w:sz w:val="22"/>
                <w:szCs w:val="22"/>
                <w:color w:val="auto"/>
              </w:rPr>
            </w:pPr>
          </w:p>
        </w:tc>
        <w:tc>
          <w:tcPr>
            <w:tcW w:w="1220" w:type="dxa"/>
            <w:vAlign w:val="bottom"/>
            <w:tcBorders>
              <w:top w:val="single" w:sz="8" w:color="F2F2F2"/>
              <w:bottom w:val="single" w:sz="8" w:color="auto"/>
              <w:right w:val="single" w:sz="8" w:color="F2F2F2"/>
            </w:tcBorders>
            <w:shd w:val="clear" w:color="auto" w:fill="F2F2F2"/>
          </w:tcPr>
          <w:p>
            <w:pPr>
              <w:spacing w:after="0"/>
              <w:rPr>
                <w:sz w:val="22"/>
                <w:szCs w:val="22"/>
                <w:color w:val="auto"/>
              </w:rPr>
            </w:pPr>
          </w:p>
        </w:tc>
        <w:tc>
          <w:tcPr>
            <w:tcW w:w="4660" w:type="dxa"/>
            <w:vAlign w:val="bottom"/>
            <w:tcBorders>
              <w:top w:val="single" w:sz="8" w:color="F2F2F2"/>
              <w:bottom w:val="single" w:sz="8" w:color="auto"/>
              <w:right w:val="single" w:sz="8" w:color="F2F2F2"/>
            </w:tcBorders>
            <w:gridSpan w:val="3"/>
            <w:shd w:val="clear" w:color="auto" w:fill="F2F2F2"/>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Participants with Baseline eGFR &lt; 60 mL/min/1.73 m</w:t>
            </w:r>
            <w:r>
              <w:rPr>
                <w:rFonts w:ascii="Times New Roman" w:cs="Times New Roman" w:eastAsia="Times New Roman" w:hAnsi="Times New Roman"/>
                <w:sz w:val="21"/>
                <w:szCs w:val="21"/>
                <w:b w:val="1"/>
                <w:bCs w:val="1"/>
                <w:color w:val="auto"/>
                <w:vertAlign w:val="superscript"/>
              </w:rPr>
              <w:t>2</w:t>
            </w:r>
          </w:p>
        </w:tc>
        <w:tc>
          <w:tcPr>
            <w:tcW w:w="1740" w:type="dxa"/>
            <w:vAlign w:val="bottom"/>
            <w:tcBorders>
              <w:top w:val="single" w:sz="8" w:color="F2F2F2"/>
              <w:bottom w:val="single" w:sz="8" w:color="auto"/>
              <w:right w:val="single" w:sz="8" w:color="auto"/>
            </w:tcBorders>
            <w:shd w:val="clear" w:color="auto" w:fill="F2F2F2"/>
          </w:tcPr>
          <w:p>
            <w:pPr>
              <w:spacing w:after="0"/>
              <w:rPr>
                <w:sz w:val="22"/>
                <w:szCs w:val="22"/>
                <w:color w:val="auto"/>
              </w:rPr>
            </w:pPr>
          </w:p>
        </w:tc>
      </w:tr>
      <w:tr>
        <w:trPr>
          <w:trHeight w:val="194"/>
        </w:trPr>
        <w:tc>
          <w:tcPr>
            <w:tcW w:w="2420" w:type="dxa"/>
            <w:vAlign w:val="bottom"/>
            <w:tcBorders>
              <w:left w:val="single" w:sz="8" w:color="auto"/>
              <w:right w:val="single" w:sz="8" w:color="auto"/>
            </w:tcBorders>
            <w:shd w:val="clear" w:color="auto" w:fill="F2F2F2"/>
          </w:tcPr>
          <w:p>
            <w:pPr>
              <w:spacing w:after="0"/>
              <w:rPr>
                <w:sz w:val="16"/>
                <w:szCs w:val="16"/>
                <w:color w:val="auto"/>
              </w:rPr>
            </w:pPr>
          </w:p>
        </w:tc>
        <w:tc>
          <w:tcPr>
            <w:tcW w:w="3880" w:type="dxa"/>
            <w:vAlign w:val="bottom"/>
            <w:tcBorders>
              <w:right w:val="single" w:sz="8" w:color="auto"/>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TransCon PTH / TransCon PTH</w:t>
            </w:r>
          </w:p>
        </w:tc>
        <w:tc>
          <w:tcPr>
            <w:tcW w:w="4940" w:type="dxa"/>
            <w:vAlign w:val="bottom"/>
            <w:tcBorders>
              <w:right w:val="single" w:sz="8" w:color="auto"/>
            </w:tcBorders>
            <w:gridSpan w:val="3"/>
            <w:shd w:val="clear" w:color="auto" w:fill="F2F2F2"/>
          </w:tcPr>
          <w:p>
            <w:pPr>
              <w:ind w:left="960"/>
              <w:spacing w:after="0"/>
              <w:rPr>
                <w:sz w:val="20"/>
                <w:szCs w:val="20"/>
                <w:color w:val="auto"/>
              </w:rPr>
            </w:pPr>
            <w:r>
              <w:rPr>
                <w:rFonts w:ascii="Times New Roman" w:cs="Times New Roman" w:eastAsia="Times New Roman" w:hAnsi="Times New Roman"/>
                <w:sz w:val="16"/>
                <w:szCs w:val="16"/>
                <w:b w:val="1"/>
                <w:bCs w:val="1"/>
                <w:color w:val="auto"/>
              </w:rPr>
              <w:t>Placebo (first 26 weeks) / TransCon PTH**</w:t>
            </w:r>
          </w:p>
        </w:tc>
      </w:tr>
      <w:tr>
        <w:trPr>
          <w:trHeight w:val="225"/>
        </w:trPr>
        <w:tc>
          <w:tcPr>
            <w:tcW w:w="2420" w:type="dxa"/>
            <w:vAlign w:val="bottom"/>
            <w:tcBorders>
              <w:left w:val="single" w:sz="8" w:color="auto"/>
              <w:bottom w:val="single" w:sz="8" w:color="F2F2F2"/>
              <w:right w:val="single" w:sz="8" w:color="auto"/>
            </w:tcBorders>
            <w:shd w:val="clear" w:color="auto" w:fill="F2F2F2"/>
          </w:tcPr>
          <w:p>
            <w:pPr>
              <w:spacing w:after="0"/>
              <w:rPr>
                <w:sz w:val="19"/>
                <w:szCs w:val="19"/>
                <w:color w:val="auto"/>
              </w:rPr>
            </w:pPr>
          </w:p>
        </w:tc>
        <w:tc>
          <w:tcPr>
            <w:tcW w:w="1200" w:type="dxa"/>
            <w:vAlign w:val="bottom"/>
            <w:tcBorders>
              <w:bottom w:val="single" w:sz="8" w:color="auto"/>
              <w:right w:val="single" w:sz="8" w:color="F2F2F2"/>
            </w:tcBorders>
            <w:shd w:val="clear" w:color="auto" w:fill="F2F2F2"/>
          </w:tcPr>
          <w:p>
            <w:pPr>
              <w:spacing w:after="0"/>
              <w:rPr>
                <w:sz w:val="19"/>
                <w:szCs w:val="19"/>
                <w:color w:val="auto"/>
              </w:rPr>
            </w:pPr>
          </w:p>
        </w:tc>
        <w:tc>
          <w:tcPr>
            <w:tcW w:w="1220" w:type="dxa"/>
            <w:vAlign w:val="bottom"/>
            <w:tcBorders>
              <w:bottom w:val="single" w:sz="8" w:color="auto"/>
              <w:right w:val="single" w:sz="8" w:color="F2F2F2"/>
            </w:tcBorders>
            <w:shd w:val="clear" w:color="auto" w:fill="F2F2F2"/>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(n=19)</w:t>
            </w:r>
          </w:p>
        </w:tc>
        <w:tc>
          <w:tcPr>
            <w:tcW w:w="1460" w:type="dxa"/>
            <w:vAlign w:val="bottom"/>
            <w:tcBorders>
              <w:bottom w:val="single" w:sz="8" w:color="auto"/>
              <w:right w:val="single" w:sz="8" w:color="auto"/>
            </w:tcBorders>
            <w:shd w:val="clear" w:color="auto" w:fill="F2F2F2"/>
          </w:tcPr>
          <w:p>
            <w:pPr>
              <w:spacing w:after="0"/>
              <w:rPr>
                <w:sz w:val="19"/>
                <w:szCs w:val="19"/>
                <w:color w:val="auto"/>
              </w:rPr>
            </w:pP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1760" w:type="dxa"/>
            <w:vAlign w:val="bottom"/>
            <w:tcBorders>
              <w:bottom w:val="single" w:sz="8" w:color="auto"/>
              <w:right w:val="single" w:sz="8" w:color="F2F2F2"/>
            </w:tcBorders>
            <w:shd w:val="clear" w:color="auto" w:fill="F2F2F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(n=4)</w:t>
            </w:r>
          </w:p>
        </w:tc>
        <w:tc>
          <w:tcPr>
            <w:tcW w:w="174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50"/>
        </w:trPr>
        <w:tc>
          <w:tcPr>
            <w:tcW w:w="2420" w:type="dxa"/>
            <w:vAlign w:val="bottom"/>
            <w:tcBorders>
              <w:left w:val="single" w:sz="8" w:color="auto"/>
              <w:bottom w:val="single" w:sz="8" w:color="F2F2F2"/>
              <w:right w:val="single" w:sz="8" w:color="auto"/>
            </w:tcBorders>
            <w:shd w:val="clear" w:color="auto" w:fill="F2F2F2"/>
          </w:tcPr>
          <w:p>
            <w:pPr>
              <w:spacing w:after="0"/>
              <w:rPr>
                <w:sz w:val="21"/>
                <w:szCs w:val="21"/>
                <w:color w:val="auto"/>
              </w:rPr>
            </w:pPr>
          </w:p>
        </w:tc>
        <w:tc>
          <w:tcPr>
            <w:tcW w:w="1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12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52</w:t>
            </w:r>
          </w:p>
        </w:tc>
        <w:tc>
          <w:tcPr>
            <w:tcW w:w="14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c>
          <w:tcPr>
            <w:tcW w:w="14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26</w:t>
            </w:r>
          </w:p>
        </w:tc>
        <w:tc>
          <w:tcPr>
            <w:tcW w:w="1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52</w:t>
            </w:r>
          </w:p>
        </w:tc>
        <w:tc>
          <w:tcPr>
            <w:tcW w:w="17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Week 104</w:t>
            </w:r>
          </w:p>
        </w:tc>
      </w:tr>
      <w:tr>
        <w:trPr>
          <w:trHeight w:val="270"/>
        </w:trPr>
        <w:tc>
          <w:tcPr>
            <w:tcW w:w="2420" w:type="dxa"/>
            <w:vAlign w:val="bottom"/>
            <w:tcBorders>
              <w:left w:val="single" w:sz="8" w:color="auto"/>
              <w:bottom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6"/>
                <w:szCs w:val="16"/>
                <w:b w:val="1"/>
                <w:bCs w:val="1"/>
                <w:color w:val="auto"/>
              </w:rPr>
              <w:t>eGFR Change from Baseline</w:t>
            </w:r>
          </w:p>
        </w:tc>
        <w:tc>
          <w:tcPr>
            <w:tcW w:w="1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PTH</w:t>
            </w:r>
          </w:p>
        </w:tc>
        <w:tc>
          <w:tcPr>
            <w:tcW w:w="12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4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PTH</w:t>
            </w:r>
          </w:p>
        </w:tc>
        <w:tc>
          <w:tcPr>
            <w:tcW w:w="14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1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c>
          <w:tcPr>
            <w:tcW w:w="17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6"/>
                <w:szCs w:val="16"/>
                <w:b w:val="1"/>
                <w:bCs w:val="1"/>
                <w:color w:val="auto"/>
              </w:rPr>
              <w:t>Switch to PTH</w:t>
            </w:r>
          </w:p>
        </w:tc>
      </w:tr>
      <w:tr>
        <w:trPr>
          <w:trHeight w:val="209"/>
        </w:trPr>
        <w:tc>
          <w:tcPr>
            <w:tcW w:w="242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 mL/min/1.73 m</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24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 mL/min/1.73 m</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47%</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*Percentages were calculated based on all participants. Patients who did not have an eGFR assessment at the visit were still included in the denominator.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**Patients in the placebo arm switched to TransCon PTH following the Week 26 visit.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58 patients successfully completed the 182 week follow-up in the PaTHway Trial while 15 of the 82 originally enrolled in the trial continue in the OLE portion of the trial. Nine patients withdrew from the trial for reasons unrelated to safety or efficacy of the study drug.</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As of December 31, 2024, 12 patients continue in the ongoing 3-year extension portion of the PaTHway Japan Trial.</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Achondroplasia</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Achondroplasia is the most common genetic form of skeletal dysplasia leading to disproportionate short stature and is associated with a well-delineated range of clinical complications and manifestations, occurring in about one in 10,000 to 30,000 newborns or approximately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Achondroplasia is primarily caused by gain-of-function variants of the FGFR3 gene resulting in constitutive activation of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 and dysfunction in the skeletal muscle. Preclinical and clinical data show that the CNP pathway helps to counteract the effects of the FGFR3 mutation downstream.</w:t>
      </w:r>
    </w:p>
    <w:p>
      <w:pPr>
        <w:spacing w:after="0" w:line="19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November 2021, BioMarin Pharmaceutical Inc.’s daily VOXZOGO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(vosoritide) was approved by the FDA to increase linear growth in pediatric patients with achondroplasia with open epiphyses. Additionally, BioMarin is developing a long-acting CNP to build on VOXZOGO. Other companies that are developing therapies for achondroplasia include QED Therapeutics (a BridgeBio company), Sanofi, Ribomic, Tyra Biosciences, GeneScience and ProLynx.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Changing the Treatment Paradigm of Achondroplasia</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5349240" cy="18948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ACH-AE: Increased incidence of Achondroplasia-related Adverse Events.</w:t>
      </w:r>
    </w:p>
    <w:p>
      <w:pPr>
        <w:spacing w:after="0" w:line="11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HRQoL: Reduced Health-Related Quality of Life; Height; Reduced height. Muscle Strength/Stamina; Reduced muscular functionality, including reduced strength and stamina.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CNP</w:t>
      </w:r>
    </w:p>
    <w:p>
      <w:pPr>
        <w:spacing w:after="0" w:line="11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maximum serum concentration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levels that may cause adverse hypotensive events. We believe the therapeutically sustained release of TransCon CNP offers advantages that may mitigate this issue, leading to continuous CNP exposure with a lower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to correlate with better therapeutic outcomes.</w:t>
      </w:r>
    </w:p>
    <w:p>
      <w:pPr>
        <w:spacing w:after="0" w:line="19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February 2019, we were granted ODD by the FDA for TransCon CNP for the treatment of achondroplasia. In July 2020, we received OD from the EC for TransCon CNP for the treatment of achondroplasia.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CNP for Achondroplasia</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ongoing pivotal ApproaCH Trial, our long-term extension trial AttaCH, and COACH,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18).</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2025, we announced data demonstrating improvements in leg bowing, a common complication in achondroplasia, observed with TransCon CNP compared to worsening observed with placebo in the pivotal ApproaCH Trial.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5349240" cy="1808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the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ApproaCH Trial Top-line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Endpoint</w:t>
      </w:r>
    </w:p>
    <w:p>
      <w:pPr>
        <w:spacing w:after="0" w:line="117" w:lineRule="exact"/>
        <w:rPr>
          <w:sz w:val="20"/>
          <w:szCs w:val="20"/>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primary endpoint of AGV at Week 52, children treated with TransCon CNP (n=57) demonstrated an LS mean AGV of 5.89 cm/year compared to 4.41 cm/year in the placebo arm (n=27), an LS mean difference of 1.49 cm/year (p&lt;0.0001).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Sub-group analyses:</w:t>
      </w:r>
    </w:p>
    <w:p>
      <w:pPr>
        <w:spacing w:after="0" w:line="117" w:lineRule="exact"/>
        <w:rPr>
          <w:rFonts w:ascii="Times New Roman" w:cs="Times New Roman" w:eastAsia="Times New Roman" w:hAnsi="Times New Roman"/>
          <w:sz w:val="18"/>
          <w:szCs w:val="18"/>
          <w:color w:val="auto"/>
        </w:rPr>
      </w:pPr>
    </w:p>
    <w:p>
      <w:pPr>
        <w:ind w:left="1540" w:right="70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oChildren aged 2 to &lt;5 years treated with TransCon CNP (n=21) demonstrated an LS mean AGV at Week 52 of 6.07 cm/year compared to 5.06 cm/year in the placebo arm (n=10), an LS mean difference of 1.02 cm/year (p=0.0084).</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oChildren aged 5-11 years treated with TransCon CNP (n=36) demonstrated an LS mean AGV at Week 52 of 5.79 cm/year compared to 4.02 cm/year in the placebo arm (n=17), an LS mean difference of 1.78 cm/year (p&lt;0.0001).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AGV Change from Baseline</w:t>
      </w:r>
    </w:p>
    <w:p>
      <w:pPr>
        <w:spacing w:after="0" w:line="117" w:lineRule="exact"/>
        <w:rPr>
          <w:sz w:val="20"/>
          <w:szCs w:val="20"/>
          <w:color w:val="auto"/>
        </w:rPr>
      </w:pPr>
    </w:p>
    <w:p>
      <w:pPr>
        <w:ind w:left="1020" w:right="36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aged 2 to &lt;5 years, treated with TransCon CNP (n=19) demonstrated a change from baseline AGV at Week 52 of 1.57 cm/year compared to 0.43 cm/year in the placebo arm (n=10), an LS mean difference of 1.15 cm/year (p=0.0047).</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aged 5-11 years, treated with TransCon CNP (n=35) demonstrated a change from baseline AGV at Week 52 of 2.29 cm/year compared to 0.52 cm/year in the placebo arm (n=17), an LS mean difference of 1.78 cm/year (p&lt;0.0001).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Endpoints</w:t>
      </w:r>
    </w:p>
    <w:p>
      <w:pPr>
        <w:spacing w:after="0" w:line="117" w:lineRule="exact"/>
        <w:rPr>
          <w:sz w:val="20"/>
          <w:szCs w:val="20"/>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secondary endpoint of change in ACH Height Z-score, children treated with TransCon CNP (n=57) demonstrated an LS mean change from baseline ACH Height Z-score of 0.30 compared to 0.01 in the placebo arm (n=27), an LS mean difference of 0.28 (p&lt;0.0001).</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secondary endpoint of change in CDC Height Z-score, children treated with TransCon CNP (n=55) demonstrated an LS mean change from baseline CDC Height Z-score of 0.15 compared to -0.15 in the placebo arm (n=27), an LS mean difference of 0.30 (p=0.0003).</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Results Summary</w:t>
      </w:r>
    </w:p>
    <w:p>
      <w:pPr>
        <w:spacing w:after="0" w:line="117" w:lineRule="exact"/>
        <w:rPr>
          <w:sz w:val="20"/>
          <w:szCs w:val="20"/>
          <w:color w:val="auto"/>
        </w:rPr>
      </w:pPr>
    </w:p>
    <w:p>
      <w:pPr>
        <w:ind w:left="102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was generally well-tolerated and demonstrated safety profile comparable to those observed in the placebo arm, with generally mild treatment emergent adverse events (“TEAEs”), no evidence of hypotensive effect, and a low frequency of injection site reactions (0.41 events per patient year), all mild.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adverse events (“AEs”) led to discontinuation of TransCon CNP or withdrawal from the trial and no serious adverse events (“SAEs”) were assessed as related to TransCon CNP.</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Following our pre-NDA meeting with FDA, we plan to submit a New Drug Application (“NDA”) for the treatment of children with achondroplasia during the first quarter of 2025 and submit a Marketing Authorisation Application (“MAA”) for the treatment of children with achondroplasia to the EMA during the third quarter of 2025.</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quality of life and disease impacts compared to those receiving placebo (data available for 5-13 patients).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Assessments were performed with the SF-10 (a 10-item non-disease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spacing w:after="0" w:line="72"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SF-10 Physical Summary (p=0.002, aged 5 years and older)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Daily Living Function (p=0.047)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ACEM Emotional Well-being (p=0.045)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49240" cy="22631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While the CNP pathway may restore normal growth and skeletal muscle function, we believe delayed initiation of therapy could lead to a permanent height deficit. Clinical use of daily growth hormone injection has consistently demonstrated growth improvements in children with achondroplasia, including catch up growth; however, without reports of benefits beyond linear growth. We believe the combination of TransCon hGH and TransCon CNP, taken together once per week, could enable catch up growth beyond normal growth while maintaining potential benefits on skeletal muscle of continuous CNP exposure. COACH, a Phase 2 open-label single-arm trial, is evaluating TransCon CNP and TransCon hGH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plans to enroll approximately 18 patients (treatment naïve, n=12; prior treatment with TransCon CNP (100 µg/kg/week) for at least 1 year, n=6). Week 26 top-line data from the COACH Trial are expected in the second quarter of 2025.</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November 2022, we announced top-line results from ACcomplisH, a Phase 2 randomized, double-blind, placebo-controlled, dose-escalation trial evaluating the safety and efficacy of once-weekly TransCon CNP compared to placebo in children with achondroplasia aged 2 to 10 years old.</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 All 57 randomized children completed the blinded portion of ACcomplisH and continued in the OLE portion of ACcomplisH at the 100 µg/kg/week dose.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2024, 55 patients completed the OLE portion of the ACcomplisH Trial; 2 patients prematurely withdrew during the OLE. From ACcomplisH OLE, 53 patients transitioned into the Phase 2 AttaCH Trial, a multicenter, long-term, open-label extension trial to continue treatment with TransCon CNP 100 µg/kg/week and 2 patients transitioned into COACH, a TransCon CNP/TransCon hGH combination trial. As of December 31, 2024, 43 patients continue in AttaCH, on long-term OLE treatment; 3 patients prematurely withdrew from treatment and 7 patients transitioned into COACH. With the last subject completing the OLE portion of the ACcomplisH Trial, the ACcomplisH Trial has completed.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 We plan to make the results available in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Candidates—Oncology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Oncology</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Despite recent advances, a high need for new treatment options remains for patients who do not respond to, or who respond inadequately to, current therapies. In addition to insufficient efficacy, many current treatments are limited by toxicities that result in dose reductions, treatment discontinuations, or long-term health risks to patients.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one approach to improving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currently developing TransCon technology in oncology for a variety of solid tumors, with encouraging early data in platinum resistant ovarian cancer and melanoma. Aside from Proleukin being the only approved IL-2, TransCon IL-2 b/g may face competition from other IL-2 type drug candidates in development, including those being developed by Mural, Anaveon, Medicenna, Roche, Innovent, Synthekine, Dragonfly, Sotio, and Aulos. In addition, TransCon IL-2 b/g may face competition from drug candidates in development for platinum resistant ovarian cancer, including Merck, Corcept, Novartis, Advenchen Laboratories, Genelux, Daiichi Sankyo and Mereo/OncXerna. In melanoma, TransCon IL-2 b/g may face competition from drug candidates in development including from Replimune, Philogen, OncoSec, Immunocore, and Regeneron.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Technologies for Oncology</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currently investigating one clinical-stage product candidate designed to activate the patient’s own immune system to eradicate malignant cells. We believe our approach, if successfully developed, has the potential to improve the efficacy of systemically administered, clinically validated therapies while limiting adverse effects.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TransCon product candidate currently being investigated in solid tumors is designed to provide sustained systemic administration, which we believe could provide potent and durable anti-tumor efficacy. Our nonclinical studies have shown sustained activation of cytotoxic immune cells that resulted in robust anti-tumor responses by TransCon product candidates using infrequent administration.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 b/g for Sustained Systemic Release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TransCon IL-2 b/g (onvapegleukin alfa) is an investigational long-acting prodrug designed to improve cancer immunotherapy through sustained release of an IL-2 variant that selectively activates IL-2 b/g, with minimal binding to IL-2Rα. The IL-Believe Trial, a Phase 1/2 clinical trial to evaluate the safety and efficacy of TransCon IL-2 b/g in locally advanced or metastatic solid tumors, alone or in combination with pembrolizumab or standard of care chemotherapy, has completed dose escalation and is enrolling patients in multiple indication-specific dose expansion cohorts, including platinum-resistant ovarian cancer (“PROC”), cervical cancer, melanoma, non-small cell lung cancer (“NSCLC”), and small cell lung cancer (“SCLC”) at the RP2D.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2024, we announced initial data showing signs of clinical activity in heavily pre-treated patients with PROC treated (cohort 3) with TransCon IL-2 β/γ in combination with chemotherapy in the ongoing Phase 1/2 IL-Believe Trial of TransCon IL-2 β/γ. As of a cutoff date of July 29, 2024, of the 18 patients (median age 64 years) included in the initial assessment, 14 were efficacy evaluable patients who had one or more post-baseline tumor assessment(s), plus an additional four who discontinued treatment before the first post-baseline tumor assessment due to disease progression or death.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data cutoff,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the potential for clinical activity in heavily pre-treated patients. The data suggest that TransCon IL-2 β/γ was generally well-tolerated: the most common TEAEs related to combination therapy with TransCon IL-2 β/γ plus chemotherapy were fatigue, thrombocytopenia, neutropenia, and anemia. Most TransCon IL-2 β/γ-related TEAEs were grade 1 or 2.</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2024, we reported updated results from our ongoing Phase 1/2 IL-Believe Trial of TransCon IL-2 b/g. Data included the first presentation of Phase 2 dose expansion Cohort 4 (TransCon IL-2 β⁄γ in combination with TransCon TLR7/8 Agonist) in post anti-PD-1 melanoma and new analyses of patients from dose escalation cohorts with prior disease progression on checkpoint inhibitors, along with biomarker studies correlating cytotoxic immune cell expansion and observed clinical benefit. As of the April 16, 2024, data cutoff, confirmed clinical partial responses were observed in 40% (two out of five) of efficacy-evaluable patients from Cohort 4, suggesting potential synergy of our two novel immunotherapy candidates in patients who did not derive sufficient benefit from checkpoint inhibitors. Of efficacy-evaluable patients with prior disease progression on checkpoint inhibitors to date (from Phase 1 dose escalation cohorts) in the IL-Believe Trial, confirmed clinical responses (per RECIST v1.1) were observed in 45% (five out of eleven) administered TransCon IL-2 β/γ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β⁄γ alone or in combination with pembrolizumab or TransCon TLR7/8 Agonist was generally well tolerated with no new safety signals.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2023, we announced updated data from the ongoing Phase 1 dose escalation cohort from IL-Believe Trial. Forty-six patients were enrolled into dose escalation cohorts: 25 to monotherapy and 21 to combination therapy. As of the August 15, 2023, data cutoff, anti-tumor clinical responses were observed with TransCon IL-2 b/g monotherapy (colorectal cancer with PR) or in combination with pembrolizumab (small cell lung cancer, one with confirmed PR and one ongoing with unconfirmed complete response) in heavily pre-treated patients who previously progressed on checkpoint inhibitors. TransCon IL-2 b/g every three weeks was generally well-tolerated, with no meaningful effect on Tregs and eosinophils.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September 2023, we announced completion of Phase 1 dose escalation in combination with pembrolizumab of the IL-Believe Trial with a total of 21 patients enrolled and RP2D determined at 120 µg/kg IV every three weeks. Twenty-one patients were enrolled.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7" w:name="page98"/>
    <w:bookmarkEnd w:id="9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Novo Nordisk A/S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2024, we entered into a research and development collaboration and license agreement with Novo Nordisk A/S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For each additional metabolic or cardiovascular disease product candidate, we will be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terms of the agreement, we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termination of the agreement due to Novo Nordisk’s default, some or all of the licenses granted by us to Novo Nordisk to develop, manufacture and commercialize any of the licensed products will automatically terminate.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Teijin Limited</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we announced that we entered into an exclusive license agreement with Teijin Limited for the further development and commercialization of TransCon hGH, TransCon PTH, and TransCon CNP for endocrinology rare disease in Japan. Under the terms of the agreement with Teijin Limited,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December 2024, Teijin Pharma Limited announced the submission of an application for manufacturing and marketing approval of palopegteriparatide for the treatment of hypoparathyroidism in Japan.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VISEN Pharmaceuticals</w:t>
      </w:r>
    </w:p>
    <w:p>
      <w:pPr>
        <w:spacing w:after="0" w:line="11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November 2018, we announced the formation of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As of December 31, 2024, our ownership in VISEN was 43.9%.</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its palopegteriparatide Phase 3 trial.</w:t>
      </w:r>
    </w:p>
    <w:p>
      <w:pPr>
        <w:spacing w:after="0" w:line="18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 March 2024, VISEN announced that the BLA for lonapegsomatropin (TransCon hGH) was accepted by the China National Medical Products Administration.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VISEN announced top-line results from the Phase 2 ACcomplisH China Trial in children with achondroplasia aged 2 to 10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VISEN reported that patients dosed with TransCon CNP at the 100 μg CNP/kg/week showed significantly higher AGV than placebo at Week 52.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2022, VISEN announced data from its pivotal Phase 3 study of TransCon hGH in children with GHD in China. VISEN reported that patients dosed with TransCon hGH demonstrated an annualized height velocity (“AHV”) of 10.66 cm/year compared to 9.75 cm/year for the daily hGH at 52 weeks (treatment difference at 0.91 cm/year with a 95 percent confidence interval: 0.37 – 1.45 cm/year, p=0.0010), reaching its primary objective, demonstrating that TransCon hGH is non-inferior to the daily hGH.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China</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Agreements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Shareholders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our investment in VISEN, on January 8, 2021, we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we have the right to designate two individuals for election to the board of directors of VISEN. In addition, VISEN has agreed that certain specified events (including certain liquidation events) shall require the approval of (i) shareholders of VISEN holding at least 50% of VISEN’s Series B preferred shares, (ii) 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Eyconis, Inc</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January 2024, we announced the formation and launch with Frazier Life Sciences of Eyconis, Inc., a separate company created to develop, manufacture, and commercialize TransCon ophthalmology assets globally, together with a $150 million commitment from an investor syndicate that included Frazier, RA Capital Management, venBio, and HealthQuest Capital.</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December 31, 2024, our ownership in Eyconis was 41.6%.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utilize the services of contract manufacturers to manufacture drug substance required for later phases of clinical development and eventual commercialization for us under all applicable laws and regulations and are subject to long term forecasting obligations and certain minimum purchase requirements for all parts of the commercial supply chain.</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third-parties to manufacture and test clinical trial drug supplies for the foreseeable future.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contract suppliers manufacture drug substance and finished drug product for our TransCon product candidates for clinical trial use in effort to comply with current good manufacturing practice (“cGMP”), applicable local regulations and similar foreign requirements. cGMP and similar foreign requirements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similar foreign requirements, and for device and device components, the Quality System Regulation (“QSR”) requirements, before any product is approved. Our third-party manufacturers may also be subject to periodic inspections of facilities by the FDA, the EU member states competent authorities, and other authorities, including reviews of procedures and operations used in the testing and manufacture of our products to assess our compliance with applicable regulations.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contract with additional third-parties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NOF Manufacturing and Supply Agreement Related to TransCon hGH</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December 21, 2017, we entered into a multi-year Manufacturing and Supply Agreement (the “NOF Agreement”) with NOF Corporation (“NOF”). Under the NOF Agreement, NOF has agreed to manufacture and supply the mPEG Linker (the “NOF hGH Product”) for our TransCon hGH product candidate. We have agreed to purchase certain quantities of NOF hGH Product.</w:t>
      </w:r>
    </w:p>
    <w:p>
      <w:pPr>
        <w:spacing w:after="0" w:line="17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NOF Agreement is effective as of December 21, 2017. The initial term of the NOF Agreement terminates on December 31, 2025 unless earlier terminated.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50% or more of the direct or indirect ownership of NOF or manufacturing facilities relevant to the NOF Agreement, if such ownership goes to a third-party materially involved in the treatment of growth related disorders in humans. The NOF Agreement may also be terminated by either party for a continuing event of force majeure.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NOF Agreement contains, among other provisions customary representations and warranties by us and NOF, grants of certain limited license rights related to either party’s intellectual property in connection with the manufacturing and supply of NOF hGH Product, certain indemnification rights in favor of both parties and customary confidentiality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NOF Manufacturing and Supply Agreement Related to TransCon PTH</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31, 2020, we entered into a multi-year Manufacturing and Supply Agreement (the “NOF PTH Agreement”) with NOF. Under the NOF PTH Agreement, NOF has agreed to manufacture and supply the PEG maleimide (the “NOF PTH Product”) for our TransCon PTH product candidate. We have agreed to purchase certain quantities of NOF PTH Product. We may purchase NOF PTH Product from other manufacturers and are not obligated to purchase NOF PTH Product from NOF, other than certain quantities that have been forecasted by us in accordance with a mandatory rolling forecast that we must deliver to NOF from time to time.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NOF PTH Agreement is effective as of August 31, 2020. The initial term of the NOF PTH Agreement terminates on December 31, 2027 unless earlier terminated. After the expiration of the initial term of the NOF PTH Agreement, the NOF PTH Agreement continues until it is terminated. The NOF PTH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PTH Agreement with advance written notice, (iv) by NOF after the initial term of the NOF PTH Agreement with advance written notice, (v) by mutual agreement of the parties, or (vi) by us in the event of a change of fifty percent or more of the direct or indirect ownership of NOF or manufacturing facilities relevant to the NOF PTH Agreement, if such ownership goes to any of a pre-defined list of third parties. In addition, the NOF PTH Agreement may be terminated by NOF in the event of a change of fifty percent or more of the direct or indirect ownership of Ascendis, if such ownership goes to any of a pre-defined list of third parties. The NOF PTH Agreement may also be terminated by either party for a continuing event of force majeure.</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NOF PTH Agreement contains, among other provisions, customary representations and warranties by us and NOF, grants of certain limited license rights related to either party’s intellectual property in connection with the manufacturing and supply of NOF PTH Product, certain indemnification rights in favor of both parties and customary confidentiality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Carbogen Manufacturing and Supply Agreement Related to TransCon hGH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26, 2018, we entered into a multi-year Manufacturing and Supply Agreement (the “Carbogen Agreement”) with Carbogen Amcis AG (“Carbogen”). Under the Carbogen Agreement, Carbogen has agreed to manufacture and supply Linker A (the “Carbogen Product”) for our TransCon hGH product candidate. We may purchase Linker A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 notice, (iv) by Carbogen after the Carbogen Initial Term of the Carbogen Agreement with four years written notice or (v) by mutual agreement of the parties. In addition, the Carbogen Agreement may be terminated by us in the event of a change of fifty percent or more of the direct or indirect ownership of Carbogen, if such ownership goes to a third-party materially involved in the treatment of growth-related disorders in humans. The Carbogen Agreement may also be terminated by either party for a continuing event of force majeure.</w:t>
      </w:r>
    </w:p>
    <w:p>
      <w:pPr>
        <w:spacing w:after="0" w:line="18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Carbogen Manufacturing and Supply Agreement Related to TransCon PTH</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27, 2021, we entered into a multi-year Manufacturing and Supply Agreement (the “Carbogen PTH Agreement”) with Carbogen. Under the Carbogen PTH Agreement, Carbogen has agreed to manufacture and supply Linker F (the “Carbogen PTH Product”) for our TransCon PTH product candidate. We may purchase Carbogen PTH Product from other manufacturers and are not obligated to purchase Carbogen PTH Product from Carbogen, other than certain quantities that have been forecasted by us in accordance with a mandatory rolling forecast that we must deliver to Carbogen from time to time.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Carbogen PTH Agreement is effective as of May 27, 2021. The initial term of the Carbogen PTH Agreement expires five years after the first commercial launch of our TransCon PTH product candidate (the “Carbogen PTH Initial Term”) unless earlier terminated. After the expiration of the Carbogen PTH Initial Term of the Carbogen PTH Agreement, the Carbogen PTH Agreement continues until it is terminated. The Carbogen PTH Agreement may be terminated (i) by either party for the other party’s assignment of the Carbogen PTH Agreement for the benefit of creditors, insolvency, bankruptcy, dissolution, or taking of any action under an act for relief from creditors, (ii) by either party for the other party’s uncured material breach, (iii) by us after the Carbogen PTH Initial Term with one year written notice, (iv) by Carbogen after the Carbogen PTH Initial Term of the Carbogen PTH Agreement with four years written notice (subject to Carbogen’s obligation to actively assist in technology transfer to an alternate supplier) or (v) by mutual agreement of the parties. In addition, the Carbogen PTH Agreement may be terminated by us in the event of a change of fifty percent or more of the direct or indirect ownership of Carbogen, if such ownership goes to a third-party materially involved in the treatment of growth-related disorders in humans. The Carbogen PTH Agreement may also be terminated by either party for a continuing event of force majeure.</w:t>
      </w:r>
    </w:p>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Carbogen PTH Agreement contains, among other provisions, certain representations and warranties by us and Carbogen, grants of certain rights to intellectual property relating to, or inventions made in connection with, the manufacturing and supply of Carbogen PTH Product, certain indemnification rights in favor of both parties and confidentiality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Phillips Medisize (formerly B&amp;O Medicom and Medicom Innovation Partner)</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Medicom Agreement is effective as of January 12, 2017. The term of the Medicom Agreement terminates on June 30, 2025 (“Medicom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Medicom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third-party materially involved in the treatment of certain defined endocrinology diseases in humans. In all events of termination Medicom is obligated to support a tech transfer of manufacture of Medicom Product to an alternate supplier.</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Vetter Pharma International GmbH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October 1, 2022, we entered into a multi-year Supply Agreement (as amended on April 8, 2024, the “PTH Vetter Agreement”) with Vetter. Under the PTH Vetter Agreement, Vetter has agreed to manufacture and supply single chamber cartridges pre-filled with TransCon PTH (the “Ascendis PTH Product”). Vetter has agreed to supply in accordance with a long-term forecast and a rolling forecast with certain materials that we deliver to Vetter from time to time.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of the PTH Vetter Agreement expires five years from the effective date (the “PTH Initial Term”), after which it shall automatically renew for subsequent two-year terms unless terminated. The PTH Vetter Agreement may be terminated (i) by either party for the other party’s uncured material breach, including certain enumerated events constituting material breach such as bankruptcy or insolvency-related events, (ii) by us with two years’ notice, with effect no earlier than the expiry of the PTH Initial Term or (iii) by either party if the other party is taken over by our or a Vetter competitor, as applicable.</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PTH Vetter Agreement includes, among other provisions, certain representations and warranties by us and Vetter, grants limited license rights in connection with Vetter’s manufacturing and supply, and our sale, distribution, and use of Ascendis PTH Product, provides for indemnification rights for both parties, and includes confidentiality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Tech Transfer and Manufacturing Agreement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12, 2019, we entered into a multi-year commercial supply agreement (the “Lonza Agreement”) with Lonza Ltd (“Lonza”). Under the Lonza Agreement, Lonza has agreed to manufacture and supply drug substance for our TransCon hGH product candidate (the “TransCon hGH Drug Substance”). Starting in 2023, we are obligated to purchase a certain minimum annual quantity of TransCon hGH Drug Substance from Lonza. We may also purchase TransCon hGH Drug Substance from other manufacturers.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Lonza Agreement secures us a certain capacity of TransCon hGH Drug Substance per year.</w:t>
      </w:r>
    </w:p>
    <w:p>
      <w:pPr>
        <w:spacing w:after="0" w:line="2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Lonza Agreement is effective as of December 12, 2019. The initial term of the Lonza Agreement expires seven years after first approval of a drug product manufactured using the TransCon hGH Drug Substance (the “Lonza Initial Term”) unless earlier terminated. During the first five years of the Lonza Initial Term, we may decide, in our sole discretion, to extend the term of the Lonza Agreement by two years. The Lonza Agreement may be terminated (i) by either party for the other party’s bankruptcy or insolvency-related events, (ii) by either party for the other party’s uncured material breach,</w:t>
      </w:r>
    </w:p>
    <w:p>
      <w:pPr>
        <w:spacing w:after="0" w:line="3" w:lineRule="exact"/>
        <w:rPr>
          <w:sz w:val="20"/>
          <w:szCs w:val="20"/>
          <w:color w:val="auto"/>
        </w:rPr>
      </w:pPr>
    </w:p>
    <w:p>
      <w:pPr>
        <w:ind w:right="20" w:firstLine="8"/>
        <w:spacing w:after="0" w:line="255" w:lineRule="auto"/>
        <w:tabs>
          <w:tab w:leader="none" w:pos="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for a continuing event of force majeure, (iv) by either party upon written notice after a specified time period in the event of our change of control, and (v) by either party in the event of the occurrence of certain conditions related to the manufacturing of the TransCon hGH Drug Substance as more fully described in the Lonza Agreement.</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Lonza Agreement contains, among other provisions, certain warranties by us and Lonza, grants certain limited license rights related to either party’s intellectual property in connection with the manufacturing and supply of TransCon hGH Drug Substance, provides for certain indemnification rights in favor of both parties and includes confidentiality provisions.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Sharp Corporation Packaging and Supply Agreement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December 1, 2019, we entered into a multi-year packaging agreement (the “Sharp Agreement”) with Sharp Corporation (“Sharp”). Under the Sharp Agreement, Sharp agreed to package, assemble, and label TransCon hGH for commercial use in certain territories, including the United States and the EU. We are non-exclusive to Sharp and may engage other manufacturers to package, assemble, and label TransCon hGH but we are obligated to meet certain minimum spend requirements for TransCon hGH during the first 12-month period after first shipment of TransCon hGH for commercial sale after regulatory approval thereof.</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Sharp Agreement is effective as of December 1, 2019. The initial term of the Sharp Agreement expires on December 31, 2025 and will be automatically extended for additional two-year periods unless earlier terminated. The Sharp Agreement may be terminated (i) by either party upon mutual consent, (ii) by either party for the other party’s uncured material breach, (iii) by either party for the other party’s bankruptcy or insolvency-related events, (iv) by either party for a continuing event of force majeure, or (v) by either party after the initial term of the Sharp Agreement has been completed.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Sharp Agreement contains, among other provisions, certain warranties by Sharp, provides for certain indemnification rights in favor of both parties and includes confidentiality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Bachem Manufacturing and Supply Agreement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27, 2020, we entered into a multi-year Manufacturing and Supply Agreement (the “Bachem Agreement”) with Bachem AG (“Bachem”). Under the Bachem Agreement, Bachem has agreed to manufacture and supply PTH drug substance (the “Bachem Product”) for our TransCon PTH product candidate. We may purchase Bachem Product from other manufacturers and are not obligated to purchase Bachem Product from Bachem, other than certain quantities that have been forecasted by us in accordance with a mandatory rolling forecast that we must deliver to Bachem from time to time.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Bachem Agreement is effective as of December 27, 2020. The initial term of the Bachem Agreement expires on December 31, 2027 (the “Bachem Initial Term”) unless earlier terminated. After the expiration of the Bachem Initial Term, provided that market approval is received prior to expiration of the Bachem Initial Term, the Bachem Agreement continues until it is terminated. The Bachem Agreement may be terminated (i) by either party for the other party’s assignment of the Bachem Agreement for the benefit of creditors, insolvency, bankruptcy, dissolution, or taking of any action under an act for relief from creditors, (ii) by either party for the other party’s uncured material breach, (iii) by us after the Bachem Initial Term with two years’ written notice, (iv) by Bachem after the Bachem Initial Term with four years’ written notice or (v) by mutual agreement of the parties. In addition, the Bachem Agreement may be terminated by us prior to expiration of the Bachem Initial Term if Bachem is acquired by a company marketing a competing drug to TransCon PTH. The Bachem Agreement may also be terminated by either party for a continuing event of force majeure.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Bachem Agreement contains, among other provisions, certain representations and warranties by us and Bachem, grants of certain rights to intellectual property relating to, or inventions made in connection with, the manufacturing and supply of Bachem Product, certain indemnification rights in favor of both parties and confidentiality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aware that other companies are developing or evaluating enhanced drug delivery and sustained release technologies, which may be competitive with our TransCon technologies. In particular, we believe Extend Biosciences, Nektar Therapeutics, OPKO Health, Inc., ProLynx Inc., MBX Biosciences and Serina Therapeutics, Inc. are developing technology platforms in the areas of enhanced drug delivery and/or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actively seek to protect the intellectual property and proprietary technology that we believe is important to our business, which includes seeking and maintaining patents covering our technology, i.e.,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success will depend on our ability to obtain and maintain patents and other proprietary protection for commercially important technology, inventions and know-how related to our business, defend and enforce our patents, preserve the confidentiality of our trade secrets and operate without infringing valid and enforceable patents or otherwise misappropriate other intellectual property rights of third-parties. For more information, please see “Item 3 D. Key Information—Risk Factors—Risks Related to Our Intellectual Property.”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2024, we own a total of 99 patent families, 18 of which are currently in their priority year or international phase. These patent families include granted patents in the United States (62), Europe (36), Australia (54), Brazil (10), Canada (29), China (20), Israel (21), Indonesia (6), India (12), Korea (15), Malaysia (13), New Zealand (18), Japan (52), Mexico (21), Singapore (20), Russia (24), the United Arab Emirates (1) and South Africa (17) and approximately 583 pending national/regional applications in a total of 26 jurisdictions (excluding the member states of the European Patent Convention in which our European patents were validated, Hong Kong, in which certain Europe and China patents are extended, and Macao, in which certain China patents are extended).</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So far, none of our granted patents have been subject to opposition proceedings, appeals or similar actions aiming at revoking or restricting the scope of such granted patents.</w:t>
      </w:r>
    </w:p>
    <w:p>
      <w:pPr>
        <w:spacing w:after="0" w:line="16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patent portfolios for the fields containing our most advanced product candidates, as of December 31, 2024, are summarized below and, except as noted otherwise, the expected expiration dates included in the summary below do not give effect to patent term extensions or adjustments that may be available.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hGH</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2024, our patent portfolio related to TransCon hGH includes eight patent families relating to different aspects of TransCon hGH and eleven patent families covering various aspects of the auto-injector device for the administration of TransCon hGH. The first of these patent families is a composition of matter patent family directed to the particular stoichiometry of TransCon hGH and a related TransCon carrier. As of December 31, 2024, this patent family includes one patent granted in the United States, which is expected to expire in February 2027 (accounting for patent term adjustment).</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a TransCon linker used in TransCon hGH. As of December 31, 2024, this patent family includes patents granted in the United States, Europe, Australia, Brazil, Canada, Japan and Mexico and one pending patent application in the United States. The granted patents and any patents granted from the pending patent applications in this patent family are expected to expire in March 2025, absent any patent term adjustments or extensions.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third of these patent families is a composition of matter patent family directed to a broad class of TransCon hGH lead candidate structures. As of December 31, 2024, this patent family includes patents granted in the United States, Europe, Australia, Brazil, Canada, China, Israel, India, Japan, Mexico, Russia and South Africa and pending patent applications in Europe and the United States. The granted patents and any patents granted from the pending patent applications in this patent family are expected to expire in April 2029, absent any patent term adjustments or extensions.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fourth of these patent families is a composition of matter patent family directed to specific dry pharmaceutical compositions comprising TransCon hGH. As of December 31, 2024, this patent family includes patents granted in the United States, Europe, Australia, Brazil, Canada, India, Israel, Mexico, Singapore and South Africa and one pending patent application in the United States. The granted patents and any patents granted from the pending patent application in this patent family are expected to expire in December 2030, absent any patent term adjustments or extensions.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fifth of these patent families is a composition of matter patent family directed to a broad class of TransCon hGH lead candidate structures. As of December 31, 2024, this patent family includes patents granted in the United States, Australia, Europe, Israel, Japan, South Korea, Mexico, New Zealand, Russia, Singapore and South Africa and pending patent applications in the United States, Europe, Australia, Brazil, Canada, Israel, Japan, South Korea, Mexico, Russia and Singapore. The granted patents and any patents granted from the pending patent applications in this patent family are expected to expire in November 2035, absent any patent term adjustments or extensions. One granted EP patent in this family was also used as a basis for requesting a supplementary protection certificate (“SPC”) for SKYTROFA in Austria, Belgium, Bulgaria, Cyprus, Czech Republic, Germany, Denmark, Estonia, Spain, Finland, France, Great Britain, Greece, Croatia, Hungary, Ireland, Iceland, Italy, Lithuania, Luxemburg, Latvia, Malta, the Netherlands, Norway, Poland, Portugal, Romania, Sweden, Slovenia and Slovakia. SPCs have already been granted in Bulgaria, Cyprus, Czech Republic, Denmark, Spain, Finland, France, Greece, Hungary, Iceland, Italy, Lithuania, Latvia, Malta, the Netherlands, Norway, Portugal, Sweden, Slovenia and Slovakia, each of which are expected to expire in January 2037.</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sixth of these patent families is directed to a particular dosage regimen for long-acting growth hormone formulations. As of December 31, 2024, this patent family includes granted patents in the United States and Europe and pending patent applications in the United States and in Europe. The granted patents and any patents granted from the pending patent applications in this patent family are expected to expire in November 2035, absent any patent term adjustments or extensions.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seventh of these patent families is directed to potential superior efficacy achieved with TransCon hGH treatment. As of December 31, 2024, this patent family includes a granted patent in Japan and pending patent applications in the United States, Europe, Australia, Canada, China, Israel, Japan, Mexico and Singapore. The granted patent and any patents granted from the pending patent applications in this patent family are expected to expire in March 2040, absent any patent term adjustments or extensions.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eighth of these patent families is directed to the use of TransCon hGH in the treatment of an inflammation-induced disease, in particular of non-alcoholic fatty liver disease and non-alcoholic steatohepatitis. As of December 31, 2024, this patent family includes pending patent applications in the United States, Europe, Australia, Brazil, Canada, China, Indonesia, Israel, Japan, South Korea, Mexico, Malaysia, New Zealand, Russia, Singapore and South Africa. Any patents granted from the pending patent applications in this patent family are expected to expire in March 2042, absent any patent term adjustments or extensions.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Seven of the eleven patent families covering the auto-injector device for the administration of TransCon hGH with a filing date of December 29, 2016, include pending patent applications in the United States, Europe, Australia, Canada, Japan and New Zealand and ten granted patents in the United States, six granted patents in Europe, nine granted patents in Australia, four granted patents in Canada, seven granted patents in New Zealand and thirteen granted patents in Japan as of December 31, 2024. The granted patents in these patent families are expected to expire in December 2036, absent any patent term adjustments or extensions. As of December 31, 2024, another two of the eleven patent families covering the auto-injector device with a filing date of May 23, 2018 and June 29, 2018, respectively, include pending patent applications in the United States, Europe, the United Arab Emirates, Australia, Canada, China, Israel, Japan, South Korea, Mexico, Malaysia, New Zealand, Russia and Singapore and two granted patents in the United States, two granted patents in Australia, two granted patents in Brazil, three granted patents in China, two granted patents in India, three granted patents in Japan, three granted patents in South Korea, one granted patent in Mexico, two granted patents in Malaysia, two granted patents in Russia, two granted patents in Indonesia, two granted patents in Singapore and one granted patent in South Africa. The granted patents in these patent families are expected to expire in March and June 2038, respectively, absent any patent term adjustments or extensions. The tenth patent family includes pending patent applications in the United States, Europe, the United Arab Emirates, Australia, Brazil, Canada, China, Eurasia, Indonesia, Israel, India, Japan, South Korea, Mexico, Malaysia, New Zealand, Singapore, Taiwan and South Africa. We expect any patents granted from the pending patent applications in this patent family to expire in September 2042, absent any patent term adjustments or extensions. The eleventh patent family is currently in its priority year. We expect any patents granted from this family to expire in May 2045, absent any patent term adjustments or extensions.</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SPCs, three requests for a patent term extension for SKYTROFA were filed based on one granted U.S. patent from the third patent family and two granted patents from the fourth patent family, from which one will be selected for the patent term extension upon allowance. For all of these three requests a preliminary assessment that the patents would be eligible for extension was received from FDA.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patent portfolio related to TransCon PTH includes twelve patent families relating to different aspects of TransCon PTH. The first of these patent families is a composition of matter patent family directed to the TransCon linker used in TransCon PTH. As of December 31, 2024, this patent family includes granted patents in the United States, Europe, the United Arab Emirates, Australia, Canada, China, Israel, Japan, Mexico, Russia and South Africa and pending patent applications in Europe, the United States and Brazil. The granted patents and any patents granted from the pending patent applications in this patent family are expected to expire in January 2029, absent any patent term adjustments or extensions.</w:t>
      </w:r>
    </w:p>
    <w:p>
      <w:pPr>
        <w:spacing w:after="0" w:line="18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a broad class of TransCon PTH candidate structures. As of December 31, 2024, this patent family includes pending patent applications in the United States, Europe, Australia, Brazil, Canada, China, Indonesia, Israel, Japan, South Korea, Mexico, Malaysia, New Zealand, Russia, Singapore and Thailand and granted patents in the United States, Australia, China, Europe, Israel, India, Japan, South Korea, Mexico, Malaysia, New Zealand, Russia, Singapore and South Africa. The granted patents and any patents granted from the pending patent applications in this patent family are expected to expire in February 2037, absent any patent term adjustments or extensions. The granted EP patent in this family was used as a basis for requesting an SPC for YORVIPATH in Austria, Belgium, Bulgaria, Switzerland, Cyprus, Czech Republic, Germany, Denmark, Estonia, Spain, Finland, France, Great Britain, Greece, Croatia, Hungary, Ireland, Iceland, Italy, Lithuania, Luxemburg, Latvia, Malta, the Netherlands, Norway, Poland, Portugal, Romania, Sweden, Slovenia and Slovakia. An SPC was already granted in the Netherlands and Malta with an expiration date of November 2038.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third and fourth of these patent families are method of treatment patent families directed to a particular dosage regimen. As of December 31, 2024, one of these patent families includes pending patent applications in the United States, Europe, Australia, Brazil, Canada, China, Israel, Indonesia, Japan, South Korea, Malaysia, New Zealand, Russia and Thailand and granted patents in the United States, Europe, Australia, China, Indonesia, Israel, Japan, South Korea, Mexico, New Zealand, Russia, Singapore and South Africa. The other one of these patent families includes pending patent applications in the United States, Europe, Australia, Canada and Japan and granted patents in Europe, Australia, China and Japan. We expect any patents granted from the pending patent applications in these patent families to expire in September 2037, absent any patent term adjustments or extensions.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fifth of these patent families is a composition of matter family directed to PTH compounds exhibiting a beneficial pharmacokinetic profile. As of December 31, 2024, this patent family includes pending patent applications in the United States, Europe, Brazil, Canada, China, Israel, South Korea, New Zealand and Russia and granted patents in the United States, Europe, Australia, China, Japan, South Korea, Mexico, New Zealand, Russia, Singapore and South Africa. The granted patents and any patents granted from the pending patent applications in this patent family are expected to expire in September 2037, absent any patent term adjustments or extensions.</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sixth patent family relates to a starting dose for treatment with reversible PTH conjugates. As of December 31, 2024, this patent family includes pending patent applications in the United States, Europe, Australia, Brazil, Canada, China, Indonesia, Israel, Japan, South Korea, Mexico, Malaysia, New Zealand, Russia, Singapore, Thailand and South Africa and granted patents in Japan, Malaysia and Russia. The granted patents and any patents granted from the pending patent applications in this patent family are expected to expire in May 2039, absent any patent term adjustments or extensions.</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seventh patent family relates to a pharmaceutical composition comprising reversible PTH conjugates. As of December 31, 2024, this patent family includes pending patent applications in the United States, Europe, Australia, Brazil, Canada, China, Indonesia, Israel, India, Japan, South Korea, Mexico, Malaysia, New Zealand, the Philippines, Russia, Singapore, Taiwan, Thailand, Vietnam and South Africa and granted patents in Japan and Russia. The granted patents and any patents granted from the pending patent applications in this patent family are expected to expire in February 2040, absent any patent term adjustments or extensions.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eighth and ninth patent families relate to a method of titrating hypoparathyroidism patients off of standard of care within four weeks from the beginning of daily treatment with a PTH compound and the treatment of the physical and mental well-being of hypoparathyroidism patients, respectively. As of December 31, 2024, the eighth family includes pending patent applications in the United States, Europe, Australia, Brazil, Canada, China, Indonesia, Israel, Japan, South Korea, Mexico, Malaysia, New Zealand, Russia, Singapore and South Africa and a granted patent in Russia. The ninth patent family includes pending patent applications in the United States, Europe, Australia, Canada, China, Israel, Japan, South Korea and Mexico. The granted patent and any patents granted from the pending patent applications in this patent family are expected to expire in September 2041, absent any patent term adjustments or extensions.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tenth patent family relates to a reduction in bone mineral density in patients having increased bone mineral density. As of December 31, 2024, this patent family includes pending patent applications in the United States, Europe, the United Arab Emirates, Australia, Brazil, Canada, China, Eurasia, Israel, Japan, South Korea, Mexico, Malaysia, New Zealand, Singapore and South Africa. We expect any patents granted from the pending patent applications in this patent family to expire in September 2042, absent any patent term adjustments or extensions.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eleventh patent family covers treatment of hypoparathyroidism initially with a long-acting PTH compound, followed by treatment with an ultra-long-acting PTH compound. As of December 31, 2024, this patent family is in the Patent Cooperation Treaty phase. We expect any patents granted from this patent family to expire in September 2042, absent any patent term adjustments or extensions.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twelfth family covers treatment of chronic kidney disease. As of December 31, 2024, this patent family is in the Patent Cooperation Treaty phase. We expect any patents granted from this patent family to expire in September 2044, absent any patent term adjustments or extensions.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SPCs, three requests for a patent term extension for YORVIPATH were filed based on two granted U.S. patents from the third patent family described above and one granted patent from the fifth patent family described above, from which one will be selected for patent term extension upon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patent portfolio related to TransCon CNP includes fifteen patent families relating to different aspects of TransCon CNP. The first of these patent families is a composition of matter patent family directed to the particular stoichiometry of TransCon CNP and a related TransCon carrier. As of December 31, 2024, this patent family includes a patent granted in the United States, which is expected to expire in February 2027 (accounting for patent term adjustment).</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the TransCon linker used in TransCon CNP. As of December 31, 2024, this patent family includes granted patents in the United States, Europe, the United Arab Emirates, Australia, Canada, China, Israel, Japan, Mexico, Russia and South Africa and includes pending patent applications in Europe, the United States and Brazil.</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granted patents and any patents granted from the pending patent applications in this patent family are expected to expire in January 2029, absent any patent term adjustments or extensions.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third of these patent families is a composition of matter patent family directed to a broad class of TransCon CNP candidate structures. As of December 31, 2024, this patent family includes pending patent applications in the United States, Europe, Australia, Canada, India, Japan, Mexico, Malaysia, Singapore and Thailand and granted patents in China, Israel, South Korea, Malaysia, Russia, Singapore and South Africa. The granted patents and any patents granted from the pending patent applications in this patent family are expected to expire in January 2036, absent any patent term adjustments or extensions.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fourth to the ninth patent families are composition of matter patent families directed various CNP compounds having beneficial properties. As of December 31, 2024, the first one of these six patent families includes pending patent applications in the United States, Europe and Japan and granted patents in the United States, Australia, Canada, Japan and South Africa. As of December 31, 2024, the second one includes pending patent applications in the United States, Australia and Japan and granted patents in the United States, Europe, Australia, Canada, Japan and South Africa. As of December 31, 2024, the third one includes pending patent applications in the United States, Europe, Australia, Brazil, Canada, Indonesia, India, Japan, South Korea, New Zealand and Singapore and granted patents in the United States, Australia, China, Israel, India, Japan, Mexico, Malaysia, Singapore and South Africa. As of December 31, 2024, the fourth one includes pending patent applications in the United States, Europe and Israel and granted patents in the United States, Australia, Canada and New Zealand. As of December 31, 2024, the fifth one includes pending patent applications in the United States, Europe, Brazil and China and granted patents in the United States, Australia, Canada, China, Israel, New Zealand, South Korea and Singapore. As of December 31, 2024, the sixth one includes pending patent applications in the United States, Europe and Australia and granted patents in the United States, Australia, Canada and Israel. The granted patents and any patents granted from the pending patent applications in this patent family are expected to expire in January 2037, absent any patent term adjustments or extensions.</w:t>
      </w:r>
    </w:p>
    <w:p>
      <w:pPr>
        <w:spacing w:after="0" w:line="19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tenth patent family covers a combination therapy of TransCon CNP. As of December 31, 2024, this patent family includes pending patent applications in the United States, Europe, Brazil, Canada, Israel, South Korea and Thailand and granted patents in the United States, Europe, Australia, China, Indonesia, Israel, Japan, South Korea, Mexico, Malaysia, New Zealand, Russia, Singapore and South Africa. The granted patents and any patents granted from the pending patent applications in this patent family are expected to expire in September 2037, absent any patent term adjustments or extensions.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eleventh patent family relates to a pharmaceutical composition comprising reversible CNP conjugates. As of December 31, 2024, this patent family includes pending patent applications in the United States, Europe, Australia, Brazil, Canada, China, Indonesia, Israel, India, Japan, South Korea, Mexico, Malaysia, New Zealand, the Philippines, Russia, Singapore, Taiwan, Thailand, Vietnam and South Africa and granted patents in China, Japan and Russia. The granted patents and any patents granted from the pending patent applications in this patent family are expected to expire in February 2040, absent any patent term adjustments or extensions.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twelfth patent family relates to a pharmacologically effective dose of TransCon CNP. As of December 31, 2024, this patent family consists of pending patent applications in the United States, Europe, Australia, Canada, China, Israel, Japan, South Korea and Singapore. We expect any patents granted from the pending patent applications in this patent family to expire in December 2042, absent any patent term adjustments or extensions. One of the priority applications within this family was also claimed by a Patent Cooperation Treaty application relating to improving muscle function. We expect any patents granted from this branch of the patent family to expire in November 2043, absent any patent term adjustments or extension.</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thirteenth patent family, which relates to the treatment of spinal deformities, claims priorities from the twelfth patent family. We expect any patents granted from this patent family to expire in March 2044, absent any patent term adjustments or extensions.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fourteenth patent family relates to a liquid formulation of TransCon CNP. As of December 31, 2024, this patent family includes pending patent applications in the United States, Europe, Australia, Brazil, Canada, China, Indonesia, Israel, India, Japan, South Korea, Mexico, Malaysia, New Zealand Russia, Singapore and South Africa. We expect any patents granted from the pending patent applications in this patent family to expire in May 2043, absent any patent term adjustment or extensions.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fifteenth patent family relates to the use of TransCon CNP for the prevention or reduction of leg bowing. As of December 31, 2024, this patent family is in its priority year and we expect any patents granted from this patent family to expire in December 2045, absent any patent term adjustments or extensions.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 b/g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2024, our patent portfolio related to TransCon IL-2 b/g includes four patent families. The first of these patent families is a composition of matter patent family directed to a TransCon linker used in TransCon IL-2 b/g. As of December 31, 2024, this patent family includes patents granted in the United States, Europe, Australia, Brazil, Canada, Japan and Mexico and one pending patent application in the United States. The granted patents and any patents granted from the pending patent applications in this patent family are expected to expire in March 2025, absent any patent term adjustments or extensions.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second and third patent family are composition of matter patent families directed to a broad class of TransCon IL-2 b/g lead candidate structures. As of December 31, 2024, the second patent family includes pending patent applications in the United States, Europe, Australia, Brazil, Canada, China, Indonesia, Israel, India, Japan, South Korea, Mexico, Malaysia, New Zealand, Russia, Singapore, Thailand and South Africa and granted patents in Australia, China, Israel, Japan and Russia. The granted patents and any patents granted from the pending patent applications in this patent family are expected to expire in March 2039. As of December 31, 2024, the third patent family includes pending patent applications in the United States, Europe, Argentina, the United Arab Emirates, Australia, Brazil, Canada, China, Eurasia, Egypt, Indonesia, Israel, India, Japan, South Korea, Mexico, Malaysia, New Zealand, the Philippines, Singapore, Taiwan, Thailand, Vietnam and South Africa and a granted patent in the United States. The granted patent and any patents granted from the pending patent applications in this patent family are expected to expire in June 2041, absent any patent term adjustments or extensions.</w:t>
      </w:r>
    </w:p>
    <w:p>
      <w:pPr>
        <w:spacing w:after="0" w:line="188"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The fourth patent family relates to a pharmaceutical dose of TransCon IL-2 b/g. As of December 31, 2024, this patent family includes one Patent Cooperation Treaty application. We expect any patents granted in this patent family to expire in May 2044, absent any patent term adjustments or extension.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Technologies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patent portfolio also includes patents and pending patent applications generally relating to our TransCon technologies, including TransCon linkers, TransCon carriers and certain soluble conjugates. We own an aggregate of 16 patent families relating to TransCon linkers, the material components of which are described above. We also own an aggregate of 11 patent families relating to TransCon carriers, the material components of which are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Regarding Patent Terms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United States Patent and Trademark Office in granting a patent. The patent term of a European patent is 20 years from its filing date, which, unlike in the United States, is not subject to patent term adjustments.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granted patents may be eligible for patent term extensions.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Medicinal products, including drugs and biologics, must be approved or licensed by the FDA through the NDA or BLA process, before being able to be legally marketed in the US. Product candidates will be subject to similar requirements in other countries prior to marketing in those countries. The processes for obtaining regulatory approvals in the United States, the European Union (“EU”) and in other countries, along with subsequent compliance with appropriate federal, state, local and foreign statutes and regulations, require the expenditure of substantial time and resources.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the United States, sponsors of drugs and biologics are subject to extensive regulation by the FDA, which regulates drugs under the Federal Food, Drug, and Cosmetic Act (“FDCA”) and in the case of biologics, also under the Public Health Service Act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may be marketed in the United States generally involves the following:</w:t>
      </w:r>
    </w:p>
    <w:p>
      <w:pPr>
        <w:spacing w:after="0" w:line="117" w:lineRule="exact"/>
        <w:rPr>
          <w:sz w:val="20"/>
          <w:szCs w:val="20"/>
          <w:color w:val="auto"/>
        </w:rPr>
      </w:pPr>
    </w:p>
    <w:p>
      <w:pPr>
        <w:ind w:left="1020" w:right="24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 where applicable;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requirements to establish the safety and efficacy of the proposed drug or, or safety, purity and potency of the proposed biological product for each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or biologic’s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inspection of selected clinical investigation sites to assess compliance with GCP;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Investigational New Drug Applications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Nonclinical studies include laboratory evaluations of product chemistry, toxicity and formulations, as well as animal studies to assess safety and efficacy. An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(such as the required subject examinations, processes for tracking adverse events and required laboratory investigations),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In addition, written safety reports regarding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FDA.</w:t>
      </w:r>
    </w:p>
    <w:p>
      <w:pPr>
        <w:spacing w:after="0" w:line="1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Furthermore, an IRB at each institution participating in the clinical trial must review and approve the plan for any clinical trial before it commences at that institution.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Information about certain clinical trials must be submitted within specific timeframes to the NIH, for public dissemination on their www.clinicaltrials.gov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or four sequential phases, which may overlap or be combined:</w:t>
      </w:r>
    </w:p>
    <w:p>
      <w:pPr>
        <w:spacing w:after="0" w:line="117" w:lineRule="exact"/>
        <w:rPr>
          <w:sz w:val="20"/>
          <w:szCs w:val="20"/>
          <w:color w:val="auto"/>
        </w:rPr>
      </w:pPr>
    </w:p>
    <w:p>
      <w:pPr>
        <w:ind w:left="1020" w:right="160" w:hanging="503"/>
        <w:spacing w:after="0" w:line="312" w:lineRule="auto"/>
        <w:tabs>
          <w:tab w:leader="none" w:pos="10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candidate is initially introduced into healthy human subjects or patients with the target disease or condition and tested for safety, optimal dosage, absorption, metabolism, distribution, excretion and, if possible, to gain an early indication of its effectiveness.</w:t>
      </w:r>
    </w:p>
    <w:p>
      <w:pPr>
        <w:spacing w:after="0" w:line="31" w:lineRule="exact"/>
        <w:rPr>
          <w:rFonts w:ascii="Times New Roman" w:cs="Times New Roman" w:eastAsia="Times New Roman" w:hAnsi="Times New Roman"/>
          <w:sz w:val="17"/>
          <w:szCs w:val="17"/>
          <w:color w:val="auto"/>
        </w:rPr>
      </w:pPr>
    </w:p>
    <w:p>
      <w:pPr>
        <w:ind w:left="1020" w:right="64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diseases and to determine optimal dosage.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86" w:lineRule="exact"/>
        <w:rPr>
          <w:sz w:val="20"/>
          <w:szCs w:val="20"/>
          <w:color w:val="auto"/>
        </w:rPr>
      </w:pPr>
    </w:p>
    <w:p>
      <w:pPr>
        <w:ind w:left="1020" w:right="24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or BLA.</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development of a new product candidate,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FDA to provide advice, and for the sponsor and the FDA to reach consensus on the next phase of development.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 in the U.S.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ten months from the date of “filing” of a standard NDA for a new molecular entity or original BLA to review and act on the submission. This review typically takes twelve months from the date the NDA or BLA is submitted to the FDA because the FDA has sixty days from receipt to decide whether an application is accepted for filing, as described below.</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Regardless of whether the applicable trials were conducted under an IND, the FDA may accept foreign data as the sole basis for NDA or BLA approval only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clinical trial or other significant and time-consuming requirements. If a Complete Response Letter is issued, the sponsor must resubmit the NDA or BLA,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post-marketing studies and surveillance programs to further assess and monitor the product’s safety and effectiveness after commercialization, and may limit further marketing of the product based on the results of any post-marketing studies.</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United States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or PHSA.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QSR currently applicable to medical devices.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or BLA is submitted, the product candidate may be eligible for priority review. An NDA or BLA for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and determines that the schedule is acceptable, and the sponsor pays any required user fees upon submission of the first section of the NDA or BLA.</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An NDA or BLA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or intermediate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studies be well underway prior to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requires as a condition for accelerated approval pre-approval of promotional materials, which could adversely impact the timing of the commercial launch of the product.</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in accordance with the statute and regulations if compliance with regulatory requirements and standards is not maintained or if problems occur after the product reaches the market.</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117"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9" w:name="page120"/>
    <w:bookmarkEnd w:id="119"/>
    <w:p>
      <w:pPr>
        <w:spacing w:after="0" w:line="86" w:lineRule="exact"/>
        <w:rPr>
          <w:sz w:val="20"/>
          <w:szCs w:val="20"/>
          <w:color w:val="auto"/>
        </w:rPr>
      </w:pPr>
    </w:p>
    <w:p>
      <w:pPr>
        <w:ind w:left="1020" w:right="18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BLAs or supplements to approved NDAs or BLAs,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A company can make only those claims relating to safety and efficacy, purity and potency that are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judgement,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(“ODD”)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 However, ODD does entitle a party to financial incentives such as opportunities for grant funding towards clinical trial costs, tax advantages and user fee waivers.</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disease or condition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product for the same disease or condition or the same product for a different disease or condition.</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To date, relatively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Exclusivity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Pediatric exclusivity is a type of non-patent exclusivity in the United States and, if granted, provides for the attachment of an additional six months of marketing protection to the term of any existing patent term or period of non-patent regulatory exclusivity, including the five-year and three-year non-patent and orphan exclusivities. This six-month exclusivity may be granted if an NDA or BLA sponsor submits pediatric data that fairly respond to a written request from the FDA for such data. The data does not need to show the product to be effective in the pediatric population studied; rather, if the FDA has requested the study and the clinical study is deemed to fairly respond to the FDA’s request, the additional protection may be granted. If reports of FDA-requested pediatric studies are submitted to and accepted by the FDA within the statutory time limits, whatever statutory or regulatory periods of non-patent regulatory exclusivity or patent protection cover the product are extended by six months. This is not a patent term extension, but it effectively extends existing periods of exclusivity.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market any product outside of the United States, sponsors need to comply with numerous and different regulatory requirements of other countries regarding safety and efficacy and governing, among other things, clinical trials, marketing authorization, commercial sales and distribution of our products. Foreign regulatory approval processes include all of the risks associated with FDA approval set forth above, as well as additional country and region-specific regulation.</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Whether or not applicants obtain FDA approval for a product, companies must obtain approval of a product by the comparable regulatory authorities of foreign countries before commencing clinical trials or marketing of the product in those countries. Approval by one regulatory authority does not ensure approval by regulatory authorities in other jurisdictions. The approval process varies from country to country, can involve additional testing or studies beyond that required by FDA, and may be longer or shorter than the FDA approval process. The requirements governing the conduct of clinical trials, product licensing, pricing, promotion, and reimbursement vary greatly from country to country.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 in the EU</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studies (pharmaco-toxicological) must be conducted in compliance with the principles of GLP as set forth in EU Directive 2004/10/EC (unless otherwise justified for certain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(“EU CTR”) repeals the EU Clinical Trials Directive, and became applicable on January 31, 2022. Unlike a Directive, the EU CTR is directly applicable in all EU member states without the need for member states to further implement it into national law. The EU CTR notably harmonizes the assessment and supervision processes for clinical trials throughout the EU via the Clinical Trials Information System (“CTIS”), which is a centralized EU portal and database.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EU CTR introduced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CTA must include, among other things,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One of the main aims of EU CTR is to increase transparency about clinical trials, which is done by making documents and data from the CTA publicly available through CTIS at the time of decision about the clinical trial. There are few exceptions to this, and release of personal data and company confidential information may be controlled through redaction. The CTR transition period ended on January 31, 2025, and all clinical trials (and related applications) are now fully subject to the provisions of the CTR.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GMP. Other national and EU-wide regulatory requirements may also apply.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 in the EU</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72" w:lineRule="exact"/>
        <w:rPr>
          <w:sz w:val="20"/>
          <w:szCs w:val="20"/>
          <w:color w:val="auto"/>
        </w:rPr>
      </w:pPr>
    </w:p>
    <w:p>
      <w:pPr>
        <w:ind w:left="1020" w:hanging="503"/>
        <w:spacing w:after="0" w:line="254"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(“EC”) through the centralized procedure based on the opinion of the Committee for Medicinal Products for Human Use of the European Medicine Agency (“EMA”), and are valid throughout the EU. The centralized procedure is compulsory for certain types of medicinal products such as (i) medicinal products derived from biotechnological processes, (ii) designated orphan medicinal products, (iii) advanced therapy medicinal products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authorized in the EU before May 20, 2004, or that represent a significant therapeutic, scientific or technical innovation, or whose authorization would be in the interest of public health in the EU. Under the centralized procedure the maximum timeframe for the evaluation of an MAA by the EMA is 210 days, excluding clock stops.</w:t>
      </w:r>
    </w:p>
    <w:p>
      <w:pPr>
        <w:spacing w:after="0" w:line="80"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 in the EU</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 in the EU</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albeit with some key differences in definition.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designation entitles a sponsor to incentives such as reduction of fees or fee waivers, protocol assistance, and access to the centralized procedure. Upon grant of a MA, orphan medicinal products are entitled to a ten years of market exclusivity for the approved indication, which means that the competent authorities cannot accept another MAA, or grant a MA, or accept an application to extend a MA for a similar medicinal product for the similar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 in the EU</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PIP agreed with the EMA’s Paediatric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in the EU</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prohibited in the EU. Although general requirements for advertising and promotion of medicinal products are established under EU directives, the details are governed by regulations in each member state and differ from one country to another.</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is the UK’s standalone medicines and medical devices regulator. Between January 1, 2021 and December 31, 2024 and as a result of the Northern Ireland Protocol, different rules applied in Northern Ireland than in England, Wales, and Scotland, together, Great Britain (“GB”); broadly, Northern Ireland continued to follow the EU regulatory regime. On January 1, 2025, a new arrangement called the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now-repealed EU Clinical Trials Directive. The extent to which the regulation of clinical trials in the UK will mirror the EU CTR in the long term is not yet certain, however, on December 12, 2024, the UK government introduced a legislative proposal - the Medicines for Human Use (Clinical Trials) Amendment Regulations 2024 - that, if implemented, will replace the current regulatory framework for clinical trials in the UK. The UK government has provided the legislative proposal to the UK Parliament for its review and approval. Once the legislative proposal is approved (with or without amendment), it will be adopted into UK law which is expected in early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Under the terms of the Windsor Framework, these MAs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In addition, an international recognition procedure has been in place since January 1, 2024, which allows the MHRA to take into account the expertise and decision-making of trusted partner agencies, such as the European Medicines Agency, when determining an application for a new UK MA.</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EU</w:t>
      </w:r>
    </w:p>
    <w:p>
      <w:pPr>
        <w:spacing w:after="0" w:line="121"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EU regulates medical devices and medicinal products separately, through different legislative instruments, and the applicable requirements will vary depending on the type of drug-device combination product. Guidances have been published to help manufacturers select the right regulatory framework.</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188"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6" w:name="page127"/>
    <w:bookmarkEnd w:id="1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and the United States, such as countries in Eastern Europe, Latin America, Asia, or Japan, the requirements governing the conduct of clinical trials, product licensing, pricing and reimbursement vary from jurisdiction to jurisdiction.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In addition to FDA restrictions on marketing of `pharmaceutical products, other U.S. federal, state and foreign healthcare regulatory laws, regulations and industry codes restrict business practices in the biopharmaceutical industry, which include, but are not limited to, state, federal and foreign anti-kickback, false claims, and transparency laws regarding drug pricing and payments or other items of value provided to physicians and other healthcare providers.</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to have committed a violation.</w:t>
      </w:r>
    </w:p>
    <w:p>
      <w:pPr>
        <w:spacing w:after="0" w:line="187"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Moreover,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other healthcare providers. The Physician Payments Sunshine Act imposed, among other things, annual reporting requirements for covered manufacturers for certain payments and “transfers of value” provided to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Covered manufacturers must submit reports by the 90th day of each subsequent calendar year.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majority of states also have anti-kickback and other fraud and abuse laws, which establish similar prohibitions and in some cases may apply to items or services reimbursed by any third-party payor, including commercial insurers. Certain states also require implementation of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analogous state and foreign laws, regulations and industry codes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regional and national “Sunshine Acts” which impose reporting and transparency requirements, similar to the requirements in the United States, on pharmaceutical companies. Certain countries also mandate implementation of commercial compliance programs, or require disclosure of marketing expenditures and pricing information.</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Violation of any of such laws, regulations and industry codes or any other governmental regulations that apply to drug manufacturers may result in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imprisonment.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SKYTROFA or any other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Third-party payors may limit coverage to specific drug products on an approved list, also known as a formulary, which might not include all of the FDA-approved drugs for a particular indication. A decision by a third-party payor not to cover SKYTROFA or our other product candidates could reduce physician utilization of our products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In addition, in many foreign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lower priced markets exert a commercial pressure on pricing within a country.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and related legislation were enacted, which, among other things, (i) increased the minimum Medicaid rebates owed by most manufacturers under the Medicaid Drug Rebate Program, (ii) addressed a new methodology by which rebates owed by manufacturers under the Medicaid Drug Rebate Program are calculated for drugs that are inhaled, infused, instilled, implanted or injected, (iii) extended the Medicaid Drug Rebate Program to utilization of prescriptions of individuals enrolled in Medicaid managed care plans, (iv) imposed mandatory discounts for certain Medicare Part D beneficiaries, and (v) subjected drug manufacturers to new annual fees based on pharmaceutical companies’ share of sales to federal healthcare programs.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 the Budget Control Act of 2011, which resulted in reductions in Medicare payments to providers, which went into effect on April 1, 2013 and will stay in effect through 2032, with the exception of a temporary suspension from May 1, 2020 through March 31, 2022,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 In addition, the American Rescue Plan Act of 2021 was signed into law, which eliminated the statutory Medicaid drug rebate cap, beginning January 1, 2024. The rebate was previously capped at 100% of a drug’s average manufacturer price.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Individual states in the United States have also become increasingly active in passing legislation and implementing regulations designed to control pharmaceutical product pricing, including through constraints on reimbursement, imposition of mandatory discounts, restrictions on access to certain products, transparency measures, and programs for importation from other countries or bulk purchasing.</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Health Technology Assessment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as of 2025, orphan medicinal products as of 2028 and 2030 for all other medicinal products authorized centrally.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Privacy, use of AI and data security have become significant concerns around the world including United States, Europe and in many other jurisdictions where we may in the future conduct our operations. As we receive and, process personal and confidential data, we become subject to numerous laws and regulations relating to data privacy, AI and security, such as data breach notification laws, health information laws, AI regulations and consumer protection laws in the United States and abroad including the GDPR and the U.K. GDPR. These laws and regulations are complex and constantly evolving, and any unauthorized access, use, disclosure and other loss of personal data, including by third party vendors providing support services, can result in investigations, proceedings, or actions that lead to significant civil and/or criminal penalties, restrictions on data processing and reputational damage.</w:t>
      </w:r>
    </w:p>
    <w:p>
      <w:pPr>
        <w:spacing w:after="0" w:line="291"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of our operations are conducted through our following wholly-owned subsidiaries: Ascendis Pharma GmbH (Germany), Ascendis Pharma Endocrinology GmbH (Germany), Ascendis Pharma, Inc. (Delaware, United States), Ascendis Pharma Endocrinology, Inc. (Delaware, United States), Ascendis Pharma Ophthalmology Division A/S (Denmark), Ascendis Pharma Endocrinology Division A/S (Denmark), Ascendis Pharma Bone Diseases A/S (Denmark), Ascendis Pharma Growth Disorders A/S (Denmark), Ascendis Pharma Oncology Division A/S (Denmark), Ascendis Pharma Europe A/S (Denmark), Ascendis Pharma UK Limited (United Kingdom), Ascendis Pharma Iberia S.L. (Spain), Ascendis Pharma France SASU (France), Ascendis Pharma Italia SRL (Italy), Ascendis Pharma Sverige AB (Sweden) and Ascendis Pharma Switzerland GmbH (Switzerland). These subsidiaries are also set forth in Exhibit 8.1 to this annual report.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298"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Our material tangible fixed assets relate to leased facilities, which are recognized and measured as right-of-use assets in the consolidated financial statements. We do not own any of our facilities.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in Hellerup, Denmark. In addition, we have offices and research and development facilities in Germany and the United States. Further, we are establishing commercial infrastructure in Europe and currently have sales and representative offices in Germany, France, Spain, Italy, and the United Kingdom. Since we do not own facilities for manufacturing of our products and product candidates for the potential pivotal clinical studies, and/or for commercial manufacturing, we engage with Contract Manufacturing Organizations (“CMOs”) to manufacture commercial and clinical trial supply.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our current material leased facilities and their related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Option to extend</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Size (in</w:t>
            </w:r>
          </w:p>
        </w:tc>
        <w:tc>
          <w:tcPr>
            <w:tcW w:w="2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the lease beyond</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180"/>
              <w:spacing w:after="0" w:line="135" w:lineRule="exact"/>
              <w:rPr>
                <w:sz w:val="20"/>
                <w:szCs w:val="20"/>
                <w:color w:val="auto"/>
              </w:rPr>
            </w:pPr>
            <w:r>
              <w:rPr>
                <w:rFonts w:ascii="Times New Roman" w:cs="Times New Roman" w:eastAsia="Times New Roman" w:hAnsi="Times New Roman"/>
                <w:sz w:val="12"/>
                <w:szCs w:val="12"/>
                <w:b w:val="1"/>
                <w:bCs w:val="1"/>
                <w:color w:val="auto"/>
              </w:rPr>
              <w:t>square</w:t>
            </w:r>
          </w:p>
        </w:tc>
        <w:tc>
          <w:tcPr>
            <w:tcW w:w="2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ind w:left="440"/>
              <w:spacing w:after="0" w:line="135" w:lineRule="exact"/>
              <w:rPr>
                <w:sz w:val="20"/>
                <w:szCs w:val="20"/>
                <w:color w:val="auto"/>
              </w:rPr>
            </w:pPr>
            <w:r>
              <w:rPr>
                <w:rFonts w:ascii="Times New Roman" w:cs="Times New Roman" w:eastAsia="Times New Roman" w:hAnsi="Times New Roman"/>
                <w:sz w:val="12"/>
                <w:szCs w:val="12"/>
                <w:b w:val="1"/>
                <w:bCs w:val="1"/>
                <w:color w:val="auto"/>
              </w:rPr>
              <w:t>Enforceable</w:t>
            </w:r>
          </w:p>
        </w:tc>
        <w:tc>
          <w:tcPr>
            <w:tcW w:w="14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enforceable lease</w:t>
            </w:r>
          </w:p>
        </w:tc>
        <w:tc>
          <w:tcPr>
            <w:tcW w:w="0" w:type="dxa"/>
            <w:vAlign w:val="bottom"/>
          </w:tcPr>
          <w:p>
            <w:pPr>
              <w:spacing w:after="0"/>
              <w:rPr>
                <w:sz w:val="1"/>
                <w:szCs w:val="1"/>
                <w:color w:val="auto"/>
              </w:rPr>
            </w:pPr>
          </w:p>
        </w:tc>
      </w:tr>
      <w:tr>
        <w:trPr>
          <w:trHeight w:val="145"/>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20" w:type="dxa"/>
            <w:vAlign w:val="bottom"/>
          </w:tcPr>
          <w:p>
            <w:pPr>
              <w:spacing w:after="0"/>
              <w:rPr>
                <w:sz w:val="12"/>
                <w:szCs w:val="12"/>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meters)</w:t>
            </w:r>
          </w:p>
        </w:tc>
        <w:tc>
          <w:tcPr>
            <w:tcW w:w="260" w:type="dxa"/>
            <w:vAlign w:val="bottom"/>
          </w:tcPr>
          <w:p>
            <w:pPr>
              <w:spacing w:after="0"/>
              <w:rPr>
                <w:sz w:val="12"/>
                <w:szCs w:val="12"/>
                <w:color w:val="auto"/>
              </w:rPr>
            </w:pPr>
          </w:p>
        </w:tc>
        <w:tc>
          <w:tcPr>
            <w:tcW w:w="38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2"/>
                <w:szCs w:val="12"/>
                <w:b w:val="1"/>
                <w:bCs w:val="1"/>
                <w:color w:val="auto"/>
              </w:rPr>
              <w:t>Primary usage</w:t>
            </w:r>
          </w:p>
        </w:tc>
        <w:tc>
          <w:tcPr>
            <w:tcW w:w="140" w:type="dxa"/>
            <w:vAlign w:val="bottom"/>
          </w:tcPr>
          <w:p>
            <w:pPr>
              <w:spacing w:after="0"/>
              <w:rPr>
                <w:sz w:val="12"/>
                <w:szCs w:val="12"/>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lease period</w:t>
            </w:r>
          </w:p>
        </w:tc>
        <w:tc>
          <w:tcPr>
            <w:tcW w:w="140" w:type="dxa"/>
            <w:vAlign w:val="bottom"/>
          </w:tcPr>
          <w:p>
            <w:pPr>
              <w:spacing w:after="0"/>
              <w:rPr>
                <w:sz w:val="12"/>
                <w:szCs w:val="12"/>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period</w:t>
            </w: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Denmark</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Tuborg Boulevard, Hellerup</w:t>
            </w:r>
          </w:p>
        </w:tc>
        <w:tc>
          <w:tcPr>
            <w:tcW w:w="8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12,079</w:t>
            </w:r>
          </w:p>
        </w:tc>
        <w:tc>
          <w:tcPr>
            <w:tcW w:w="260" w:type="dxa"/>
            <w:vAlign w:val="bottom"/>
          </w:tcPr>
          <w:p>
            <w:pPr>
              <w:spacing w:after="0"/>
              <w:rPr>
                <w:sz w:val="14"/>
                <w:szCs w:val="14"/>
                <w:color w:val="auto"/>
              </w:rPr>
            </w:pPr>
          </w:p>
        </w:tc>
        <w:tc>
          <w:tcPr>
            <w:tcW w:w="3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Corporate headquarters, Administration and R&amp;D</w:t>
            </w:r>
          </w:p>
        </w:tc>
        <w:tc>
          <w:tcPr>
            <w:tcW w:w="140" w:type="dxa"/>
            <w:vAlign w:val="bottom"/>
          </w:tcPr>
          <w:p>
            <w:pPr>
              <w:spacing w:after="0"/>
              <w:rPr>
                <w:sz w:val="14"/>
                <w:szCs w:val="14"/>
                <w:color w:val="auto"/>
              </w:rPr>
            </w:pPr>
          </w:p>
        </w:tc>
        <w:tc>
          <w:tcPr>
            <w:tcW w:w="1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July, 2029 - May, 2038</w:t>
            </w:r>
          </w:p>
        </w:tc>
        <w:tc>
          <w:tcPr>
            <w:tcW w:w="140" w:type="dxa"/>
            <w:vAlign w:val="bottom"/>
          </w:tcPr>
          <w:p>
            <w:pPr>
              <w:spacing w:after="0"/>
              <w:rPr>
                <w:sz w:val="14"/>
                <w:szCs w:val="14"/>
                <w:color w:val="auto"/>
              </w:rPr>
            </w:pPr>
          </w:p>
        </w:tc>
        <w:tc>
          <w:tcPr>
            <w:tcW w:w="176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No</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Germany</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October 2026 - January</w:t>
            </w:r>
          </w:p>
        </w:tc>
        <w:tc>
          <w:tcPr>
            <w:tcW w:w="140" w:type="dxa"/>
            <w:vAlign w:val="bottom"/>
          </w:tcPr>
          <w:p>
            <w:pPr>
              <w:spacing w:after="0"/>
              <w:rPr>
                <w:sz w:val="12"/>
                <w:szCs w:val="12"/>
                <w:color w:val="auto"/>
              </w:rPr>
            </w:pPr>
          </w:p>
        </w:tc>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Rolling 24 months option</w:t>
            </w:r>
          </w:p>
        </w:tc>
        <w:tc>
          <w:tcPr>
            <w:tcW w:w="0" w:type="dxa"/>
            <w:vAlign w:val="bottom"/>
          </w:tcPr>
          <w:p>
            <w:pPr>
              <w:spacing w:after="0"/>
              <w:rPr>
                <w:sz w:val="1"/>
                <w:szCs w:val="1"/>
                <w:color w:val="auto"/>
              </w:rPr>
            </w:pPr>
          </w:p>
        </w:tc>
      </w:tr>
      <w:tr>
        <w:trPr>
          <w:trHeight w:val="179"/>
        </w:trPr>
        <w:tc>
          <w:tcPr>
            <w:tcW w:w="2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Technologiepark, Heidelberg</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3,034</w:t>
            </w:r>
          </w:p>
        </w:tc>
        <w:tc>
          <w:tcPr>
            <w:tcW w:w="2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2027</w:t>
            </w:r>
          </w:p>
        </w:tc>
        <w:tc>
          <w:tcPr>
            <w:tcW w:w="14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 extend</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Max-Jarecki-Str., Heidelberg</w:t>
            </w:r>
          </w:p>
        </w:tc>
        <w:tc>
          <w:tcPr>
            <w:tcW w:w="8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2,321</w:t>
            </w:r>
          </w:p>
        </w:tc>
        <w:tc>
          <w:tcPr>
            <w:tcW w:w="260" w:type="dxa"/>
            <w:vAlign w:val="bottom"/>
            <w:shd w:val="clear" w:color="auto" w:fill="CFF0FC"/>
          </w:tcPr>
          <w:p>
            <w:pPr>
              <w:spacing w:after="0"/>
              <w:rPr>
                <w:sz w:val="14"/>
                <w:szCs w:val="14"/>
                <w:color w:val="auto"/>
              </w:rPr>
            </w:pPr>
          </w:p>
        </w:tc>
        <w:tc>
          <w:tcPr>
            <w:tcW w:w="3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Administration, R&amp;D and laboratory facilities</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January, 2026</w:t>
            </w:r>
          </w:p>
        </w:tc>
        <w:tc>
          <w:tcPr>
            <w:tcW w:w="140" w:type="dxa"/>
            <w:vAlign w:val="bottom"/>
            <w:shd w:val="clear" w:color="auto" w:fill="CFF0FC"/>
          </w:tcPr>
          <w:p>
            <w:pPr>
              <w:spacing w:after="0"/>
              <w:rPr>
                <w:sz w:val="14"/>
                <w:szCs w:val="14"/>
                <w:color w:val="auto"/>
              </w:rPr>
            </w:pPr>
          </w:p>
        </w:tc>
        <w:tc>
          <w:tcPr>
            <w:tcW w:w="17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No</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United States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Option to extend for up to</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6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two periods of five years</w:t>
            </w: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Page Mill, Palo Alto, California</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6,765</w:t>
            </w:r>
          </w:p>
        </w:tc>
        <w:tc>
          <w:tcPr>
            <w:tcW w:w="260" w:type="dxa"/>
            <w:vAlign w:val="bottom"/>
            <w:shd w:val="clear" w:color="auto" w:fill="CFF0FC"/>
          </w:tcPr>
          <w:p>
            <w:pPr>
              <w:spacing w:after="0"/>
              <w:rPr>
                <w:sz w:val="15"/>
                <w:szCs w:val="15"/>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Administration</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October, 2033</w:t>
            </w:r>
          </w:p>
        </w:tc>
        <w:tc>
          <w:tcPr>
            <w:tcW w:w="14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each</w:t>
            </w:r>
          </w:p>
        </w:tc>
        <w:tc>
          <w:tcPr>
            <w:tcW w:w="0" w:type="dxa"/>
            <w:vAlign w:val="bottom"/>
          </w:tcPr>
          <w:p>
            <w:pPr>
              <w:spacing w:after="0"/>
              <w:rPr>
                <w:sz w:val="1"/>
                <w:szCs w:val="1"/>
                <w:color w:val="auto"/>
              </w:rPr>
            </w:pPr>
          </w:p>
        </w:tc>
      </w:tr>
      <w:tr>
        <w:trPr>
          <w:trHeight w:val="145"/>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Redwood City, California</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Option to extend for</w:t>
            </w:r>
          </w:p>
        </w:tc>
        <w:tc>
          <w:tcPr>
            <w:tcW w:w="0" w:type="dxa"/>
            <w:vAlign w:val="bottom"/>
          </w:tcPr>
          <w:p>
            <w:pPr>
              <w:spacing w:after="0"/>
              <w:rPr>
                <w:sz w:val="1"/>
                <w:szCs w:val="1"/>
                <w:color w:val="auto"/>
              </w:rPr>
            </w:pPr>
          </w:p>
        </w:tc>
      </w:tr>
      <w:tr>
        <w:trPr>
          <w:trHeight w:val="179"/>
        </w:trPr>
        <w:tc>
          <w:tcPr>
            <w:tcW w:w="2780" w:type="dxa"/>
            <w:vAlign w:val="bottom"/>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2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4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April, 2030</w:t>
            </w:r>
          </w:p>
        </w:tc>
        <w:tc>
          <w:tcPr>
            <w:tcW w:w="14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additional five years</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West Windsor Township,</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Option to extend for</w:t>
            </w: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New Jersey</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260" w:type="dxa"/>
            <w:vAlign w:val="bottom"/>
            <w:shd w:val="clear" w:color="auto" w:fill="CFF0FC"/>
          </w:tcPr>
          <w:p>
            <w:pPr>
              <w:spacing w:after="0"/>
              <w:rPr>
                <w:sz w:val="15"/>
                <w:szCs w:val="15"/>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Selling and administration</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December, 2025</w:t>
            </w:r>
          </w:p>
        </w:tc>
        <w:tc>
          <w:tcPr>
            <w:tcW w:w="14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additional five years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right="140" w:hanging="512"/>
        <w:spacing w:after="0" w:line="298" w:lineRule="auto"/>
        <w:tabs>
          <w:tab w:leader="none" w:pos="6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lease in Redwood City, California is subleased to Eyconis, initially until December 2025. See “Item 7 B. Major Shareholders and Related Party Transactions —Related Party Transactions” for more information about Eyconis.</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2022 we entered into a lease in Germany, comprising 11,390 square meters, with a term of 15 years, expected to commence in 2025, where its main activities will be administration, R&amp;D and laboratory functions. In addition, in December 2024, we entered into additional leases in Denmark, comprising an aggregate of 5,141 square meters, each expected to commence in 2025, with a term of 12 years and with an option to terminate earlier, where the main activities will be administration functions.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near-term needs. We believe that suitable additional or alternative space would be available if required in the future on commercially reasonable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“Item 3 D. Key Information—Risk Factors” and “Special Note Regarding Forward-Looking Statements” sections and elsewhere in this annual report.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98"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1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Refer to Part I, Item 5 in our Annual Report on Form 20-F for the financial year ended December 31, 2023 (filed with the SEC on February 7, 2024) for additional discussion of our financial condition and results of operations for the year ended December 31, 2022, as well as our financial condition and results of operations for the year ended December 31, 2023, compared to the year ended December 31,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business highlights in 2024, please refer to “Item 4B. Information on the Company—Business Overview.”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and Expenses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from sale of commercial products and clinical trial supply is recognized when the customer has obtained control of the goods and it is probable that we will collect the consideration to which we are entitled for transferring the goods. Control is transferred upon delivery. Cost of sales are recognized when the sales takes place. Rendering of services is recognized as revenue over the service period as stipulated under the applicable agreement. License agreements which transfer rights to our intellectual property (“IP”) with significant stand-alone value are classified as “right-to-use,” with revenue recognized at the point in time when the customer can use and benefit from the IP.</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operating expenses relate to research and development activities and to selling, general, and administration activities. Research and development costs (“R&amp;D costs”) consist primarily of product development and pre-commercial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our IP portfolio, and depreciation of non-current assets used in research and development activities. Selling, general, and administrative expenses (“SG&amp;A expenses”) comprise salaries and other personnel costs including pension and share-based payment, office supplies, cost of facilities, professional fees, and depreciation and amortization of non-current assets related to selling, general, and administrative activities, and pre-commercial and commercial activities.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material portion of our operating expenses are denominated in other currencies than the Euro, which expose our operating expenses to volatility. We do not currently enter into derivative financial instruments to manage our exposure to foreign exchange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Assets and Liabilities</w:t>
      </w:r>
    </w:p>
    <w:p>
      <w:pPr>
        <w:spacing w:after="0" w:line="121"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Our operating assets and liabilities primarily relate to property, plant and equipment, inventories, receivables, prepayments and accruals for development costs, lease liabilities, trade payables, other liabilities, and contract liabilities. Property, plant and equipment primarily relate to leased facilities which are recognized and measured as right-of-use assets. Our receivables and liabilities are exposed to development in foreign currencies, primarily with respect to the U.S. Dollar. Please refer to the “Foreign Currency Risk” section under “Quantitative and Qualitative Disclosures about Market Risk” in this “Item 5 A. Operating and Financial Review and Prospects—Operating Results” and to Note 17, “Financial Risk Management,” for an analysis of our foreign currency exposure.</w:t>
      </w:r>
    </w:p>
    <w:p>
      <w:pPr>
        <w:spacing w:after="0" w:line="18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have built up inventories to support the commercialization of SKYTROFA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as well as the launch of YORVIPATH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In addition to commercial inventories, manufacturing of pre-launch inventories is initiated for late-stage product candidates and is recognized as inventories. However, since pre-launch inventories are not realizable prior to obtaining marketing approvals, pre-launch inventories are immediately written down to zero through research and development costs.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capital structure consists of equity and external borrowings obtained through issuance of convertible senior notes (“convertible notes”) and royalty funding liabilities. We are not subject to any contractually imposed capital requirements or financial covenants. For further details, please refer to “Item 5 B. Operating and Financial Review and Prospects—Liquidity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266,718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96,923</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97,060</w:t>
            </w:r>
          </w:p>
        </w:tc>
      </w:tr>
      <w:tr>
        <w:trPr>
          <w:trHeight w:val="216"/>
        </w:trPr>
        <w:tc>
          <w:tcPr>
            <w:tcW w:w="66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598,146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677,864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(79,718)</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profit/(loss)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(455,541)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176,778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profit/(loss) for the year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(378,084)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(481,447)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103,363</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(306,197)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161,164</w:t>
            </w:r>
          </w:p>
        </w:tc>
      </w:tr>
    </w:tbl>
    <w:p>
      <w:pPr>
        <w:spacing w:after="0" w:line="76"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comprise research and development costs and selling, general and administrative expenses.</w:t>
      </w:r>
    </w:p>
    <w:p>
      <w:pPr>
        <w:spacing w:after="0" w:line="23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Compared to the year ended December 31, 2023, revenue for the year ended December 31, 2024, primarily benefited from license revenue related to our exclusive license agreements with Novo Nordisk and Eyconis, continued demand growth for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which was offset by higher sales deductions, and the launch of YORVIPATH® in Europe. Operating loss was €278.8 million, representing an improvement of €176.8 million compared to December 31, 2023, which, in addition to an increase in revenue, was driven by reduced operating expenses. We had a net loss of €378.1 million for the year ended December 31, 2024, which, compared to our operating loss, was driven primarily by non-cash financial items. Refer to section “Finance Income and Finance Expenses” in below section.</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total equity presented a negative balance of €105.7 million as of December 31, 2024, compared to a negative balance of €145.7 million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about our results of operations are described in the following sections.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for the years ended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products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225,728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(9,865 )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supply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122,343</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66,077</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56,266</w:t>
            </w:r>
          </w:p>
        </w:tc>
        <w:tc>
          <w:tcPr>
            <w:tcW w:w="100" w:type="dxa"/>
            <w:vAlign w:val="bottom"/>
          </w:tcPr>
          <w:p>
            <w:pPr>
              <w:spacing w:after="0"/>
              <w:rPr>
                <w:sz w:val="18"/>
                <w:szCs w:val="18"/>
                <w:color w:val="auto"/>
              </w:rPr>
            </w:pPr>
          </w:p>
        </w:tc>
      </w:tr>
      <w:tr>
        <w:trPr>
          <w:trHeight w:val="21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363,641</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96,923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 for the year ended December 31, 2024 was €363.6 million, representing an increase of €96.9 million compared to last year. This increase was primarily attributable to higher revenue from licenses associated with our exclusive license agreement with Novo Nordisk, signed in November 2024, which includes a $100 million upfront payment, recognized in 2024, and our exclusive license agreement with Eyconis in January 2024 of €27.1 million (non-cash) upfront payment adjusted for internal profit, compared to the $70 million upfront payment received from our exclusive license agreement with Teijin in 2023.</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revenue was positively impacted from increased sales of SKYTROFA in the U.S. and the commercial launch of YORVIPATH in Europe. Revenue for SKYTROFA was negatively impacted by an adjustment to estimates and assumptions for sales deductions of €4.7 million, which were attributable to years prior to January 1, 2024. The adjustment was primarily attributable to a different payer and rebate mix than anticipated, and on which provisions for prior years were based.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sale of commercial products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66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commercial products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SKYTROFA®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18,338</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YORVIPATH®</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28,727</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28,727</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commercial products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225,728</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178,663</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-153670</wp:posOffset>
            </wp:positionV>
            <wp:extent cx="94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939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Cost of sales for the year ended December 31, 2024 was €44.3 million, representing a decrease of €0.1 million compared to last year. This decrease was primarily attributable to lower costs under our license and collaboration agreements, partly offset by increased sales of commercial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external project costs on the development pipeline and other R&amp;D costs.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hGH</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(22,205)</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PTH</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(33,803)</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CNP</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IL-2 b/g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TransCon TLR7/8 Agonist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(22,730)</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Ophthalmology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project costs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external project costs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151,984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246,397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(94,413)</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research and development costs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131,867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127,002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research and development costs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155,020</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167,057</w:t>
            </w:r>
          </w:p>
        </w:tc>
        <w:tc>
          <w:tcPr>
            <w:tcW w:w="1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(12,037)</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307,004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413,454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(106,450)</w:t>
            </w:r>
          </w:p>
        </w:tc>
      </w:tr>
      <w:tr>
        <w:trPr>
          <w:trHeight w:val="20"/>
        </w:trPr>
        <w:tc>
          <w:tcPr>
            <w:tcW w:w="6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946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R&amp;D costs for the year ended December 31, 2024 were €307.0 million representing a decrease of €106.5 million compared to last year. This decrease was primarily due to:</w:t>
      </w:r>
    </w:p>
    <w:p>
      <w:pPr>
        <w:spacing w:after="0" w:line="54" w:lineRule="exact"/>
        <w:rPr>
          <w:sz w:val="20"/>
          <w:szCs w:val="20"/>
          <w:color w:val="auto"/>
        </w:rPr>
      </w:pPr>
    </w:p>
    <w:p>
      <w:pPr>
        <w:ind w:left="1020" w:right="40" w:hanging="503"/>
        <w:spacing w:after="0" w:line="266"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of our endocrinology rare disease pipeline, especially regarding TransCon hGH and TransCon PTH. In addition, 2024 include reversal (income) of prior period write-downs of pre-launch inventories for TransCon PTH of €12.6 million, due to the commercial launch of YORVIPATH in Europe and the U.S. in 2024;</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development activities on our TransCon TLR7/8 Agonist and TransCon IL-2 b/g programs, partly offset by increased clinical trial activities. During the fourth quarter of 2024, we closed enrollment in our BelieveIT-201 clinical trial and to dose expansion cohorts involving TransCon TLR7/8 Agonist in the transcendIT-101 and IL-Believe trials to prioritize our efforts on TransCon IL-2 b/g;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86" w:lineRule="exact"/>
        <w:rPr>
          <w:sz w:val="20"/>
          <w:szCs w:val="20"/>
          <w:color w:val="auto"/>
        </w:rPr>
      </w:pPr>
    </w:p>
    <w:p>
      <w:pPr>
        <w:ind w:left="1020" w:right="24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Cessation of ophthalmology expenses, including related employee costs, due to the grant of exclusive rights to develop and commercialize TransCon ophthalmology to Eyconis in January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SG&amp;A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64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115,706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28,475</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139,899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142,598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291,142</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264,410</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946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946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SG&amp;A expenses for the year ended December 31, 2024 was €291.1 million representing an increase of €26.7 million compared to last year. This increase was primarily due to higher employee related expenses and other general and administrative expenses attributable to organizational growth in support of launch of YORVIPATH in Europe and the U.S., partly offset by lower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result of finance income and expenses, further disaggregated into cash and non-cash items: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6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income/(expenses)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43,857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(18,248)</w:t>
            </w:r>
          </w:p>
        </w:tc>
      </w:tr>
      <w:tr>
        <w:trPr>
          <w:trHeight w:val="216"/>
        </w:trPr>
        <w:tc>
          <w:tcPr>
            <w:tcW w:w="66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(100,027)</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(55,962)</w:t>
            </w:r>
          </w:p>
        </w:tc>
      </w:tr>
      <w:tr>
        <w:trPr>
          <w:trHeight w:val="21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finance income/(expenses)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(74,210)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in cash and non-cash items</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176"/>
        </w:trPr>
        <w:tc>
          <w:tcPr>
            <w:tcW w:w="66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items</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16"/>
        </w:trPr>
        <w:tc>
          <w:tcPr>
            <w:tcW w:w="6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 received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16"/>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expenses paid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175"/>
        </w:trPr>
        <w:tc>
          <w:tcPr>
            <w:tcW w:w="20" w:type="dxa"/>
            <w:vAlign w:val="bottom"/>
            <w:shd w:val="clear" w:color="auto" w:fill="CFF0FC"/>
          </w:tcPr>
          <w:p>
            <w:pPr>
              <w:spacing w:after="0"/>
              <w:rPr>
                <w:sz w:val="15"/>
                <w:szCs w:val="15"/>
                <w:color w:val="auto"/>
              </w:rPr>
            </w:pPr>
          </w:p>
        </w:tc>
        <w:tc>
          <w:tcPr>
            <w:tcW w:w="662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Non-cash items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55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Remeasurement gain/(loss) of financial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(10,780)</w:t>
            </w:r>
          </w:p>
        </w:tc>
      </w:tr>
      <w:tr>
        <w:trPr>
          <w:trHeight w:val="216"/>
        </w:trPr>
        <w:tc>
          <w:tcPr>
            <w:tcW w:w="6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gain/(loss)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(39,495)</w:t>
            </w:r>
          </w:p>
        </w:tc>
      </w:tr>
      <w:tr>
        <w:trPr>
          <w:trHeight w:val="216"/>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Amortization charges, accruals, and other items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(28,584)</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(21,728)</w:t>
            </w:r>
          </w:p>
        </w:tc>
      </w:tr>
      <w:tr>
        <w:trPr>
          <w:trHeight w:val="250"/>
        </w:trPr>
        <w:tc>
          <w:tcPr>
            <w:tcW w:w="66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finance income/(expenses)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(74,418)</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-1473835</wp:posOffset>
            </wp:positionV>
            <wp:extent cx="946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-1473835</wp:posOffset>
            </wp:positionV>
            <wp:extent cx="93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946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94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development in non-cash items was driven primarily by translation of U.S. dollar denominated monetary positions into Euro, primarily cash and cash equivalents, convertible notes and royalty funding liabilities. The development was further driven by amortization charges, accruals, and other items, primarily due to our royalty funding liabilities which we entered into in September 2023 and September 2024, and from lower remeasurement gains from financial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98"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and capital resources comprise cash and cash equivalents. As of December 31, 2024, these amounted to €559.5 million.</w:t>
      </w:r>
    </w:p>
    <w:p>
      <w:pPr>
        <w:spacing w:after="0" w:line="22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expenditures primarily relate to research and development activities and selling, general, and administrative activities to support our business, including our continued development of product and product candidates within Endocrinology Rare Disease and Oncology portfolios, the commercialization of SKYTROFA and YORVIPATH, and expenses made in anticipation of potential future product launches. We manage our liquidity risk by maintaining adequate cash reserves and banking facilities. We monitor the risk of a shortage of funds through a liquidity planning tool to ensure sufficient funds are available to settle liabilities as they become due.</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2024, the consolidated statements of financial position presented a negative balance of equity of €105.7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capital resources as of December 31, 2024 will be sufficient to meet our projected cash requirements for at least twelve months from the date of this annual report. However, our operating plan may change as a result of many factors currently unknown to us, and we may need to seek additional funds sooner than planned.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of American Depositary Shares (“ADSs”), latest in September 2024, with total net proceeds of $2,580.2 million (or €2.259.0 million at the time of the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Funding Liabilities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entered into capped synthetic royalty funding agreements with Royalty Pharma (the “Purchaser”), which are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September 2024, we entered into a $150.0 million capped synthetic royalty funding agreement (the “Royalty Pharma Yorvipath Agreement”) with the Purchaser. Under the terms of the Royalty Pharma Yorvipath Agreement, we received an upfront payment of $150.0 million (the “Yorvipath Purchase Price”) in exchange for a 3% royalty on net revenue from sales of YORVIPATH in the U.S. (the “Yorvipath Revenue Payments”). The net proceeds were $148.2 million (€134.2 million) after deducting offering expenses. The Yorvipath Revenue Payments to the Purchaser will cease upon reaching a multiple of the Yorvipath Purchase Price of 2.0 times, or 1.65 times if the Purchaser receives Yorvipath Revenue Payments in that amount by December 31, 2029. The Royalty Pharma Yorvipath Agreement includes a buy-out option under various terms and conditions.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$150.0 million capped synthetic royalty funding agreement (the “Royalty Pharma Skytrofa Agreement”) with the Purchaser. Under the terms of the Royalty Pharma Skytrofa Agreement, we received an upfront payment of $150.0 million (the “Skytrofa Purchase Price”) in exchange for a 9.15% royalty on net revenue from sales of SKYTROFA in the U.S., beginning on January 1, 2025 (the “Skytrofa Revenue Payments”). The net proceeds were $146.3 million (€136.3 million) after deducting offering expenses. The Skytrofa Revenue Payments to the Purchaser will cease upon reaching a multiple of the Skytrofa Purchase Price of 1.925 times, or 1.65 times if the Purchaser receives Skytrofa Revenue Payments in that amount by December 31, 2031. The Royalty Pharma Skytrofa Agreement includes a buy-out option under various terms and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16, “Financial Assets and Liabilities” for further information about our royalty funding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2022, we issued an aggregate principal amount of $575.0 million of fixed rate 2.25% convertible notes. The net proceeds from the offering of the convertible notes were $557.9 million (€503.3 million), after deducting the initial purchasers’ discounts and commissions, and transaction costs. The coupon interest is payable semi-annually. Unless earlier converted or redeemed, the convertible notes will mature on April 1, 2028. Refer to Note 16, “Financial Assets and Liabilities” for further information about our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cash-forecasts to ensure sufficient cash reserves are available to settle liabilities as they come due.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cash requirements primarily relate to the following:</w:t>
      </w:r>
    </w:p>
    <w:p>
      <w:pPr>
        <w:spacing w:after="0" w:line="117"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interest payments and potential repayment (April 1, 2028) of principal amount of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Royalty Pharma under our royalty funding agreements of 3% on net revenue from sales of YORVIPATH in the U.S., and 9.15% on net revenue from sales of SKYTROFA in the U.S., subject to caps as described in above section;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obligations related to our office, research and development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under our commercial supply agreements and related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related to clinical trials for our product candidates in clinical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integrated organization to support the ongoing commercialization of SKYTROFA and YORVIPATH in the U.S. and Europe.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cash requirements are determined in Euro applying foreign exchange rates at December 31, 2024. Accordingly, actual cash payments are exposed to development in foreign currencies, primarily with respect to the U.S. Dollar. Refer to “Foreign Currency Risk” section under “Quantitative and Qualitative Disclosures about Market Risk,” above.</w:t>
      </w:r>
    </w:p>
    <w:p>
      <w:pPr>
        <w:spacing w:after="0" w:line="17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Our borrowings comprise convertible notes, royalty funding liabilities and lease liabilities. As of December 31, 2024, short-term (payable within twelve months after the reporting date) and long-term (payable beyond twelve months after the reporting date) cash requirements (on an undiscounted basis) for convertible notes and royalty funding liabilities were €32.3 million and €1,041.2 million, respectively. Expected maturity for royalty funding liabilities is based on anticipated amount and timing of future revenue from sale of commercial products. Further details regarding the payment structure of the royalty funding agreements and convertible notes are provided above.</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December 31, 2024, the length of non-cancellable leases is up to nine years. Our cash requirements for lease obligations (on an undiscounted basis) are €16.2 million and €91.3 million, on short-term and long-term, respectively. In February 2022, we entered into a facility lease in Germany with an enforceable lease term of 15 years, which is expected to commence in 2025. In addition, in December 2024, we entered into additional leases in Denmark, each expected to commence in 2025, with a term of 12 years and with an option to terminate earlier. As of December 31, 2024, when including the impact of the new leases in Germany and Denmark, which is not recognized as lease liabilities in the consolidated statement of financial position as of December 31, 2024, our short-term and long-term cash requirements for lease obligations (on an undiscounted basis) were expected to be €22.2 million and €167.5 million, respectively. In addition, our lease obligations establish ancillary contractual commitments in relation to utilities, maintenance, levies, and other services. Further, we have commitments related to short-term leases and leases of low value assets, IT and facility related services. Costs relating to those commitments are expensed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entered into long-term commercial supply agreements, related to commercial manufacturing of SKYTROFA and YORVIPATH.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Commercial supply agreements may include purchase obligations, usually determined on binding and non-binding supply forecasts, that are subject to continuous negotiation and adjustments according to individual contractual terms and conditions. As of December 31, 2024, our short-term and long-term cash requirements were €64.7 million and €60.2 million, respectively, excluding non-binding commitments for purchase of raw materials and intermediates used in the manufacturing process.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part of our ordinary activities, we engage third-party CROs to perform clinical trial activities, which primarily are studies for more than one year. We are not subject to contingent liabilities from potential milestone payments related to in-licensing of IP.</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or any holdings in variable interest entities. In addition, we are not aware of any significant legal claims or disputes.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currently estimate that our existing cash and cash equivalents will be sufficient to fund our operations for at least twelve months from the date of this annual report. However, our operating plan and actual cash requirements may change as a result of many factors. For example our future funding requirements will depend on many factors, including, but not limited to:</w:t>
      </w:r>
    </w:p>
    <w:p>
      <w:pPr>
        <w:spacing w:after="0" w:line="68" w:lineRule="exact"/>
        <w:rPr>
          <w:sz w:val="20"/>
          <w:szCs w:val="20"/>
          <w:color w:val="auto"/>
        </w:rPr>
      </w:pPr>
    </w:p>
    <w:p>
      <w:pPr>
        <w:ind w:left="1020" w:right="44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approved products and any future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manufacturing of our products and product candidates, including the timing of when we incur such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products and product candidates, including the ability to enroll patients in a timely manner for clinical trials;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products and product candidates and the costs of post-marketing studies that could be required by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platform;</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and our ability to obtain market acceptance of our products and product candidates, if approved;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86" w:lineRule="exact"/>
        <w:rPr>
          <w:sz w:val="20"/>
          <w:szCs w:val="20"/>
          <w:color w:val="auto"/>
        </w:rPr>
      </w:pPr>
    </w:p>
    <w:p>
      <w:pPr>
        <w:ind w:left="1020" w:right="200" w:hanging="503"/>
        <w:spacing w:after="0" w:line="266"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purchase ADSs prior to granting rights or awards for such shares under our equity incentive plans.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 Furthermore, uncertainty about the interest rate environment and an increase in interest rates may make it more difficult, costly or dilutive for us to secure additional financing, which may have a negative impact on earnings and cash flow.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04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 (used in)</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(306,197 )</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(467,361 )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161,164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286,474</w:t>
            </w: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(279,598 )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443,929</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309,637</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144,608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(46,595 )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191,203</w:t>
            </w:r>
          </w:p>
        </w:tc>
        <w:tc>
          <w:tcPr>
            <w:tcW w:w="100" w:type="dxa"/>
            <w:vAlign w:val="bottom"/>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Operating Activities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for the year ended December 31, 2024 were €306.2 million, representing a decrease of €161.2 million compared to last year. This improvement was primarily related to higher revenue and reduced operating expenditures, and to further adjustment for changes to non-operating financial income and expenses, taxes and non-cash items of total €168.5 million, partly offset by negative impact from working capital balances with €7.4 million. The negative impact from working capital balances includes $100 million plus indirect taxes related to the upfront payment from our exclusive license agreement with Novo Nordisk, which was subsequently settled in January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Investing Activities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for the year ended December 31, 2024 were €6.9 million, representing a decrease of €279.6 million compared to last year. This increase was primarily attributable to higher net settlement of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flows from financing activities for the year ended December 31, 2024, were €443.9 million, representing an increase of €309.6 million compared to the last year. This increase was primarily attributable to our follow-on public offering of ADSs completed in September 2024 with net proceeds of €290.6 million and increased warrant exercise activity of €20.2 million. Similar to 2023, we entered into a $150.0 million capped synthetic royalty funding agreement with Royalty Pharma.</w:t>
      </w:r>
    </w:p>
    <w:p>
      <w:pPr>
        <w:spacing w:after="0" w:line="284" w:lineRule="exact"/>
        <w:rPr>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See “Item 4 B. Information on the Company—Business Overview” and “Item 5 A. Operating and Financial Review and Prospects – Operating Results— Financial Operations Overview—Research and Development Costs.”</w:t>
      </w:r>
    </w:p>
    <w:p>
      <w:pPr>
        <w:spacing w:after="0" w:line="266" w:lineRule="exact"/>
        <w:rPr>
          <w:sz w:val="20"/>
          <w:szCs w:val="20"/>
          <w:color w:val="auto"/>
        </w:rPr>
      </w:pPr>
    </w:p>
    <w:p>
      <w:pPr>
        <w:ind w:left="360" w:hanging="352"/>
        <w:spacing w:after="0"/>
        <w:tabs>
          <w:tab w:leader="none" w:pos="3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A. Operating and Financial Review and Prospects—Operating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98" w:lineRule="exact"/>
        <w:rPr>
          <w:sz w:val="20"/>
          <w:szCs w:val="20"/>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IFRS Accounting Standards (“IFRS”), as issued by the International Accounting Standards Board (“IASB”), and as adopted by the European Union (“EU”). A description of critical accounting estimates is provided in Note 3, “Significant Accounting Judgements and Estimates” under the Significant Estimation Uncertainties sub-section in the audited consolidated financial statements as of and for the years ended December 31, 2024, 2023 and 2022, of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pacing w:after="0" w:line="284" w:lineRule="exact"/>
        <w:rPr>
          <w:sz w:val="20"/>
          <w:szCs w:val="20"/>
          <w:color w:val="auto"/>
        </w:rPr>
      </w:pPr>
    </w:p>
    <w:p>
      <w:pPr>
        <w:ind w:right="51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Members of Our Board of Directors, Executive Board and Senior Management </w:t>
      </w:r>
      <w:r>
        <w:rPr>
          <w:rFonts w:ascii="Times New Roman" w:cs="Times New Roman" w:eastAsia="Times New Roman" w:hAnsi="Times New Roman"/>
          <w:sz w:val="18"/>
          <w:szCs w:val="18"/>
          <w:b w:val="1"/>
          <w:bCs w:val="1"/>
          <w:i w:val="1"/>
          <w:iCs w:val="1"/>
          <w:color w:val="auto"/>
        </w:rPr>
        <w:t>Board of Directors</w:t>
      </w:r>
    </w:p>
    <w:p>
      <w:pPr>
        <w:spacing w:after="0" w:line="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our current board members as of the date of this annual report. All members of our board of directors are elected for one year and eligible for re-election at each annual general meeting. Our board of directors currently consists of six members.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our board members is our registered office address at Tuborg Boulevard 12, DK-2900 Hellerup, Denmark.</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Board Member</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622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Albert Cha</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shd w:val="clear" w:color="auto" w:fill="CFF0FC"/>
          </w:tcPr>
          <w:p>
            <w:pPr>
              <w:spacing w:after="0"/>
              <w:rPr>
                <w:sz w:val="18"/>
                <w:szCs w:val="18"/>
                <w:color w:val="auto"/>
              </w:rPr>
            </w:pPr>
          </w:p>
        </w:tc>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and Board Member</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Bright</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Carl Fairey Jr.</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shd w:val="clear" w:color="auto" w:fill="CFF0FC"/>
          </w:tcPr>
          <w:p>
            <w:pPr>
              <w:spacing w:after="0"/>
              <w:rPr>
                <w:sz w:val="18"/>
                <w:szCs w:val="18"/>
                <w:color w:val="auto"/>
              </w:rPr>
            </w:pPr>
          </w:p>
        </w:tc>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Lars Holtug, M.Sc.</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Siham Imani</w:t>
            </w:r>
          </w:p>
        </w:tc>
        <w:tc>
          <w:tcPr>
            <w:tcW w:w="11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shd w:val="clear" w:color="auto" w:fill="CFF0FC"/>
          </w:tcPr>
          <w:p>
            <w:pPr>
              <w:spacing w:after="0"/>
              <w:rPr>
                <w:sz w:val="18"/>
                <w:szCs w:val="18"/>
                <w:color w:val="auto"/>
              </w:rPr>
            </w:pPr>
          </w:p>
        </w:tc>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Møller Mikkelsen</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Board Member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non-employee board members.</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Albert Cha, M.D., Ph.D. </w:t>
      </w:r>
      <w:r>
        <w:rPr>
          <w:rFonts w:ascii="Times New Roman" w:cs="Times New Roman" w:eastAsia="Times New Roman" w:hAnsi="Times New Roman"/>
          <w:sz w:val="18"/>
          <w:szCs w:val="18"/>
          <w:color w:val="auto"/>
        </w:rPr>
        <w:t>has served as a member of our board of directors since November 2014 and as the Chairman of our board of directors since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Dr. Cha is a Managing Partner with Frazier Life Sciences. He previously was a managing partner at Vivo Capital LLC, a healthcare investment firm, where he has served in various positions, most recently as a managing partner. Dr. Cha previously served as a member of the board of directors of KalVista Pharmaceuticals, Inc., Aclaris Therapeutics, a publicly traded dermatology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Lisa Bright </w:t>
      </w:r>
      <w:r>
        <w:rPr>
          <w:rFonts w:ascii="Times New Roman" w:cs="Times New Roman" w:eastAsia="Times New Roman" w:hAnsi="Times New Roman"/>
          <w:sz w:val="18"/>
          <w:szCs w:val="18"/>
          <w:color w:val="auto"/>
        </w:rPr>
        <w:t>has served as a member of our board of directors since April 2017. Ms. Bright has over 30 years of executive experience in global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and over five years’ experience serving as a member of the board of directors of a number of public and private companies. Ms. Bright is currently on the board of Immedica Pharma AB, a pharmaceutical company, and serves as Chair of the board of Metadeq Inc, a medical diagnostics company and DRI Capital, a private equity fund. She previously served as the Chair of the board of Resolution Therapeutics Ltd, a biotechnology company, and as a Non-Executive Director of Dechra Pharmaceuticals PLC, a veterinary pharmaceutical company. She is also an Executive Partner to Syncona Limited, an investment trust dedicated to life science investments. Previously, she served as President International for Intercept Pharmaceuticals, Inc., a biopharmaceutical company, from July 2016 to January 2021, and from November 2014 to July 2016 as Chief Commercial and Corporate Affairs Officer and Senior Vice President, Head of EUCA. During her tenure at Intercept, Ms. Bright oversaw the development of the global launch of an orphan medicine in the United States and Europe, including building the commercial organization in the United States and establishing legal affiliates and teams across Europe and Canada.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William Carl Fairey Jr. </w:t>
      </w:r>
      <w:r>
        <w:rPr>
          <w:rFonts w:ascii="Times New Roman" w:cs="Times New Roman" w:eastAsia="Times New Roman" w:hAnsi="Times New Roman"/>
          <w:sz w:val="18"/>
          <w:szCs w:val="18"/>
          <w:color w:val="auto"/>
        </w:rPr>
        <w:t>has served as a member of our board of directors since September 2022. Mr. Fairey currently serves as Executive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 Therapeutics, Inc., a clinical-stage company developing inhaled therapeutics for cardiopulmonary diseases, a position he has held since January 2022. Since August 2021, Mr. Fairey has also served as a director of Mirum Pharmaceuticals, a publicly-traded biotechnology company developing therapies for rare liver diseases; since November 2023, he has served on the board of Aileron Therapeutics (previously Lung Therapeutics, Inc.), a public clinical-stage biopharmaceutical company; and since June 2024, he has served on the board of KalVista, a publicly-traded pharmaceutical company developing therapies for hereditary angioedema. Prior to Respira, Mr. Fairey was Executive Vice President and Chief Commercial Officer of MyoKardia, Inc., a publicly-traded clinical-stage biopharmaceutical company, from January 2019 until November 2020 when the company was acquired by Bristol-Myers Squibb. From January 2018 until January 2019, Mr. Fairey served as Executive Vice President and Chief Operating Officer of ChemoCentryx, Inc., a publicly-traded biopharmaceutical company developing therapeutics to treat autoimmune diseases, inflammatory disorders and cancer, primarily focused on orphan and rare diseases. Before ChemoCentryx, between 2001 and 2017, Mr. Fairey served in various positions of increasing responsibility at Actelion Pharmaceuticals, including as President of Actelion’s U.S. division, as well as Vice President, Asia Pacific Region, Managing Director and Vice President, Australia Asia Pacific Region, President of Actelion Canada, and Vice President, US Sales and Managed Markets. Mr. Fairey began his pharmaceutical career as Business Director, Healthcare Management for the Parke-Davis Division of Warner-Lambert between 1988 and 2000. Mr. Fairey received a B.S. in Biology from the University of Oregon and an M.B.A. from Saint Mary’s College of California.</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Lars Holtug, M.Sc. </w:t>
      </w:r>
      <w:r>
        <w:rPr>
          <w:rFonts w:ascii="Times New Roman" w:cs="Times New Roman" w:eastAsia="Times New Roman" w:hAnsi="Times New Roman"/>
          <w:sz w:val="18"/>
          <w:szCs w:val="18"/>
          <w:color w:val="auto"/>
        </w:rPr>
        <w:t>has served as a member of our board of directors since November 2018. Mr. Holtug was a partner at PricewaterhouseCoopers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Statsautoriseret Revisionspartnerselskab (“PwC”) from 1993 to 2015. Mr. Holtug also currently serves as chairman of Erhvervsinvest Management A/S, a private equity firm, Gaming Investment A/S, a gaming solutions provider, and its eleven subsidiaries, and of Caretag A/S, a healthcare technology company. Mr. Holtug also currently serves as a board member of Evaxion Biotech A/S, as well as the Audit Committee Chair and Remuneration Committee member.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Siham Imani </w:t>
      </w:r>
      <w:r>
        <w:rPr>
          <w:rFonts w:ascii="Times New Roman" w:cs="Times New Roman" w:eastAsia="Times New Roman" w:hAnsi="Times New Roman"/>
          <w:sz w:val="18"/>
          <w:szCs w:val="18"/>
          <w:color w:val="auto"/>
        </w:rPr>
        <w:t>has served as a member of our board of directors since September 2022. Ms. Imani currently serves as Executive Vice President of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and Growth at Chiesi Farmaceutici S.p.A., a pharmaceutical company. Before joining Chiesi, Ms. Imani was EVP Corporate Strategy &amp; Business Development at Servier, where she contributed to the Group transformation as a leader in Cardio Metabolism and Oncology. Prior to Servier, Ms. Imani held various positions of increasing responsibility at Ipsen, a French pharmaceutical company specializing in oncology, neuroscience and rare diseases, including Vice President European Business Unit Pediatric Endocrinology, Vice President Commercial Transformation &amp; Support, Vice President Corporate Strategic Planning and Executive Committee Secretary, from 2011 until April 2017. Ms. Imani also worked for Pierre Fabre and Biosense Webster, part of the Johnson &amp; Johnson Family of Companies, from 2005 to 2010. Ms. Imani is also a board member at Lapropan, a pharmaceutical company. Ms. Imani received a Master in Economics and a Master in Chemistry from École Polytechnique in Palaiseau, France and an M.B.A. from Stanford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Board and Senior Management</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the members of our senior management as of the date of this annual report. In addition to serving as members of our senior management, Mr. Mikkelsen, Mr. Smith, Mr. Wolff Jensen, and Ms. Sønderbjerg serve as the members of our executive board. The business address of these individuals is our registered office address at Tuborg Boulevard 12, DK-2900 Hellerup, Denmark.</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746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 Møller Mikkelsen</w:t>
            </w:r>
          </w:p>
        </w:tc>
        <w:tc>
          <w:tcPr>
            <w:tcW w:w="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shd w:val="clear" w:color="auto" w:fill="CFF0FC"/>
          </w:tcPr>
          <w:p>
            <w:pPr>
              <w:spacing w:after="0"/>
              <w:rPr>
                <w:sz w:val="18"/>
                <w:szCs w:val="18"/>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Chief Executive Officer and Board Member</w:t>
            </w: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Flemming Steen Jensen</w:t>
            </w: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Product Supply and Quality</w:t>
            </w: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Wolff Jensen, L.L.M.</w:t>
            </w:r>
          </w:p>
        </w:tc>
        <w:tc>
          <w:tcPr>
            <w:tcW w:w="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shd w:val="clear" w:color="auto" w:fill="CFF0FC"/>
          </w:tcPr>
          <w:p>
            <w:pPr>
              <w:spacing w:after="0"/>
              <w:rPr>
                <w:sz w:val="18"/>
                <w:szCs w:val="18"/>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Mads Bodenhoff</w:t>
            </w: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Head of Finance and Principal Accounting Officer</w:t>
            </w: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Stina Singel, M.D., Ph.D.</w:t>
            </w:r>
          </w:p>
        </w:tc>
        <w:tc>
          <w:tcPr>
            <w:tcW w:w="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FF0FC"/>
          </w:tcPr>
          <w:p>
            <w:pPr>
              <w:spacing w:after="0"/>
              <w:rPr>
                <w:sz w:val="18"/>
                <w:szCs w:val="18"/>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Head of Clinical Development, Oncology</w:t>
            </w: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T. Smith</w:t>
            </w: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Lotte Sønderbjerg</w:t>
            </w:r>
          </w:p>
        </w:tc>
        <w:tc>
          <w:tcPr>
            <w:tcW w:w="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shd w:val="clear" w:color="auto" w:fill="CFF0FC"/>
          </w:tcPr>
          <w:p>
            <w:pPr>
              <w:spacing w:after="0"/>
              <w:rPr>
                <w:sz w:val="18"/>
                <w:szCs w:val="18"/>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Chief Administrative Officer</w:t>
            </w: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Kennett Sprogøe, Ph.D.</w:t>
            </w: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46</w:t>
            </w:r>
          </w:p>
        </w:tc>
        <w:tc>
          <w:tcPr>
            <w:tcW w:w="1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Head of Innovation and Research</w:t>
            </w: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Aimee Shu, M.D.</w:t>
            </w:r>
          </w:p>
        </w:tc>
        <w:tc>
          <w:tcPr>
            <w:tcW w:w="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48</w:t>
            </w:r>
          </w:p>
        </w:tc>
        <w:tc>
          <w:tcPr>
            <w:tcW w:w="160" w:type="dxa"/>
            <w:vAlign w:val="bottom"/>
            <w:shd w:val="clear" w:color="auto" w:fill="CFF0FC"/>
          </w:tcPr>
          <w:p>
            <w:pPr>
              <w:spacing w:after="0"/>
              <w:rPr>
                <w:sz w:val="18"/>
                <w:szCs w:val="18"/>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Chief Medical Officer</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Donovan Wu</w:t>
            </w: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U.S. President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senior management and executive board.</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 Møller Mikkelsen </w:t>
      </w:r>
      <w:r>
        <w:rPr>
          <w:rFonts w:ascii="Times New Roman" w:cs="Times New Roman" w:eastAsia="Times New Roman" w:hAnsi="Times New Roman"/>
          <w:sz w:val="18"/>
          <w:szCs w:val="18"/>
          <w:color w:val="auto"/>
        </w:rPr>
        <w:t>founded Ascendis Pharma and has served as President and Chief Executive Officer as well as a Board member since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and currently serves on the board of VISEN Pharmaceuticals and as Chairman of the board of Hummingbird Bioscience, Inc.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Flemming Steen Jensen </w:t>
      </w:r>
      <w:r>
        <w:rPr>
          <w:rFonts w:ascii="Times New Roman" w:cs="Times New Roman" w:eastAsia="Times New Roman" w:hAnsi="Times New Roman"/>
          <w:sz w:val="18"/>
          <w:szCs w:val="18"/>
          <w:color w:val="auto"/>
        </w:rPr>
        <w:t>has served as our Executive Vice President, Product Supply and Quality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Product Supply and Quality from August 2015 until January 2023. Prior to this, Mr. Jensen served as Corporate Vice 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Mr. Jensen is also a member of various boards of directors of companies in the life sciences industry. Mr. Jensen holds a M.Sc. in Pharmacy from the University of Copenhagen.</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Michael Wolff Jensen, L.L.M. </w:t>
      </w:r>
      <w:r>
        <w:rPr>
          <w:rFonts w:ascii="Times New Roman" w:cs="Times New Roman" w:eastAsia="Times New Roman" w:hAnsi="Times New Roman"/>
          <w:sz w:val="18"/>
          <w:szCs w:val="18"/>
          <w:color w:val="auto"/>
        </w:rPr>
        <w:t>has served as our Executive Vice President, Chief Legal Officer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Chief Legal Officer from June 2013 until January 2023. Mr. Jensen also currently serves as Chairman of the board of VISEN Pharmaceuticals. In addition, Mr. Jensen served as Chairman of our board of directors from January 2008 to May 2021 and as our Acting Chief Financial Officer from May 2008 to June 2013. Prior to Ascendis Pharma, Mr. Jensen served as Executive Vice President &amp; Chief Financial Officer of LifeCycle Pharma, currently known as Veloxis Pharmaceuticals A/S, a publicly traded biotechnology company, from 2003 to 2008. Prior to joining Veloxis, Mr. Jensen served as Senior Vice President &amp; Chief Financial Officer of Genmab A/S from 2000 to 2003. Mr. Jensen received an L.L.M. degree from the University of Copenhagen.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Mads Bodenhoff </w:t>
      </w:r>
      <w:r>
        <w:rPr>
          <w:rFonts w:ascii="Times New Roman" w:cs="Times New Roman" w:eastAsia="Times New Roman" w:hAnsi="Times New Roman"/>
          <w:sz w:val="18"/>
          <w:szCs w:val="18"/>
          <w:color w:val="auto"/>
        </w:rPr>
        <w:t>was appointed as Senior Vice President, Head of Finance and Principal Accounting Officer at Ascendis Pharma in February 2024.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Bodenhoff served as Senior Vice President and Head of Finance of the Company from June 2021 to March 2024. From March 2018 to June 2021, Mr. Bodenhoff served as Chief Financial Officer at NKT Photonics A/S. From September 2014 to February 2018, Mr. Bodenhoff served as Chief Financial Officer at Xellia Pharmaceuticals, a subsidiary of Novo Holdings A/S. From 2007 to 2014, Mr. Bodenhoff served as Vice President Finance and Vice President Corporate Finance at Novozymes A/S, a global biotechnology company. Prior to this, Mr. Bodenhoff had leading financial roles for Novozymes within China and Asia Pacific and Latin and North America. Mr. Bodenhoff currently serves on the board of 4XROBOTS A/S. Mr. Bodenhoff received a Bachelor in Economics from Handelshøjskolen in Slagelse and a Master’s Degree in Business Economics and Auditing from Copenhagen Business School. Mr. Bodenhoff further is educated as a state authorized public accountant in Denmark.</w:t>
      </w:r>
    </w:p>
    <w:p>
      <w:pPr>
        <w:spacing w:after="0" w:line="1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Stina Singel, M.D., Ph.D. </w:t>
      </w:r>
      <w:r>
        <w:rPr>
          <w:rFonts w:ascii="Times New Roman" w:cs="Times New Roman" w:eastAsia="Times New Roman" w:hAnsi="Times New Roman"/>
          <w:sz w:val="17"/>
          <w:szCs w:val="17"/>
          <w:color w:val="auto"/>
        </w:rPr>
        <w:t>has served as our Executive Vice President, Head of Clinical Development, Oncology, since January 2023 and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our Senior Vice President, Head of Clinical Development, Oncology, from January 2022 until January 2023 and as our Head of Clinical Development, Oncology, from May 2020 to January 2022. Prior to joining Ascendis, Dr. Singel served as Senior Vice President and Head of Clinical Development and Drug Safety at Nektar Therapeutics, a biopharmaceutical company, from April 2019 to May 2020. From March 2014 to April 2019, Dr. Singel held various positions of increasing responsibility at Genentech, a biotechnology company, ending her tenure as Senior Medical Director. From</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2017 to 2019, Dr. Singel also served as an Adjunct Clinical Instructor at the Stanford University School of Medicine. Prior to Genentech, Dr. Singel was an Attending Physician and Clinical Translational Researcher focused on breast oncology at the University of Texas Southwestern Medical Center from 2010 to 2014 and was a Medical Oncologist at Washington Hematology Oncology, a community practice in Yakima, Washington, from 2008 to 2010. Dr. Singel received her M.D. and Ph.D. degrees from the University of California, San Diego, where she also completed her internal medicine residency and medical oncology fellowship. She received her B.S. in Biology (magna cum laude) from Harvard University.</w:t>
      </w:r>
    </w:p>
    <w:p>
      <w:pPr>
        <w:spacing w:after="0" w:line="183"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Scott T. Smith </w:t>
      </w:r>
      <w:r>
        <w:rPr>
          <w:rFonts w:ascii="Times New Roman" w:cs="Times New Roman" w:eastAsia="Times New Roman" w:hAnsi="Times New Roman"/>
          <w:sz w:val="18"/>
          <w:szCs w:val="18"/>
          <w:color w:val="auto"/>
        </w:rPr>
        <w:t>has served as our Executive Vice President and Chief Financial Officer since January 2023 and previously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from August 2016 until January 2023. Previously, Mr. Smith served as Director of the 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4"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Mr. Smith received his M.B.A. from the Stanford University Graduate School of Business and graduated magna cum laude with a B.A. in Economics/Accounting-Physics from Claremont McKenna College.</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Lotte Sønderbjerg </w:t>
      </w:r>
      <w:r>
        <w:rPr>
          <w:rFonts w:ascii="Times New Roman" w:cs="Times New Roman" w:eastAsia="Times New Roman" w:hAnsi="Times New Roman"/>
          <w:sz w:val="18"/>
          <w:szCs w:val="18"/>
          <w:color w:val="auto"/>
        </w:rPr>
        <w:t>has served as our Executive Vice President, Chief Administrative Officer since January 2023 and previously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Administrative Officer from December 2007 until January 2023. Mrs. Sønderbjerg is also Managing Director of Ascendis Pharma GmbH. Prior to joining Ascendis, Mrs. Sønderbjerg served as Senior Director of Human Resources and as Finance Director at Veloxis Pharmaceuticals A/S from 2003 to 2007. Prior to joining Veloxis Pharmaceuticals A/S, Mrs. Sønderbjerg served as Senior Director of Finance and Human Resources at Acadia Pharmaceuticals Inc., a publicly traded biotechnology company, from 1996 to 2003. Prior to her career in biotech, Mrs. Sønderbjerg was the Executive Secretary for the CEO and Board of Directors of Novo Nordisk A/S and PA to leading audit partner in PricewaterhouseCoopers LLP in Denmark. Mrs. Sønderbjerg received a Masters of Arts in International Business Communications from University of Aarhus.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Kennett Sprogøe, Ph.D. </w:t>
      </w:r>
      <w:r>
        <w:rPr>
          <w:rFonts w:ascii="Times New Roman" w:cs="Times New Roman" w:eastAsia="Times New Roman" w:hAnsi="Times New Roman"/>
          <w:sz w:val="18"/>
          <w:szCs w:val="18"/>
          <w:color w:val="auto"/>
        </w:rPr>
        <w:t>has held positions of increasing responsibility at Ascendis Pharma since December 2007, including serving as our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Head of Innovation and Research since January 2023, Senior Vice President, Head of Innovation and Research from 2019 until January 2023, Senior Vice President of Product Innovation since January 2016 and Vice President Product Innovation since June 2014. Prior to joining Ascendis,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18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Aimee Shu, M.D. </w:t>
      </w:r>
      <w:r>
        <w:rPr>
          <w:rFonts w:ascii="Times New Roman" w:cs="Times New Roman" w:eastAsia="Times New Roman" w:hAnsi="Times New Roman"/>
          <w:sz w:val="18"/>
          <w:szCs w:val="18"/>
          <w:color w:val="auto"/>
        </w:rPr>
        <w:t>was named Executive Vice President of Endocrine and Rare Disease Medical Sciences and Chief Medical Officer in November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holding positions of increasing responsibility since joining the company in July 2017. These include Vice President and Head of Clinical Development, Endocrinology from May 2022 to November 2024, Vice President, Clinical Development, Endocrine Medical Sciences from January 2021 to November 2024, Senior Medical Director, Clinical Development from January 2019 to December 2020 and Medical Director, Clinical Development from July 2017 to December 2018. Dr. Shu has also served as Clinical Associate Professor of Medicine, Division of Endocrinology at Stanford University School of Medicine since November 2016 and has held positions of increasing responsibility at Stanford since November 2012, including Associate Program Director, Endocrinology Training Fellowship Training Program from July 2015 to July 2017 and Clinical Assistant Professor of Medicine, Division of Endocrinology from November 2012 to October 2016. Prior to 2012, Dr. Shu served as Assistant Professor of Medicine, Division of Endocrinology at Baylor College of Medicine from February 2011 to December 2011 and as Assistant Professor of Clinical Medicine at Columbia University College of Physicians &amp; Surgeons from July 2009 to June 2010. Dr. Shu received her A.B. from Princeton University and her M.D. from Harvard Medical School before completing her residency at Brigham and Women’s Hospital and a Fellowship in Endocrinology at Columbia University Medical Center.</w:t>
      </w:r>
    </w:p>
    <w:p>
      <w:pPr>
        <w:spacing w:after="0" w:line="19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Jay Donovan Wu </w:t>
      </w:r>
      <w:r>
        <w:rPr>
          <w:rFonts w:ascii="Times New Roman" w:cs="Times New Roman" w:eastAsia="Times New Roman" w:hAnsi="Times New Roman"/>
          <w:sz w:val="18"/>
          <w:szCs w:val="18"/>
          <w:color w:val="auto"/>
        </w:rPr>
        <w:t>was appointed as Executive Vice President and U.S. President at Ascendis Pharma in January 2025. Prior to joining Ascendis, Mr. Wu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in various positions of increasing responsibility at Genentech, Inc., a biotechnology company, from July 2012 to January 2025, ending his tenure as Vice President, Head of Rare Diseases Portfolio. Prior to this, Mr. Wu served as a Consultant at Bain &amp; Company. Mr. Wu received a BA in Neuroscience and a BSEc in Finance from the University of Pennsylvania, Wharton School and an MBA from Stanford Graduate School of Business.</w:t>
      </w:r>
    </w:p>
    <w:p>
      <w:pPr>
        <w:spacing w:after="0" w:line="284"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Members of Our Board of Directors and Senior Management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primary objective of our board of directors and senior management (executive board and non-executive senior management) compensation program is to attract, motivate, reward and retain the managerial talent needed to achieve our business objectives. In addition, the compensation program is intended to compensate all employees at competitive market rates, while recognizing extraordinary accomplishments.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Compensation to our senior management comprises salaries, participation in annual bonus schemes, pensions (defined contributions plans), and share-based compensation. Compensation to our board of directors comprises fees and salaries for their membership of the board and committee work, as applicable, and share-based compensation. Mr. Mikkelsen did not receive any separate compensation in respect of his service on the board. Share-based compensation is elaborated in further details in Note 7, “Share-based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 to the board of directors and senior management is summarized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w:t>
            </w:r>
            <w:r>
              <w:rPr>
                <w:rFonts w:ascii="Times New Roman" w:cs="Times New Roman" w:eastAsia="Times New Roman" w:hAnsi="Times New Roman"/>
                <w:sz w:val="19"/>
                <w:szCs w:val="19"/>
                <w:b w:val="1"/>
                <w:bCs w:val="1"/>
                <w:color w:val="auto"/>
                <w:vertAlign w:val="superscript"/>
              </w:rPr>
              <w:t>(1)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 xml:space="preserve">Executive Board </w:t>
            </w:r>
            <w:r>
              <w:rPr>
                <w:rFonts w:ascii="Times New Roman" w:cs="Times New Roman" w:eastAsia="Times New Roman" w:hAnsi="Times New Roman"/>
                <w:sz w:val="19"/>
                <w:szCs w:val="19"/>
                <w:b w:val="1"/>
                <w:bCs w:val="1"/>
                <w:color w:val="auto"/>
                <w:w w:val="98"/>
                <w:vertAlign w:val="superscript"/>
              </w:rPr>
              <w:t>(2)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Non-executive Senior Management</w:t>
            </w:r>
          </w:p>
        </w:tc>
      </w:tr>
      <w:tr>
        <w:trPr>
          <w:trHeight w:val="142"/>
        </w:trPr>
        <w:tc>
          <w:tcPr>
            <w:tcW w:w="2440" w:type="dxa"/>
            <w:vAlign w:val="bottom"/>
          </w:tcPr>
          <w:p>
            <w:pPr>
              <w:spacing w:after="0"/>
              <w:rPr>
                <w:sz w:val="12"/>
                <w:szCs w:val="12"/>
                <w:color w:val="auto"/>
              </w:rPr>
            </w:pPr>
          </w:p>
        </w:tc>
        <w:tc>
          <w:tcPr>
            <w:tcW w:w="74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tcBorders>
            <w:gridSpan w:val="3"/>
          </w:tcPr>
          <w:p>
            <w:pPr>
              <w:jc w:val="center"/>
              <w:ind w:left="1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3"/>
              </w:rPr>
              <w:t>(EUR ‘000)</w:t>
            </w: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Pr>
          <w:p>
            <w:pPr>
              <w:spacing w:after="0"/>
              <w:rPr>
                <w:sz w:val="18"/>
                <w:szCs w:val="18"/>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shd w:val="clear" w:color="auto" w:fill="CFF0FC"/>
          </w:tcPr>
          <w:p>
            <w:pPr>
              <w:spacing w:after="0"/>
              <w:rPr>
                <w:sz w:val="18"/>
                <w:szCs w:val="18"/>
                <w:color w:val="auto"/>
              </w:rPr>
            </w:pPr>
          </w:p>
        </w:tc>
      </w:tr>
      <w:tr>
        <w:trPr>
          <w:trHeight w:val="198"/>
        </w:trPr>
        <w:tc>
          <w:tcPr>
            <w:tcW w:w="2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Pensions (defined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 cost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49"/>
        </w:trPr>
        <w:tc>
          <w:tcPr>
            <w:tcW w:w="2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2,651</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22,677</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17,795</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15,322</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13,727</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14,409</w:t>
            </w: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-25400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-25400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2"/>
        <w:spacing w:after="0"/>
        <w:tabs>
          <w:tab w:leader="none" w:pos="6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comprised six persons in 2024 and six to seven persons in 2023 and 2022.</w:t>
      </w:r>
    </w:p>
    <w:p>
      <w:pPr>
        <w:spacing w:after="0" w:line="126" w:lineRule="exact"/>
        <w:rPr>
          <w:rFonts w:ascii="Times New Roman" w:cs="Times New Roman" w:eastAsia="Times New Roman" w:hAnsi="Times New Roman"/>
          <w:sz w:val="16"/>
          <w:szCs w:val="16"/>
          <w:color w:val="auto"/>
        </w:rPr>
      </w:pPr>
    </w:p>
    <w:p>
      <w:pPr>
        <w:ind w:left="640" w:hanging="512"/>
        <w:spacing w:after="0"/>
        <w:tabs>
          <w:tab w:leader="none" w:pos="6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Board comprised four persons in 2024, 2023 and 2022.</w:t>
      </w:r>
    </w:p>
    <w:p>
      <w:pPr>
        <w:spacing w:after="0" w:line="2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Wages and salaries for our senior management set forth in the table above includes bonuses of €3.0 million, €3.9 million and €3.2 million for the years ended December 31, 2024, December 31, 2023 and December 31, 2022.</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 2024, our board of directors granted an aggregate of 20,610 Restricted Stock Units (“RSUs”) to certain non-employee board members of the company and 158,875 RSUs to certain members of senior management. The aggregate grant date fair value of the RSUs granted was €25.3 million. Also on March 1, 2024, our board of directors granted an aggregate of 92,655 Performance Stock Units (“PSUs”) to certain members of senior management. The aggregated grant date fair value of the PSUs was €13.1 million.</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December 31, 2024, a total of 29,072 RSUs and 253,091 RSUs were outstanding for non-employee board members and members of senior management, respectively, and a total of 151,924 PSUs were outstanding for members of senior management.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a total of 127,886 warrants and 1,835,453 warrants were outstanding for non-employee board members and members of senior management, respectively.</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total amount set aside or accrued by us to provide pension, retirement or similar benefits for the members of our board of directors and members of senior management for the year ended December 31, 2024 was €0.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or service agreements with our senior management with the below notice periods: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Mr. Mikkelsen’s employment agreement contains a notice period of six months if terminated by Mr. Mikkelsen and twelve months if terminated by Ascendis Pharma.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in case of a change of control (“change in control period”), Ascendis Pharma would for a period of 12 months have to observe an 18 months’ notice period. Should the position and responsibilities be changed during such change of control period (excluding insignificant changes) Mr. Mikkelsen will be entitled to regard his employment as having been terminated by Ascendis Pharma with twelve months’ notice.</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Messrs. M. Jensen, F. Jensen and Ms. Sønderbjerg all have notice periods of three months if terminated by them and six months if terminated by Ascendis Pharma. In addition, for Ms. Sønderbjerg, the notice period may be no less than the notice required pursuant to the rules of the Danish Salaried Employees Act with the addition of two months.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Mr. Bodenhoff’s notice period may be no less than the notice required pursuant to the rules of the Danish Salaried Employees Act, mutually extended with three months’ notice for Mr. Bodenhoff and six months’ notice by Ascendis Pharma.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Sprogøe’s notice period is one month if terminated by him and six months if terminated by Ascendis Pharma.</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 Singel’s, Mr. Wu’s, and Mr. Smith’s employment is at-will and may be terminated by both parties at any time. However, the agreement with Mr. Smith provides that, if terminated by Ascendis Pharma without “cause” or Mr. Smith resigns for “good reason” (as defined in the agreement), he will be eligible to receive continued base salary during a 6 month severance period following termination and continued healthcare coverage during this period. If Mr. Smith’s termination is due to disability, he will be eligible to continued base salary and healthcare coverage for 120 days following termination, and in the event of his death, his estate will be eligible to a lump sum amount equal to three months base salary.</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agreements with certain of the foregoing senior management contain post-termination non-competition covenants that generally may last for a period of twelve months post-termination and entitle the executives to their base salary, or portion thereof,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Incentive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of our warrant incentive program, see Note 7, “Share-based Payment.”</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regarding outstanding warrants held by those members of our board of directors and senior management who, assuming the exercise of warrants, beneficially own 1% or more of our total outstanding ordinary shares as of December 31, 2024.</w:t>
      </w:r>
    </w:p>
    <w:p>
      <w:pPr>
        <w:spacing w:after="0" w:line="59" w:lineRule="exact"/>
        <w:rPr>
          <w:sz w:val="20"/>
          <w:szCs w:val="20"/>
          <w:color w:val="auto"/>
        </w:rPr>
      </w:pPr>
    </w:p>
    <w:tbl>
      <w:tblPr>
        <w:tblLayout w:type="fixed"/>
        <w:tblInd w:w="448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48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4"/>
              </w:rPr>
              <w:t>Awards</w:t>
            </w:r>
          </w:p>
        </w:tc>
        <w:tc>
          <w:tcPr>
            <w:tcW w:w="18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35"/>
        </w:trPr>
        <w:tc>
          <w:tcPr>
            <w:tcW w:w="780" w:type="dxa"/>
            <w:vAlign w:val="bottom"/>
          </w:tcPr>
          <w:p>
            <w:pPr>
              <w:jc w:val="center"/>
              <w:ind w:right="342"/>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48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2"/>
                <w:szCs w:val="12"/>
                <w:b w:val="1"/>
                <w:bCs w:val="1"/>
                <w:color w:val="auto"/>
                <w:w w:val="99"/>
              </w:rPr>
              <w:t>granted and</w:t>
            </w:r>
          </w:p>
        </w:tc>
        <w:tc>
          <w:tcPr>
            <w:tcW w:w="18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35"/>
        </w:trPr>
        <w:tc>
          <w:tcPr>
            <w:tcW w:w="780" w:type="dxa"/>
            <w:vAlign w:val="bottom"/>
          </w:tcPr>
          <w:p>
            <w:pPr>
              <w:jc w:val="center"/>
              <w:ind w:right="342"/>
              <w:spacing w:after="0" w:line="135" w:lineRule="exact"/>
              <w:rPr>
                <w:sz w:val="20"/>
                <w:szCs w:val="20"/>
                <w:color w:val="auto"/>
              </w:rPr>
            </w:pPr>
            <w:r>
              <w:rPr>
                <w:rFonts w:ascii="Times New Roman" w:cs="Times New Roman" w:eastAsia="Times New Roman" w:hAnsi="Times New Roman"/>
                <w:sz w:val="12"/>
                <w:szCs w:val="12"/>
                <w:b w:val="1"/>
                <w:bCs w:val="1"/>
                <w:color w:val="auto"/>
                <w:w w:val="94"/>
              </w:rPr>
              <w:t>granted</w:t>
            </w:r>
          </w:p>
        </w:tc>
        <w:tc>
          <w:tcPr>
            <w:tcW w:w="148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2"/>
                <w:szCs w:val="12"/>
                <w:b w:val="1"/>
                <w:bCs w:val="1"/>
                <w:color w:val="auto"/>
                <w:w w:val="97"/>
              </w:rPr>
              <w:t>outstanding,</w:t>
            </w:r>
          </w:p>
        </w:tc>
        <w:tc>
          <w:tcPr>
            <w:tcW w:w="1820" w:type="dxa"/>
            <w:vAlign w:val="bottom"/>
          </w:tcPr>
          <w:p>
            <w:pPr>
              <w:jc w:val="center"/>
              <w:ind w:right="462"/>
              <w:spacing w:after="0" w:line="135" w:lineRule="exact"/>
              <w:rPr>
                <w:sz w:val="20"/>
                <w:szCs w:val="20"/>
                <w:color w:val="auto"/>
              </w:rPr>
            </w:pPr>
            <w:r>
              <w:rPr>
                <w:rFonts w:ascii="Times New Roman" w:cs="Times New Roman" w:eastAsia="Times New Roman" w:hAnsi="Times New Roman"/>
                <w:sz w:val="12"/>
                <w:szCs w:val="12"/>
                <w:b w:val="1"/>
                <w:bCs w:val="1"/>
                <w:color w:val="auto"/>
                <w:w w:val="96"/>
              </w:rPr>
              <w:t>Award</w:t>
            </w:r>
          </w:p>
        </w:tc>
        <w:tc>
          <w:tcPr>
            <w:tcW w:w="1320" w:type="dxa"/>
            <w:vAlign w:val="bottom"/>
          </w:tcPr>
          <w:p>
            <w:pPr>
              <w:spacing w:after="0"/>
              <w:rPr>
                <w:sz w:val="11"/>
                <w:szCs w:val="11"/>
                <w:color w:val="auto"/>
              </w:rPr>
            </w:pPr>
          </w:p>
        </w:tc>
      </w:tr>
      <w:tr>
        <w:trPr>
          <w:trHeight w:val="149"/>
        </w:trPr>
        <w:tc>
          <w:tcPr>
            <w:tcW w:w="780" w:type="dxa"/>
            <w:vAlign w:val="bottom"/>
          </w:tcPr>
          <w:p>
            <w:pPr>
              <w:jc w:val="center"/>
              <w:ind w:right="342"/>
              <w:spacing w:after="0"/>
              <w:rPr>
                <w:sz w:val="20"/>
                <w:szCs w:val="20"/>
                <w:color w:val="auto"/>
              </w:rPr>
            </w:pPr>
            <w:r>
              <w:rPr>
                <w:rFonts w:ascii="Times New Roman" w:cs="Times New Roman" w:eastAsia="Times New Roman" w:hAnsi="Times New Roman"/>
                <w:sz w:val="12"/>
                <w:szCs w:val="12"/>
                <w:b w:val="1"/>
                <w:bCs w:val="1"/>
                <w:color w:val="auto"/>
                <w:w w:val="92"/>
              </w:rPr>
              <w:t>and</w:t>
            </w:r>
          </w:p>
        </w:tc>
        <w:tc>
          <w:tcPr>
            <w:tcW w:w="14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but unvested</w:t>
            </w:r>
          </w:p>
        </w:tc>
        <w:tc>
          <w:tcPr>
            <w:tcW w:w="1820" w:type="dxa"/>
            <w:vAlign w:val="bottom"/>
          </w:tcPr>
          <w:p>
            <w:pPr>
              <w:jc w:val="center"/>
              <w:ind w:right="462"/>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1320" w:type="dxa"/>
            <w:vAlign w:val="bottom"/>
          </w:tcPr>
          <w:p>
            <w:pPr>
              <w:ind w:left="960"/>
              <w:spacing w:after="0"/>
              <w:rPr>
                <w:sz w:val="20"/>
                <w:szCs w:val="20"/>
                <w:color w:val="auto"/>
              </w:rPr>
            </w:pPr>
            <w:r>
              <w:rPr>
                <w:rFonts w:ascii="Times New Roman" w:cs="Times New Roman" w:eastAsia="Times New Roman" w:hAnsi="Times New Roman"/>
                <w:sz w:val="12"/>
                <w:szCs w:val="12"/>
                <w:b w:val="1"/>
                <w:bCs w:val="1"/>
                <w:color w:val="auto"/>
                <w:w w:val="96"/>
              </w:rPr>
              <w:t>Award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920" w:type="dxa"/>
            <w:vAlign w:val="bottom"/>
            <w:tcBorders>
              <w:bottom w:val="single" w:sz="8" w:color="auto"/>
            </w:tcBorders>
          </w:tcPr>
          <w:p>
            <w:pPr>
              <w:ind w:left="800"/>
              <w:spacing w:after="0" w:line="132" w:lineRule="exact"/>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tcPr>
          <w:p>
            <w:pPr>
              <w:spacing w:after="0"/>
              <w:rPr>
                <w:sz w:val="11"/>
                <w:szCs w:val="11"/>
                <w:color w:val="auto"/>
              </w:rPr>
            </w:pPr>
          </w:p>
        </w:tc>
        <w:tc>
          <w:tcPr>
            <w:tcW w:w="1960" w:type="dxa"/>
            <w:vAlign w:val="bottom"/>
            <w:tcBorders>
              <w:bottom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Grant Date</w:t>
            </w:r>
          </w:p>
        </w:tc>
        <w:tc>
          <w:tcPr>
            <w:tcW w:w="120" w:type="dxa"/>
            <w:vAlign w:val="bottom"/>
          </w:tcPr>
          <w:p>
            <w:pPr>
              <w:spacing w:after="0"/>
              <w:rPr>
                <w:sz w:val="11"/>
                <w:szCs w:val="11"/>
                <w:color w:val="auto"/>
              </w:rPr>
            </w:pPr>
          </w:p>
        </w:tc>
        <w:tc>
          <w:tcPr>
            <w:tcW w:w="1080" w:type="dxa"/>
            <w:vAlign w:val="bottom"/>
            <w:tcBorders>
              <w:bottom w:val="single" w:sz="8" w:color="auto"/>
            </w:tcBorders>
          </w:tcPr>
          <w:p>
            <w:pPr>
              <w:jc w:val="right"/>
              <w:ind w:right="202"/>
              <w:spacing w:after="0" w:line="132"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220" w:type="dxa"/>
            <w:vAlign w:val="bottom"/>
          </w:tcPr>
          <w:p>
            <w:pPr>
              <w:spacing w:after="0"/>
              <w:rPr>
                <w:sz w:val="11"/>
                <w:szCs w:val="11"/>
                <w:color w:val="auto"/>
              </w:rPr>
            </w:pPr>
          </w:p>
        </w:tc>
        <w:tc>
          <w:tcPr>
            <w:tcW w:w="10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w w:val="99"/>
              </w:rPr>
              <w:t>as of March 1, 2025</w:t>
            </w:r>
          </w:p>
        </w:tc>
        <w:tc>
          <w:tcPr>
            <w:tcW w:w="340" w:type="dxa"/>
            <w:vAlign w:val="bottom"/>
          </w:tcPr>
          <w:p>
            <w:pPr>
              <w:spacing w:after="0"/>
              <w:rPr>
                <w:sz w:val="11"/>
                <w:szCs w:val="11"/>
                <w:color w:val="auto"/>
              </w:rPr>
            </w:pPr>
          </w:p>
        </w:tc>
        <w:tc>
          <w:tcPr>
            <w:tcW w:w="1080" w:type="dxa"/>
            <w:vAlign w:val="bottom"/>
            <w:tcBorders>
              <w:bottom w:val="single" w:sz="8" w:color="auto"/>
            </w:tcBorders>
          </w:tcPr>
          <w:p>
            <w:pPr>
              <w:jc w:val="right"/>
              <w:ind w:right="286"/>
              <w:spacing w:after="0" w:line="132" w:lineRule="exact"/>
              <w:rPr>
                <w:sz w:val="20"/>
                <w:szCs w:val="20"/>
                <w:color w:val="auto"/>
              </w:rPr>
            </w:pPr>
            <w:r>
              <w:rPr>
                <w:rFonts w:ascii="Times New Roman" w:cs="Times New Roman" w:eastAsia="Times New Roman" w:hAnsi="Times New Roman"/>
                <w:sz w:val="12"/>
                <w:szCs w:val="12"/>
                <w:b w:val="1"/>
                <w:bCs w:val="1"/>
                <w:color w:val="auto"/>
              </w:rPr>
              <w:t>Price(s)</w:t>
            </w:r>
          </w:p>
        </w:tc>
        <w:tc>
          <w:tcPr>
            <w:tcW w:w="240" w:type="dxa"/>
            <w:vAlign w:val="bottom"/>
          </w:tcPr>
          <w:p>
            <w:pPr>
              <w:spacing w:after="0"/>
              <w:rPr>
                <w:sz w:val="11"/>
                <w:szCs w:val="11"/>
                <w:color w:val="auto"/>
              </w:rPr>
            </w:pPr>
          </w:p>
        </w:tc>
        <w:tc>
          <w:tcPr>
            <w:tcW w:w="3060" w:type="dxa"/>
            <w:vAlign w:val="bottom"/>
            <w:tcBorders>
              <w:bottom w:val="single" w:sz="8" w:color="auto"/>
            </w:tcBorders>
          </w:tcPr>
          <w:p>
            <w:pPr>
              <w:jc w:val="right"/>
              <w:ind w:right="1066"/>
              <w:spacing w:after="0" w:line="132" w:lineRule="exact"/>
              <w:rPr>
                <w:sz w:val="20"/>
                <w:szCs w:val="20"/>
                <w:color w:val="auto"/>
              </w:rPr>
            </w:pPr>
            <w:r>
              <w:rPr>
                <w:rFonts w:ascii="Times New Roman" w:cs="Times New Roman" w:eastAsia="Times New Roman" w:hAnsi="Times New Roman"/>
                <w:sz w:val="12"/>
                <w:szCs w:val="12"/>
                <w:b w:val="1"/>
                <w:bCs w:val="1"/>
                <w:color w:val="auto"/>
              </w:rPr>
              <w:t>Expiration Date</w:t>
            </w:r>
          </w:p>
        </w:tc>
      </w:tr>
      <w:tr>
        <w:trPr>
          <w:trHeight w:val="155"/>
        </w:trPr>
        <w:tc>
          <w:tcPr>
            <w:tcW w:w="19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Jan Møller Mikkelsen</w:t>
            </w:r>
          </w:p>
        </w:tc>
        <w:tc>
          <w:tcPr>
            <w:tcW w:w="140" w:type="dxa"/>
            <w:vAlign w:val="bottom"/>
            <w:shd w:val="clear" w:color="auto" w:fill="CFF0FC"/>
          </w:tcPr>
          <w:p>
            <w:pPr>
              <w:spacing w:after="0"/>
              <w:rPr>
                <w:sz w:val="13"/>
                <w:szCs w:val="13"/>
                <w:color w:val="auto"/>
              </w:rPr>
            </w:pPr>
          </w:p>
        </w:tc>
        <w:tc>
          <w:tcPr>
            <w:tcW w:w="196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5"/>
                <w:szCs w:val="15"/>
                <w:color w:val="auto"/>
              </w:rPr>
              <w:t>December 18, 2015</w:t>
            </w:r>
          </w:p>
        </w:tc>
        <w:tc>
          <w:tcPr>
            <w:tcW w:w="1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17,000</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ind w:lef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15.6750</w:t>
            </w:r>
          </w:p>
        </w:tc>
        <w:tc>
          <w:tcPr>
            <w:tcW w:w="240" w:type="dxa"/>
            <w:vAlign w:val="bottom"/>
            <w:shd w:val="clear" w:color="auto" w:fill="CFF0FC"/>
          </w:tcPr>
          <w:p>
            <w:pPr>
              <w:spacing w:after="0"/>
              <w:rPr>
                <w:sz w:val="13"/>
                <w:szCs w:val="13"/>
                <w:color w:val="auto"/>
              </w:rPr>
            </w:pPr>
          </w:p>
        </w:tc>
        <w:tc>
          <w:tcPr>
            <w:tcW w:w="3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December 18, 2025</w:t>
            </w: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December 14, 2016</w:t>
            </w: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180,000</w:t>
            </w:r>
          </w:p>
        </w:tc>
        <w:tc>
          <w:tcPr>
            <w:tcW w:w="2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19.4194</w:t>
            </w:r>
          </w:p>
        </w:tc>
        <w:tc>
          <w:tcPr>
            <w:tcW w:w="240" w:type="dxa"/>
            <w:vAlign w:val="bottom"/>
          </w:tcPr>
          <w:p>
            <w:pPr>
              <w:spacing w:after="0"/>
              <w:rPr>
                <w:sz w:val="14"/>
                <w:szCs w:val="14"/>
                <w:color w:val="auto"/>
              </w:rPr>
            </w:pPr>
          </w:p>
        </w:tc>
        <w:tc>
          <w:tcPr>
            <w:tcW w:w="3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December 14, 2026</w:t>
            </w:r>
          </w:p>
        </w:tc>
      </w:tr>
      <w:tr>
        <w:trPr>
          <w:trHeight w:val="162"/>
        </w:trPr>
        <w:tc>
          <w:tcPr>
            <w:tcW w:w="1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December 12, 2017</w:t>
            </w:r>
          </w:p>
        </w:tc>
        <w:tc>
          <w:tcPr>
            <w:tcW w:w="1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200,000</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31.5995</w:t>
            </w:r>
          </w:p>
        </w:tc>
        <w:tc>
          <w:tcPr>
            <w:tcW w:w="240" w:type="dxa"/>
            <w:vAlign w:val="bottom"/>
            <w:shd w:val="clear" w:color="auto" w:fill="CFF0FC"/>
          </w:tcPr>
          <w:p>
            <w:pPr>
              <w:spacing w:after="0"/>
              <w:rPr>
                <w:sz w:val="14"/>
                <w:szCs w:val="14"/>
                <w:color w:val="auto"/>
              </w:rPr>
            </w:pPr>
          </w:p>
        </w:tc>
        <w:tc>
          <w:tcPr>
            <w:tcW w:w="3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December 12, 2027</w:t>
            </w: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December 11, 2018</w:t>
            </w: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200,000</w:t>
            </w:r>
          </w:p>
        </w:tc>
        <w:tc>
          <w:tcPr>
            <w:tcW w:w="2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54.6357</w:t>
            </w:r>
          </w:p>
        </w:tc>
        <w:tc>
          <w:tcPr>
            <w:tcW w:w="240" w:type="dxa"/>
            <w:vAlign w:val="bottom"/>
          </w:tcPr>
          <w:p>
            <w:pPr>
              <w:spacing w:after="0"/>
              <w:rPr>
                <w:sz w:val="14"/>
                <w:szCs w:val="14"/>
                <w:color w:val="auto"/>
              </w:rPr>
            </w:pPr>
          </w:p>
        </w:tc>
        <w:tc>
          <w:tcPr>
            <w:tcW w:w="3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December 11, 2028</w:t>
            </w:r>
          </w:p>
        </w:tc>
      </w:tr>
      <w:tr>
        <w:trPr>
          <w:trHeight w:val="162"/>
        </w:trPr>
        <w:tc>
          <w:tcPr>
            <w:tcW w:w="1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December 10, 2019</w:t>
            </w:r>
          </w:p>
        </w:tc>
        <w:tc>
          <w:tcPr>
            <w:tcW w:w="1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120,000</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97.4993</w:t>
            </w:r>
          </w:p>
        </w:tc>
        <w:tc>
          <w:tcPr>
            <w:tcW w:w="240" w:type="dxa"/>
            <w:vAlign w:val="bottom"/>
            <w:shd w:val="clear" w:color="auto" w:fill="CFF0FC"/>
          </w:tcPr>
          <w:p>
            <w:pPr>
              <w:spacing w:after="0"/>
              <w:rPr>
                <w:sz w:val="14"/>
                <w:szCs w:val="14"/>
                <w:color w:val="auto"/>
              </w:rPr>
            </w:pPr>
          </w:p>
        </w:tc>
        <w:tc>
          <w:tcPr>
            <w:tcW w:w="3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December 10, 2029</w:t>
            </w: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December 10, 2020</w:t>
            </w: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101,145</w:t>
            </w:r>
          </w:p>
        </w:tc>
        <w:tc>
          <w:tcPr>
            <w:tcW w:w="2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145.5045</w:t>
            </w:r>
          </w:p>
        </w:tc>
        <w:tc>
          <w:tcPr>
            <w:tcW w:w="240" w:type="dxa"/>
            <w:vAlign w:val="bottom"/>
          </w:tcPr>
          <w:p>
            <w:pPr>
              <w:spacing w:after="0"/>
              <w:rPr>
                <w:sz w:val="14"/>
                <w:szCs w:val="14"/>
                <w:color w:val="auto"/>
              </w:rPr>
            </w:pPr>
          </w:p>
        </w:tc>
        <w:tc>
          <w:tcPr>
            <w:tcW w:w="3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December 10, 2030</w:t>
            </w:r>
          </w:p>
        </w:tc>
      </w:tr>
      <w:tr>
        <w:trPr>
          <w:trHeight w:val="162"/>
        </w:trPr>
        <w:tc>
          <w:tcPr>
            <w:tcW w:w="1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rPr>
              <w:t>December 9, 2021</w:t>
            </w:r>
          </w:p>
        </w:tc>
        <w:tc>
          <w:tcPr>
            <w:tcW w:w="12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69,466</w:t>
            </w:r>
          </w:p>
        </w:tc>
        <w:tc>
          <w:tcPr>
            <w:tcW w:w="13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14,473</w:t>
            </w:r>
          </w:p>
        </w:tc>
        <w:tc>
          <w:tcPr>
            <w:tcW w:w="3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123.4637</w:t>
            </w:r>
          </w:p>
        </w:tc>
        <w:tc>
          <w:tcPr>
            <w:tcW w:w="240" w:type="dxa"/>
            <w:vAlign w:val="bottom"/>
            <w:shd w:val="clear" w:color="auto" w:fill="CFF0FC"/>
          </w:tcPr>
          <w:p>
            <w:pPr>
              <w:spacing w:after="0"/>
              <w:rPr>
                <w:sz w:val="14"/>
                <w:szCs w:val="14"/>
                <w:color w:val="auto"/>
              </w:rPr>
            </w:pPr>
          </w:p>
        </w:tc>
        <w:tc>
          <w:tcPr>
            <w:tcW w:w="30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December 9, 2031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Program and PSU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of our RSU and PSU programs, refer to Note 7, “Share-based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520" w:hanging="512"/>
        <w:spacing w:after="0"/>
        <w:tabs>
          <w:tab w:leader="none" w:pos="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general meeting of shareholders must elect no fewer than three and no more than ten members to our board of directors. The members of our board of directors are elected for a term expiring at the first annual general meeting following their election.</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9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5605(b)(2).</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Mikkelsen is a member of our senior management and a member of our board of directors and has an employment agreement that provides for benefits upon termination of employment in certain circumstances. For information about such agreements, see “Item 6 B. Directors, Senior Management and Employees—Compensation—Senior Management Agreements.”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Board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the directors and considered whether any director has a material relationship with us that could compromise their ability to exercise independent judgement in carrying out the responsibilities of a director. As a result of this review, our board of directors determined that Lisa Bright, Albert Cha, M.D., Ph.D., William Carl Fairey Jr., Lars Holtug, and Siham Imani, representing five of our six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an audit committee, a remuneration committee and a nominating and corporate governance committee. We have adopted a charter for each of these committees. Under Danish corporate law, it is not possible to delegate the decision-making authority of the entire board of directors to board committees.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audit committee consists of Lars Holtug (Chair), Lisa Bright and William Carl Fairey Jr. Each member satisfies the independence requirements of the Nasdaq listing standards, and Lars Holtug qualifies as an “audit committee financial expert,” as defined in Item 16A(b) of Form 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w:t>
      </w:r>
    </w:p>
    <w:p>
      <w:pPr>
        <w:spacing w:after="0" w:line="86" w:lineRule="exact"/>
        <w:rPr>
          <w:sz w:val="20"/>
          <w:szCs w:val="20"/>
          <w:color w:val="auto"/>
        </w:rPr>
      </w:pPr>
    </w:p>
    <w:p>
      <w:pPr>
        <w:ind w:left="1020" w:right="36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appointment by the general meeting of shareholders of our independent auditors;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independence and quality control procedures of the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material off-balance sheet transactions, arrangements and obligations with the executive board and the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proposed related-party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consolidated and statutory financial statements with the executive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as are specifically delegated to our audit committee by our board of directors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remuneration committee consists of Albert Cha, M.D., Ph.D. (Chair),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directors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79" w:lineRule="exact"/>
        <w:rPr>
          <w:sz w:val="20"/>
          <w:szCs w:val="20"/>
          <w:color w:val="auto"/>
        </w:rPr>
      </w:pPr>
    </w:p>
    <w:p>
      <w:pPr>
        <w:ind w:left="1020" w:right="16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compensation of our executive board and members of our board of directors;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86" w:lineRule="exact"/>
        <w:rPr>
          <w:sz w:val="20"/>
          <w:szCs w:val="20"/>
          <w:color w:val="auto"/>
        </w:rPr>
      </w:pPr>
    </w:p>
    <w:p>
      <w:pPr>
        <w:ind w:left="1020" w:right="20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our board of directors regarding the evaluation of our executive board;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making recommendations to our board of directors with respect to any incentive compensation and equity plans, programs or similar arrangements;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as are specifically delegated to our compensation committee by our board of directors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Albert Cha, M.D., Ph.D. (Chair), Lisa Bright and Siham Imani.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72" w:lineRule="exact"/>
        <w:rPr>
          <w:sz w:val="20"/>
          <w:szCs w:val="20"/>
          <w:color w:val="auto"/>
        </w:rPr>
      </w:pPr>
    </w:p>
    <w:p>
      <w:pPr>
        <w:ind w:left="1020" w:right="26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persons to be nominated for election or re-election to our board of directors at any meeting of the shareholders;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orientation of new members of our board of directors, continuing education for existing members, and succession planning for our board or directors, leadership roles on our board of directors and its committees, and members of our senior management;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board of director’s annual review of its own performance and the performance of its committees;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preparing and recommending to our board of directors a set of corporate governance guidelines.</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For information on the current term of office and the period during which the members of our board of directors, executive board and our senior management have served in office see “Item 6 A. Directors, Senior Management and Employees—Directors and Senior Management.”</w:t>
      </w:r>
    </w:p>
    <w:p>
      <w:pPr>
        <w:spacing w:after="0" w:line="266"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specify number of employees at the end of period, per their main activity function and geographic location for the past three financial years.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7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2"/>
                <w:szCs w:val="12"/>
                <w:color w:val="auto"/>
              </w:rPr>
            </w:pPr>
          </w:p>
        </w:tc>
        <w:tc>
          <w:tcPr>
            <w:tcW w:w="18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720" w:type="dxa"/>
            <w:vAlign w:val="bottom"/>
          </w:tcPr>
          <w:p>
            <w:pPr>
              <w:jc w:val="right"/>
              <w:ind w:right="237"/>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-153670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-153670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2"/>
                <w:szCs w:val="12"/>
                <w:color w:val="auto"/>
              </w:rPr>
            </w:pPr>
          </w:p>
        </w:tc>
        <w:tc>
          <w:tcPr>
            <w:tcW w:w="18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72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55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24"/>
                <w:szCs w:val="24"/>
                <w:color w:val="auto"/>
              </w:rPr>
            </w:pPr>
          </w:p>
        </w:tc>
        <w:tc>
          <w:tcPr>
            <w:tcW w:w="18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72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-1190625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-1190625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-153670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-153670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general, and administration function includes commercial activities, corporate activities and business development.</w:t>
      </w:r>
    </w:p>
    <w:p>
      <w:pPr>
        <w:spacing w:after="0" w:line="23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2024, the number of employees engaged with selling, general, and administration increased, primarily due to commercial activities, and extension of corporate functions to support those activities. Further, in connection with formation of Eyconis, a separate company, certain employees of Ascendis Pharma, engaged with research and development in the U.S., joined the newly formed company in 2024. See “Item 7 B. Major Shareholders and Related Party Transactions—Related Party Transactions” for more information about Eyconis.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None of our employees are represented by a labor union. In certain European countries, employees are covered under collective bargaining agreements. We consider our employee relations to be good.</w:t>
      </w:r>
    </w:p>
    <w:p>
      <w:pPr>
        <w:spacing w:after="0" w:line="266"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See “Item 7 A. Major Shareholders and Related Party Transactions—Major Shareholders.” Our board of directors and employees are eligible to own shares of the company through a warrant incentive program and a RSU and PSU program. For information of the programs, see Note 7, “Share-based Payment.” For information regarding the warrants held by members of our board of directors and senior management who, assuming the exercise of warrants, beneficially own 1% or more of our total outstanding ordinary shares as of December 31, 2024, see “Item 6 B. Compensation.”</w:t>
      </w:r>
    </w:p>
    <w:p>
      <w:pPr>
        <w:spacing w:after="0" w:line="284"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shares as of December 31, 2024, by:</w:t>
      </w:r>
    </w:p>
    <w:p>
      <w:pPr>
        <w:spacing w:after="0" w:line="117"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board members;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 including members of our executive board.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52" w:name="page153"/>
    <w:bookmarkEnd w:id="152"/>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December 31, 2024,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60,689,487 ordinary shares outstanding as of December 31, 2024, which includes 845,887 ordinary shares represented by ADSs held by Ascendis Pharma A/S. Ordinary shares that a person has the right to subscribe for within 60 days of December 31, 2024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December 31, 2024, although such warrants may only be exercised in prescribed exercise periods. A person is considered to beneficially own ordinary shares which are subject to RSUs that vest within 60 days of December 31, 2024 and a person is not considered to beneficially own ordinary shares subject to PSUs because these awards are subject to performance-based vesting criteria. Unless otherwise indicated below, the address for each beneficial owner listed is c/o Ascendis Pharma A/S, at Tuborg Boulevard 12, DK-2900 Hellerup, Denmark.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2"/>
                <w:szCs w:val="12"/>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RSUs to be</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Settled Within</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171"/>
        </w:trPr>
        <w:tc>
          <w:tcPr>
            <w:tcW w:w="5020" w:type="dxa"/>
            <w:vAlign w:val="bottom"/>
            <w:tcBorders>
              <w:top w:val="single" w:sz="8" w:color="auto"/>
            </w:tcBorders>
            <w:shd w:val="clear" w:color="auto" w:fill="CFF0FC"/>
          </w:tcPr>
          <w:p>
            <w:pPr>
              <w:ind w:left="20"/>
              <w:spacing w:after="0" w:line="171" w:lineRule="exact"/>
              <w:rPr>
                <w:sz w:val="20"/>
                <w:szCs w:val="20"/>
                <w:color w:val="auto"/>
              </w:rPr>
            </w:pPr>
            <w:r>
              <w:rPr>
                <w:rFonts w:ascii="Times New Roman" w:cs="Times New Roman" w:eastAsia="Times New Roman" w:hAnsi="Times New Roman"/>
                <w:sz w:val="18"/>
                <w:szCs w:val="18"/>
                <w:color w:val="auto"/>
              </w:rPr>
              <w:t>Entities affiliated with RA Capital Management,</w:t>
            </w:r>
          </w:p>
        </w:tc>
        <w:tc>
          <w:tcPr>
            <w:tcW w:w="10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5020" w:type="dxa"/>
            <w:vAlign w:val="bottom"/>
            <w:shd w:val="clear" w:color="auto" w:fill="CFF0FC"/>
          </w:tcPr>
          <w:p>
            <w:pPr>
              <w:ind w:left="160"/>
              <w:spacing w:after="0" w:line="255" w:lineRule="exact"/>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9,710,428</w:t>
            </w: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9,710,428</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Westfield Capital Management Company, LP </w:t>
            </w:r>
            <w:r>
              <w:rPr>
                <w:rFonts w:ascii="Times New Roman" w:cs="Times New Roman" w:eastAsia="Times New Roman" w:hAnsi="Times New Roman"/>
                <w:sz w:val="24"/>
                <w:szCs w:val="24"/>
                <w:color w:val="auto"/>
                <w:vertAlign w:val="superscript"/>
              </w:rPr>
              <w:t>(2)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5,528,239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5,528,239</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24"/>
                <w:szCs w:val="24"/>
                <w:color w:val="auto"/>
                <w:vertAlign w:val="superscript"/>
              </w:rPr>
              <w:t>(3)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5,114,369</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5,114,369</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Avoro Capital Advisors LLC </w:t>
            </w:r>
            <w:r>
              <w:rPr>
                <w:rFonts w:ascii="Times New Roman" w:cs="Times New Roman" w:eastAsia="Times New Roman" w:hAnsi="Times New Roman"/>
                <w:sz w:val="20"/>
                <w:szCs w:val="20"/>
                <w:color w:val="auto"/>
                <w:vertAlign w:val="superscript"/>
              </w:rPr>
              <w:t>(4)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4,988,888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4,988,888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Artisan Partners LP </w:t>
            </w:r>
            <w:r>
              <w:rPr>
                <w:rFonts w:ascii="Times New Roman" w:cs="Times New Roman" w:eastAsia="Times New Roman" w:hAnsi="Times New Roman"/>
                <w:sz w:val="24"/>
                <w:szCs w:val="24"/>
                <w:color w:val="auto"/>
                <w:vertAlign w:val="superscript"/>
              </w:rPr>
              <w:t>(5)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4,411,111</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4,411,111</w:t>
            </w:r>
          </w:p>
        </w:tc>
        <w:tc>
          <w:tcPr>
            <w:tcW w:w="1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Janus Henderson Group plc </w:t>
            </w:r>
            <w:r>
              <w:rPr>
                <w:rFonts w:ascii="Times New Roman" w:cs="Times New Roman" w:eastAsia="Times New Roman" w:hAnsi="Times New Roman"/>
                <w:sz w:val="24"/>
                <w:szCs w:val="24"/>
                <w:color w:val="auto"/>
                <w:vertAlign w:val="superscript"/>
              </w:rPr>
              <w:t>(6)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4,186,694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4,186,694</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 and Board Members</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Jan Møller Mikkelsen </w:t>
            </w:r>
            <w:r>
              <w:rPr>
                <w:rFonts w:ascii="Times New Roman" w:cs="Times New Roman" w:eastAsia="Times New Roman" w:hAnsi="Times New Roman"/>
                <w:sz w:val="24"/>
                <w:szCs w:val="24"/>
                <w:color w:val="auto"/>
                <w:vertAlign w:val="superscript"/>
              </w:rPr>
              <w:t>(7)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438,250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904,651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1,342,901</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Flemming Steen Jensen </w:t>
            </w:r>
            <w:r>
              <w:rPr>
                <w:rFonts w:ascii="Times New Roman" w:cs="Times New Roman" w:eastAsia="Times New Roman" w:hAnsi="Times New Roman"/>
                <w:sz w:val="24"/>
                <w:szCs w:val="24"/>
                <w:color w:val="auto"/>
                <w:vertAlign w:val="superscript"/>
              </w:rPr>
              <w:t>(8)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151,668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Michael Wolff Jensen, L.L.M. </w:t>
            </w:r>
            <w:r>
              <w:rPr>
                <w:rFonts w:ascii="Times New Roman" w:cs="Times New Roman" w:eastAsia="Times New Roman" w:hAnsi="Times New Roman"/>
                <w:sz w:val="24"/>
                <w:szCs w:val="24"/>
                <w:color w:val="auto"/>
                <w:vertAlign w:val="superscript"/>
              </w:rPr>
              <w:t>(9)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139,342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Mads Bodenhoff </w:t>
            </w:r>
            <w:r>
              <w:rPr>
                <w:rFonts w:ascii="Times New Roman" w:cs="Times New Roman" w:eastAsia="Times New Roman" w:hAnsi="Times New Roman"/>
                <w:sz w:val="24"/>
                <w:szCs w:val="24"/>
                <w:color w:val="auto"/>
                <w:vertAlign w:val="superscript"/>
              </w:rPr>
              <w:t>(10)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Stina Singel, M.D., Ph.D. </w:t>
            </w:r>
            <w:r>
              <w:rPr>
                <w:rFonts w:ascii="Times New Roman" w:cs="Times New Roman" w:eastAsia="Times New Roman" w:hAnsi="Times New Roman"/>
                <w:sz w:val="24"/>
                <w:szCs w:val="24"/>
                <w:color w:val="auto"/>
                <w:vertAlign w:val="superscript"/>
              </w:rPr>
              <w:t>(11)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Scott T. Smith </w:t>
            </w:r>
            <w:r>
              <w:rPr>
                <w:rFonts w:ascii="Times New Roman" w:cs="Times New Roman" w:eastAsia="Times New Roman" w:hAnsi="Times New Roman"/>
                <w:sz w:val="24"/>
                <w:szCs w:val="24"/>
                <w:color w:val="auto"/>
                <w:vertAlign w:val="superscript"/>
              </w:rPr>
              <w:t>(12)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189,967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193,984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Lotte Sønderbjerg </w:t>
            </w:r>
            <w:r>
              <w:rPr>
                <w:rFonts w:ascii="Times New Roman" w:cs="Times New Roman" w:eastAsia="Times New Roman" w:hAnsi="Times New Roman"/>
                <w:sz w:val="24"/>
                <w:szCs w:val="24"/>
                <w:color w:val="auto"/>
                <w:vertAlign w:val="superscript"/>
              </w:rPr>
              <w:t>(13)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199,342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Kennett Sprogøe, Ph.D. </w:t>
            </w:r>
            <w:r>
              <w:rPr>
                <w:rFonts w:ascii="Times New Roman" w:cs="Times New Roman" w:eastAsia="Times New Roman" w:hAnsi="Times New Roman"/>
                <w:sz w:val="24"/>
                <w:szCs w:val="24"/>
                <w:color w:val="auto"/>
                <w:vertAlign w:val="superscript"/>
              </w:rPr>
              <w:t>(14)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140,280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147,073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Aimee Shu, M.D. </w:t>
            </w:r>
            <w:r>
              <w:rPr>
                <w:rFonts w:ascii="Times New Roman" w:cs="Times New Roman" w:eastAsia="Times New Roman" w:hAnsi="Times New Roman"/>
                <w:sz w:val="24"/>
                <w:szCs w:val="24"/>
                <w:color w:val="auto"/>
                <w:vertAlign w:val="superscript"/>
              </w:rPr>
              <w:t>(15)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Albert Cha, M.D., Ph.D. </w:t>
            </w:r>
            <w:r>
              <w:rPr>
                <w:rFonts w:ascii="Times New Roman" w:cs="Times New Roman" w:eastAsia="Times New Roman" w:hAnsi="Times New Roman"/>
                <w:sz w:val="24"/>
                <w:szCs w:val="24"/>
                <w:color w:val="auto"/>
                <w:vertAlign w:val="superscript"/>
              </w:rPr>
              <w:t>(16)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Lisa Bright </w:t>
            </w:r>
            <w:r>
              <w:rPr>
                <w:rFonts w:ascii="Times New Roman" w:cs="Times New Roman" w:eastAsia="Times New Roman" w:hAnsi="Times New Roman"/>
                <w:sz w:val="24"/>
                <w:szCs w:val="24"/>
                <w:color w:val="auto"/>
                <w:vertAlign w:val="superscript"/>
              </w:rPr>
              <w:t>(17)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William Carl Fairey Jr. </w:t>
            </w:r>
            <w:r>
              <w:rPr>
                <w:rFonts w:ascii="Times New Roman" w:cs="Times New Roman" w:eastAsia="Times New Roman" w:hAnsi="Times New Roman"/>
                <w:sz w:val="24"/>
                <w:szCs w:val="24"/>
                <w:color w:val="auto"/>
                <w:vertAlign w:val="superscript"/>
              </w:rPr>
              <w:t>(18)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Lars Holtug, M.Sc. </w:t>
            </w:r>
            <w:r>
              <w:rPr>
                <w:rFonts w:ascii="Times New Roman" w:cs="Times New Roman" w:eastAsia="Times New Roman" w:hAnsi="Times New Roman"/>
                <w:sz w:val="24"/>
                <w:szCs w:val="24"/>
                <w:color w:val="auto"/>
                <w:vertAlign w:val="superscript"/>
              </w:rPr>
              <w:t>(19)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54,514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56,107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Siham Imani </w:t>
            </w:r>
            <w:r>
              <w:rPr>
                <w:rFonts w:ascii="Times New Roman" w:cs="Times New Roman" w:eastAsia="Times New Roman" w:hAnsi="Times New Roman"/>
                <w:sz w:val="24"/>
                <w:szCs w:val="24"/>
                <w:color w:val="auto"/>
                <w:vertAlign w:val="superscript"/>
              </w:rPr>
              <w:t>(20)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Donovan Wu</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40" w:hanging="112"/>
        <w:spacing w:after="0"/>
        <w:tabs>
          <w:tab w:leader="none" w:pos="2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 of the total outstanding ordinary shares.</w:t>
      </w:r>
    </w:p>
    <w:p>
      <w:pPr>
        <w:spacing w:after="0" w:line="126" w:lineRule="exact"/>
        <w:rPr>
          <w:rFonts w:ascii="Times New Roman" w:cs="Times New Roman" w:eastAsia="Times New Roman" w:hAnsi="Times New Roman"/>
          <w:sz w:val="16"/>
          <w:szCs w:val="16"/>
          <w:color w:val="auto"/>
        </w:rPr>
      </w:pPr>
    </w:p>
    <w:p>
      <w:pPr>
        <w:ind w:left="1020" w:right="40" w:hanging="503"/>
        <w:spacing w:after="0" w:line="275" w:lineRule="auto"/>
        <w:tabs>
          <w:tab w:leader="none" w:pos="102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9,710,428 ADSs held by RA Capital Healthcare Fund, L.P. (the “RA Fund”) as reported by Amendment No. 15 to Schedule 13G filed with the SEC on November 14, 2024 by RA Capital Management, L.P. (“RA Capital”). RA Capital Healthcare Fund GP, LLC is the general partner of the RA Fund. The general partner of RA Capital is RA Capital Management GP, LLC, of which Peter Kolchinsky and Rajeev Shah are the controlling persons. RA Capital serves as investment adviser for the RA Fund and may be deemed a beneficial owner of ADSs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90" w:lineRule="exact"/>
        <w:rPr>
          <w:sz w:val="20"/>
          <w:szCs w:val="20"/>
          <w:color w:val="auto"/>
        </w:rPr>
      </w:pPr>
    </w:p>
    <w:p>
      <w:pPr>
        <w:ind w:left="503" w:right="20"/>
        <w:spacing w:after="0" w:line="271" w:lineRule="auto"/>
        <w:rPr>
          <w:sz w:val="20"/>
          <w:szCs w:val="20"/>
          <w:color w:val="auto"/>
        </w:rPr>
      </w:pPr>
      <w:r>
        <w:rPr>
          <w:rFonts w:ascii="Times New Roman" w:cs="Times New Roman" w:eastAsia="Times New Roman" w:hAnsi="Times New Roman"/>
          <w:sz w:val="16"/>
          <w:szCs w:val="16"/>
          <w:color w:val="auto"/>
        </w:rPr>
        <w:t>held by the RA Fund. The RA Fund has delegated to RA Capital the sole power to vote and the sole power to dispose of all securities held in the RA Fund’s portfolio. Because the RA Fund has divested voting and investment power over the reported securities it holds and may not revoke that delegation on less than 61 days’ notice, the RA Fund disclaims beneficial ownership of the securities it holds and therefore disclaims any obligation to report ownership of the reported securities. As managers of RA Capital, Dr. Kolchinsky and Mr. Shah may be deemed beneficial owners of the ADSs beneficially owned by RA Capital. The address of the RA Fund, the RA Capital, Dr. Kolchinsky and Mr. Shah is c/o RA Capital Management, L.P., 200 Berkeley Street, 18th Floor, Boston, MA 02116.</w:t>
      </w:r>
    </w:p>
    <w:p>
      <w:pPr>
        <w:spacing w:after="0" w:line="76" w:lineRule="exact"/>
        <w:rPr>
          <w:sz w:val="20"/>
          <w:szCs w:val="20"/>
          <w:color w:val="auto"/>
        </w:rPr>
      </w:pPr>
    </w:p>
    <w:p>
      <w:pPr>
        <w:ind w:left="503" w:right="280" w:hanging="503"/>
        <w:spacing w:after="0" w:line="275"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5,528,239 ADSs owned of record by clients of Westfield Capital Management Company, L.P. (“Westfield”) in its capacity as investment advisor, as reported by Amendment No. 3 to Schedule 13G filed on February 11, 2025, by Westfield. Westfield’s clients have the right to receive, or the power to direct the receipt of, dividends or proceeds from the sale of the shares. The address of Westfield is 1 Financial Center, 24th Floor, Boston, MA 02111.</w:t>
      </w:r>
    </w:p>
    <w:p>
      <w:pPr>
        <w:spacing w:after="0" w:line="74" w:lineRule="exact"/>
        <w:rPr>
          <w:rFonts w:ascii="Times New Roman" w:cs="Times New Roman" w:eastAsia="Times New Roman" w:hAnsi="Times New Roman"/>
          <w:sz w:val="16"/>
          <w:szCs w:val="16"/>
          <w:color w:val="auto"/>
        </w:rPr>
      </w:pPr>
    </w:p>
    <w:p>
      <w:pPr>
        <w:ind w:left="503" w:right="60" w:hanging="503"/>
        <w:spacing w:after="0" w:line="269"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5,114,369 ADSs beneficially owned, or that may be deemed to be beneficially owned, by FMR LLC, certain of its affiliates and other companies as reported on Amendment No. 10 to Schedule 13G filed on February 8, 2024,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has its principal business office at 245 Summer Street, Boston, MA 02210.</w:t>
      </w:r>
    </w:p>
    <w:p>
      <w:pPr>
        <w:spacing w:after="0" w:line="78" w:lineRule="exact"/>
        <w:rPr>
          <w:rFonts w:ascii="Times New Roman" w:cs="Times New Roman" w:eastAsia="Times New Roman" w:hAnsi="Times New Roman"/>
          <w:sz w:val="16"/>
          <w:szCs w:val="16"/>
          <w:color w:val="auto"/>
        </w:rPr>
      </w:pPr>
    </w:p>
    <w:p>
      <w:pPr>
        <w:ind w:left="503" w:hanging="503"/>
        <w:spacing w:after="0" w:line="281"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4,988,888 ADSs held by Avoro Capital Advisors LLC (“Avoro”) as reported on Amendment No. 2 Schedule 13G filed on November 14, 2024, by Avoro and Behzad Aghazadeh (“Dr. Aghazadeh”). Dr. Aghazadeh is the portfolio manager and controlling person of Avoro. The address of Avoro is 110 Greene Street, Suite 800, New York, NY 10012.</w:t>
      </w:r>
    </w:p>
    <w:p>
      <w:pPr>
        <w:spacing w:after="0" w:line="69" w:lineRule="exact"/>
        <w:rPr>
          <w:rFonts w:ascii="Times New Roman" w:cs="Times New Roman" w:eastAsia="Times New Roman" w:hAnsi="Times New Roman"/>
          <w:sz w:val="16"/>
          <w:szCs w:val="16"/>
          <w:color w:val="auto"/>
        </w:rPr>
      </w:pPr>
    </w:p>
    <w:p>
      <w:pPr>
        <w:ind w:left="503" w:right="20" w:hanging="503"/>
        <w:spacing w:after="0" w:line="271"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4,411,111 ADSs beneficially owned, or that may be deemed to be beneficially owned, by Artisan Partners Limited Partnership (“APLP”), Artisan Investments GP LLC (“Artisan Investments”), Artisan Partners Holdings LP (“Artisan Holdings”) and Artisan Partners Asset Management Inc. (“APAM”) as reported by Amendment No. 5 to Schedule 13G filed on November 12, 2024. Artisan Holdings is the sole limited partner of APLP and the sole member of Artisan Investments; Artisan Investments is the general partner of APLP; APAM is the general partner of Artisan Holdings. APLP, Artisan Investments, Artisan Holdings and APAM have shared voting power over 3,771,469 shares and shared dispositive power over 4,411,111 shares. The address of APLP, Artisan Investments, Artisan Holdings, and APAM is 875 East Wisconsin Avenue, Suite 800, Milwaukee, WI 53202.</w:t>
      </w:r>
    </w:p>
    <w:p>
      <w:pPr>
        <w:spacing w:after="0" w:line="76" w:lineRule="exact"/>
        <w:rPr>
          <w:rFonts w:ascii="Times New Roman" w:cs="Times New Roman" w:eastAsia="Times New Roman" w:hAnsi="Times New Roman"/>
          <w:sz w:val="16"/>
          <w:szCs w:val="16"/>
          <w:color w:val="auto"/>
        </w:rPr>
      </w:pPr>
    </w:p>
    <w:p>
      <w:pPr>
        <w:jc w:val="both"/>
        <w:ind w:left="503" w:right="180" w:hanging="503"/>
        <w:spacing w:after="0" w:line="281"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4,186,694 ADSs beneficially owned, or that may be deemed to be beneficially owned, by Janus Henderson Group plc (“Janus Henderson”) as reported on Amendment No. 4 to Schedule 13G filed on November 14, 2024. The address of Janus Henderson is 201 Bishopsgate, EC2M 3AE, United Kingdom.</w:t>
      </w:r>
    </w:p>
    <w:p>
      <w:pPr>
        <w:spacing w:after="0" w:line="69" w:lineRule="exact"/>
        <w:rPr>
          <w:rFonts w:ascii="Times New Roman" w:cs="Times New Roman" w:eastAsia="Times New Roman" w:hAnsi="Times New Roman"/>
          <w:sz w:val="16"/>
          <w:szCs w:val="16"/>
          <w:color w:val="auto"/>
        </w:rPr>
      </w:pPr>
    </w:p>
    <w:p>
      <w:pPr>
        <w:ind w:left="503" w:right="200" w:hanging="503"/>
        <w:spacing w:after="0" w:line="275"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904,651 ordinary shares that may be subscribed pursuant to the exercise of warrants or that may vest pursuant to RSUs within 60 days of December 31, 2024 by Mr. Mikkelsen and (ii) 438,250 ordinary shares and ADSs beneficially owned by Mr. Mikkelsen, of which 68,470 ordinary shares and ADSs are owned through an entity controlled by Mr. Mikkelsen and 113,548 ordinary shares and ADSs have been pledged as security to lending financial institutions.</w:t>
      </w:r>
    </w:p>
    <w:p>
      <w:pPr>
        <w:spacing w:after="0" w:line="74" w:lineRule="exact"/>
        <w:rPr>
          <w:rFonts w:ascii="Times New Roman" w:cs="Times New Roman" w:eastAsia="Times New Roman" w:hAnsi="Times New Roman"/>
          <w:sz w:val="16"/>
          <w:szCs w:val="16"/>
          <w:color w:val="auto"/>
        </w:rPr>
      </w:pPr>
    </w:p>
    <w:p>
      <w:pPr>
        <w:ind w:left="503" w:right="320" w:hanging="503"/>
        <w:spacing w:after="0" w:line="298"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145,905 ordinary shares that may be subscribed pursuant to the exercise of warrants or that may vest pursuant to RSUs within 60 days of December 31, 2024 by Mr. Jensen and (ii) 5,763 ADSs held by Mr. Jensen.</w:t>
      </w:r>
    </w:p>
    <w:p>
      <w:pPr>
        <w:spacing w:after="0" w:line="56" w:lineRule="exact"/>
        <w:rPr>
          <w:rFonts w:ascii="Times New Roman" w:cs="Times New Roman" w:eastAsia="Times New Roman" w:hAnsi="Times New Roman"/>
          <w:sz w:val="16"/>
          <w:szCs w:val="16"/>
          <w:color w:val="auto"/>
        </w:rPr>
      </w:pPr>
    </w:p>
    <w:p>
      <w:pPr>
        <w:ind w:left="503" w:right="520" w:hanging="503"/>
        <w:spacing w:after="0" w:line="298"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139,342 ordinary shares that may be subscribed pursuant to the exercise of warrants or that may vest pursuant to RSUs within 60 days of December 31, 2024 by Mr. Jensen.</w:t>
      </w:r>
    </w:p>
    <w:p>
      <w:pPr>
        <w:spacing w:after="0" w:line="56" w:lineRule="exact"/>
        <w:rPr>
          <w:rFonts w:ascii="Times New Roman" w:cs="Times New Roman" w:eastAsia="Times New Roman" w:hAnsi="Times New Roman"/>
          <w:sz w:val="16"/>
          <w:szCs w:val="16"/>
          <w:color w:val="auto"/>
        </w:rPr>
      </w:pPr>
    </w:p>
    <w:p>
      <w:pPr>
        <w:ind w:left="503" w:right="400" w:hanging="503"/>
        <w:spacing w:after="0" w:line="298"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36,381 ordinary shares that may be subscribed pursuant to the exercise of warrants or that may vest pursuant to RSUs within 60 days of December 31, 2024 by Mr. Bodenhoff and (ii) 193 ADSs held by Mr. Bodenhoff.</w:t>
      </w:r>
    </w:p>
    <w:p>
      <w:pPr>
        <w:spacing w:after="0" w:line="56" w:lineRule="exact"/>
        <w:rPr>
          <w:rFonts w:ascii="Times New Roman" w:cs="Times New Roman" w:eastAsia="Times New Roman" w:hAnsi="Times New Roman"/>
          <w:sz w:val="16"/>
          <w:szCs w:val="16"/>
          <w:color w:val="auto"/>
        </w:rPr>
      </w:pPr>
    </w:p>
    <w:p>
      <w:pPr>
        <w:ind w:left="503" w:right="400" w:hanging="503"/>
        <w:spacing w:after="0" w:line="298"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77,585 ordinary shares that may be subscribed pursuant to the exercise of warrants or that may vest pursuant to RSUs within 60 days of December 31, 2024 by Dr. Singel and (ii) 2,729 ADSs held by Dr. Singel.</w:t>
      </w:r>
    </w:p>
    <w:p>
      <w:pPr>
        <w:spacing w:after="0" w:line="56" w:lineRule="exact"/>
        <w:rPr>
          <w:rFonts w:ascii="Times New Roman" w:cs="Times New Roman" w:eastAsia="Times New Roman" w:hAnsi="Times New Roman"/>
          <w:sz w:val="16"/>
          <w:szCs w:val="16"/>
          <w:color w:val="auto"/>
        </w:rPr>
      </w:pPr>
    </w:p>
    <w:p>
      <w:pPr>
        <w:ind w:left="503" w:right="320" w:hanging="503"/>
        <w:spacing w:after="0" w:line="298" w:lineRule="auto"/>
        <w:tabs>
          <w:tab w:leader="none" w:pos="50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189,967 ordinary shares that may be subscribed pursuant to the exercise of warrants or that may vest pursuant to RSUs within 60 days of December 31, 2024 by Mr. Smith and (ii) 4,017 ADSs held by Mr. Smith</w:t>
      </w:r>
    </w:p>
    <w:p>
      <w:pPr>
        <w:spacing w:after="0" w:line="376"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440" w:right="399" w:bottom="1440" w:gutter="0" w:footer="0" w:header="0"/>
        </w:sectPr>
      </w:pPr>
    </w:p>
    <w:bookmarkStart w:id="154" w:name="page155"/>
    <w:bookmarkEnd w:id="154"/>
    <w:p>
      <w:pPr>
        <w:spacing w:after="0" w:line="90" w:lineRule="exact"/>
        <w:rPr>
          <w:sz w:val="20"/>
          <w:szCs w:val="20"/>
          <w:color w:val="auto"/>
        </w:rPr>
      </w:pPr>
    </w:p>
    <w:p>
      <w:pPr>
        <w:ind w:left="1020" w:right="38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199,342 ordinary shares that may be subscribed pursuant to the exercise of warrants or that may vest pursuant to RSUs within 60 days of December 31, 2024 by Ms. Sønderbjerg and (ii) 5,763 ADSs held by Ms. Sønderbjerg.</w:t>
      </w:r>
    </w:p>
    <w:p>
      <w:pPr>
        <w:spacing w:after="0" w:line="56" w:lineRule="exact"/>
        <w:rPr>
          <w:rFonts w:ascii="Times New Roman" w:cs="Times New Roman" w:eastAsia="Times New Roman" w:hAnsi="Times New Roman"/>
          <w:sz w:val="16"/>
          <w:szCs w:val="16"/>
          <w:color w:val="auto"/>
        </w:rPr>
      </w:pPr>
    </w:p>
    <w:p>
      <w:pPr>
        <w:ind w:left="1020" w:right="38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140,280 ordinary shares that may be subscribed pursuant to the exercise of warrants or that may vest pursuant to RSUs within 60 days of December 31, 2024 by Dr. Sprogøe, (ii) 6,763 ADSs held by Dr. Sprogøe, and (iii) 30 ADSs held by family members of Dr. Sprogøe.</w:t>
      </w:r>
    </w:p>
    <w:p>
      <w:pPr>
        <w:spacing w:after="0" w:line="5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13,732 ordinary shares that may be subscribed pursuant to the exercise of warrants or that may vest pursuant to RSUs within 60 days of December 31, 2024 by Dr. Shu and (ii) 1,917 ADSs held by Dr. Shu.</w:t>
      </w:r>
    </w:p>
    <w:p>
      <w:pPr>
        <w:spacing w:after="0" w:line="5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20,056 ordinary shares that may be subscribed pursuant to the exercise of warrants or that may vest pursuant to RSUs within 60 days of December 31, 2024 by Dr. Cha and (ii) 1,087 ADSs held by Dr. Cha</w:t>
      </w:r>
    </w:p>
    <w:p>
      <w:pPr>
        <w:spacing w:after="0" w:line="5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42,619 ordinary shares that may be subscribed pursuant to the exercise of warrants or that may vest pursuant to RSUs within 60 days of December 31, 2024 by Ms. Bright and (ii) 1,087 ADSs held by Ms. Bright.</w:t>
      </w:r>
    </w:p>
    <w:p>
      <w:pPr>
        <w:spacing w:after="0" w:line="56" w:lineRule="exact"/>
        <w:rPr>
          <w:rFonts w:ascii="Times New Roman" w:cs="Times New Roman" w:eastAsia="Times New Roman" w:hAnsi="Times New Roman"/>
          <w:sz w:val="16"/>
          <w:szCs w:val="16"/>
          <w:color w:val="auto"/>
        </w:rPr>
      </w:pPr>
    </w:p>
    <w:p>
      <w:pPr>
        <w:ind w:left="1020" w:right="54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7,273 ordinary shares that may be subscribed pursuant to the exercise of warrants or that may vest pursuant to RSUs within 60 days of December 31, 2024 by Mr. Fairey and (ii) 164 ADSs held by Mr. Fairey.</w:t>
      </w:r>
    </w:p>
    <w:p>
      <w:pPr>
        <w:spacing w:after="0" w:line="5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54,514 ordinary shares that may be subscribed pursuant to the exercise of warrants or that may vest pursuant to RSUs within 60 days of December 31, 2024 by Mr. Holtug and (ii) 1,593 ADSs held by Mr. Holtug.</w:t>
      </w:r>
    </w:p>
    <w:p>
      <w:pPr>
        <w:spacing w:after="0" w:line="56" w:lineRule="exact"/>
        <w:rPr>
          <w:rFonts w:ascii="Times New Roman" w:cs="Times New Roman" w:eastAsia="Times New Roman" w:hAnsi="Times New Roman"/>
          <w:sz w:val="16"/>
          <w:szCs w:val="16"/>
          <w:color w:val="auto"/>
        </w:rPr>
      </w:pPr>
    </w:p>
    <w:p>
      <w:pPr>
        <w:ind w:left="1020" w:right="540" w:hanging="503"/>
        <w:spacing w:after="0" w:line="298" w:lineRule="auto"/>
        <w:tabs>
          <w:tab w:leader="none" w:pos="10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7,273 ordinary shares that may be subscribed pursuant to the exercise of warrants or that may vest pursuant to RSUs within 60 days of December 31, 2024 by Ms. Imani and (ii) 364 ADSs held by Ms. Imani.</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12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As of December 31, 2024, assuming that all of our ordinary shares represented by ADSs are held by residents of the United States, 99.9% of our outstanding ordinary shares were held in the United States by two holders of record and 0.1% of our outstanding ordinary shares were held outside of the United States. At such date, there were outstanding 60,507,426 ADSs, each representing one of our ordinary shares, and in the aggregate representing</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99.79% of our outstanding ordinary shares. At such date, there were three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since January 1, 2024 with any of our board members, our senior management, the owners of more than five percent of our share capital, and any other related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Grants of Warrants and RSUs/PSUs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and granted RSUs and PSUs to, certain members of our senior management. Further, we have issued RSUs to our members of the board of directors. In addition, we are paying fees for board tenure and board committee tenure to the independent members of our board of directors. See “Item 6 B. Directors, Senior Management and Employees—Compensation”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board members and members of our senior management. See “Item 6 B. Directors, Senior Management and Employees—Compensation—Insurance and Indemnification” for a description of these indemnification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VISEN Pharmaceuticals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research and development services to VISEN Pharmaceuticals (“VISEN”) under our Rights Agreements which will be reimbursed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VISEN.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Further, under our Rights Agreements, clinical supply agreements, purchase agreement and commercial supply agreement, we have provided and agreed to provide product supply to VISEN for use in Greater China.</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quantitative details regarding transactions and outstanding balances with associates, including VISEN, please refer to Note 12, “Investments in Associates.”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Eyconis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29, 2024, we announced the formation and launch with Frazier Life Sciences of Eyconis, a separate company created to develop, manufacture, and commercialize TransCon ophthalmology assets globally, together with a $150 million commitment from an investor syndicate that includes Frazier, RA Capital Management, venBio, and HealthQuest Capital. Albert Cha, M.D., Ph.D. the chairman of our board of directors, is a Managing Partner with Frazier Life Sciences.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Eyconis is based in Redwood City, California and certain employees of Ascendis joined the newly formed company in 2024.</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formation of Eyconis, we have provided various administrative and support services under our Transitional Services Agreement. Further, under our Inventory Transfer Agreement and Material Transfer Agreement, we have sold laboratory and office inventory, materials and assigned certain contract manufacturers contracts to Eyconis. In addition, under our Sublease Agreement, we have subleased R&amp;D and laboratory facilities to Eyconis, initially until December 2025.</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quantitative details regarding transactions and outstanding balances with associates, including Eyconis, please refer to Note 12, “Investments in Associates.”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beginning on page F-1.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at present plan to pay cash dividends on our ordinary shares. Under Danish law, the distribution of ordinary and extraordinary dividends requires the approval of a company’s shareholders at a company’s general meeting. Under the Danish Companies Act the general meeting may authorize the board of directors to resolve to distribute extraordinary dividends after presentation of a company’s first financial statements. The authorization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 If a resolution to distribute extraordinary dividends is passed more than six months after the balance sheet date as set out in the company’s latest approved annual report an interim balance sheet showing that sufficient funds are available for distribution must always be prepared.</w:t>
      </w:r>
    </w:p>
    <w:p>
      <w:pPr>
        <w:spacing w:after="0" w:line="296"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22, “Subsequent Events” to the audited consolidated financial statements included elsewhere in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ADS have been listed on The Nasdaq Global Select Market under the symbol “ASND” since January 28, 2015. Prior to that date, there was no public trading market for ADSs or our ordinary shares.</w:t>
      </w:r>
    </w:p>
    <w:p>
      <w:pPr>
        <w:spacing w:after="0" w:line="266"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 have been listed on The Nasdaq Global Select Market under the symbol “ASND” since January 28, 2015.</w:t>
      </w:r>
    </w:p>
    <w:p>
      <w:pPr>
        <w:spacing w:after="0" w:line="329"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7480" w:firstLine="8"/>
        <w:spacing w:after="0" w:line="378" w:lineRule="auto"/>
        <w:tabs>
          <w:tab w:leader="none" w:pos="509"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 Authorizations to Our Board of Directors</w:t>
      </w:r>
    </w:p>
    <w:p>
      <w:pPr>
        <w:spacing w:after="0"/>
        <w:rPr>
          <w:sz w:val="20"/>
          <w:szCs w:val="20"/>
          <w:color w:val="auto"/>
        </w:rPr>
      </w:pPr>
      <w:r>
        <w:rPr>
          <w:rFonts w:ascii="Times New Roman" w:cs="Times New Roman" w:eastAsia="Times New Roman" w:hAnsi="Times New Roman"/>
          <w:sz w:val="18"/>
          <w:szCs w:val="18"/>
          <w:color w:val="auto"/>
        </w:rPr>
        <w:t>As of December 31, 2024, our board of directors is authorized to increase the share capital as follows:</w:t>
      </w:r>
    </w:p>
    <w:p>
      <w:pPr>
        <w:spacing w:after="0" w:line="117" w:lineRule="exact"/>
        <w:rPr>
          <w:sz w:val="20"/>
          <w:szCs w:val="20"/>
          <w:color w:val="auto"/>
        </w:rPr>
      </w:pPr>
    </w:p>
    <w:p>
      <w:pPr>
        <w:ind w:left="1020" w:right="12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9,000,000 shares with pre-emptive subscription rights for existing shareholders. Capital increases according to this authorization shall be carried out by our board of directors by way of cash contributions. This authorization is valid until May 29, 2029.</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3,825,000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as determined in accordance with Danish law. This authorization is valid until May 27, 2026.</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111,992 warrants and to increase our share capital by up to 111,912 shares without pre-emptive subscription rights for existing shareholders in connection with the exercise, if any, of said warrants and to determine the terms and conditions thereof. This authorization is valid until May 28, 2025.</w:t>
      </w:r>
    </w:p>
    <w:p>
      <w:pPr>
        <w:spacing w:after="0" w:line="6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obtain loans against issuance of convertible bonds which confer the right to subscribe for shares in the Company. The Company’s existing shareholders shall not have pre-emption rights to such shares. Our board of directors is authorized to increase the share capital by up to nominal DKK 9,000,000 by conversion of the convertible bonds. The convertible bonds shall be offered at a subscription price and a conversion price that correspond in aggregate to at least the market price of the shares at the time of the decision of our board of directors to issue the convertible bonds as determined in accordance with Danish law. The loans shall be paid in cash and our board of directors shall determine the terms and conditions for the convertible bonds. This authorization is valid until May 29, 2027.</w:t>
      </w:r>
    </w:p>
    <w:p>
      <w:pPr>
        <w:spacing w:after="0" w:line="79"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948,124 warrants to members of the executive management and employees, advisors and consultants of the Company or our subsidiaries and to increase our share capital by up to 948,124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as determined in accordance with Danish law. This authorization is valid until May 29, 2027.</w:t>
      </w:r>
    </w:p>
    <w:p>
      <w:pPr>
        <w:spacing w:after="0" w:line="79"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1,000,000 warrants to members of the executive management and employees, advisors and consultants of the Company or our subsidiaries and to increase our share capital by up to 1,000,000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as determined in accordance with Danish law. This authorization is valid until May 29, 2029.</w:t>
      </w:r>
    </w:p>
    <w:p>
      <w:pPr>
        <w:spacing w:after="0" w:line="79"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board of directors exercises its authorizations in full, and all warrants and convertible debt instruments are exercised fully (not including already issued warrants and already issued convertible debt instruments), then our share capital will amount to 84,574,603 shares consisting of 84,574,603 shares with a nominal value of DKK 1 each.</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8" w:name="page159"/>
    <w:bookmarkEnd w:id="15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ADSs are listed on the Nasdaq Global Select Market under the symbol “ASND.”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Register</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are obligated to maintain an owners’ register (in Danish: </w:t>
      </w:r>
      <w:r>
        <w:rPr>
          <w:rFonts w:ascii="Times New Roman" w:cs="Times New Roman" w:eastAsia="Times New Roman" w:hAnsi="Times New Roman"/>
          <w:sz w:val="18"/>
          <w:szCs w:val="18"/>
          <w:i w:val="1"/>
          <w:iCs w:val="1"/>
          <w:color w:val="auto"/>
        </w:rPr>
        <w:t>ejerbog</w:t>
      </w:r>
      <w:r>
        <w:rPr>
          <w:rFonts w:ascii="Times New Roman" w:cs="Times New Roman" w:eastAsia="Times New Roman" w:hAnsi="Times New Roman"/>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 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and Danish Corporate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articles of association, the following should be emphasized: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Clause</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Provisions Regarding the Board of Directors and the Executive Board</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Pursuant to our articles of association, our board of directors shall be elected by our shareholders at the general meeting and shall be composed of not less than three and no more than 10 members. The members of the board of directors are elected for a term expiring at the first coming annual general meeting following their election. Board members must retire from the board of directors at the annual general meeting following their 75th birthday. Board members are not required to own any shares of our share capital. The board of directors shall appoint and employ an executive board consisting of one to five members to attend to our day-to-day management, and the board of directors shall determine the terms and conditions of the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“Item 10 E. Additional Information—Taxation” for a summary of certain tax consequences in respect of dividends or distributions to holders of our ordinary shares or the ADSs.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Subscription Rights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future issuances of new shares and/or pre-emptive rights are registered under the Securities Act or with any authority outside Denmark,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shareholders in jurisdictions outside Denmark may be unable to exercise their pre-emptive subscription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on Liquidation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Holding of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hold shares under the articles of association or Danish law.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Capital Calls by Us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as well as the Danish Companies Act, our shareholders are not obligated to pay further amounts to us. All our shares are fully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or similar obligations relating to our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Requirements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CPR number or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status of the notification obligations is not fully clarified in relation to ADS holders and an ADS holder may be subject to such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the highest authority in all matters, subject to the limitations provided by Danish law and the articles of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in the Greater Copenhagen area not later than the end of May in each year.</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latest, two weeks before a general meeting (inclusive of the day of the general meeting), we shall make the following information and documents available on our webpage:</w:t>
      </w:r>
    </w:p>
    <w:p>
      <w:pPr>
        <w:spacing w:after="0" w:line="54" w:lineRule="exact"/>
        <w:rPr>
          <w:sz w:val="20"/>
          <w:szCs w:val="20"/>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that shall be presented at the general meeting, which will, in the case of the annual general meeting include the annual report,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complete proposals.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directly receive notices or other materials or to attend or vote at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Resolutions in General Meetings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Danish Rules Intended to Prevent Market Abuse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abandoned our previous practice.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the shareholders and to third parties for acting in violation of the articles of association and Danish law.</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we have entered into agreements with our board members and members of our senior management, pursuant to which, subject to limited exceptions, we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Danish Corporate Law and Our Articles of Association and Delaware Corporate Law</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this annual report.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Board Members</w:t>
      </w:r>
    </w:p>
    <w:p>
      <w:pPr>
        <w:spacing w:after="0" w:line="11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Public limited liability companies in Denmark are usually subject to a two-tier governance structure with the board of directors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responsibility for the overall supervision and strategic management of the company in question and with an executive board/management being responsible for the day-to-day operations.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Members of Our Board of Directors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members of the board of directors of a limited liability company are generally appointed for an individual term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There is no limit on the number of consecutive terms the board members may serve. Pursuant to our articles of association, our board members are appointed by the general meeting of shareholders for a term of one year. Election of board members is, according to our articles of association, an item that shall be included on the agenda for the annual general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general meeting, shareholders are entitled at all times to dismiss a board member by a simple majority vote.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of whether they participate in the vote) vote in favor of having representation, we must organize an election process.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9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 Vacancies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in the event of a vacancy, new board members are elected by the shareholders in a general meeting. Thus, a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three.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board members may not take part in any matter or decision-making that involves a subject or transaction in relation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member has a conflict of interest with us.</w:t>
      </w:r>
    </w:p>
    <w:p>
      <w:pPr>
        <w:spacing w:after="0" w:line="15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if:</w:t>
      </w:r>
    </w:p>
    <w:p>
      <w:pPr>
        <w:spacing w:after="0" w:line="52" w:lineRule="exact"/>
        <w:rPr>
          <w:sz w:val="20"/>
          <w:szCs w:val="20"/>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Board Members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In the event that a board member in a Danish limited liability company is unable to participate in a board meeting, the elected alternate,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64" w:name="page165"/>
    <w:bookmarkEnd w:id="1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Meeting</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general meetings in limited liability companies shall be convened by the board of directors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Delaware law, unless otherwise provided in the certificate of incorporation or bylaws, written notice of any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given to each stockholder entitled to vote at the meeting not less than ten nor more than 60 days before the date of the meeting and shall specify the place, date, hour, and purpose or purposes of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Each ordinary share confers the right to cast one vote at the general meeting of shareholders, unless the articles of association provide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ordinary shares may cast as many votes as it holds shares. Shares that are held by the company or its subsidiaries do not confer the right to vote.</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extraordinary general meetings of shareholders will be held whenever the board of directors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2"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74"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of stockholders.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permissible for shareholders to take action and pass resolutions by written consent in the event of unanimity;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will normally not be the case in listed companies and for a listed company, this method of adopting resolutions is generally not feasible.</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The concept of appraisal rights does not exist under Danish law, except in connection with statutory redemptions rights according to the Danish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or cross-border conversion are, according to Sections 286, 306 and 318 m of the Danish Companies Act, entitled to have their shares redeemed.</w:t>
      </w:r>
    </w:p>
    <w:p>
      <w:pPr>
        <w:spacing w:after="0" w:line="18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fair value of the stockholder’s shares, in connection with certain mergers and consolidations.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only a company itself can bring a civil action against a third party; an individual shareholder does not have the right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Danish limited liability companies may not subscribe for newly issued shares in their own capital. Such company may, however, according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 corporation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the purchase or redemption would cause an impairment of the capital of the corporation.</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6" w:name="page167"/>
    <w:bookmarkEnd w:id="166"/>
    <w:p>
      <w:pPr>
        <w:spacing w:after="0" w:line="1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11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possible to implement limited protective anti-takeover measures. Such provisions may include, among other things,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share classes with different voting rights, (ii) specific requirements to register the shares named in the company’s owners register and (iii) notification requirements concerning participation in general meetings. We have currently not adopted any such provisions.</w:t>
      </w:r>
    </w:p>
    <w:p>
      <w:pPr>
        <w:spacing w:after="0" w:line="173"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8" w:lineRule="exact"/>
        <w:rPr>
          <w:sz w:val="20"/>
          <w:szCs w:val="20"/>
          <w:color w:val="auto"/>
        </w:rPr>
      </w:pPr>
    </w:p>
    <w:p>
      <w:pPr>
        <w:ind w:left="1020" w:right="200" w:hanging="503"/>
        <w:spacing w:after="0" w:line="282"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Section 150 of the Danish Companies Act, a shareholder may request an inspection of the company’s books regarding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certain of the corporation’s books and records, for any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during the corporation’s usual hours of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shareholders have pre-emptive subscription rights in connection with capital increases that are carried out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 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8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such stock unless, and to the extent that, such rights are expressly provided for in the certificate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distribution of ordinary and extraordinary dividends requires the approval of a company’s shareholders at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Under the Danish Companies Act the general meeting may authorise the board of directors to resolve to distribute extraordinary dividends after 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 resolution to distribute extraordinary dividends is passed more than six months after the balance sheet date as set out in the company’s latest approved annual report an interim balance sheet showing that sufficient funds are available for distribution must always be prepared.</w:t>
      </w:r>
    </w:p>
    <w:p>
      <w:pPr>
        <w:spacing w:after="0" w:line="16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amendments to the articles of association shall be approved by the general meeting of shareholders with a minimum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18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necessary to approve a merger or consolidation or the sale of all or substantially all of the assets of a corporation.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62"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7"/>
          <w:szCs w:val="17"/>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spacing w:after="0" w:line="1" w:lineRule="exact"/>
        <w:rPr>
          <w:sz w:val="20"/>
          <w:szCs w:val="20"/>
          <w:color w:val="auto"/>
        </w:rPr>
      </w:pPr>
    </w:p>
    <w:p>
      <w:pPr>
        <w:ind w:firstLine="8"/>
        <w:spacing w:after="0" w:line="253" w:lineRule="auto"/>
        <w:tabs>
          <w:tab w:leader="none" w:pos="2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Governing Documents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All resolutions made by the general meeting may be adopted by a simple majority of the votes, subject only to the mandatory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corporation’s certificate of incorporation may be amended only if adopted and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advisable by the board of directors and approved by a majority of the outstanding shares entitled to vote (subject to limited exceptions), and the bylaws may be amended with the approval of a majority of the outstanding shares entitled to vote and may, if so provided in the certificate of incorporation, also be amended by the board of directors.</w:t>
      </w:r>
    </w:p>
    <w:p>
      <w:pPr>
        <w:spacing w:after="0" w:line="286"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266"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Danish Act on Foreign Investment Screening sets out rules on screening of certain foreign direct investments etc. in Denmark (“Danish FDI Rules”). Pursuant to the Danish FDI Rules, a screening mechanism applies to foreign direct investments in certain sensitive sectors where a foreign investor obtains at least 10% ownership or voting rights or equivalent control by other means. The purpose of the Danish FDI Rules is to prevent foreign direct investments and special economic agreements from posing a threat to national security or public order in Denmark, through screening and possible interventions against such investments and agreements. Among the sensitive sectors defined in the Danish FDI rules are companies and entities that are critical infrastructure in Denmark in relation to the production, registration, distribution, and monitoring of prescription drugs.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a contemplated foreign direct investment in Ascendis Pharma A/S is considered to fall within the scope of the mandatory screening mechanism, the foreign investor is required to apply for prior authorization with the Danish Business Authority. FDI filings, notifications, or approvals may under certain circumstances also be required in non-Danish jurisdictions.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foreign investor fails to comply with the Danish FDI Rules, the Danish Business Authority may impose restrictions, including ordering to reverse the investment to suspend the foreign investor’s voting rights.</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International trade and financial sanctions are continually evolving. If applicable, such international trade and financial sanctions may under certain circumstances prevent the possibility of export and import of capital, and affect the remittance of dividends, interest and other payments to non-resident holders of shares or ADSs.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international trade and financial sanctions may restrict the right of non-resident or foreign owners to acquire, transfer, hold or vote the shares and ADSs. Failure to comply with international trade and financial sanctions can lead to criminal and civil liability.</w:t>
      </w:r>
    </w:p>
    <w:p>
      <w:pPr>
        <w:spacing w:after="0" w:line="266"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Tax Considerations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summary does not cover investors to whom special tax rules apply, and, therefore, may not be relevant, for example, to investors subject to the Danish Tax on Pension Yields 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 party.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Characterization of the ADSs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Danish tax law, ADSs may be qualified as shares or financial instruments depending on the specific terms of the ADS.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obtained a tax ruling on June 21, 2022, from the Danish Tax Council which confirmed that ADSs issued by us are shares for Danish tax purposes. Based on an analysis of the terms of the Deposit Agreement between 1) the holders of ADSs, 2) Ascendis Pharma A/S and 3) Bank of New York Mellon, the Danish Tax Council found that the voting and economic rights attached to the underlying shares had effectively been transferred to the ADS holders and therefore, the ADSs qualified as shares for Danish tax purposes. The ruling is binding on the Danish tax authorities for 5 years as long as the facts remain as described in the ruling for the duration of the 5-year period and in the absence of a change of law. The ruling further confirmed that the ADSs are to be considered listed shares, as the ADSs are listed on Nasdaq. Accordingly, the remainder of this Danish tax discussion assumes that the ADSs will be treated as listed shares for Danish tax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Danish Tax Resident Holders of the ADSs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(Individuals)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individual investors in 2025, gains from the sale of shares are included in the computation of the annual share income subject to 27% tax on the first DKK 63,300 (for cohabiting spouses, a total of DKK 126,600) and at a rate of 42% on share income exceeding DKK 63,300 (for cohabiting spouses over DKK 126,600). Such amounts are subject to annual adjustment and include all share income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 capital gains and dividends derived by the individual or cohabiting spouses, respectively). The realization principle applies; i.e. the gains or losses are included in the income in the year of disposal.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the ADSs, for the purpose of this tax description, are considered listed shares for Danish tax purposes, losses may be offset against received dividends and capital gains on listed shares. Unused losses will automatically be offset against a cohabiting spouse’s dividends and capital gains on listed shares. Any unused losses can be carried forward. It is a requirement for offsetting of losses, that the ADS holder (or the ADS holder’s custodian bank) has declared the acquisition of the shares in the tax return for the year of acquisition. Such declaration must specify the identity of the ADS, the number of ADS acquired, the acquisition sum and the date of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(Companies)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purpose of taxation of sales of shares made by corporate shareholders,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“Subsidiary Shares” </w:t>
      </w:r>
      <w:r>
        <w:rPr>
          <w:rFonts w:ascii="Times New Roman" w:cs="Times New Roman" w:eastAsia="Times New Roman" w:hAnsi="Times New Roman"/>
          <w:sz w:val="18"/>
          <w:szCs w:val="18"/>
          <w:color w:val="auto"/>
        </w:rPr>
        <w:t>are generally defined as shares owned by a shareholder holding at least 10% of the nominal share capital of the issuing company.</w:t>
      </w: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“Group Shares” </w:t>
      </w:r>
      <w:r>
        <w:rPr>
          <w:rFonts w:ascii="Times New Roman" w:cs="Times New Roman" w:eastAsia="Times New Roman" w:hAnsi="Times New Roman"/>
          <w:sz w:val="18"/>
          <w:szCs w:val="18"/>
          <w:color w:val="auto"/>
        </w:rPr>
        <w:t>are generally defined as shares in a company in which the shareholder of the company and the issuing company are subject to Danish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taxation or fulfill the requirements for international joint taxation under Danish law (i.e., the company is controlled by the shareholder).</w:t>
      </w:r>
    </w:p>
    <w:p>
      <w:pPr>
        <w:spacing w:after="0" w:line="15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“Tax-Exempt Portfolio Shares” </w:t>
      </w:r>
      <w:r>
        <w:rPr>
          <w:rFonts w:ascii="Times New Roman" w:cs="Times New Roman" w:eastAsia="Times New Roman" w:hAnsi="Times New Roman"/>
          <w:sz w:val="18"/>
          <w:szCs w:val="18"/>
          <w:color w:val="auto"/>
        </w:rPr>
        <w:t>are defined as shares not admitted to trading on a regulated market owned by a shareholder holding less than 10%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nominal share capital of the issuing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“Taxable Portfolio Shares” </w:t>
      </w:r>
      <w:r>
        <w:rPr>
          <w:rFonts w:ascii="Times New Roman" w:cs="Times New Roman" w:eastAsia="Times New Roman" w:hAnsi="Times New Roman"/>
          <w:sz w:val="18"/>
          <w:szCs w:val="18"/>
          <w:color w:val="auto"/>
        </w:rPr>
        <w:t>are defined as shares that do not qualify as Subsidiary Shares, Group Shares or Tax-Exempt Portfolio Shares.</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Gains or losses on disposal of Subsidiary Shares and Group Shares and Tax-Exempt Portfolio Shares are not included in the taxable income of the shareholder.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6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Capital gains from the sale of Taxable Portfolio Shares are taxable at a rate of 22% irrespective of ownership period. Losses on such shares are generally deductible. Gains and losses on Taxable Portfolio Shares are generally taxable according to the mark-to-market principle (in Danish “lagerprincippet”).</w:t>
      </w:r>
    </w:p>
    <w:p>
      <w:pPr>
        <w:spacing w:after="0" w:line="1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7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(Individuals)</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Dividends on listed shares are taxed as share income, as described above. All share income must be included when calculating whether the amounts described above are exceeded. Dividends paid to individuals are generally subject to 27% withholding tax.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(Companies)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corporate investors, dividends paid on Subsidiary Shares and Group Shares are tax-exempt irrespective of ownership period.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on Taxable Portfolio Shares are subject to the standard corporation tax rate of 22% irrespective of ownership period.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actual withholding tax rate is as a starting point 27%, while it can be reduced (0%, 15.4%, 22%) if certain requirements are met. A claim for repayment can be made within the calendar year in which the dividend distribution was approved or the excess tax will offset the corporation income tax for the year. The statute of limitations is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Shareholders Residing Outside Denmark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issued by Ascendis Pharma A/S are treated as holding listed ordinary shares in the company for Danish tax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(Individuals and Companies)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Holders of the ADSs not resident in Denmark are normally not subject to Danish taxation on any gains realized on the sale of ADSs, irrespective of the ownership period, subject to certain anti-avoidance rules seeking to prevent that taxable dividend payments are converted to tax exempt capital gains.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Danish share transfer tax or stamp duties are payable on transfer of ADSs.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(Individuals)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Dividends are generally subject to 27% Danish withholding tax. Individuals residing in certain black-listed countries and holding 25% or more of the share capital in the company are subject to 44% withholding tax.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Non-residents of Denmark are not subject to additional Danish income tax with respect to dividends received on shares.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Holders of ADSs are entitled to apply for a full or partial refund of Danish withholding tax on dividends withheld by the company, in the situations described below:</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holders of the ADSs are considered beneficial owners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holders of ADSs (as beneficial owners of the dividends on the ordinary shares), if the withholding tax rate applied is higher than the applicable final tax rate (as reduced according to Danish law or an applicable double tax treaty) for the holder of ADSs, a request for a refund of Danish tax in excess hereof can be made in the following situations: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a Tax Treaty</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Individuals residing in certain black-listed countries and holding 25% or more of the share capital in the company are not eligible for refund of dividend withholding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Danish Tax Law</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ADS holder holds less than 10% of the nominal share capital (in the form of ordinary shares in the company and not on the basis of the number of the ADSs issued) of the company and the ADS holder is tax resident in a state which has a tax treaty or an international agreement, convention or other administrative agreement on assistance in tax matters according to which the competent authority in the state of the ADS holder is obligated to exchange information with Denmark, dividends are subject to tax at a rate of 15%. If the ADS holder is tax resident outside the European Union, it is an additional requirement for eligibility for the 15% tax rate that the ADS holder together with related ADS holders holds less than 10% of the nominal share capital of the company.</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Note that the reduced tax rate does not affect the withholding rate, which is why the holder must claim a refund as described above in order to benefit from the reduced rate.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Individuals residing in certain black-listed countries and holding 25% or more of the share capital in the company are not eligible for refund of dividend withholding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(Companies)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to companies are generally subject to 27% withholding tax.</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subject to 44% withholding tax, unless it can be proved that the beneficial owner of the dividend is a resident of the European Union or the EEA or a state with which Denmark has entered into a tax treaty. Furthermore, such companies are not eligible for refund of dividend withholding taxes.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Non-residents of Denmark are not subject to additional Danish income tax with respect to dividends received on shares. Holders of ADSs are entitled to apply for a refund of Danish withholding tax on dividends paid by the company as set out below.</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holder of the ADSs is considered the beneficial owner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9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ADS holder, a request for a refund of Danish tax in excess hereof can be made by the ADS holder in the following situations: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a Tax Treaty</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not eligible for refund of dividend withholding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Danish Tax Law</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ADS holder holds less than 10% of the nominal share capital (in the form of ordinary shares in the company and not on the basis of the number of the ADSs issued) in the company and the ADS holder is resident in a jurisdiction which has a tax treaty or an international agreement, convention or other administrative agreement on assistance in tax according to which the competent authority in the state of the ADS holder is obligated to exchange information with Denmark, dividends are generally subject to a tax rate of 15%. If the ADS holder is tax resident outside the European Union, it is an additional requirement for eligibility for the 15% tax rate that the ADS holder together with related ADS holders holds less than 10% of the nominal share capital of the company. Note that the reduced tax rate does not affect the withholding rate, hence, in this situation the ADS holder must also in this situation claim a refund as described above in order to benefit from the reduced rate.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 non-resident company of Denmark holds ADSs which can be attributed to a permanent establishment in Denmark, dividends are taxable pursuant to the rules applying to Danish tax residents described above.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not eligible for refund of dividend withholding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Transfer Tax and Stamp Duties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Danish share transfer tax or stamp duties are payable on transfer of the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any alternative minimum taxes, or the Medicare contribution tax on net investment income, are not discussed. This summary applies only to U.S. Holders that hold the ADSs as capital assets (generally, property held for investment) and who have the U.S. dollar as their functional currency for U.S. federal income tax purposes. This discussion is based on the U.S. Internal Revenue Code of 1986, as amended, or the Code, U.S. Treasury regulations promulgated thereunder, or the Treasury Regulations,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address all U.S. federal income tax consequences relevant to a U.S. Holder’s particular circumstances or to U.S. Holders subject to particular rules, including:</w:t>
      </w:r>
    </w:p>
    <w:p>
      <w:pPr>
        <w:spacing w:after="0" w:line="54"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S corporations or other entities or arrangements treated as partnerships or pass-through entities for U.S. federal income tax purposes, and persons that hold ADSs through such entities or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“individual retirement accounts” or “Roth IRAs”;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pursuant to the exercise of any employee share option or otherwise as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the company’s equity by vote or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their ADSs through a permanent establishment or fixed base outside the United States;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ADSs under the constructive sale provisions of the Code.</w:t>
      </w:r>
    </w:p>
    <w:p>
      <w:pPr>
        <w:spacing w:after="0" w:line="3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REGARDING THE APPLICATION OF THE U.S. FEDERAL INCOME TAX RULES TO THEIR PARTICULAR CIRCUMSTANCES AS WELL AS THE U.S. FEDERAL GIFT AND ESTATE AND U.S. STATE AND LOCAL AND NON-U.S. TAX CONSEQUENCES TO THEM OF THE PURCHASE, OWNERSHIP AND DISPOSITION OF THE ADSs.</w:t>
      </w:r>
    </w:p>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that, for U.S. federal income tax purposes, is or is treated as any of the following:</w:t>
      </w:r>
    </w:p>
    <w:p>
      <w:pPr>
        <w:spacing w:after="0" w:line="54"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any state thereof or the District of Columbia;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86" w:lineRule="exact"/>
        <w:rPr>
          <w:sz w:val="20"/>
          <w:szCs w:val="20"/>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you are a partner in a partnership (or other entity or arrangement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the ADSs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or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However,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are eligible for benefits under the Treaty, or if the ADSs are readily tradable on an established securities market in the United States,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ADSs representing ordinary shares generally are considered for these purposes to be readily tradable on an established securities market in the United States if they are listed on The Nasdaq Global Select Market, as our ADSs currently are. You should consult your tax advisor regarding the availability of these preferential tax rates under your particular circumstances.</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discussed above in “Taxation—Danish Tax Considerations,” payments of dividends by us may be subject to Danish withholding tax. The rate of withholding tax applicable to U.S. Holders that are eligible for benefits under the Treaty is reduced to a maximum of 15%.</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U.S. Holders will be treated as having received the amount of withheld Danish taxes,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Dividends will generally constitute foreign-source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Any amount withheld in excess of the tax rate applicable to a U.S. Holder generally is not eligible to be claimed as a foreign tax credit, regardless of whether such amount is actually refunded or reclaimed. The limitation on foreign taxes eligible for credit is calculated separately with respect to specific classes of income. For this purpose, dividends distributed by us with respect to the ADSs generally will constitute “passive category income.” Certain Treasury Regulations may restrict the availability of a foreign tax credit based on the nature of the tax imposed by the foreign jurisdiction. However, under current IRS guidance, taxpayers generally may elect to determine the creditability of foreign taxes without regard to such restrictions for taxable years ending prior to the year further guidance is issued.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the ADSs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U.S.-source income or loss for foreign tax credit limitation purposes. You should consult your tax advisor regarding the proper treatment of gain or loss in your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Code and Treasury Regulations, the determination of PFIC status is fact-specific and cannot be made until after the close of the taxable year in question. Based on our market capitalization and the composition of our income, assets and operations, we do not believe we were a PFIC for U.S. federal income tax purposes for our taxable year ended December 31, 2024. However, this is a factual determination, and the application of the PFIC rules is subject to uncertainty in several respects, and we cannot assure you we will not be a PFIC for any taxable year. A non-U.S. corporation will be considered a PFIC for any taxable year if either:</w:t>
      </w:r>
    </w:p>
    <w:p>
      <w:pPr>
        <w:spacing w:after="0" w:line="75" w:lineRule="exact"/>
        <w:rPr>
          <w:sz w:val="20"/>
          <w:szCs w:val="20"/>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(as defined in the relevant provisions of the Code), or</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based on an average of the quarterly values of the assets during such taxable year) is attributable to assets that produce or are held for the production of passive income.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separate determination must be made each taxable year as to whether we are a PFIC (after the close of each such taxable year). Because the value of our assets, including unbooked goodwill,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 For these reasons, we cannot assure you we will not be a PFIC for any taxable year.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75" w:lineRule="exact"/>
        <w:rPr>
          <w:sz w:val="20"/>
          <w:szCs w:val="20"/>
          <w:color w:val="auto"/>
        </w:rPr>
      </w:pPr>
    </w:p>
    <w:p>
      <w:pPr>
        <w:ind w:left="1020" w:hanging="503"/>
        <w:spacing w:after="0"/>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ADSs,</w:t>
      </w:r>
    </w:p>
    <w:p>
      <w:pPr>
        <w:spacing w:after="0" w:line="130"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before the first taxable year in your holding period in which we were a PFIC, will be treated as ordinary income,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income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(but not losses) realized on the sale of the ADSs cannot be treated as capital gains, even if you hold the ADSs as capital assets.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are treated as a PFIC with respect to you for any taxable year, to the extent we own directly or indirectly equity in any non-U.S. corporations that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lower-tier PFICs.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Treasury Regulations. Any trades that have as their principal purpose meeting this requirement will be disregarded. The ADSs are listed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The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30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TAX ADVISOR REGARDING THE APPLICATION OF THE PFIC RULES TO YOUR INVESTMENT IN THE ADSs.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Distributions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68" w:lineRule="exact"/>
        <w:rPr>
          <w:sz w:val="20"/>
          <w:szCs w:val="20"/>
          <w:color w:val="auto"/>
        </w:rPr>
      </w:pPr>
    </w:p>
    <w:p>
      <w:pPr>
        <w:ind w:left="1020" w:hanging="503"/>
        <w:spacing w:after="0"/>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furnish the holder’s taxpayer identification number, which for an individual is ordinarily his or her social security number;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an incorrect taxpayer identification number;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the holder previously failed to properly report payments of interest or dividends; or</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284"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by Experts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293"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submit any annual report provided to security holders in electronic format as an exhibit to a report on Form 6-K.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0" w:name="page181"/>
    <w:bookmarkEnd w:id="1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activities expose us to market risks related to changes in foreign currency exchange rates and interest rates. We do not enter into derivative financial instruments to manage our exposure to such risks. Further, we are exposed to credit risk, liquidity risk and inflation risk. For a description of our exposure to market risks, credit risk and liquidity risk, refer to Note 16, “Financial Assets and Liabilities.” Inflation affects us as our vendors may pass on any increased costs to us and accordingly increase our R&amp;D costs, SG&amp;A expenses and cost of manufacturing. We do not believe that inflation had a material impact on our results of operation for the years ended December 31, 2024 and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deposit agreement among us, the depositary and you the ADS holders sets out ADS holder rights as well as the rights and obligations of the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deposit agreement is incorporated by reference as an exhibit to this annual report.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81" w:name="page182"/>
    <w:bookmarkEnd w:id="18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deposit agreement, the holders of ADSs will be required to pay the following fees:</w:t>
      </w:r>
    </w:p>
    <w:p>
      <w:pPr>
        <w:sectPr>
          <w:pgSz w:w="11900" w:h="16838" w:orient="portrait"/>
          <w:cols w:equalWidth="0" w:num="1">
            <w:col w:w="11200"/>
          </w:cols>
          <w:pgMar w:left="320" w:top="1440" w:right="379" w:bottom="1440" w:gutter="0" w:footer="0" w:header="0"/>
        </w:sectPr>
      </w:pPr>
    </w:p>
    <w:p>
      <w:pPr>
        <w:spacing w:after="0" w:line="113" w:lineRule="exact"/>
        <w:rPr>
          <w:sz w:val="20"/>
          <w:szCs w:val="20"/>
          <w:color w:val="auto"/>
        </w:rPr>
      </w:pPr>
    </w:p>
    <w:p>
      <w:pPr>
        <w:ind w:left="120"/>
        <w:spacing w:after="0"/>
        <w:tabs>
          <w:tab w:leader="none" w:pos="5660" w:val="left"/>
        </w:tabs>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ordinary shares or ADSs must pay:</w:t>
      </w:r>
      <w:r>
        <w:rPr>
          <w:sz w:val="20"/>
          <w:szCs w:val="20"/>
          <w:color w:val="auto"/>
        </w:rPr>
        <w:tab/>
      </w:r>
      <w:r>
        <w:rPr>
          <w:rFonts w:ascii="Times New Roman" w:cs="Times New Roman" w:eastAsia="Times New Roman" w:hAnsi="Times New Roman"/>
          <w:sz w:val="17"/>
          <w:szCs w:val="17"/>
          <w:b w:val="1"/>
          <w:bCs w:val="1"/>
          <w:i w:val="1"/>
          <w:iCs w:val="1"/>
          <w:color w:val="auto"/>
        </w:rPr>
        <w:t>For: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117" w:lineRule="exact"/>
        <w:rPr>
          <w:sz w:val="20"/>
          <w:szCs w:val="20"/>
          <w:color w:val="auto"/>
        </w:rPr>
      </w:pPr>
    </w:p>
    <w:p>
      <w:pPr>
        <w:jc w:val="both"/>
        <w:ind w:left="120" w:right="560"/>
        <w:spacing w:after="0" w:line="257"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shares had been deposited for issue of ADSs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 per calendar year</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226" w:right="300" w:hanging="226"/>
        <w:spacing w:after="0" w:line="282" w:lineRule="auto"/>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ADSs, including issues resulting from a distribution of ordinary shares or rights or other property</w:t>
      </w:r>
    </w:p>
    <w:p>
      <w:pPr>
        <w:spacing w:after="0" w:line="53" w:lineRule="exact"/>
        <w:rPr>
          <w:rFonts w:ascii="Times New Roman" w:cs="Times New Roman" w:eastAsia="Times New Roman" w:hAnsi="Times New Roman"/>
          <w:sz w:val="18"/>
          <w:szCs w:val="18"/>
          <w:color w:val="auto"/>
        </w:rPr>
      </w:pPr>
    </w:p>
    <w:p>
      <w:pPr>
        <w:ind w:left="226" w:right="320" w:hanging="226"/>
        <w:spacing w:after="0" w:line="282" w:lineRule="auto"/>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53" w:lineRule="exact"/>
        <w:rPr>
          <w:rFonts w:ascii="Times New Roman" w:cs="Times New Roman" w:eastAsia="Times New Roman" w:hAnsi="Times New Roman"/>
          <w:sz w:val="18"/>
          <w:szCs w:val="18"/>
          <w:color w:val="auto"/>
        </w:rPr>
      </w:pPr>
    </w:p>
    <w:p>
      <w:pPr>
        <w:ind w:left="226" w:hanging="226"/>
        <w:spacing w:after="0"/>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you</w:t>
      </w:r>
    </w:p>
    <w:p>
      <w:pPr>
        <w:spacing w:after="0" w:line="117" w:lineRule="exact"/>
        <w:rPr>
          <w:rFonts w:ascii="Times New Roman" w:cs="Times New Roman" w:eastAsia="Times New Roman" w:hAnsi="Times New Roman"/>
          <w:sz w:val="18"/>
          <w:szCs w:val="18"/>
          <w:color w:val="auto"/>
        </w:rPr>
      </w:pPr>
    </w:p>
    <w:p>
      <w:pPr>
        <w:ind w:left="226" w:right="560" w:hanging="226"/>
        <w:spacing w:after="0" w:line="282" w:lineRule="auto"/>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you</w:t>
      </w:r>
    </w:p>
    <w:p>
      <w:pPr>
        <w:spacing w:after="0" w:line="161" w:lineRule="exact"/>
        <w:rPr>
          <w:rFonts w:ascii="Times New Roman" w:cs="Times New Roman" w:eastAsia="Times New Roman" w:hAnsi="Times New Roman"/>
          <w:sz w:val="18"/>
          <w:szCs w:val="18"/>
          <w:color w:val="auto"/>
        </w:rPr>
      </w:pPr>
    </w:p>
    <w:p>
      <w:pPr>
        <w:ind w:left="226" w:hanging="226"/>
        <w:spacing w:after="0"/>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 Depositary services</w:t>
      </w:r>
    </w:p>
    <w:p>
      <w:pPr>
        <w:spacing w:after="0" w:line="117" w:lineRule="exact"/>
        <w:rPr>
          <w:rFonts w:ascii="Times New Roman" w:cs="Times New Roman" w:eastAsia="Times New Roman" w:hAnsi="Times New Roman"/>
          <w:sz w:val="18"/>
          <w:szCs w:val="18"/>
          <w:color w:val="auto"/>
        </w:rPr>
      </w:pPr>
    </w:p>
    <w:p>
      <w:pPr>
        <w:ind w:left="226" w:right="220" w:hanging="226"/>
        <w:spacing w:after="0" w:line="266" w:lineRule="auto"/>
        <w:tabs>
          <w:tab w:leader="none" w:pos="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ordinary shares on our share register to or from the name of the depositary or its agent when you deposit or withdraw shares</w:t>
      </w:r>
    </w:p>
    <w:p>
      <w:pPr>
        <w:spacing w:after="0" w:line="68" w:lineRule="exact"/>
        <w:rPr>
          <w:sz w:val="20"/>
          <w:szCs w:val="20"/>
          <w:color w:val="auto"/>
        </w:rPr>
      </w:pPr>
    </w:p>
    <w:p>
      <w:pPr>
        <w:sectPr>
          <w:pgSz w:w="11900" w:h="16838" w:orient="portrait"/>
          <w:cols w:equalWidth="0" w:num="2">
            <w:col w:w="6020" w:space="94"/>
            <w:col w:w="5086"/>
          </w:cols>
          <w:pgMar w:left="320" w:top="1440" w:right="37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Cable, (including SWIFT), telex and facsimile transmissions</w:t>
            </w:r>
          </w:p>
        </w:tc>
      </w:tr>
      <w:tr>
        <w:trPr>
          <w:trHeight w:val="234"/>
        </w:trPr>
        <w:tc>
          <w:tcPr>
            <w:tcW w:w="5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324"/>
        </w:trPr>
        <w:tc>
          <w:tcPr>
            <w:tcW w:w="5660" w:type="dxa"/>
            <w:vAlign w:val="bottom"/>
          </w:tcPr>
          <w:p>
            <w:pPr>
              <w:spacing w:after="0"/>
              <w:rPr>
                <w:sz w:val="24"/>
                <w:szCs w:val="24"/>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r>
      <w:tr>
        <w:trPr>
          <w:trHeight w:val="30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 As necessary</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have to pay on any ADS or share underlying an ADS, for example, share</w:t>
            </w:r>
          </w:p>
        </w:tc>
        <w:tc>
          <w:tcPr>
            <w:tcW w:w="4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 stamp duty or withholding taxes</w:t>
            </w:r>
          </w:p>
        </w:tc>
        <w:tc>
          <w:tcPr>
            <w:tcW w:w="4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necessary</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deposited securities</w:t>
            </w:r>
          </w:p>
        </w:tc>
        <w:tc>
          <w:tcPr>
            <w:tcW w:w="48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82" w:name="page183"/>
    <w:bookmarkEnd w:id="182"/>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4740" w:firstLine="8"/>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14 Material Modification to the Rights of Security Holders and Use of Proceeds A. Material Modifications to the Rights of Securities Holders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principal financial and accounting officers, after evaluating the effectiveness of our disclosure controls and procedures (as defined in Rule 13a-15(e) under the Exchange Act) as of December 31, 2024, have concluded that based on the evaluation of these controls and procedures required by Rule 13a-15(b) of the Exchange Act, our disclosure controls and procedures were effective.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This assessment was performed under the directions and supervision of our Chief Executive Officer and our principal financial and accounting officers and based on the criteria established in Internal Control—Integrated Framework (2013) issued by the Committee of Sponsoring Organizations (COSO) of the Treadway Commission.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121" w:lineRule="exact"/>
        <w:rPr>
          <w:sz w:val="20"/>
          <w:szCs w:val="20"/>
          <w:color w:val="auto"/>
        </w:rPr>
      </w:pPr>
    </w:p>
    <w:p>
      <w:pPr>
        <w:ind w:right="15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Deloitte Statsautoriseret Revisionspartnerselskab, an independent registered public accounting firm, as stated in their report, which appears in Item 18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Mr. Lars Holtug, an independent director under Nasdaq Rule 5605(a)(2) and Rule 10A-3 of the Exchange Act and a member of the Audit Committee, qualifies as an “audit committee financial expert,” as defined in Item 16A(b) of Form 20-F and as determined by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2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760" w:type="dxa"/>
            <w:vAlign w:val="bottom"/>
          </w:tcPr>
          <w:p>
            <w:pPr>
              <w:spacing w:after="0"/>
              <w:rPr>
                <w:sz w:val="12"/>
                <w:szCs w:val="12"/>
                <w:color w:val="auto"/>
              </w:rPr>
            </w:pPr>
          </w:p>
        </w:tc>
        <w:tc>
          <w:tcPr>
            <w:tcW w:w="1820" w:type="dxa"/>
            <w:vAlign w:val="bottom"/>
            <w:gridSpan w:val="3"/>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tcPr>
          <w:p>
            <w:pPr>
              <w:jc w:val="center"/>
              <w:ind w:left="68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760" w:type="dxa"/>
            <w:vAlign w:val="bottom"/>
          </w:tcPr>
          <w:p>
            <w:pPr>
              <w:spacing w:after="0"/>
              <w:rPr>
                <w:sz w:val="15"/>
                <w:szCs w:val="15"/>
                <w:color w:val="auto"/>
              </w:rPr>
            </w:pPr>
          </w:p>
        </w:tc>
        <w:tc>
          <w:tcPr>
            <w:tcW w:w="182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2000" w:type="dxa"/>
            <w:vAlign w:val="bottom"/>
            <w:gridSpan w:val="4"/>
          </w:tcPr>
          <w:p>
            <w:pPr>
              <w:jc w:val="center"/>
              <w:ind w:left="8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8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2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-166370</wp:posOffset>
            </wp:positionV>
            <wp:extent cx="10287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-166370</wp:posOffset>
            </wp:positionV>
            <wp:extent cx="9398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-166370</wp:posOffset>
            </wp:positionV>
            <wp:extent cx="9398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-166370</wp:posOffset>
            </wp:positionV>
            <wp:extent cx="9398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7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are defined as the standard audit work that needs to be performed each year to issue opinions on our consolidated financial statements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Audit Related Fees </w:t>
      </w:r>
      <w:r>
        <w:rPr>
          <w:rFonts w:ascii="Times New Roman" w:cs="Times New Roman" w:eastAsia="Times New Roman" w:hAnsi="Times New Roman"/>
          <w:sz w:val="18"/>
          <w:szCs w:val="18"/>
          <w:color w:val="auto"/>
        </w:rPr>
        <w:t>include those other assurance services provided by the independent auditor but not restricted to those that can only be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 signing the audit report.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9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relate to the aggregate fees billed in each of the last two fiscal years for professional services rendered by the principal accountant for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tax advice, and tax planning.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are any additional amounts billed for products and services provided by the principal accountant.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for Non-Audit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Committee has adopted a policy pursuant to which we will not engage our auditors to perform any non-audit services unless the audit committee pre-approves the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16E Purchases of Equity Securities by the Issuer and Affiliated Purchasers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 C. Directors, Senior Management and Employees—Board Practices”, the home country practices followed by our Company in lieu of Nasdaq rules are described below:</w:t>
      </w:r>
    </w:p>
    <w:p>
      <w:pPr>
        <w:spacing w:after="0" w:line="75" w:lineRule="exact"/>
        <w:rPr>
          <w:sz w:val="20"/>
          <w:szCs w:val="20"/>
          <w:color w:val="auto"/>
        </w:rPr>
      </w:pPr>
    </w:p>
    <w:p>
      <w:pPr>
        <w:ind w:left="1020" w:right="80" w:hanging="503"/>
        <w:spacing w:after="0" w:line="266"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intend to provide shareholders with an agenda and other relevant documents for the general meeting of shareholders.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4"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5" w:name="page186"/>
    <w:bookmarkEnd w:id="185"/>
    <w:p>
      <w:pPr>
        <w:spacing w:after="0" w:line="86" w:lineRule="exact"/>
        <w:rPr>
          <w:sz w:val="20"/>
          <w:szCs w:val="20"/>
          <w:color w:val="auto"/>
        </w:rPr>
      </w:pPr>
    </w:p>
    <w:p>
      <w:pPr>
        <w:ind w:left="1020" w:hanging="503"/>
        <w:spacing w:after="0" w:line="258" w:lineRule="auto"/>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shareholders’ approval for amendments to our existing warrant incentive program.</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right="52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16I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directors, senior management, and employees. A copy of the insider trading policy is filed as an exhibit to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safeguard the confidentiality and integrity of the information we collect and process, prevent unauthorized access to our information technology (“IT”) systems and data, and ensure availability of our IT systems and data according to defined business requirements. Our cybersecurity risk management program includes a cybersecurity incident response plan.</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Information Security Policy for Global IT outlines the organizational responsibilities for maintaining a strong security posture for our IT systems and sets forth the IT security measures and controls that are required to be in place. This policy covers all IT systems that process Company information. Our Security Management team is responsible for ensuring internal security compliance and for managing IT vendors.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designed our security program around the International Organization for Standardization/International Electrotechnical Commission (“ISO/IEC”) 27001 standard on a strategic and tactical level, while our operational program is maintained in accordance with the Center for Internet Security (“CIS”) Critical Security Controls framework. This does not imply that we meet any particular technical standards, specifications, or requirements, only that we use the ISO/IEC and CIS Controls standards as guides to help us identify, assess, and manage cybersecurity risks relevant to our business.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right="500" w:hanging="503"/>
        <w:spacing w:after="0" w:line="282" w:lineRule="auto"/>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process for registration, classification and escalation of any incidents to a named IT Incident Manager and incident response team, which includes relevant members of the IT management team, the compliance team, business process owners and potentially external vendors;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campaigns for Company employees via various channels (intranet, direct mail, screen savers, etc.);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access control measures applied to critical IT systems, equipment and devices, designed to prevent unauthorized users, processes, and devices from assessing IT systems and data.</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the oversight of cybersecurity and other information technology risks to the executive board. The executive board oversees the Security Management team's implementation of our cybersecurity risk management program.</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executive board receives regular updates from the Security Management team on our cybersecurity risks. In addition, the Security Management team updates the executive board, as necessary, regarding any material cybersecurity incidents, as well as any incidents with lesser impact potential.</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executive board reports to the full Board regarding its activities, including those related to cybersecurity. The full Board also receives briefings from management on our cyber risk management program. Board members receive presentations on cybersecurity topics from our Security Management team, internal security staff and external experts as part of the Board's continuing education on topics that impact public companies.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Security Management team is chaired by the Chief Information Officer and includes the Head of IT Compliance, IT Operations/Infrastructure and Cyber Security,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Security Management team's background includes experience in regulatory compliance, cloud computing and infrastructure, and cyber incident response.</w:t>
      </w:r>
    </w:p>
    <w:p>
      <w:pPr>
        <w:spacing w:after="0" w:line="18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Security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as well as alerts and reports produced by security tools deployed in our IT environment.</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executive management that is part of the Corporate Management Group signs off on the overall strategic direction for IT security and ensures alignment with our overall business strategy.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also established a Security Organization Unit to ensure alignment across key security functions in our organization. The Security Organization Unit is chaired by the Chief Information Officer and includes representatives from Foundational Technology and IT Compliance.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7" w:name="page188"/>
    <w:bookmarkEnd w:id="187"/>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is the responsibility of the Security Organization Unit to approve the Company's IT security roadmap, ensure allocation and prioritization of resources, and to act as the escalation point for IT security matters.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named IT manager is assigned the responsibility of maintaining IT security across our global organization. This responsibility includes defining and driving IT security roadmap initiatives, defining and implementing activities needed to drive an IT security awareness program, supporting the assessment of new IT systems and vendors, and acting as the leader and point person in the event of a major security incident.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Operational responsibility resides with the related product teams. The product teams are responsible for ensuring effective and updated security technologies are used in the day-to-day operational procedures, and for maintaining, operating and implementing applications and technologies securely across business areas within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88" w:name="page189"/>
    <w:bookmarkEnd w:id="188"/>
    <w:p>
      <w:pPr>
        <w:spacing w:after="0" w:line="190"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9" w:name="page190"/>
    <w:bookmarkEnd w:id="1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94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Profit or (Loss) and Other Comprehensive Income or (Loss) for the Years Ended December 31, 2024,</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FF"/>
            </w:tcBorders>
          </w:tcPr>
          <w:p>
            <w:pPr>
              <w:spacing w:after="0"/>
              <w:rPr>
                <w:sz w:val="17"/>
                <w:szCs w:val="17"/>
                <w:color w:val="auto"/>
              </w:rPr>
            </w:pPr>
          </w:p>
        </w:tc>
        <w:tc>
          <w:tcPr>
            <w:tcW w:w="916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2023 and 2022</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Financial Position at December 31, 2024 and 2023</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34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at December 31, 2024, 2023 and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34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Cash Flow Statements for the Years Ended December 31, 2024, 2023 and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344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82725" cy="274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2743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Ascendis Pharma A/S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Ascendis Pharma A/S and subsidiaries (the “Company”) as of December 31, 2024 and 2023, the related consolidated statements of profit or (loss) and other comprehensive income or (loss), the consolidated statements of changes in equity, and the consolidated cash flow statements for each of the three years in the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IFRS Accounting Standards as issued by the International Accounting Standards Board. Also, in our opinion, the Company maintained, in all material respects, effective internal control over financial reporting as of December 31, 2024, based on criteria established in Internal Control — Integrated Framework (2013) issued by COSO.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right="28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Revenue and provisions – US commercial sales deductions – Refer to Notes 2 and 3 to the financial statements </w:t>
      </w:r>
      <w:r>
        <w:rPr>
          <w:rFonts w:ascii="Times New Roman" w:cs="Times New Roman" w:eastAsia="Times New Roman" w:hAnsi="Times New Roman"/>
          <w:sz w:val="18"/>
          <w:szCs w:val="18"/>
          <w:i w:val="1"/>
          <w:iCs w:val="1"/>
          <w:color w:val="auto"/>
        </w:rPr>
        <w:t>Critical Audit Matter Description</w:t>
      </w: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United States (US), the Company has entered into pricing agreements that include sales deductions such as prompt pay discounts, shelf stock adjustments and applicable sales rebates attributable to various commercial arrangements, managed healthcare organizations, government programs, and co-pay arrangements. As such, revenue recognition includes variable consideration in the form of sales deductions related to these agreements. Provisions are recognized for the unsettled parts and are a source of significant estimation uncertainty which could have a material impact on reported revenue.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identified US commercial sales deductions as a critical audit matter due to the significant measurement uncertainty involved in developing the estimates used for these provisions for unsettled sales deductions, as the provisions are based on payer channel mix, current contract prices under eligible programs and current inventory levels in the distribution channels. In addition, significant judgments are involved in determining whether a significant reversal in the amount of revenue recognized will not occur due to commercial arrangements generally being settled within 180 days of the transaction date. This led to significant auditor judgment, effort and subjectivity in applying procedures relating to the Company’s estimate of these provisions.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US commercial sales deductions included the following, among others:</w:t>
      </w:r>
    </w:p>
    <w:p>
      <w:pPr>
        <w:spacing w:after="0" w:line="117" w:lineRule="exact"/>
        <w:rPr>
          <w:sz w:val="20"/>
          <w:szCs w:val="20"/>
          <w:color w:val="auto"/>
        </w:rPr>
      </w:pPr>
    </w:p>
    <w:p>
      <w:pPr>
        <w:ind w:left="1020" w:right="500" w:hanging="503"/>
        <w:spacing w:after="0" w:line="282"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US commercial sales deductions, including controls over the assumptions and data used to estimate these deductions;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accounting treatment of US commercial sales deductions is consistent with the relevant accounting standards and the appropriateness of the Company’s methodology to develop the estimates used for their sales deductions provisions based on payer channel mix, current contract prices under eligible programs and current inventory levels in the distribution channels;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86" w:lineRule="exact"/>
        <w:rPr>
          <w:sz w:val="20"/>
          <w:szCs w:val="20"/>
          <w:color w:val="auto"/>
        </w:rPr>
      </w:pPr>
    </w:p>
    <w:p>
      <w:pPr>
        <w:ind w:left="1020" w:hanging="503"/>
        <w:spacing w:after="0" w:line="282"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US commercial sales deductions claims processed by the Company, and evaluated those claims for consistency with the conditions and terms of the Company’s commercial and governmental pricing agreements;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overall reasonableness of the US commercial sales deductions provisions recorded at period-end by developing an independent expectation and comparing our expectation to the amount recorded by management;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ability to estimate US commercial sales deductions accurately by considering the historical accuracy of the Company’s estimates in the prior year compared to the actual claims information received in the current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 or (Loss) for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319,383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222,323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413,454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291,142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264,410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(278,763 )</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(455,541 )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(561,814 )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profit/(loss) of associates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(20,060 )</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(18,395 )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(17,697 )</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(373,241 )</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(474,144 )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(577,817 )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(4,843 )</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(7,303 )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(378,084 )</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(481,447 )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(583,194 )</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Attributable to owners of the Company</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(378,084 )</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(481,447 )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(583,194 )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earnings/(loss) per share</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(6.53 )  €</w:t>
            </w:r>
          </w:p>
        </w:tc>
        <w:tc>
          <w:tcPr>
            <w:tcW w:w="16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(8.55 )  €</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(10.40 )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Number of shares used for calculation (basic and diluted) </w:t>
            </w:r>
            <w:r>
              <w:rPr>
                <w:rFonts w:ascii="Times New Roman" w:cs="Times New Roman" w:eastAsia="Times New Roman" w:hAnsi="Times New Roman"/>
                <w:sz w:val="24"/>
                <w:szCs w:val="24"/>
                <w:color w:val="auto"/>
                <w:vertAlign w:val="superscript"/>
              </w:rPr>
              <w:t>(1)</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57,891,570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56,287,060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or (Loss)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(378,084 )</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(481,447 )</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(583,194 )</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Items that may be reclassified subsequently to profit</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or (loss):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(2,731 )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Other comprehensive income/(loss) for the year, net</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(2,731 )</w:t>
            </w:r>
          </w:p>
        </w:tc>
        <w:tc>
          <w:tcPr>
            <w:tcW w:w="300" w:type="dxa"/>
            <w:vAlign w:val="bottom"/>
          </w:tcPr>
          <w:p>
            <w:pPr>
              <w:spacing w:after="0"/>
              <w:rPr>
                <w:sz w:val="16"/>
                <w:szCs w:val="16"/>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(327 )</w:t>
            </w:r>
          </w:p>
        </w:tc>
        <w:tc>
          <w:tcPr>
            <w:tcW w:w="0" w:type="dxa"/>
            <w:vAlign w:val="bottom"/>
          </w:tcPr>
          <w:p>
            <w:pPr>
              <w:spacing w:after="0"/>
              <w:rPr>
                <w:sz w:val="1"/>
                <w:szCs w:val="1"/>
                <w:color w:val="auto"/>
              </w:rPr>
            </w:pPr>
          </w:p>
        </w:tc>
      </w:tr>
      <w:tr>
        <w:trPr>
          <w:trHeight w:val="22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income/(loss) for the year, net</w:t>
            </w: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(377,022 )</w:t>
            </w:r>
          </w:p>
        </w:tc>
        <w:tc>
          <w:tcPr>
            <w:tcW w:w="220" w:type="dxa"/>
            <w:vAlign w:val="bottom"/>
            <w:shd w:val="clear" w:color="auto" w:fill="CFF0FC"/>
          </w:tcPr>
          <w:p>
            <w:pPr>
              <w:spacing w:after="0"/>
              <w:rPr>
                <w:sz w:val="16"/>
                <w:szCs w:val="16"/>
                <w:color w:val="auto"/>
              </w:rPr>
            </w:pPr>
          </w:p>
        </w:tc>
        <w:tc>
          <w:tcPr>
            <w:tcW w:w="13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(484,178 )</w:t>
            </w:r>
          </w:p>
        </w:tc>
        <w:tc>
          <w:tcPr>
            <w:tcW w:w="300" w:type="dxa"/>
            <w:vAlign w:val="bottom"/>
            <w:shd w:val="clear" w:color="auto" w:fill="CFF0FC"/>
          </w:tcPr>
          <w:p>
            <w:pPr>
              <w:spacing w:after="0"/>
              <w:rPr>
                <w:sz w:val="16"/>
                <w:szCs w:val="16"/>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(583,521 )</w:t>
            </w:r>
          </w:p>
        </w:tc>
        <w:tc>
          <w:tcPr>
            <w:tcW w:w="0" w:type="dxa"/>
            <w:vAlign w:val="bottom"/>
          </w:tcPr>
          <w:p>
            <w:pPr>
              <w:spacing w:after="0"/>
              <w:rPr>
                <w:sz w:val="1"/>
                <w:szCs w:val="1"/>
                <w:color w:val="auto"/>
              </w:rPr>
            </w:pPr>
          </w:p>
        </w:tc>
      </w:tr>
      <w:tr>
        <w:trPr>
          <w:trHeight w:val="218"/>
        </w:trPr>
        <w:tc>
          <w:tcPr>
            <w:tcW w:w="58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of tax</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Attributable to owners of the Company</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(377,022 )</w:t>
            </w:r>
          </w:p>
        </w:tc>
        <w:tc>
          <w:tcPr>
            <w:tcW w:w="220" w:type="dxa"/>
            <w:vAlign w:val="bottom"/>
          </w:tcPr>
          <w:p>
            <w:pPr>
              <w:spacing w:after="0"/>
              <w:rPr>
                <w:sz w:val="17"/>
                <w:szCs w:val="17"/>
                <w:color w:val="auto"/>
              </w:rPr>
            </w:pPr>
          </w:p>
        </w:tc>
        <w:tc>
          <w:tcPr>
            <w:tcW w:w="1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(484,178 )</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(583,521 )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-3660140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-3660140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-3660140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-2253615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-2237105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-2253615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-2237105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-2237105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-702310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-702310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-153670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60" w:hanging="512"/>
        <w:spacing w:after="0" w:line="241" w:lineRule="auto"/>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2023 and 2022, a total of 6,204,122, 6,523,784 and 6,864,011 warrants outstanding, respectively, each carrying the right to subscribe for one ordinary share, and 575,000 convertible senior notes which can potentially be converted into 3,456,785 ordinary shares, can potentially dilute earnings per share in the future but have not been included in the calculation of diluted earnings per share because they are antidilutive for the years presented.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3"/>
                <w:szCs w:val="13"/>
                <w:color w:val="auto"/>
              </w:rPr>
            </w:pPr>
          </w:p>
        </w:tc>
        <w:tc>
          <w:tcPr>
            <w:tcW w:w="1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00" w:type="dxa"/>
            <w:vAlign w:val="bottom"/>
            <w:gridSpan w:val="2"/>
          </w:tcPr>
          <w:p>
            <w:pPr>
              <w:jc w:val="right"/>
              <w:ind w:right="520"/>
              <w:spacing w:after="0" w:line="175"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9"/>
                <w:szCs w:val="19"/>
                <w:b w:val="1"/>
                <w:bCs w:val="1"/>
                <w:color w:val="auto"/>
                <w:vertAlign w:val="superscript"/>
              </w:rPr>
              <w:t>1</w:t>
            </w:r>
          </w:p>
        </w:tc>
        <w:tc>
          <w:tcPr>
            <w:tcW w:w="142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5, 10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5, 11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98,714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associates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118,634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122,866</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295,609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208,931</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166,280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receivables</w:t>
            </w: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28,269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559,543</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1,060,861</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702,721</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923,471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1,179,495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825,587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Distributable equity</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(113,855 )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(153,446 )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(105,706 )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(145,697 )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365,080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377,338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234,775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matures in April 2028</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458,207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150,670</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608,877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550,391</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557,136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16, 17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96,394</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67,956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payables</w:t>
            </w:r>
          </w:p>
        </w:tc>
        <w:tc>
          <w:tcPr>
            <w:tcW w:w="6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99,149</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298,986</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186,118</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907,863</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736,509</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1,285,201</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971,284</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826,390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6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1,179,495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825,587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-5511165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-5511165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-5511165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-4114165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-4114165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-3256915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-3256915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-2416810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-2416810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-462280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-462280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hanging="512"/>
        <w:spacing w:after="0"/>
        <w:tabs>
          <w:tab w:leader="none" w:pos="5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Restatement relates to adoption of amendments to IAS 1, “Presentation of Financial Statements.” Refer to Note 2 for further details.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Distributable Equity</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Foreign</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Currency</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720" w:type="dxa"/>
            <w:vAlign w:val="bottom"/>
          </w:tcPr>
          <w:p>
            <w:pPr>
              <w:jc w:val="center"/>
              <w:ind w:left="262"/>
              <w:spacing w:after="0" w:line="135" w:lineRule="exact"/>
              <w:rPr>
                <w:sz w:val="20"/>
                <w:szCs w:val="20"/>
                <w:color w:val="auto"/>
              </w:rPr>
            </w:pPr>
            <w:r>
              <w:rPr>
                <w:rFonts w:ascii="Times New Roman" w:cs="Times New Roman" w:eastAsia="Times New Roman" w:hAnsi="Times New Roman"/>
                <w:sz w:val="12"/>
                <w:szCs w:val="12"/>
                <w:b w:val="1"/>
                <w:bCs w:val="1"/>
                <w:color w:val="auto"/>
                <w:w w:val="93"/>
              </w:rPr>
              <w:t>Share</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right"/>
              <w:ind w:right="600"/>
              <w:spacing w:after="0" w:line="135" w:lineRule="exact"/>
              <w:rPr>
                <w:sz w:val="20"/>
                <w:szCs w:val="20"/>
                <w:color w:val="auto"/>
              </w:rPr>
            </w:pPr>
            <w:r>
              <w:rPr>
                <w:rFonts w:ascii="Times New Roman" w:cs="Times New Roman" w:eastAsia="Times New Roman" w:hAnsi="Times New Roman"/>
                <w:sz w:val="12"/>
                <w:szCs w:val="12"/>
                <w:b w:val="1"/>
                <w:bCs w:val="1"/>
                <w:color w:val="auto"/>
              </w:rPr>
              <w:t>Share</w:t>
            </w:r>
          </w:p>
        </w:tc>
        <w:tc>
          <w:tcPr>
            <w:tcW w:w="1420" w:type="dxa"/>
            <w:vAlign w:val="bottom"/>
            <w:gridSpan w:val="3"/>
          </w:tcPr>
          <w:p>
            <w:pPr>
              <w:ind w:left="260"/>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Translation</w:t>
            </w:r>
          </w:p>
        </w:tc>
        <w:tc>
          <w:tcPr>
            <w:tcW w:w="124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720" w:type="dxa"/>
            <w:vAlign w:val="bottom"/>
            <w:tcBorders>
              <w:bottom w:val="single" w:sz="8" w:color="auto"/>
            </w:tcBorders>
          </w:tcPr>
          <w:p>
            <w:pPr>
              <w:jc w:val="center"/>
              <w:ind w:left="262"/>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w w:val="98"/>
              </w:rPr>
              <w:t>Reserve</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tcPr>
          <w:p>
            <w:pPr>
              <w:jc w:val="center"/>
              <w:ind w:left="754"/>
              <w:spacing w:after="0" w:line="129" w:lineRule="exact"/>
              <w:rPr>
                <w:sz w:val="20"/>
                <w:szCs w:val="20"/>
                <w:color w:val="auto"/>
              </w:rPr>
            </w:pPr>
            <w:r>
              <w:rPr>
                <w:rFonts w:ascii="Times New Roman" w:cs="Times New Roman" w:eastAsia="Times New Roman" w:hAnsi="Times New Roman"/>
                <w:sz w:val="12"/>
                <w:szCs w:val="12"/>
                <w:b w:val="1"/>
                <w:bCs w:val="1"/>
                <w:color w:val="auto"/>
                <w:w w:val="95"/>
              </w:rPr>
              <w:t>(EUR ‘000)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January 1, 2022</w:t>
            </w: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7,646</w:t>
            </w: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2,107,739</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(21 )</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3,779</w:t>
            </w: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(1,235,508 )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883,635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profit/(loss) for the year</w:t>
            </w:r>
          </w:p>
        </w:tc>
        <w:tc>
          <w:tcPr>
            <w:tcW w:w="7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(583,194 )</w:t>
            </w:r>
          </w:p>
        </w:tc>
        <w:tc>
          <w:tcPr>
            <w:tcW w:w="1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(583,194 )</w:t>
            </w:r>
          </w:p>
        </w:tc>
        <w:tc>
          <w:tcPr>
            <w:tcW w:w="0" w:type="dxa"/>
            <w:vAlign w:val="bottom"/>
          </w:tcPr>
          <w:p>
            <w:pPr>
              <w:spacing w:after="0"/>
              <w:rPr>
                <w:sz w:val="1"/>
                <w:szCs w:val="1"/>
                <w:color w:val="auto"/>
              </w:rPr>
            </w:pPr>
          </w:p>
        </w:tc>
      </w:tr>
      <w:tr>
        <w:trPr>
          <w:trHeight w:val="136"/>
        </w:trPr>
        <w:tc>
          <w:tcPr>
            <w:tcW w:w="44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(327 )</w:t>
            </w:r>
          </w:p>
        </w:tc>
        <w:tc>
          <w:tcPr>
            <w:tcW w:w="12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(327 )</w:t>
            </w: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of tax</w:t>
            </w:r>
          </w:p>
        </w:tc>
        <w:tc>
          <w:tcPr>
            <w:tcW w:w="72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4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1240" w:type="dxa"/>
            <w:vAlign w:val="bottom"/>
            <w:gridSpan w:val="2"/>
            <w:vMerge w:val="continue"/>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(327 )</w:t>
            </w: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(583,194 )</w:t>
            </w:r>
          </w:p>
        </w:tc>
        <w:tc>
          <w:tcPr>
            <w:tcW w:w="1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(583,521 )</w:t>
            </w:r>
          </w:p>
        </w:tc>
        <w:tc>
          <w:tcPr>
            <w:tcW w:w="0" w:type="dxa"/>
            <w:vAlign w:val="bottom"/>
          </w:tcPr>
          <w:p>
            <w:pPr>
              <w:spacing w:after="0"/>
              <w:rPr>
                <w:sz w:val="1"/>
                <w:szCs w:val="1"/>
                <w:color w:val="auto"/>
              </w:rPr>
            </w:pPr>
          </w:p>
        </w:tc>
      </w:tr>
      <w:tr>
        <w:trPr>
          <w:trHeight w:val="142"/>
        </w:trPr>
        <w:tc>
          <w:tcPr>
            <w:tcW w:w="37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64,180</w:t>
            </w: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64,180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(134 )</w:t>
            </w: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(105,965 )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(106,099 )</w:t>
            </w:r>
          </w:p>
        </w:tc>
        <w:tc>
          <w:tcPr>
            <w:tcW w:w="0" w:type="dxa"/>
            <w:vAlign w:val="bottom"/>
          </w:tcPr>
          <w:p>
            <w:pPr>
              <w:spacing w:after="0"/>
              <w:rPr>
                <w:sz w:val="1"/>
                <w:szCs w:val="1"/>
                <w:color w:val="auto"/>
              </w:rPr>
            </w:pPr>
          </w:p>
        </w:tc>
      </w:tr>
      <w:tr>
        <w:trPr>
          <w:trHeight w:val="14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Transfer under stock incentive programs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7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5,153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Equity at December 31, 2022</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5"/>
              </w:rPr>
              <w:t>7,675</w:t>
            </w: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2,112,863</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(149 )</w:t>
            </w: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3,452</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(1,860,493 )</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263,348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Net profit/(loss) for the year</w:t>
            </w:r>
          </w:p>
        </w:tc>
        <w:tc>
          <w:tcPr>
            <w:tcW w:w="580" w:type="dxa"/>
            <w:vAlign w:val="bottom"/>
            <w:gridSpan w:val="2"/>
            <w:shd w:val="clear" w:color="auto" w:fill="CFF0FC"/>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shd w:val="clear" w:color="auto" w:fill="CFF0FC"/>
          </w:tcPr>
          <w:p>
            <w:pPr>
              <w:jc w:val="right"/>
              <w:ind w:right="4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(481,447 )</w:t>
            </w:r>
          </w:p>
        </w:tc>
        <w:tc>
          <w:tcPr>
            <w:tcW w:w="1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(481,447 )</w:t>
            </w:r>
          </w:p>
        </w:tc>
        <w:tc>
          <w:tcPr>
            <w:tcW w:w="0" w:type="dxa"/>
            <w:vAlign w:val="bottom"/>
          </w:tcPr>
          <w:p>
            <w:pPr>
              <w:spacing w:after="0"/>
              <w:rPr>
                <w:sz w:val="1"/>
                <w:szCs w:val="1"/>
                <w:color w:val="auto"/>
              </w:rPr>
            </w:pPr>
          </w:p>
        </w:tc>
      </w:tr>
      <w:tr>
        <w:trPr>
          <w:trHeight w:val="136"/>
        </w:trPr>
        <w:tc>
          <w:tcPr>
            <w:tcW w:w="44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(2,731 )</w:t>
            </w: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(2,731 )</w:t>
            </w:r>
          </w:p>
        </w:tc>
        <w:tc>
          <w:tcPr>
            <w:tcW w:w="0" w:type="dxa"/>
            <w:vAlign w:val="bottom"/>
          </w:tcPr>
          <w:p>
            <w:pPr>
              <w:spacing w:after="0"/>
              <w:rPr>
                <w:sz w:val="1"/>
                <w:szCs w:val="1"/>
                <w:color w:val="auto"/>
              </w:rPr>
            </w:pPr>
          </w:p>
        </w:tc>
      </w:tr>
      <w:tr>
        <w:trPr>
          <w:trHeight w:val="148"/>
        </w:trPr>
        <w:tc>
          <w:tcPr>
            <w:tcW w:w="376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of tax</w:t>
            </w:r>
          </w:p>
        </w:tc>
        <w:tc>
          <w:tcPr>
            <w:tcW w:w="7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(2,731 )</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(481,447 )</w:t>
            </w:r>
          </w:p>
        </w:tc>
        <w:tc>
          <w:tcPr>
            <w:tcW w:w="1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(484,178 )</w:t>
            </w:r>
          </w:p>
        </w:tc>
        <w:tc>
          <w:tcPr>
            <w:tcW w:w="0" w:type="dxa"/>
            <w:vAlign w:val="bottom"/>
          </w:tcPr>
          <w:p>
            <w:pPr>
              <w:spacing w:after="0"/>
              <w:rPr>
                <w:sz w:val="1"/>
                <w:szCs w:val="1"/>
                <w:color w:val="auto"/>
              </w:rPr>
            </w:pPr>
          </w:p>
        </w:tc>
      </w:tr>
      <w:tr>
        <w:trPr>
          <w:trHeight w:val="142"/>
        </w:trPr>
        <w:tc>
          <w:tcPr>
            <w:tcW w:w="376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66,660</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66,660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Transfer under stock incentive programs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settlement under stock incentive programs</w:t>
            </w: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(1,812 )</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(1,812 )</w:t>
            </w:r>
          </w:p>
        </w:tc>
        <w:tc>
          <w:tcPr>
            <w:tcW w:w="0" w:type="dxa"/>
            <w:vAlign w:val="bottom"/>
          </w:tcPr>
          <w:p>
            <w:pPr>
              <w:spacing w:after="0"/>
              <w:rPr>
                <w:sz w:val="1"/>
                <w:szCs w:val="1"/>
                <w:color w:val="auto"/>
              </w:rPr>
            </w:pPr>
          </w:p>
        </w:tc>
      </w:tr>
      <w:tr>
        <w:trPr>
          <w:trHeight w:val="148"/>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10,211</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Equity at December 31, 2023</w:t>
            </w: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5"/>
              </w:rPr>
              <w:t>7,749</w:t>
            </w: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2,123,074</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(146 )</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721</w:t>
            </w: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(2,277,095 )</w:t>
            </w:r>
          </w:p>
        </w:tc>
        <w:tc>
          <w:tcPr>
            <w:tcW w:w="1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(145,697 )</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profit/(loss) for the year</w:t>
            </w:r>
          </w:p>
        </w:tc>
        <w:tc>
          <w:tcPr>
            <w:tcW w:w="72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(378,084 )</w:t>
            </w:r>
          </w:p>
        </w:tc>
        <w:tc>
          <w:tcPr>
            <w:tcW w:w="1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(378,084 )</w:t>
            </w:r>
          </w:p>
        </w:tc>
        <w:tc>
          <w:tcPr>
            <w:tcW w:w="0" w:type="dxa"/>
            <w:vAlign w:val="bottom"/>
          </w:tcPr>
          <w:p>
            <w:pPr>
              <w:spacing w:after="0"/>
              <w:rPr>
                <w:sz w:val="1"/>
                <w:szCs w:val="1"/>
                <w:color w:val="auto"/>
              </w:rPr>
            </w:pPr>
          </w:p>
        </w:tc>
      </w:tr>
      <w:tr>
        <w:trPr>
          <w:trHeight w:val="136"/>
        </w:trPr>
        <w:tc>
          <w:tcPr>
            <w:tcW w:w="44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22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tcBorders>
              <w:bottom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3"/>
                <w:szCs w:val="13"/>
                <w:color w:val="auto"/>
              </w:rPr>
              <w:t>net of tax</w:t>
            </w:r>
          </w:p>
        </w:tc>
        <w:tc>
          <w:tcPr>
            <w:tcW w:w="72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10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1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1,062</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(378,084 )</w:t>
            </w:r>
          </w:p>
        </w:tc>
        <w:tc>
          <w:tcPr>
            <w:tcW w:w="1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(377,022 )</w:t>
            </w:r>
          </w:p>
        </w:tc>
        <w:tc>
          <w:tcPr>
            <w:tcW w:w="0" w:type="dxa"/>
            <w:vAlign w:val="bottom"/>
          </w:tcPr>
          <w:p>
            <w:pPr>
              <w:spacing w:after="0"/>
              <w:rPr>
                <w:sz w:val="1"/>
                <w:szCs w:val="1"/>
                <w:color w:val="auto"/>
              </w:rPr>
            </w:pPr>
          </w:p>
        </w:tc>
      </w:tr>
      <w:tr>
        <w:trPr>
          <w:trHeight w:val="142"/>
        </w:trPr>
        <w:tc>
          <w:tcPr>
            <w:tcW w:w="37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95,512</w:t>
            </w: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 under stock incentive programs</w:t>
            </w: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 increase (Note 17)</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340,392</w:t>
            </w:r>
          </w:p>
        </w:tc>
        <w:tc>
          <w:tcPr>
            <w:tcW w:w="220" w:type="dxa"/>
            <w:vAlign w:val="bottom"/>
          </w:tcPr>
          <w:p>
            <w:pPr>
              <w:spacing w:after="0"/>
              <w:rPr>
                <w:sz w:val="12"/>
                <w:szCs w:val="12"/>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340,792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capital increase</w:t>
            </w: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(19,291 )</w:t>
            </w:r>
          </w:p>
        </w:tc>
        <w:tc>
          <w:tcPr>
            <w:tcW w:w="14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(19,291 )</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Equity at December 31, 2024</w:t>
            </w:r>
          </w:p>
        </w:tc>
        <w:tc>
          <w:tcPr>
            <w:tcW w:w="7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5"/>
              </w:rPr>
              <w:t>8,149</w:t>
            </w: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2,444,175</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(113 )</w:t>
            </w: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1,783</w:t>
            </w:r>
          </w:p>
        </w:tc>
        <w:tc>
          <w:tcPr>
            <w:tcW w:w="22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(2,559,700 )</w:t>
            </w:r>
          </w:p>
        </w:tc>
        <w:tc>
          <w:tcPr>
            <w:tcW w:w="1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(105,706 )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-2965450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-2965450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-2965450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-2965450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-2965450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-2682240</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-2682240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-2682240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-2682240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-2682240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-2099310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-2099310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-2099310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-2099310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-2099310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-1593850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-1593850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-1593850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-1593850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-1010920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-993775</wp:posOffset>
            </wp:positionV>
            <wp:extent cx="768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-1010920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-993775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-1010920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-993775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-1010920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-993775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-1010920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-993775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-710565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-710565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-710565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-710565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-710565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-128270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-128270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-128270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-128270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-128270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Cash Flow Statements for the Years Ended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8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profit/(loss) for the year</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(378,084 )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(481,447 )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(583,194 )</w:t>
            </w: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Reversal of finance income</w:t>
            </w:r>
          </w:p>
        </w:tc>
        <w:tc>
          <w:tcPr>
            <w:tcW w:w="72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(25,609 )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(43,857 )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(52,181 )</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Reversal of finance expenses</w:t>
            </w:r>
          </w:p>
        </w:tc>
        <w:tc>
          <w:tcPr>
            <w:tcW w:w="7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100,027</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50,487</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Reversal of (gain)/loss on disposal of property, plant and equipment</w:t>
            </w:r>
          </w:p>
        </w:tc>
        <w:tc>
          <w:tcPr>
            <w:tcW w:w="72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Reversal of income taxes (expenses)</w:t>
            </w:r>
          </w:p>
        </w:tc>
        <w:tc>
          <w:tcPr>
            <w:tcW w:w="7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for non-cash items:</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consideration relating to revenue</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(27,069 )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(2,354 )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(2,547 )</w:t>
            </w:r>
          </w:p>
        </w:tc>
      </w:tr>
      <w:tr>
        <w:trPr>
          <w:trHeight w:val="203"/>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 of (profit)/loss of associates</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20,060</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18,395</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payment</w:t>
            </w:r>
          </w:p>
        </w:tc>
        <w:tc>
          <w:tcPr>
            <w:tcW w:w="7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95,512</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64,180</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18,428</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2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72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(86,678 )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(78,258 )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(55,268 )</w:t>
            </w:r>
          </w:p>
        </w:tc>
      </w:tr>
      <w:tr>
        <w:trPr>
          <w:trHeight w:val="203"/>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(118,607 )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(32,773 )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(11,531 )</w:t>
            </w:r>
          </w:p>
        </w:tc>
      </w:tr>
      <w:tr>
        <w:trPr>
          <w:trHeight w:val="203"/>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Prepayments</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10,392</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(11,413 )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(6,409 )</w:t>
            </w:r>
          </w:p>
        </w:tc>
      </w:tr>
      <w:tr>
        <w:trPr>
          <w:trHeight w:val="203"/>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(1,197 )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(7,080 )</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Trade payables, accrued expenses and other liabilities</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26,965</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45,943</w:t>
            </w:r>
          </w:p>
        </w:tc>
        <w:tc>
          <w:tcPr>
            <w:tcW w:w="100" w:type="dxa"/>
            <w:vAlign w:val="bottom"/>
            <w:shd w:val="clear" w:color="auto" w:fill="CFF0FC"/>
          </w:tcPr>
          <w:p>
            <w:pPr>
              <w:spacing w:after="0"/>
              <w:rPr>
                <w:sz w:val="17"/>
                <w:szCs w:val="17"/>
                <w:color w:val="auto"/>
              </w:rPr>
            </w:pPr>
          </w:p>
        </w:tc>
      </w:tr>
      <w:tr>
        <w:trPr>
          <w:trHeight w:val="202"/>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Increase/(decrease) in provisions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61,968</w:t>
            </w:r>
          </w:p>
        </w:tc>
        <w:tc>
          <w:tcPr>
            <w:tcW w:w="2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26,187</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Pr>
          <w:p>
            <w:pPr>
              <w:spacing w:after="0"/>
              <w:rPr>
                <w:sz w:val="17"/>
                <w:szCs w:val="17"/>
                <w:color w:val="auto"/>
              </w:rPr>
            </w:pPr>
          </w:p>
        </w:tc>
      </w:tr>
      <w:tr>
        <w:trPr>
          <w:trHeight w:val="19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generated from/(used in) operations</w:t>
            </w:r>
          </w:p>
        </w:tc>
        <w:tc>
          <w:tcPr>
            <w:tcW w:w="72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(299,854 )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(464,271 )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(494,673 )</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income received</w:t>
            </w:r>
          </w:p>
        </w:tc>
        <w:tc>
          <w:tcPr>
            <w:tcW w:w="7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14,374</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10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expenses paid</w:t>
            </w:r>
          </w:p>
        </w:tc>
        <w:tc>
          <w:tcPr>
            <w:tcW w:w="72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(15,205 )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(15,672 )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(9,294 )</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received/(paid)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(5,512 )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(4,466 )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operating activities</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(306,197 )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(467,361 )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(495,699 )</w:t>
            </w:r>
          </w:p>
        </w:tc>
      </w:tr>
      <w:tr>
        <w:trPr>
          <w:trHeight w:val="196"/>
        </w:trPr>
        <w:tc>
          <w:tcPr>
            <w:tcW w:w="6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intangible assets and property, plant and equipment</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(1,427 )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(2,442 )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(14,489 )</w:t>
            </w: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Reimbursement for acquisition of property, plant and equipment</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(213,842 )</w:t>
            </w:r>
          </w:p>
        </w:tc>
      </w:tr>
      <w:tr>
        <w:trPr>
          <w:trHeight w:val="203"/>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 of marketable securities</w:t>
            </w:r>
          </w:p>
        </w:tc>
        <w:tc>
          <w:tcPr>
            <w:tcW w:w="7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7,353</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288,865</w:t>
            </w:r>
          </w:p>
        </w:tc>
        <w:tc>
          <w:tcPr>
            <w:tcW w:w="2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investing activities</w:t>
            </w:r>
          </w:p>
        </w:tc>
        <w:tc>
          <w:tcPr>
            <w:tcW w:w="7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6,876</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286,474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61,732</w:t>
            </w:r>
          </w:p>
        </w:tc>
        <w:tc>
          <w:tcPr>
            <w:tcW w:w="100" w:type="dxa"/>
            <w:vAlign w:val="bottom"/>
          </w:tcPr>
          <w:p>
            <w:pPr>
              <w:spacing w:after="0"/>
              <w:rPr>
                <w:sz w:val="17"/>
                <w:szCs w:val="17"/>
                <w:color w:val="auto"/>
              </w:rPr>
            </w:pPr>
          </w:p>
        </w:tc>
      </w:tr>
      <w:tr>
        <w:trPr>
          <w:trHeight w:val="19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(11,365 )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(10,438 )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(6,356 )</w:t>
            </w: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borrowings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134,158</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136,256</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503,281</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7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30,514</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follow-on public offering</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309,913</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follow-on public offering</w:t>
            </w:r>
          </w:p>
        </w:tc>
        <w:tc>
          <w:tcPr>
            <w:tcW w:w="720" w:type="dxa"/>
            <w:vAlign w:val="bottom"/>
          </w:tcPr>
          <w:p>
            <w:pPr>
              <w:spacing w:after="0"/>
              <w:rPr>
                <w:sz w:val="17"/>
                <w:szCs w:val="17"/>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(19,291 )</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Acquisitions of treasury shares, net of transactions costs</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(105,305 )</w:t>
            </w: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withholding taxes under stock incentive programs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(1,812 )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financing activities</w:t>
            </w:r>
          </w:p>
        </w:tc>
        <w:tc>
          <w:tcPr>
            <w:tcW w:w="7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443,929</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134,292</w:t>
            </w:r>
          </w:p>
        </w:tc>
        <w:tc>
          <w:tcPr>
            <w:tcW w:w="2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396,773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144,608</w:t>
            </w:r>
          </w:p>
        </w:tc>
        <w:tc>
          <w:tcPr>
            <w:tcW w:w="2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(46,595 )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(37,194 )</w:t>
            </w:r>
          </w:p>
        </w:tc>
      </w:tr>
      <w:tr>
        <w:trPr>
          <w:trHeight w:val="19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January 1</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392,164</w:t>
            </w:r>
          </w:p>
        </w:tc>
        <w:tc>
          <w:tcPr>
            <w:tcW w:w="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444,767</w:t>
            </w:r>
          </w:p>
        </w:tc>
        <w:tc>
          <w:tcPr>
            <w:tcW w:w="2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446,267</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balances held in foreign currencies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22,771</w:t>
            </w:r>
          </w:p>
        </w:tc>
        <w:tc>
          <w:tcPr>
            <w:tcW w:w="2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(6,008 )</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w:t>
            </w:r>
          </w:p>
        </w:tc>
        <w:tc>
          <w:tcPr>
            <w:tcW w:w="10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7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559,543</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392,164</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444,767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include: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Bank deposits</w:t>
            </w:r>
          </w:p>
        </w:tc>
        <w:tc>
          <w:tcPr>
            <w:tcW w:w="7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559,543</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392,164</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427,810</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16,957</w:t>
            </w:r>
          </w:p>
        </w:tc>
        <w:tc>
          <w:tcPr>
            <w:tcW w:w="10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7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559,543</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392,164</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444,767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-3205480</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-3205480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-2425065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-2425065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-1113790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-1113790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-573405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-556895</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-573405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-556895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1—General Information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address of the Company’s registered office is Tuborg Boulevard 12, DK-2900 Hellerup, Denmark. The Company’s registration number in Denmark is 29918791.</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February 2, 2015, the Company completed an initial public offering which resulted in the listing of American Depositary Shares (“ADSs”), representing the Company’s ordinary shares, under the symbol “ASND” in the United States on The Nasdaq Global Select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(or “Board”) approved these consolidated financial statements on February 12,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Material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IFRS Accounting Standards (“IFRS”), as issued by the International Accounting Standards Board (“IASB”), and as adopted by the European Union (the “EU”).</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accounting policies applied when preparing the consolidated financial statements are described in detail below and are applied for all group entities. Significant accounting judgements and sources of estimation uncertainties used when exercising the accounting policies are described in Note 3, “Significant Accounting Judgements and Estimates.”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under the historical cost convention, apart from certain financial instruments that are measured at fair value at initial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Amended IFRS Accounting Standards and Interpretations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applied amendments to paragraphs 69 to 76 of IAS 1, “Presentation of Financial Statements,” which was effective for annual reporting periods beginning on or after January 1, 2024, and must be applied retrospectively. The amendments to IAS 1 specify the requirements for classifying liabilities as current or non-current. The amendments clarify:</w:t>
      </w:r>
    </w:p>
    <w:p>
      <w:pPr>
        <w:spacing w:after="0" w:line="68" w:lineRule="exact"/>
        <w:rPr>
          <w:sz w:val="20"/>
          <w:szCs w:val="20"/>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meant by a right to defer settlement;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right to defer must exist at the end of the reporting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classification is unaffected by the likelihood that an entity will exercise its deferral right;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only if an embedded derivative in a convertible liability is itself an equity instrument would the terms of a liability not impact its classification.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98" w:name="page199"/>
    <w:bookmarkEnd w:id="198"/>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convertible senior notes (“convertible notes”) include an embedded equity conversion option which is not deemed closely related to the financial liability and was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Since the embedded derivative is not an equity instrument under IFRS, the amendments require the convertible notes (presented as part of borrowings in the statement of financial position) and derivative liabilities, presented as non-current liabilities as of December 31, 2023, to be presented as current liabilities. The amendments require presentation of the convertible notes as current liabilities even though: the initial conversion price of $166.34 per ADS is not met; the conversion would not require cash settlement; and, the convertible notes do not mature until April 1, 2028. Further details, including (cash) maturity analysis are provided in Note 16, “Financial Assets and Liabilities.” On December 31, 2023, the carrying amount of convertible notes and derivative liabilities were €407.1 million and €143.3 million, respectively. Comparative amounts have been reclassified to reflect the change to presentation, including a third statement of financial position as of the beginning of the preceding period i.e. January 1, 2023.</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31, 2023, lease liabilities were presented separately in the consolidated statements of financial position. As of December 31, 2023, carrying amount of lease liabilities was €84.6 million and €14.2 million, for non-current liabilities and current liabilities, respectively. Since March 31, 2024, lease liabilities are presented as part of borrowings in the consolidated statements of financial position. Comparative amounts have been reclassified to reflect the change in presentation.</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Accordingly, since March 31, 2024, borrowings comprise convertible notes, royalty funding liabilities, and lease liabilities, where convertible notes are presented separately as “Current liabilities - Convertible notes, matures in 2028.” The change to presentation had no other impact on the consolidated financial statements. Refer to Note 16, “Financial Assets and Liabilities” for a specification of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applied amendments had no other impact on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IFRS Accounting Standards and Interpretations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amendments apply for the first time in 2024, but do not have an impact on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the Company continues to adopt the going concern basis of accounting in preparing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parent company, Ascendis Pharma A/S, and all enterprises over which the parent company has control. Control of an enterprise exists when the Company has exposure, or rights to, variable returns from its involvement with the enterprise and has the ability to control those returns through its power over the enterprise. Accordingly, the consolidated financial statements include Ascendis Pharma A/S and the subsidiaries listed in Note 20, “Investments in Group Enterprises”.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Principles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Subsidiaries, which are enterprises the Company controls, are fully consolidated from the date upon which control is transferred to the Company. They are deconsolidated from the date control ceases.</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Control over an enterprise is reassessed if facts and circumstances indicate that there are changes to one or more of the three elements of control, respectively:</w:t>
      </w:r>
    </w:p>
    <w:p>
      <w:pPr>
        <w:spacing w:after="0" w:line="54" w:lineRule="exact"/>
        <w:rPr>
          <w:sz w:val="20"/>
          <w:szCs w:val="20"/>
          <w:color w:val="auto"/>
        </w:rPr>
      </w:pPr>
    </w:p>
    <w:p>
      <w:pPr>
        <w:ind w:left="1020" w:hanging="50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other vote holders of the enterprise;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voting rights and potential voting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group enterprises are eliminated in full on consolidation.</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Subsidiaries apply accounting policies in line with the Company’s accounting policies. When necessary, adjustments are made to bring the entities’ accounting policies in line with those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Associates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 associate is an entity over which the Company has significant influence over financial and operational decisions but without having control or joint control. The Company’s associates are accounted for using the equity method and initially recognized at cost. Thereafter, the carrying amount of the investment is adjusted to recognize changes in the Company’s share of net assets of the associates since the acquisition or establishment date.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consolidated statements of profit or loss include the Company’s share of result after tax of the associates after any adjustments made to bring the associates accounting policies in line with those of the Company. Transactions between the associates and the Company are eliminated proportionally according to the Company’s interest in the associates. Unrealized gains and losses resulting from transactions between the Company and its associates are eliminated to the extent of the Company’s interest in the associates.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each reporting date, the Company determines whether there are indications that the investment is impaired. If there is such evidence, the amount of impairment is calculated as the difference between the recoverable amount of the associate and its carrying amount. Any impairment loss is recognized in the consolidated statements of profit or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Euros (or “EUR”), which is also the functional currency of the parent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Transactions and Balances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 Monetary items carried at fair value that are denominated in foreign currencies are translated at the rates prevailing at the date when the fair value was determined.</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as of the dates of the initial transactions.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of Group Enterprises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subsidiaries or associates present their financial statements in a functional currency other than EUR,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Commercial Products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the customer has obtained control of the goods and it is probable that the Company will collect the consideration to which it is entitled for transferring the goods. Control is transferred upon delivery.</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is measured at the contractual sales price, reflecting the consideration received or receivable from customers, net of value added taxes, and provisions for a variety of sales deductions such as prompt pay discounts, shelf stock adjustments and applicable sales deductions attributable to various commercial arrangements, managed healthcare organizations, government programs, and co-pay arrangements. In addition, goods are principally sold on a “sale-or-return” basis, where customers may return products in line with the Company’s return policy. Sales deductions and product returns are considered variable consideration and are estimated at the time of sale using the expected value method. The amount of variable consideration that is included in the transaction price may be constrained and is included in the net contractual price only to the extent that it is probable that a significant reversal will not occur.</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Unsettled sales deductions and product returns are recognized as provisions when timing or amount is uncertain. Payable amounts that are absolute are recognized as other liabilities. Sales discounts and deductions that are payable to customers are offset in trade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revenue relates to collaboration and license agreements. When contracts with customers are entered into, the goods and/or services promised in the contract are assessed to identify distinct performance obligations. A promise in the agreement is considered a distinct performance obligation if both of the following criteria are met:</w:t>
      </w:r>
    </w:p>
    <w:p>
      <w:pPr>
        <w:spacing w:after="0" w:line="68" w:lineRule="exact"/>
        <w:rPr>
          <w:sz w:val="20"/>
          <w:szCs w:val="20"/>
          <w:color w:val="auto"/>
        </w:rPr>
      </w:pPr>
    </w:p>
    <w:p>
      <w:pPr>
        <w:ind w:left="1020" w:right="60" w:hanging="503"/>
        <w:spacing w:after="0" w:line="282" w:lineRule="auto"/>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collaboration and license agreements that contain multiple promises to the customer, the promises are identified and accounted for as separate performance obligations if these are distinct. If promises are not distinct, those goods or services are combined with other promised goods or services until a bundle of goods or services that is distinct is identified.</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transaction price in the contract is measured at fair value and reflects the consideration the Company expects to be entitled to in exchange for those goods or services. Under license agreements, the transaction price may include up-front payments, royalty and milestone payments.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Sales-based royalty and sales-based milestone income promised in exchange for a license of intellectual property is recognized as revenue at the later of the occurrence of subsequent sale or satisfaction of the performance obligation to which some or all of the royalty or milestone has been allocated. Milestone income related to regulatory activities is included in the transaction price at the point in time that it is highly probable that the applicable milestone criteria is met.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1" w:name="page202"/>
    <w:bookmarkEnd w:id="201"/>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according to their stand-alone selling prices and is recognized when control of the goods or services is transferred to the customer, either over time or at a point in time, depending on the specific terms and conditions in the contracts. License agreements, which transfer rights to the Company’s intellectual property (“IP”), are classified as “right-to-access”, with revenue recognized over time, or as “right-to-use” with revenue recognized at a point in time.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Sale of clinical trial supply is recognized as revenue when the customer has obtained control of the goods and it is probable that the Company will collect the consideration to which it is entitled for transferring the goods. Control is transferred upon delivery. Rendering of services is recognized as revenue over the service period as stipulated under the applicable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consist primarily of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the Company’s intellectual property portfolio, and depreciation of non-current assets related to research and development activities.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costs are incurred at the early stages of the drug development cycle from the initial drug discovery and include a variety of preclinical research activities in order to assess potential drug candidates in non-human subjects, prior to filing an Investigational New Drug Application (“IND”), or equivalent. Research costs are recognized in the consolidated statement of profit or loss when incurred.</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Development activities relate to activities following an IND, or equivalent, and typically involve a single product candidate undergoing a series of studies to illustrate its safety profile and effect on human beings, prior to obtaining the necessary approval from the appropriate authorities. Development activities comprise drug candidates undergoing clinical trials starting in phase I (first time drug is administered in a small group of humans), and further into Phase II and III, which include administration of drugs in larger patient groups. Following, and depending on clinical trial results, a Biologic License Application (“BLA”) or New Drug Application (“NDA”) may be submitted to the authorities, to apply for marketing approval, which, with a positive outcome will permit the Company to market and sell the products. Long-term extension trials may be ongoing following submission of a BLA or NDA.</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Development costs also include product development and pre-commercial manufacturing costs related to development product candidates, and write-downs of inventories manufactured for late-stage development product candidates prior to marketing approval being obtained (pre-launch inventories).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Due to the risk related to the development of pharmaceutical products, the Company cannot estimate the future economic benefits associated with individual development activities with sufficient certainty until the development activities have been finalized and the necessary market approval of the final product has been obtained. As a consequence, all development costs are recognized in the consolidated statement of profit or loss when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comprise salaries and other personnel costs including pension and share-based payment, office supplies, cost of facilities, professional fees, and depreciation of non-current assets related to selling, general and administrative activities, including pre-commercial and commercial activities. Selling, general, and administrative expenses are recognized in the consolidated statement of profit or loss when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Incentive Programs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Share-based incentive programs comprise warrant programs, Restricted Stock Unit programs (“RSU-programs”) and Performance Stock Unit Programs (“PSU-programs”) which are classified as equity-settled share-based payment transactions.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cost of equity-settled transactions is determined by the fair value at the date of grant. For warrant programs, the fair value of each warrant granted is determined using the Black-Scholes option-pricing model. For RSU-programs and PSU-programs, the fair value of each RSU or PSU granted is equal to the closing share price on the date of grant of the underlying ADS. Any social security contributions payable in connection with the grant or exercise of the warrants are recognized as expenses when incurred. The assumptions used for estimating the fair value of share-based payment transactions are disclosed in Note 7, “Share-based Payment.”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cost is recognized together with a corresponding increase in equity over the period in which the performance and/or service conditions are fulfilled (i.e., the vesting period). The fair value determined at the grant date of the equity-settled share-based payment is expensed on a straight-line basis over the vesting period for each tranche, based on the best estimate of the number of equity instruments that will ultimately vest. No expense is recognized for grants that do not ultimately vest.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Where an equity-settled grant is cancelled other than upon forfeiture when vesting conditions are not satisfied, the grant is treated as if it vested on the date of the cancellation, and any expense not yet recognized for the grant is recognized immediately.</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Where the terms and conditions for an equity-settled grant are modified, the services measured at the grant date fair value over the vesting period are recognized, subject to performance and/or service conditions that were specified at the initial grant date(s). Additionally, at the date of modification, unvested grants are re-measured and any increase in the total fair value is recognized over the vesting period. If a new grant is substituted for the cancelled grant and designated as a replacement grant on the date that it is granted, the cancelled and new grants are treated as if they were a modification of the original grant.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Income and Expenses</w:t>
      </w:r>
    </w:p>
    <w:p>
      <w:pPr>
        <w:spacing w:after="0" w:line="121"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Finance income and expenses comprise interest income and expenses, realized and unrealized exchange rate gains and losses on transactions denominated in foreign currencies, fair value remeasurement gains and losses on derivative liabilities, and remeasurement gains and losses on royalty funding liabilities.</w:t>
      </w:r>
    </w:p>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consolidated statement of financial position, stated as tax computed on this year’s taxable income, adjusted for prepaid tax.</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94"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Deferred tax liabilities are recognized on all temporary differences related to investments in subsidiaries and/or associates, unless the Company is able to control when the deferred tax is realized, and it is probable that the deferred tax will not become due and payable as current tax in the foreseeable future.</w:t>
      </w:r>
    </w:p>
    <w:p>
      <w:pPr>
        <w:spacing w:after="0" w:line="16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Deferred tax assets, including the tax base of tax loss carry forwards, are recognized in the statement of financial position at their estimated realizable value, either as a set-off against deferred tax liabilities or as net tax assets for offset against future positive taxable income. Deferred tax assets are only offset against deferred tax liabilities if the entity has a legally enforceable right to offset, and the deferred tax assets and deferred tax liabilities relate to income taxes levied by the same tax jurisdiction. Deferred tax is calculated based on the planned use of each asset and the settlement of each liability, respectively.</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 On every reporting date, it is assessed whether sufficient taxable income is likely to arise in the future for the deferred tax asset to be utilized.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Goodwill acquired in a business combination is initially measured at cost, being the excess of the aggregate of the consideration transferred and the amount recognized for non-controlling interests over the net identifiable assets acquired and liabilities assumed.</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represents the lowest level within the Company at which the goodwill is monitored for internal management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assets comprise administrative applications and serve general purposes to support the Company’s operations.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 (2) technological feasibility, adequate resources to complete, and an internal use of the software asset can be demonstrated; (3) the expenditure attributable to the software asset can be measured reliably; and (4) the Company has the intention to use the software asset internally. The Company does not capitalize software with no alternative use, or where economic benefit depends on marketing approvals of drug candidates and where marketing approvals have not been obtained.</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Software assets are amortized over the period of expected future benefits. Amortization is recognized in research and development costs, and selling, general and administrative expenses, as appropriate. Expenditures that do not meet the criteria above are recognized as an expense as incurred.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Property, plant and equipment primarily comprises leasehold improvements, office facilities, and process equipment and tools which are located at CMOs. Property, plant and equipment also includes right-of-use assets. Refer to the separate section “Leases.”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used in operation. Subsequent costs are included in the carrying amount of the asset or recognized as a separate asset, as appropriate, only when it is probable that future economic benefits associated with the assets will flow to the Company and costs of the items can be measured reliably. All repair and maintenance costs are charged to the consolidated statement of profit or loss during the financial periods in which they are incurred.</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Plant and equipment acquired for research and development activities with alternative use, which is expected to be used for more than one year, is capitalized and depreciated over the estimated useful life as research and development costs. Plant and equipment acquired for research and development activities, which has no alternative use, is recognized as research and development costs when incurred.</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Cost of a combined asset is divided into smaller components, with such significant components depreciated individually if their useful lives vary. Depreciation commences when the asset is available for use, which is when it is in the location and condition necessary for it to be capable of operating in the manner intended.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is calculated on a straight-line basis, based on an asset’s expected useful life, being within the following ranges:</w:t>
            </w:r>
          </w:p>
        </w:tc>
        <w:tc>
          <w:tcPr>
            <w:tcW w:w="980" w:type="dxa"/>
            <w:vAlign w:val="bottom"/>
          </w:tcPr>
          <w:p>
            <w:pPr>
              <w:spacing w:after="0"/>
              <w:rPr>
                <w:sz w:val="20"/>
                <w:szCs w:val="20"/>
                <w:color w:val="auto"/>
              </w:rPr>
            </w:pPr>
          </w:p>
        </w:tc>
      </w:tr>
      <w:tr>
        <w:trPr>
          <w:trHeight w:val="108"/>
        </w:trPr>
        <w:tc>
          <w:tcPr>
            <w:tcW w:w="1140" w:type="dxa"/>
            <w:vAlign w:val="bottom"/>
          </w:tcPr>
          <w:p>
            <w:pPr>
              <w:spacing w:after="0"/>
              <w:rPr>
                <w:sz w:val="9"/>
                <w:szCs w:val="9"/>
                <w:color w:val="auto"/>
              </w:rPr>
            </w:pPr>
          </w:p>
        </w:tc>
        <w:tc>
          <w:tcPr>
            <w:tcW w:w="80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16"/>
        </w:trPr>
        <w:tc>
          <w:tcPr>
            <w:tcW w:w="114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Process plant and machinery</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16"/>
        </w:trPr>
        <w:tc>
          <w:tcPr>
            <w:tcW w:w="11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114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3 - 11 years</w:t>
            </w:r>
          </w:p>
        </w:tc>
      </w:tr>
      <w:tr>
        <w:trPr>
          <w:trHeight w:val="234"/>
        </w:trPr>
        <w:tc>
          <w:tcPr>
            <w:tcW w:w="114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2 - 11 years</w:t>
            </w:r>
          </w:p>
        </w:tc>
      </w:tr>
      <w:tr>
        <w:trPr>
          <w:trHeight w:val="30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methods, useful lives and residual amounts are reassessed at least annually.</w:t>
            </w:r>
          </w:p>
        </w:tc>
        <w:tc>
          <w:tcPr>
            <w:tcW w:w="980" w:type="dxa"/>
            <w:vAlign w:val="bottom"/>
          </w:tcPr>
          <w:p>
            <w:pPr>
              <w:spacing w:after="0"/>
              <w:rPr>
                <w:sz w:val="24"/>
                <w:szCs w:val="24"/>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written down to the lower of recoverable amount and carrying amount, as described in the “Impairment” section below. Depreciation and impairment losses of property, plant and equipment is recognized in the consolidated statement of profit or loss as cost of sales, research and development costs or as selling, general, and administrative expenses, as appropriate.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Gains and losses on disposal of property, plant and equipment are recognized in the consolidated statement of profit or loss at its net proceeds, as either research and development costs or as selling, general, and administrative expenses, as appropriate.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Non-current Assets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recoverable amount of goodwill is estimated annually irrespective of any recorded indications of impairment. Property, plant and equipment and finite-lived intangible assets are reviewed for impairment whenever events or circumstances indicate that the carrying amount may not be recoverable.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 in use.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non-current assets, other than goodwill, are reviewed for possible reversal at each reporting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Inventories comprise raw materials, work in progress and finished goods. The cost of work in progress and finished goods comprise service expenses incurred at CMOs, raw materials consumed, incremental storage and transportation, other direct materials, and a proportion of manufacturing overheads based on normal operation capacity.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cost incurred in bringing it to its present location and condition, and net realizable value. Net realizable value is the estimated selling price in the ordinary course of business, less estimated costs of completion and the estimated costs necessary to make the sale. Cost is measured using the first-in, first-out method. Work in progress and finished goods are measured under a standard cost method that takes into account normal levels of consumption, yields, labor, efficiency and capacity utilization. Production processes are complex, where actual yields and consumptions are sensitive to a wide variety of manufacturing conditions. Standard cost variances are reviewed regularly and adjusted to ensure inventories approximate actual cost of production.</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net realizable value is lower than cost, a write-down is recognized as the excess amount by which cost exceeds net realizable value, as part of cost of sales, or selling, general, and administrative expenses, as appropriate. The amount of reversal of write-down of inventories arising from an increase in net realizable value is recognized as a reduction in cost of sales in the period in which the reversal occurs.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Manufacturing of pre-launch inventories is initiated for late-stage product candidates where manufacturing costs are recognized as inventories. However, since pre-launch inventories are not realizable prior to obtaining marketing approval, pre-launch inventories are immediately written down to zero through research and development costs. If marketing approval is obtained, prior write-downs of pre-launch inventories are reversed through research and development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inventories is recognized as part of cost of sales in the period in which the related revenue is recognized.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comprise trade receivables, income tax receivables and other receivables.</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Trade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Income tax receivables, and other receivables related to deposits, VAT and other indirect taxes are measured at cost less impairment. Carrying amounts of receivables usually equals their nominal value less provision for impairments.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comprise advance payments relating to a future financial year. Prepayments are measured at cost.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may comprise government bonds, treasury bills, commercial papers, and other securities traded on established markets.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initial recognition (trade-date), contractual terms of individual securities are analyzed to determine whether these give rise on specified dates to cash flows that are solely payments of principal and interest on the principal outstanding (“SPPI-test”). All marketable securities held at the reporting date have passed the SPPI-test.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Marketable securities are initially recognized at fair value at trade-date, and subsequently measured at amortized cost under the effective interest method. Interest income is recognized as finance income in the consolidated statement of profit or loss. Marketable securities are subject to an impairment test to accommodate expected credit loss. Gains and losses are recognized as finance income or expenses in the consolidated statement of profit or loss when the specific security or portfolio of securities is derecognized, modified or impaired.</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Marketable securities, having maturity profiles of three months or less after the date of acquisition are presented as cash equivalents in the consolidated statements of financial position, where securities having maturities of more than three months after the date of acquisition are presented separately as marketable securities as current (i.e., those maturing within twelve months after the reporting date) or non-current assets, as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and on-demand deposits with financial institutions, and highly liquid marketable securities with a maturity of three months or less after the date of acquisition (trade-date). Cash and cash equivalents are measured at amortized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 on Financial Assets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assets comprise receivables (excluding receivables relating to VAT, other indirect tax and income tax), marketable securities, and cash and cash equivalents. Impairment of financial assets is determined on the basis of a forward-looking Expected Credit Loss (“ECL”) model. ECLs are based on the difference between the contractual cash flows due in accordance with the contract and the cash flows expected to be received, discounted by an approximation of the original effective interest rate.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receivables, a simplified approach in calculating ECLs is applied. Therefore, changes in credit risks are not tracked, but instead, a loss allowance based on lifetime ECL is assessed at each reporting date. Lifetime ECLs are assessed on historical credit loss experience, adjusted for forward-looking factors specific to the counterparts and the economic environment.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cash, cash equivalents and marketable securities, ECLs are assessed for credit losses that result from default events that are possible within the next twelve months (12-month ECL). Credit risk is continuously tracked and monitored in order to identify significant deterioration. For those credit exposures for which there have been a significant increase in credit risk since initial recognition, an allowance is recognized for credit losses expected over the remaining life of the exposure, irrespective of the timing of the default.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share capital comprises the nominal amount of the parent company’s ordinary shares, each at a nominal value of DKK 1, or approximately €0.13. All shares are fully paid.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Treasury shares reserve comprise nominal amounts of holding of own equity instruments. No gain or loss is recognized in profit or loss on the purchase, sale, transfer or cancellation of the Company’s own equity instruments. The treasury shares reserve is part of unrestricted reserves and accordingly, reduce the amount available to be distributed as dividends to the Company’s shareholders.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Foreign currency translation reserve includes exchange rate adjustments relating to the translation of the results and net assets of foreign operations from their functional currencies to the presentation currency.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7" w:name="page208"/>
    <w:bookmarkEnd w:id="207"/>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accumulated reserve of a foreign operation is reclassified to the consolidated statement of profit or loss at the time the Company loses control, and thus cease to consolidate such foreign operation. The foreign currency translation reserve is an unrestricted reserve that is available to be distributed as dividends to the Company’s shareholders.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Retained earnings/(accumulated deficit) represents the accumulated profits or losses from the Company’s operations, including corresponding entries to share-based payments recognized in the consolidated statement of profit or loss. In addition, premiums from acquisition and sale of treasury shares are recognized as part of this reserve. A positive reserve is available to be distributed as dividends to the Company’s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 and Embedded Derivative Liabilities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Convertible senior notes (“convertible notes”) are separated into a financial liability and an embedded derivative component based on the terms and conditions of the contract. The embedded derivative component is accounted for separately if it is not deemed closely related to the financial liability.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convertible notes include an embedded equity conversion option which is not deemed closely related to the financial liability, and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not separately accounted for. The initial carrying amount of the financial liability component including the redemption option is the residual amount of the proceeds, net of transaction costs, after separating the derivative component.</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financial liability is subsequently measured at amortized cost until it is extinguished on conversion, upon optional redemption or repayment at maturity. Convertible notes are presented as borrowings, together with the derivative liabilities on the statement of financial position, separately under current liabilities as “Convertible notes, matures in April 2028.”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Funding Liabilities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Royalty funding liabilities relate to the Company’s contractual obligations to pay a predetermined percentage of future revenue from sale of commercial products until reaching a predetermined multiple of proceeds received, pursuant to the detailed provisions of the capped synthetic royalty funding agreements.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Where relevant, royalty funding liabilities are separated into a financial liability and embedded derivative components based on the terms and conditions of the applicable royalty funding agreement. Embedded derivative components are accounted for separately, unless these are deemed closely related to the financial liability. The royalty funding agreements include a buy-out option where the value is dependent on non-financial variables that are specific to the Company. Accordingly, the buy-out option is not accounted for separately as a derivative.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financial liability is recognized when the Company becomes party to the contractual provisions of the royalty funding agreement and measured at amortized cost until it is extinguished upon exercising a buy-out option or upon achieving the predetermined multiple of proceeds received.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8" w:name="page209"/>
    <w:bookmarkEnd w:id="208"/>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effective interest rate is estimated at initial recognition and takes into account incremental transaction costs and anticipated amount and timing of future cash flows, which further depends on future commercial revenue forecasts and the probability of exercising the buy-out option. The amortized cost is remeasured prospectively when there is a material change in expectations to amount and timing of future cash flows, which will increase or decrease future interest expenses. Remeasurement gain or losses are recognized through the profit or loss as finance income or expenses,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funding liabilities that are classified as a financial liability are presented as part of borrowings in the statement of financial position.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Right-of-use assets are recognized at the lease commencement date, defined as the date the underlying asset is available for use. Right-of-use assets are measured at cost, less any accumulated depreciation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the Company in dismantling or restoring the underlying asset to the condition if required by the terms and condition of the lease, if any.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Right-of-use assets are presented as part of property, plant and equipment, and depreciated on a straight-line basis over the shorter of the lease term and the estimated useful lives of the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At the lease commencement date, lease liabilities are recognized and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interest rates implicit in the lease contracts are not readily available, the present value of lease payments are calculated by applying the incremental borrowing rate of the relevant entity holding the lease. Following the commencement date, the incremental borrowing rate is not changed unless the lease term is modified, or if the lease payments are modified and this modification results from a change in floating interest rates. 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are presented as part of borrowings in the statement of financial position.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Provisions comprise unsettled sales deductions and product returns regarding revenue from sale of commercial products where amount or timing of payment is uncertain.</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Provisions for sales deductions attributed to various commercial arrangements, managed healthcare organizations, government programs, and co-pay arrangements are recognized when the related sales takes place and measured using the expected value method. Payable amounts for managed healthcare organizations and government programs are generally settled within 180 days from the transaction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estimated product returns are measured according to the contractual sales price based on expected product returns.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Payables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accrued expenses are measured at amortized cost.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liabilities comprise payables to public authorities, short-term employee benefits, and sales deductions. Other liabilities are measured at their net-realizable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Contract liabilities comprise deferred income from collaboration and license agreements, where consideration received does not match the individual deliverables with respect to amount and satisfied performance obligations.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liabilities are measured at the fair value of the consideration received and is recognized as revenue in the consolidated statement of profit or loss when the relevant performance obligation, to which the deferred income relates, is satisfied.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Statement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cash flow statement shows cash flows from operating, investing and financing activities as well as cash and cash equivalents at the beginning and the end of the financial year.</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are presented using the indirect method and calculated as the profit or loss adjusted for non-cash items, working capital changes as well as finance income, finance expenses and income taxes paid.</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include payments in connection with acquisition, development, improvement and sale, etc., of property, plant and equipment, investments in associates and marketable securities.</w:t>
      </w:r>
    </w:p>
    <w:p>
      <w:pPr>
        <w:spacing w:after="0" w:line="16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comprise payments related to the capital structure of the Company, including changes in the share capital and treasury shares, and issuance and repayments under the Company’s borrowing activities.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held or due in a foreign currency is presented separately from cash flows from operating, investing and financing activities. Cash flows in currencies other than the functional currency are recognized in the cash flow statement, using the average exchange rates.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and on-demand bank deposits with financial institutions and highly liquid marketable securities with a maturity of three months or less after the date of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as the consolidated net income or loss from continuing operations for the period divided by the weighted average number of ordinary shares outstanding. The weighted average number of shares takes into account the weighted average number of treasury shares during the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Diluted EPS is calculated as the consolidated net income or loss from continuing operations for the period divided by the weighted average number of ordinary shares outstanding adjusted for the weighted average effect of changes in treasury shares during the year, and the dilutive effect of outstanding warrants and convertible notes. If the consolidated statement of profit or loss shows a net loss, no adjustment is made for the dilutive effect, as such effect would be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IFRS Accounting Standards Not Yet Effective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IASB has issued a number of new or amended standards, which have not yet become effective or have not yet been adopted by the EU. Therefore, these new standards have not been incorporated in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IFRS 18, “Presentation and Disclosure in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IASB issued IFRS 18, “Presentation and Disclosure in Financial Statements” (“IFRS 18”), which replaces IAS 1, “Presentation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IFRS 18 introduces new categories and subtotals in the statement of profit or loss, into:</w:t>
      </w:r>
    </w:p>
    <w:p>
      <w:pPr>
        <w:spacing w:after="0" w:line="99" w:lineRule="exact"/>
        <w:rPr>
          <w:sz w:val="20"/>
          <w:szCs w:val="20"/>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IFRS 18 includes new requirements for the location, aggregation and disaggregation of financial information, and disclosure of management-defined performance measures, as defined, if any. IFRS 18 does not include any measurement changes.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not expected to be affected by other new or amended standards.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Significant Accounting Judgements and Estimates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years presented in these consolidated financial statements.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application of significant accounting judgements, or estimation uncertainties regarding accounting estimates compared to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Judgements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judgements which have a material impact on the consolidated financial statements are described in the following sections.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1" w:name="page212"/>
    <w:bookmarkEnd w:id="2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Generated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Drug Candidates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Estimation Uncertainties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risk of causing a material adjustment to the carrying amounts of assets and liabilities within the next financial year,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Provisions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Sales Deductions and Product Returns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Sales deductions and product returns are considered variable consideration and constrained to the extent that a significant reversal in the amount of recognized revenue will not occur when the uncertainties associated with the rebate or chargeback item are subsequently resolved, or for product returns, when the products are distributed to patients.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Provisions for unsettled sales deductions and product returns are estimated on the basis of a percentage of sales as defined by individual agreements and contracts, and for government rebates by individual state- and plan agreements. Further inputs to the calculations are based on payer channel mix, current contract prices under eligible programs and current inventory levels in the distribution channels. Inputs to the calculations are subject to estimation and assumptions and are based on historical experience and other factors that are relevant, and which are available at the reporting date. Provisions are adjusted to absolute amounts and recognized as other liabilities when estimated sales deductions are processed.</w:t>
      </w:r>
    </w:p>
    <w:p>
      <w:pPr>
        <w:spacing w:after="0" w:line="18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As of December 31, 2024, provisions for sales deductions and product returns were €99.1 million compared to €32.7 million, as of December 31, 2023. The development in total provisions is disclosed in Note 15, “Provisions.” Due to the nature of these provisions, it is not practicable to give meaningful sensitivity estimates due to the large volume of variables that contribute to the overall rebates, chargebacks, product returns and other sales deductions. Provisions are reviewed and adjusted regularly considering contractual terms, regulatory obligations, payer trends, historical experiences and market projections.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Compensation Costs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 which is subject to uncertainty.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Warrant compensation costs are measured according to the grant date fair value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expected forfeitures and expected lifetime of warrants.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Warrant compensation cost recognized in the consolidated statement of profit or loss was €19.7 million, €28.8 million and €55.2 million for the years ended December 31, 2024, 2023 and 2022, respectively. Changes to inputs applied to the Black-Scholes option-pricing model could affect the warrant compensation cost. Refer to Note 7, “Share-based Payment,” for additional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Embedded Derivatives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Foreign currency conversion options embedded in the convertible notes are accounted for separately as derivative liabilities at fair value through profit or loss.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use of valuation techniques in the form of the Black-Scholes option-pricing model. Subjective judgements and assumptions, which are subject to estimation uncertainties, need to be exercised in determining the appropriate unobservable input to the valuation model (Level 3 in the fair value hierarchy). This includes volatility of the Company’s share price for a historic period, reflecting the assumption that the historical volatility is indicative of a period similar to the expected lifetime of the options.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the valuation of the derivative liabilities was €150.7 million compared to €143.3 million as of December 31, 2023. Changes in assumptions relating to these factors could affect the reported fair value of derivative liabilities. Refer to Note 16, “Financial Assets and Liabilities,” for additional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Royalty Funding Liabilities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carrying amount of royalty funding liabilities is measured according to anticipated future cash flows, which further depends on the amount and timing of future revenue from sale of commercial products. Assumptions that impact the amount and timing of future sale of commercial products are subject to estimation uncertainties, and are subject to a number of factors which are not within the Company’s control.</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2024, the carrying amount of the royalty funding liabilities was €305.4 million compared to €138.4 million as of December 31, 2023. As of December 31, 2024, royalty funding liabilities comprised two agreements compared with one agreement as of December 31, 2023. The Company will periodically revisit the anticipated amount and timing of future sale of commercial products and to the extent such amount or timing is materially different from the previous estimates, a remeasurement gain or loss is recognized through the profit or loss as finance income or expenses, as appropriate, which would further increase or decrease future interest expenses. Refer to Note 16, “Financial Assets and Liabilities” for additional details.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3" w:name="page214"/>
    <w:bookmarkEnd w:id="2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has been recognized in the consolidated statements of profit or loss with the following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products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supply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122,343</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66,077</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363,641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customers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partners and license agreements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137,913</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88,055</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363,641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Specified by timing of recognition</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351,847</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245,059</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363,641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Specified per geographical area</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233,220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191,677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74,172</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363,641</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266,718</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-2056765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-2056765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-1473835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640" w:hanging="512"/>
        <w:spacing w:after="0"/>
        <w:tabs>
          <w:tab w:leader="none" w:pos="6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year ended December 31, 2024, Denmark, the country of domicile, contributed with </w:t>
      </w:r>
      <w:r>
        <w:rPr>
          <w:rFonts w:ascii="Times New Roman" w:cs="Times New Roman" w:eastAsia="Times New Roman" w:hAnsi="Times New Roman"/>
          <w:sz w:val="17"/>
          <w:szCs w:val="17"/>
          <w:color w:val="auto"/>
        </w:rPr>
        <w:t>€95.4 million of revenue.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attributable to commercial customers by product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commercial products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SKYTROFA®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35,659</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YORVIPATH®</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28,727</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commercial products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178,663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35,659</w:t>
            </w:r>
          </w:p>
        </w:tc>
      </w:tr>
      <w:tr>
        <w:trPr>
          <w:trHeight w:val="20"/>
        </w:trPr>
        <w:tc>
          <w:tcPr>
            <w:tcW w:w="6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946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939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from sales of SKYTROFA® is primarily sold to specialty pharmacies and specialty distributors in the U.S. market, and to wholesalers and pharmacies in Germany. Revenue from sale of SKYTROFA for the year ended December 31, 2024, was negatively impacted by an adjustment to estimates and assumptions for sales deductions of €4.7 million, which was related to periods prior to January 1, 2024. The adjustment was primarily attributable to a different payer and rebate mix than anticipated, and on which provisions for prior years were based.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2023, TransCon PTH received marketing approval in the EU and European Economic Area countries and is marketed as YORVIPATH®. In August 2024, TransCon PTH received marketing approval in the U.S. and is marketed in the U.S. as YORVIPATH. The Company began selling YORVIPATH, primarily to pharmacies in Europe in the first quarter of 2024, and to specialty pharmacies in the U.S. in December 2024. In addition, the Company began selling YORIVPATH to distributors in the second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four commercial customers represented more than 10% of sales to commercial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 and License Agreements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Revenue attributable to collaboration partners and license agreements relates to Novo Nordisk A/S (“Novo Nordisk”), Eyconis, Inc. (“Eyconis”), Teijin Limited (“Teijin”) and VISEN Pharmaceuticals (“VISEN”). Under the collaboration agreements, the Company also provides various research and development services which are invoiced to collaboration partners. Revenue for these activities is presented as part of “Rendering of services.” Employment costs related to these activities are presented as Research and Development Costs in the consolidated statement of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November 2024, the Company entered into a research and development collaboration and license agreement (the “Novo Nordisk Agreement”) with Novo Nordisk pursuant to which the Company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(the “IP”).</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Novo Nordisk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Novo Nordisk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Novo Nordisk Agreement, the Company has the potential to receive total payments of up to $285 million in upfront, development and regulatory milestone payments for the lead program. In addition, the Company has the potential to receive sales-based milestone payments and tiered royalties on global net sales. The $285 million includes an upfront fee of $100 million for the exclusive license. For each additional metabolic or cardiovascular disease product candidate, the Company will be eligible to receive payments of up to $77.5 million in development and regulatory milestone payments. In addition, the Company has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Novo Nordisk Agreement, the Company agreed to conduct certain pre-agreed early research and development of TransCon product candidates under the collaboration and is eligible to receive cost reimbursement from Novo Nordisk for its performance of such research and development activities under the Novo Nordisk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terms of the Novo Nordisk Agreement, the Company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the Company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earlier terminated, the Novo Nordisk Agreement has a royalty term that continues, on a per licensed product and per country basis, until the later of</w:t>
      </w:r>
    </w:p>
    <w:p>
      <w:pPr>
        <w:spacing w:after="0" w:line="27" w:lineRule="exact"/>
        <w:rPr>
          <w:sz w:val="20"/>
          <w:szCs w:val="20"/>
          <w:color w:val="auto"/>
        </w:rPr>
      </w:pPr>
    </w:p>
    <w:p>
      <w:pPr>
        <w:jc w:val="both"/>
        <w:ind w:right="360" w:firstLine="8"/>
        <w:spacing w:after="0" w:line="255" w:lineRule="auto"/>
        <w:tabs>
          <w:tab w:leader="none" w:pos="2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5" w:name="page216"/>
    <w:bookmarkEnd w:id="21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IP comprises the patent protected TransCon technology platform, where future activities do not affect its existing stand-alone functionalities.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IP is classified as “right-to-use” licenses, with revenue recognized at a point in time, where the licensee is granted access to the IP.</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“Licenses” includes revenue of €95.3 million related to the upfront payment, which is allocated to transfer of the Company’s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Eyconis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January 2024, the Company announced the formation and launch with Frazier Life Sciences of Eyconis, a separate company created to develop, manufacture, and commercialize TransCon ophthalmology assets globally, together with a $150 million commitment from an investor syndicate that includes Frazier, RA Capital Management, venBio, and HealthQuest Capital.</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granted Eyconis exclusive rights to develop and commercialize TransCon ophthalmology products globally (the “Eyconis Agreement”) and received, as consideration, an equity position in the newly formed company. In addition, the Company is eligible to receive development, regulatory, and sales milestone payments, plus single digit royalties on global net sales of commercialized products, if any.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expected to provide various research and development services, which are subject to separate remuneration, and which will be recognized as revenue over time as rendering of services or reimbursement revenue, as applicable.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“Licenses” includes revenue of €27.1 million related to the non-cash upfront payment through an equity position in Eyconis, adjusted for internal profit, which is allocated to transfer of the Company’s intellectual property (the “IP”). The internal profit relates to the Company’s share of the non-cash upfront payment which is recognized as part of “Investments in associates” and recognized as revenue from “Licenses” as the IP is amortized in the associate.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revenue from royalties or milestones has been recognized under the Eyconis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Teijin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the Company entered into an exclusive license agreement (the “Teijin Agreement”) with Teijin for the further development and commercialization of TransCon hGH, TransCon PTH, and TransCon CNP for endocrinology rare disease (the “Licensed Products”) in Japan. Under the terms of the Teijin Agreement, the Company received an upfront payment of $70 million, with additional development and regulatory milestones of up to $175 million and commercial milestones. In addition, the Company is eligible to receive royalties on net sales of the Licensed Products in Japan, of up to mid-20’s percent.</w:t>
      </w:r>
    </w:p>
    <w:p>
      <w:pPr>
        <w:spacing w:after="0" w:line="18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Further, the Company will provide clinical and commercial supply, and development services for joint activities, which are subject to separate remuneration, and which will be recognized as revenue over time as rendering of services or reimbursement revenue, as applicable.</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At December 31, 2024, none of the Licensed Products have received marketing authorization in Japan. The Licensed Products (the “IP”) are patent protected, where future activities do not affect their existing stand-alone functionalities. Accordingly, all three licenses are classified as “right-to-use” licenses, with revenue recognized at a point in time, where the licensee is granted access to the IP.</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“Licenses” includes revenue of €63.7 million related to the upfront payment, which is allocated to transfer of the Company’s 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revenue from royalties or milestones has been recognized under the Teijin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6" w:name="page217"/>
    <w:bookmarkEnd w:id="2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VISEN</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November 2018, the Company entered into three exclusive license agreements with VISEN. Revenue from collaboration partners and license agreements also includes license income, rendering of services and sale of clinical supply under the VISEN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5—Segment Information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managed and operated as one business unit. Accordingly, no additional information on business segments or geographical areas is disclosed apart from revenue on geographical areas as disclosed in Note 4, “Revenue.” Revenue is specified on geographical areas according to the location of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and property, plant and equipment located by region are specified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and property, plant and equipment</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4"/>
                <w:szCs w:val="24"/>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63,102</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and property, plant and equipment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102,742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115,053</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right="100" w:hanging="512"/>
        <w:spacing w:after="0" w:line="298" w:lineRule="auto"/>
        <w:tabs>
          <w:tab w:leader="none" w:pos="6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December 31, 2023, intangible assets and property, plant and equipment of €27.9 million and €32.9 million, respectively, is located in Denmark, the country of domicile.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6—Employee costs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costs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140,420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Pensions (defined contribution plans)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 costs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8"/>
                <w:szCs w:val="18"/>
                <w:color w:val="auto"/>
              </w:rPr>
            </w:pPr>
          </w:p>
        </w:tc>
      </w:tr>
      <w:tr>
        <w:trPr>
          <w:trHeight w:val="25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employee costs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292,535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258,456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223,801</w:t>
            </w:r>
          </w:p>
        </w:tc>
        <w:tc>
          <w:tcPr>
            <w:tcW w:w="100" w:type="dxa"/>
            <w:vAlign w:val="bottom"/>
            <w:shd w:val="clear" w:color="auto" w:fill="CFF0FC"/>
          </w:tcPr>
          <w:p>
            <w:pPr>
              <w:spacing w:after="0"/>
              <w:rPr>
                <w:sz w:val="21"/>
                <w:szCs w:val="21"/>
                <w:color w:val="auto"/>
              </w:rPr>
            </w:pPr>
          </w:p>
        </w:tc>
      </w:tr>
      <w:tr>
        <w:trPr>
          <w:trHeight w:val="145"/>
        </w:trPr>
        <w:tc>
          <w:tcPr>
            <w:tcW w:w="6600" w:type="dxa"/>
            <w:vAlign w:val="bottom"/>
            <w:tcBorders>
              <w:top w:val="single" w:sz="8" w:color="CFF0FC"/>
            </w:tcBorders>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Included in the profit or loss</w:t>
            </w: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68"/>
        </w:trPr>
        <w:tc>
          <w:tcPr>
            <w:tcW w:w="66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23"/>
                <w:szCs w:val="23"/>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122,581</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144,181</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115,706</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employee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258,456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223,801</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number of employees</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892</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-873760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-316865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2"/>
        <w:spacing w:after="0"/>
        <w:tabs>
          <w:tab w:leader="none" w:pos="6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employee costs capitalized as part of inventories.</w:t>
      </w:r>
    </w:p>
    <w:p>
      <w:pPr>
        <w:spacing w:after="0" w:line="23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Key Management Personnel comprises the Board of Directors, the Executive Board and Non-executive Senior Management. Compensation to Key Management Personnel comprises salaries, participation in annual bonus schemes, pensions (defined contributions plans), and share-based compensation. Share-based compensation is elaborated in further details in Note 7, “Share-based 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to Key Management Personnel included in total employee costs is summarized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w:t>
            </w:r>
            <w:r>
              <w:rPr>
                <w:rFonts w:ascii="Times New Roman" w:cs="Times New Roman" w:eastAsia="Times New Roman" w:hAnsi="Times New Roman"/>
                <w:sz w:val="19"/>
                <w:szCs w:val="19"/>
                <w:b w:val="1"/>
                <w:bCs w:val="1"/>
                <w:color w:val="auto"/>
                <w:vertAlign w:val="superscript"/>
              </w:rPr>
              <w:t>(1)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 xml:space="preserve">Executive Board </w:t>
            </w:r>
            <w:r>
              <w:rPr>
                <w:rFonts w:ascii="Times New Roman" w:cs="Times New Roman" w:eastAsia="Times New Roman" w:hAnsi="Times New Roman"/>
                <w:sz w:val="19"/>
                <w:szCs w:val="19"/>
                <w:b w:val="1"/>
                <w:bCs w:val="1"/>
                <w:color w:val="auto"/>
                <w:w w:val="98"/>
                <w:vertAlign w:val="superscript"/>
              </w:rPr>
              <w:t>(2)</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Non-executive Senior Management</w:t>
            </w:r>
          </w:p>
        </w:tc>
      </w:tr>
      <w:tr>
        <w:trPr>
          <w:trHeight w:val="142"/>
        </w:trPr>
        <w:tc>
          <w:tcPr>
            <w:tcW w:w="2440" w:type="dxa"/>
            <w:vAlign w:val="bottom"/>
          </w:tcPr>
          <w:p>
            <w:pPr>
              <w:spacing w:after="0"/>
              <w:rPr>
                <w:sz w:val="12"/>
                <w:szCs w:val="12"/>
                <w:color w:val="auto"/>
              </w:rPr>
            </w:pPr>
          </w:p>
        </w:tc>
        <w:tc>
          <w:tcPr>
            <w:tcW w:w="74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tcBorders>
            <w:gridSpan w:val="3"/>
          </w:tcPr>
          <w:p>
            <w:pPr>
              <w:jc w:val="center"/>
              <w:ind w:left="1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3"/>
              </w:rPr>
              <w:t>(EUR ‘000)</w:t>
            </w: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tcPr>
          <w:p>
            <w:pPr>
              <w:spacing w:after="0"/>
              <w:rPr>
                <w:sz w:val="18"/>
                <w:szCs w:val="18"/>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shd w:val="clear" w:color="auto" w:fill="CFF0FC"/>
          </w:tcPr>
          <w:p>
            <w:pPr>
              <w:spacing w:after="0"/>
              <w:rPr>
                <w:sz w:val="18"/>
                <w:szCs w:val="18"/>
                <w:color w:val="auto"/>
              </w:rPr>
            </w:pPr>
          </w:p>
        </w:tc>
      </w:tr>
      <w:tr>
        <w:trPr>
          <w:trHeight w:val="198"/>
        </w:trPr>
        <w:tc>
          <w:tcPr>
            <w:tcW w:w="2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Pensions (defined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 cost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50"/>
        </w:trPr>
        <w:tc>
          <w:tcPr>
            <w:tcW w:w="2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2,651</w:t>
            </w: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22,677</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17,795</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15,322</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13,727</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14,409</w:t>
            </w: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-24765</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-7620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40" w:hanging="512"/>
        <w:spacing w:after="0"/>
        <w:tabs>
          <w:tab w:leader="none" w:pos="64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comprised six persons in 2024 and six to seven persons in 2023 and 2022.</w:t>
      </w:r>
    </w:p>
    <w:p>
      <w:pPr>
        <w:spacing w:after="0" w:line="126" w:lineRule="exact"/>
        <w:rPr>
          <w:rFonts w:ascii="Times New Roman" w:cs="Times New Roman" w:eastAsia="Times New Roman" w:hAnsi="Times New Roman"/>
          <w:sz w:val="16"/>
          <w:szCs w:val="16"/>
          <w:color w:val="auto"/>
        </w:rPr>
      </w:pPr>
    </w:p>
    <w:p>
      <w:pPr>
        <w:ind w:left="640" w:hanging="512"/>
        <w:spacing w:after="0"/>
        <w:tabs>
          <w:tab w:leader="none" w:pos="64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Board comprised four persons in 2024, 2023 and 2022.</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Payment</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an incentive to the senior management, other employees, members of the Board and select consultants, Ascendis Pharma A/S has established warrant programs, a RSU program (adopted in December 2021), and a PSU program (adopted in February 2023), which are all classified as equity-settled share-based payment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Program</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RSUs are granted by the Board in accordance with authorizations given to it by the shareholders of Ascendis Pharma A/S to members of senior management, certain other employees and certain members of the Board (“RSU-holders”) in accordance with the Company’s RSU Program adopted in December 2021. Further, RSUs may be granted to select consultants. One RSU represents a right for the RSU-holder to receive one ADS of Ascendis Pharma A/S upon vesting if the vesting conditions are met or waived by the Board at its discretion.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 Program</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PSUs are granted by the Board in accordance with authorizations given to it by the shareholders of Ascendis Pharma A/S to certain members of senior management (the “PSU-holders”). In addition, PSUs may be granted to other employees, select consultants and members of the Board. PSUs were granted for the first time in March 2023. One PSU represents a right for the PSU-holder to receive one ADS of Ascendis Pharma A/S upon vesting if the vesting conditions are met or waived by the Board at its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Conditions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RSUs granted vest over a predetermined service period, and accordingly require RSU-holders to be employed, or provide a specified period of service (“service conditions”). RSUs vest over three years with 1/3 of the RSUs vesting on each anniversary date from the date of grant. RSUs generally cease to vest from the date of termination of employment, or for the Board, termination of board membership, whereas unvested RSUs will lapse.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PSU represents a right for the PSU-holder to receive one ADS representing ordinary shares of Ascendis Pharma A/S upon vesting. PSUs vest in a manner similar to the service conditions of the RSUs. For the March 2023 PSU grant, in addition to service conditions, vesting is also contingent upon achievement of performance-based targets as determined by the Board, provided that no more than 10% of each tranche may be directly attributable to accomplishment of financial results achieved in the financial year prior to the vesting date. For the March 2024 PSU grant,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RSUs and PSUs generally cease to vest from the date of termination of employment or board membership, as applicable, whereas unvested RSUs or PSUs will be forfeited. The Board may at its discretion and on an individual basis decide to deviate from the vesting conditions, including deciding to accelerate vesting in the event of termination of employment or board membership,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Options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RSUs and PSUs are settled at the time of vesting by transfer of treasury shares that are ADSs repurchased in the market. In jurisdictions where the Company is required to withhold and settle tax with the tax authority on behalf of the RSU/PSU-holders, the Company withholds the number of RSUs or PSUs that are equal to the estimated monetary value of the RSU/PSU-holders tax obligation from the total number of RSUs or PSUs that otherwise would have been transferred to the RSU/PSU holder upon vesting. These settlements are presented as “Net settlement under stock incentive programs” in the consolidated statement of equity. The Company may at its sole discretion choose to make a cash settlement instead of delivering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RSU-holders and PSU-holders are entitled to an adjustment of the number of RSUs or PSUs granted, in the event of certain corporate changes, including among other events, increases or decreases to the share capital at a price below or above market value, the issuance of bonus shares, and changes in the nominal value of each share. In addition, the RSU and PSU Programs contain provisions to accelerate vesting, or compensate with grant of new equity instruments, in the event of restructuring events including change in control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of RSUs and PSUs granted and outstanding: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38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148,148</w:t>
            </w:r>
          </w:p>
        </w:tc>
        <w:tc>
          <w:tcPr>
            <w:tcW w:w="2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 during the year</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(41,685 )</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(41,685 )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(23,971 )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(23,971 )</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82,492</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82,492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Granted during the year </w:t>
            </w:r>
            <w:r>
              <w:rPr>
                <w:rFonts w:ascii="Times New Roman" w:cs="Times New Roman" w:eastAsia="Times New Roman" w:hAnsi="Times New Roman"/>
                <w:sz w:val="22"/>
                <w:szCs w:val="22"/>
                <w:color w:val="auto"/>
                <w:vertAlign w:val="superscript"/>
              </w:rPr>
              <w:t>(1)</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609,860</w:t>
            </w: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112,268</w:t>
            </w:r>
          </w:p>
        </w:tc>
        <w:tc>
          <w:tcPr>
            <w:tcW w:w="2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722,128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Settled during the year</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(18,132 )</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(18,132 )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during the year</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(20,098 )</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(20,098 )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(77,497 )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(84,742 )</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576,625</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105,023</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681,648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Granted during the year </w:t>
            </w:r>
            <w:r>
              <w:rPr>
                <w:rFonts w:ascii="Times New Roman" w:cs="Times New Roman" w:eastAsia="Times New Roman" w:hAnsi="Times New Roman"/>
                <w:sz w:val="22"/>
                <w:szCs w:val="22"/>
                <w:color w:val="auto"/>
                <w:vertAlign w:val="superscript"/>
              </w:rPr>
              <w:t>(1)</w:t>
            </w: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717,980</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92,655</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810,635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during the year</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(212,160 )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(35,007 )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(247,167 )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(88,638 )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(6,004 )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(94,642 )</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993,807</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156,667</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1,150,474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Specified by vesting date</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62,304</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384,438</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225,271</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30,885</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993,807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156,667</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1,150,474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-2047875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-2030730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-2047875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-2030730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-1473835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right="100" w:hanging="512"/>
        <w:spacing w:after="0" w:line="298" w:lineRule="auto"/>
        <w:tabs>
          <w:tab w:leader="none" w:pos="5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RSUs and PSUs is determined on the basis of the closing ADS price on the grant date. The fair value of one RSU and one PSU at the date of grant was €141.01 and €105.96 for the years ended December 31, 2024 and December 31, 2023, respectively.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Program</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Warrants are granted by the Board in accordance with authorizations given to it by the shareholders of Ascendis Pharma A/S to all employees, members of the Board and select consultants (“warrant-holders”). Each warrant carries the right to subscribe for one ordinary share of a nominal value of DKK 1. The exercise price is equal to the fair market value of the Company’s ordinary shares at the time of grant as determined by the Board. Apart from exercise prices, exercise periods and vesting conditions for board members, the programs are similar.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Conditions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Warrants granted vest over a predetermined service period and require warrant-holders provide a specified period of service. Warrants generally cease to vest from the date of termination. For warrants granted until November 2021, special vesting conditions apply in the event of termination. In relation to board members, the vesting shall cease on the termination date of the board membership regardless of the reason. In relation to consultants, the vesting shall cease on the termination date of the consultancy relationship. The warrant-holder will, however, be entitled to exercise vested warrants in the exercise periods after termination.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event that the employment contract is terminated, and the employee has not given the Company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Granted Until November 2021</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Warrants granted from 2012 until November 2021, generally vest over 48 months with 1/48 of the warrants vesting per month from the date of grant. However, effective from January 2015, certain warrants granted to board members vest over 24 months with 1/24 of the warrants vesting per month from the date of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Granted From December 2021</w:t>
      </w:r>
    </w:p>
    <w:p>
      <w:pPr>
        <w:spacing w:after="0" w:line="1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warrants granted to employees and consultants, 25% of the warrants vest one year after the date of grant, and the remaining 75% of the warrants granted vest over 36 months, with 1/36 of the warrants vesting per month, from one year after the date of grant.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warrants granted to board members upon the board members accession, 25% of the warrants granted vest one year after the date of grant, and the remaining 75% of the warrants granted shall vest over 36 months, with 1/36 per month from one year after the date of grant. Regarding subsequent grants of warrants to board members, 50% of the warrants vest one year after the date of grant, and the remaining 50% of the warrants vest over 12 months, with 1/12 per month from one year after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Periods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within certain periods after publication of earnings data of a fiscal quarter, interim and annual reports, as per each program’s terms and conditions.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Warrants expire ten years after the grant date. Warrants not exercised by the warrant-holder during the last exercise period shall become null and void without further notice or compensation or payment of any kind to the warrant-holder. If the warrant-holder is a consultant, advisor or board member, the exercise of warrants is conditional upon the warrant-holder’s continued service to the Company at the time the warrants are exercised. If the consultant’s, advisor’s or board member’s relationship with the Company should cease without this being attributable to the warrant-holder’s actions or omissions, the warrant-holder shall be entitled to exercise vested warrants in the pre-defined exercise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Warrant-holders are entitled to an adjustment of the number of warrants issued and/or the exercise price applicable in the event of certain corporate changes.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0" w:name="page221"/>
    <w:bookmarkEnd w:id="220"/>
    <w:p>
      <w:pPr>
        <w:spacing w:after="0" w:line="8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Events giving rise to an adjustment include, among other things, increases or decreases to the share capital at a price below or above market value, the issuance of bonus shares, changes in the nominal value of each share, and payment of dividends in excess of 10% of the Company’s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and weighted average exercise prices of, and movements, in warrants: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Warrants (number)</w:t>
            </w: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(EUR)</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7,085,073</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357,092</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(214,613 )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(363,541 )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6,864,011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81.30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4,972,026</w:t>
            </w: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395,275</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(555,144 )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(180,358 )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6,523,784</w:t>
            </w:r>
          </w:p>
        </w:tc>
        <w:tc>
          <w:tcPr>
            <w:tcW w:w="2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5,273,056</w:t>
            </w:r>
          </w:p>
        </w:tc>
        <w:tc>
          <w:tcPr>
            <w:tcW w:w="22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80.02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504,105</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(682,048 )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(141,719 )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6,204,122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93.25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5,226,643</w:t>
            </w:r>
          </w:p>
        </w:tc>
        <w:tc>
          <w:tcPr>
            <w:tcW w:w="22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-1610995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-1773555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400" w:hanging="512"/>
        <w:spacing w:after="0" w:line="298" w:lineRule="auto"/>
        <w:tabs>
          <w:tab w:leader="none" w:pos="5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share price (listed in $) at the date of exercise was €135.86, €98.10 and €113.60 for the years ended December 31, 2024, 2023 and 2022, respectively.</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2024, the Board was authorized to grant up to 2,060,116 additional warrants to employees, board members and select consultants without preemptive subscription rights for the shareholders of Ascendis Pharma A/S.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specifies the weighted average exercise prices and weighted average remaining contractual life for outstanding warrants at December 31, 2024 per grant year.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(number</w:t>
            </w: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(EUR)</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before January 1, 2022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5,185,556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292,648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490,510</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6,204,122</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93.25</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2024, the exercise prices of outstanding warrants under the Company’s warrant programs range from €11.98 to €145.50 depending on the grant dates.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range of exercise prices for outstanding warrants was €11.98 to €145.50 and €6.48 to €145.50 for the years ended December 31, 2023 and 2022, respectively. The weighted average remaining life for outstanding warrants was 71 months and 77 months, for the years ended December 31, 2023 and 2022,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Compensation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compensation costs are recognized in the consolidated statements of profit or loss over the vesting period of the warrants granted.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Warrant compensation costs are determined with basis in the grant date fair value of the warrants granted and recognized over the vesting period. Fair value of the warrants is calculated at the grant dates by use of the Black-Scholes option-pricing model with the following assumptions: (1) an exercise price equal to the estimated market price of the Company’s shares at the date of grant; (2) an expected lifetime of the warrants determined as a weighted average of the time from grant date to date of becoming exercisable and from grant date to expiry of the warrants; (3) a risk-free interest rate equaling the effective interest rate on a Danish government bond with the same lifetime as the warrants; (4) no payment of dividends; and (5) an expected volatility using the Company’s own share price (from 2021).</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input to the Black-Scholes option-pricing model and the calculated fair values for warrant grants in 2024, 2023 and 2022:</w:t>
      </w:r>
    </w:p>
    <w:p>
      <w:pPr>
        <w:sectPr>
          <w:pgSz w:w="11900" w:h="16838" w:orient="portrait"/>
          <w:cols w:equalWidth="0" w:num="1">
            <w:col w:w="11240"/>
          </w:cols>
          <w:pgMar w:left="320" w:top="1440" w:right="339" w:bottom="1440" w:gutter="0" w:footer="0" w:header="0"/>
        </w:sect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life of warrants (years)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warrants granted in the year</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Principal Accountant Fees and Services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w:t>
            </w:r>
          </w:p>
        </w:tc>
        <w:tc>
          <w:tcPr>
            <w:tcW w:w="4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49-51</w:t>
            </w:r>
          </w:p>
        </w:tc>
        <w:tc>
          <w:tcPr>
            <w:tcW w:w="4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48-49</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1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1.71 - 2.57 %</w:t>
            </w:r>
          </w:p>
        </w:tc>
        <w:tc>
          <w:tcPr>
            <w:tcW w:w="500" w:type="dxa"/>
            <w:vAlign w:val="bottom"/>
          </w:tcPr>
          <w:p>
            <w:pPr>
              <w:spacing w:after="0"/>
              <w:rPr>
                <w:sz w:val="19"/>
                <w:szCs w:val="19"/>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2.40 - 2.97 %</w:t>
            </w:r>
          </w:p>
        </w:tc>
        <w:tc>
          <w:tcPr>
            <w:tcW w:w="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 - 2.54 %</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4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4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50.86 - 70.39</w:t>
            </w:r>
          </w:p>
        </w:tc>
        <w:tc>
          <w:tcPr>
            <w:tcW w:w="4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37.34 - 52.03</w:t>
            </w:r>
          </w:p>
        </w:tc>
        <w:tc>
          <w:tcPr>
            <w:tcW w:w="4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36.55 - 60.85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-710565</wp:posOffset>
            </wp:positionV>
            <wp:extent cx="7132320" cy="1371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-436245</wp:posOffset>
            </wp:positionV>
            <wp:extent cx="7132320" cy="1454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-144780</wp:posOffset>
            </wp:positionV>
            <wp:extent cx="7132320"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73" w:lineRule="exact"/>
        <w:rPr>
          <w:sz w:val="20"/>
          <w:szCs w:val="20"/>
          <w:color w:val="auto"/>
        </w:rPr>
      </w:pPr>
    </w:p>
    <w:p>
      <w:pPr>
        <w:sectPr>
          <w:pgSz w:w="11900" w:h="16838" w:orient="portrait"/>
          <w:cols w:equalWidth="0" w:num="2">
            <w:col w:w="3760" w:space="660"/>
            <w:col w:w="6820"/>
          </w:cols>
          <w:pgMar w:left="320" w:top="1440" w:right="339" w:bottom="1440" w:gutter="0" w:footer="0" w:header="0"/>
          <w:type w:val="continuous"/>
        </w:sect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the Company’s independent public accountants and the proportion of each of the fees out of the total amount billed by the accountants.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50"/>
        </w:trPr>
        <w:tc>
          <w:tcPr>
            <w:tcW w:w="6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 accountant fees and services</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845"/>
        </w:trPr>
        <w:tc>
          <w:tcPr>
            <w:tcW w:w="74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-1071245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-1053465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-1216660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-1216660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2" w:name="page223"/>
    <w:bookmarkEnd w:id="2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9—Tax on Profit/(Loss) for the Year and Deferred Tax</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r>
      <w:tr>
        <w:trPr>
          <w:trHeight w:val="142"/>
        </w:trPr>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on profit/(loss) for the year</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(expense)/income</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(3,289 )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(5,377 )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(3,723 )</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adjustments to prior years</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3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(1,654 )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movement for the year</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(2,035 )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(1,044 )</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adjustments to prior years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(4,786 )</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63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(4,843 )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(7,303 )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(5,377 )</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for the year can be explained as follows</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Profit/(loss) before tax</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(373,241 )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(474,144 )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(577,817 )</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at the Danish corporation tax rate of 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82,113</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104,312</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127,120</w:t>
            </w: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effect of:</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costs</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(9,740 )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(8,494 )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(17,094 )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tax deductions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22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from associates</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(4,413 )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(4,047 )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(3,893 )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adjustments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(1,294 )</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effects including effect of different tax rates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(882 )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(2,716 )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(76,627 )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(105,975 )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(122,514 )</w:t>
            </w:r>
          </w:p>
        </w:tc>
      </w:tr>
      <w:tr>
        <w:trPr>
          <w:trHeight w:val="20"/>
        </w:trPr>
        <w:tc>
          <w:tcPr>
            <w:tcW w:w="6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on profit/(loss) for the year</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(4,843 )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(7,303 )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(5,377 )</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Effective tax rate</w:t>
            </w:r>
          </w:p>
        </w:tc>
        <w:tc>
          <w:tcPr>
            <w:tcW w:w="16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1.30 %</w:t>
            </w:r>
          </w:p>
        </w:tc>
        <w:tc>
          <w:tcPr>
            <w:tcW w:w="16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1.54 %</w:t>
            </w:r>
          </w:p>
        </w:tc>
        <w:tc>
          <w:tcPr>
            <w:tcW w:w="1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0.93 %</w:t>
            </w:r>
          </w:p>
        </w:tc>
      </w:tr>
      <w:tr>
        <w:trPr>
          <w:trHeight w:val="216"/>
        </w:trPr>
        <w:tc>
          <w:tcPr>
            <w:tcW w:w="6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3"/>
        </w:trPr>
        <w:tc>
          <w:tcPr>
            <w:tcW w:w="6360" w:type="dxa"/>
            <w:vAlign w:val="bottom"/>
          </w:tcPr>
          <w:p>
            <w:pPr>
              <w:spacing w:after="0"/>
              <w:rPr>
                <w:sz w:val="17"/>
                <w:szCs w:val="17"/>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7"/>
                <w:szCs w:val="17"/>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r>
      <w:tr>
        <w:trPr>
          <w:trHeight w:val="210"/>
        </w:trPr>
        <w:tc>
          <w:tcPr>
            <w:tcW w:w="6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Specification of deferred tax assets/(liabilities)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deductible losses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434,997</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521,697</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433,174</w:t>
            </w:r>
          </w:p>
        </w:tc>
        <w:tc>
          <w:tcPr>
            <w:tcW w:w="22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164,479</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22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(599,476 )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(537,953 )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(453,135 )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 liabilities</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(7,258 )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(5,830 )</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assets/(liabilities) at December 31</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(7,258 )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(5,830 )</w:t>
            </w: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-3093720</wp:posOffset>
            </wp:positionV>
            <wp:extent cx="137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-3093720</wp:posOffset>
            </wp:positionV>
            <wp:extent cx="1371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-3093720</wp:posOffset>
            </wp:positionV>
            <wp:extent cx="1371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-1430655</wp:posOffset>
            </wp:positionV>
            <wp:extent cx="137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-1414145</wp:posOffset>
            </wp:positionV>
            <wp:extent cx="1371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-1430655</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-1414145</wp:posOffset>
            </wp:positionV>
            <wp:extent cx="1371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-1430655</wp:posOffset>
            </wp:positionV>
            <wp:extent cx="137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-1414145</wp:posOffset>
            </wp:positionV>
            <wp:extent cx="137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1371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137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3716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37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December 31, 2024, a deferred tax liability has been recognized in relation to taxable temporary differences in one jurisdiction, as we do not believe we will have any deductible temporary differences nor tax losses to deduct the taxable difference in, when they are expected to reverse.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Deferred tax assets have not been recognized in the consolidated statements of financial position as of December 31, 2024 due to uncertainty relating to future utilization. The deferred tax asset can be carried forward without timing limitations.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had tax losses carried forward of €1,946.2 million and €2,371.3 million at December 31, 2024 and 2023, respectively. Tax losses can be carried forward infinitely, where certain limitations exist for amounts to be utilized each year. Under Danish tax legislation, tax losses may be partly refunded by the tax authorities to the extent such tax losses arise from research and development activities. the jointly taxed Danish entities had a negative taxable income, and accordingly were entitled to a tax refund of approximately €0.7 million for each of the years ended December 31, 2024, 2023 and 2022.</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tax losses carried forward at December 31, 2023 (€2,371.3 million) has been reduced with €456.8 million. The reduction is as a consequence of two changes of tax principles made in the Danish tax returns for the taxable year 2023 (filed in June 2024). The changes are related to R&amp;D costs (depreciations) and inventory write-down (cost price). This reduction in tax losses is still available as deferred tax assets, that can be recognized for future utilization; only not as a “Tax deductible losses,” but as “Other temporary differences,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entitled to additional tax deductions related to share based payments (Warrants, RSUs and PSUs). Tax deductions can be taken when the warrants/RSUs/PSUs are exercised/transferred. For the year ended December 31, 2024, the Company was entitled to additional tax deductions with a tax value of €21.7 million, compared to €10.6 million and €5.2 million for the years ended December 31, 2023 and 2022, respectively. These future tax deductions depend on the timing and amounts of warrants/RSUs/PSUs exercises/transfers, and accordingly, future additional tax deductions are subject to uncertainties. Refer to Note 7, “Share-based Payment,” regarding a description of warrant and RSU/PSU programs.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entitled to additional tax deductions for which deferred tax asset cannot be recognized due the initial recognition exception in IAS 12, “Income Taxes.” For the year ended December 31, 2024, the Company is entitled to additional future tax deduction with a tax value of €11.0 million, compared to €0.3 million for each of the years ended December 31, 2023 and 2022. In addition, the Company is entitled to additional tax deductions related to tax credits. Tax credits can be taken in future taxes. For the year ended December 31, 2024, the Company was entitled to additional tax deduction with a tax value of €13.8 million, compared to €8.4 million for each of the years ended December 31, 2023 and 2022.</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23, 2023, the IASB issued International Tax Reform - Pillar Two Model Rules - Amendments to IAS 12 which clarify that IAS 12 applies to income taxes arising from tax law enacted or substantively enacted to implement the Pillar Two model rules published by the OECD, including tax law that implements Qualified Domestic Minimum Top-up Taxes. The Company has adopted these amendments; however, they are not applicable for the year ended December 31, 2024, as the Company’s consolidated revenue is currently below the threshold of €750 million.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 jointly taxed companies are included in the on-account tax scheme.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10—Intangible Assets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Pr>
          <w:p>
            <w:pPr>
              <w:spacing w:after="0"/>
              <w:rPr>
                <w:sz w:val="15"/>
                <w:szCs w:val="15"/>
                <w:color w:val="auto"/>
              </w:rPr>
            </w:pPr>
          </w:p>
        </w:tc>
        <w:tc>
          <w:tcPr>
            <w:tcW w:w="158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80" w:type="dxa"/>
            <w:vAlign w:val="bottom"/>
            <w:gridSpan w:val="2"/>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66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0"/>
        </w:trPr>
        <w:tc>
          <w:tcPr>
            <w:tcW w:w="6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09"/>
        </w:trPr>
        <w:tc>
          <w:tcPr>
            <w:tcW w:w="6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 and impairment</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(889 )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(483 )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(467 )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6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3,495</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533</w:t>
            </w:r>
          </w:p>
        </w:tc>
        <w:tc>
          <w:tcPr>
            <w:tcW w:w="2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4,028</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-2061210</wp:posOffset>
            </wp:positionV>
            <wp:extent cx="93980" cy="1797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-2061210</wp:posOffset>
            </wp:positionV>
            <wp:extent cx="93980" cy="1797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-2061210</wp:posOffset>
            </wp:positionV>
            <wp:extent cx="93980" cy="1797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-1769745</wp:posOffset>
            </wp:positionV>
            <wp:extent cx="93980" cy="1797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-1769745</wp:posOffset>
            </wp:positionV>
            <wp:extent cx="93980" cy="1797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-1769745</wp:posOffset>
            </wp:positionV>
            <wp:extent cx="93980" cy="1797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-1066800</wp:posOffset>
            </wp:positionV>
            <wp:extent cx="93980" cy="1797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-1066800</wp:posOffset>
            </wp:positionV>
            <wp:extent cx="93980" cy="1797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-1066800</wp:posOffset>
            </wp:positionV>
            <wp:extent cx="93980" cy="1797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-775335</wp:posOffset>
            </wp:positionV>
            <wp:extent cx="93980" cy="1797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-775335</wp:posOffset>
            </wp:positionV>
            <wp:extent cx="93980" cy="1797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-775335</wp:posOffset>
            </wp:positionV>
            <wp:extent cx="93980" cy="1797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the reporting date, no internally generated intangible assets from development of pharmaceutical drug candidates have been recognized. Thus, all related research and development costs incurred for the years ended December 31, 2024, 2023 and 2022, were recognized in the consolidated statements of profit or loss.</w:t>
      </w:r>
    </w:p>
    <w:p>
      <w:pPr>
        <w:spacing w:after="0" w:line="17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the Company’s research and development activities. Accordingly, it is not possible to look separately at Ascendis Pharma GmbH when considering the recoverable amount of the goodwill. Goodwill is monitored and tested for impairment on a consolidated level as the Company is considered to represent one cash-generating unit.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recoverable amount of the cash-generating unit is determined based on an estimation of the Company’s fair value less costs of disposal. The fair value of goodwill has been determined after taking into account the market value of the Company’s ADSs as of the reporting date. The computation of the market value including an estimation of selling costs, significantly exceeded the carrying amount of the net assets, leaving sufficient value to cover the carrying amount of goodwill. Considering the excess value, no further assumptions are deemed relevant to be applied in determining whether goodwill is impaired.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11—Property, Plant and Equipment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4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Improve-</w:t>
            </w:r>
          </w:p>
        </w:tc>
        <w:tc>
          <w:tcPr>
            <w:tcW w:w="1440" w:type="dxa"/>
            <w:vAlign w:val="bottom"/>
            <w:gridSpan w:val="2"/>
            <w:vMerge w:val="continue"/>
          </w:tcPr>
          <w:p>
            <w:pPr>
              <w:spacing w:after="0"/>
              <w:rPr>
                <w:sz w:val="12"/>
                <w:szCs w:val="12"/>
                <w:color w:val="auto"/>
              </w:rPr>
            </w:pP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ments</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(504 )</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(3,093 )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(3,989 )</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27,436</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11,420</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19,375</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123,920</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182,151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(5,995 )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(1,635 )</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(7,719 )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21,933</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10,976</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20,298</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130,154</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(7,584 )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(5,023 )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(4,497 )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(29,544 )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(46,648 )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(2,569 )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(1,899 )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(2,085 )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(11,875 )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(18,428 )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(2,869 )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(405 )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(4,560 )</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(7,834 )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(12,784 )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(7,175 )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(10,946 )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(40,612 )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(71,517 )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(2,330 )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(1,322 )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(1,283 )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(12,312 )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(17,247 )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(194 )</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(556 )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(1,906 )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(2,768 )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(9,930 )</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(7,190 )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(12,785 )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(54,742 )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(84,647 )</w:t>
            </w: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14,652</w:t>
            </w: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4,245</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8,429</w:t>
            </w:r>
          </w:p>
        </w:tc>
        <w:tc>
          <w:tcPr>
            <w:tcW w:w="2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83,308</w:t>
            </w:r>
          </w:p>
        </w:tc>
        <w:tc>
          <w:tcPr>
            <w:tcW w:w="22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110,634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12,003</w:t>
            </w:r>
          </w:p>
        </w:tc>
        <w:tc>
          <w:tcPr>
            <w:tcW w:w="24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3,786</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7,513</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75,412</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98,714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-2991485</wp:posOffset>
            </wp:positionV>
            <wp:extent cx="774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-2991485</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-2991485</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-2991485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-2991485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-2433955</wp:posOffset>
            </wp:positionV>
            <wp:extent cx="7747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-2433955</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-2433955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-2433955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-1319530</wp:posOffset>
            </wp:positionV>
            <wp:extent cx="774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-1319530</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-1319530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-1319530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-753745</wp:posOffset>
            </wp:positionV>
            <wp:extent cx="774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-753745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-753745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-753745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-187960</wp:posOffset>
            </wp:positionV>
            <wp:extent cx="774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-170815</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-170815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impairment charge for the year ended December 31, 2023, relates to change in activities at one of our R&amp;D sites and is determined according to its estimated value in use. The R&amp;D site is subleased and is recognized as a right-of-use asset with a carrying amount of €11.2 million and €12.5 million as of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charges are specified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20" w:type="dxa"/>
            <w:vAlign w:val="bottom"/>
          </w:tcPr>
          <w:p>
            <w:pPr>
              <w:spacing w:after="0"/>
              <w:rPr>
                <w:sz w:val="15"/>
                <w:szCs w:val="15"/>
                <w:color w:val="auto"/>
              </w:rPr>
            </w:pP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charges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charges</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17,247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18,428</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640" w:hanging="512"/>
        <w:spacing w:after="0"/>
        <w:tabs>
          <w:tab w:leader="none" w:pos="6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charges capitalized as part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12—Investments in Associates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associates relate to investments in Eyconis (principal place of business; U.S.), and VISEN (principal place of business; China). The Company’s investments in Eyconis and VISEN are accounted for using the equity method in the consolidated financial statements as the Company has determined that it has significant influence over the investments.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2024, the Company announced the formation and launch with Frazier Life Sciences of Eyconis, a separate company created to develop, manufacture, and commercialize TransCon ophthalmology assets globally, together with a $150 million commitment from an investor syndicate that includes Frazier, RA Capital Management, venBio, and HealthQuest Capital. As of December 31, 2024, the Company’s present ownership in Eyconis was 41.6%.</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November 2018, the Company entered into three exclusive license agreements with VISEN for the further development and commercialization of TransCon hGH, TransCon PTH and TransCon CNP in Greater China, and as consideration for the granting of such rights has received a 50.0% ownership of VISEN’s issued and outstanding shares. As of December 31, 2024, the Company’s present ownership in VISEN was 43.9%.</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aggregated profit or loss, total comprehensive income, transactions and outstanding balances with associates as of December 31, 2024 and 2023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0" w:type="dxa"/>
            <w:vAlign w:val="bottom"/>
          </w:tcPr>
          <w:p>
            <w:pPr>
              <w:spacing w:after="0"/>
              <w:rPr>
                <w:sz w:val="18"/>
                <w:szCs w:val="18"/>
                <w:color w:val="auto"/>
              </w:rPr>
            </w:pPr>
          </w:p>
        </w:tc>
      </w:tr>
      <w:tr>
        <w:trPr>
          <w:trHeight w:val="21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for the year from continuing operations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(59,235)</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(41,873)</w:t>
            </w:r>
          </w:p>
        </w:tc>
      </w:tr>
      <w:tr>
        <w:trPr>
          <w:trHeight w:val="21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(59,218)</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(41,859)</w:t>
            </w:r>
          </w:p>
        </w:tc>
      </w:tr>
      <w:tr>
        <w:trPr>
          <w:trHeight w:val="21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as of December 31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Invoicing of goods and services to associates</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 from associates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-582295</wp:posOffset>
            </wp:positionV>
            <wp:extent cx="11112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1112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specified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18"/>
                <w:szCs w:val="18"/>
                <w:color w:val="auto"/>
              </w:rPr>
            </w:pPr>
          </w:p>
        </w:tc>
      </w:tr>
      <w:tr>
        <w:trPr>
          <w:trHeight w:val="216"/>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235,688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171,030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42,325</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295,609</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208,931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production lead time, work in progress includes inventories that are not sellable before more than twelve months after the reporting date.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Inventories were reduced by write-downs of €15.7 million and €22.9 million for the years ended December 31, 2024 and 2023 respectively, which include write-downs on pre-launch inventories.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14—Contract Liabilities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December 31, 2024, contract liabilities comprise unsatisfied performance obligations related to delivery of commercial supply under one of the Company’s license agreements. Non-current contract liabilities are expected to be recognized as revenue within 1-2 years.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 recognized from contract liabilities were €1.4 million, €13.3 million and €10.5 million for the years ended December 31, 2024, 2023 and 2022, respectively, and primarily related to delivery of clinical supply and research and development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provisions is specified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7380" w:type="dxa"/>
            <w:vAlign w:val="bottom"/>
            <w:gridSpan w:val="2"/>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38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53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32,719</w:t>
            </w: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related to prior years</w:t>
            </w:r>
          </w:p>
        </w:tc>
        <w:tc>
          <w:tcPr>
            <w:tcW w:w="7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for the year</w:t>
            </w: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57,284</w:t>
            </w:r>
          </w:p>
        </w:tc>
      </w:tr>
      <w:tr>
        <w:trPr>
          <w:trHeight w:val="21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38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38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99,149</w:t>
            </w:r>
          </w:p>
        </w:tc>
      </w:tr>
      <w:tr>
        <w:trPr>
          <w:trHeight w:val="20"/>
        </w:trPr>
        <w:tc>
          <w:tcPr>
            <w:tcW w:w="38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845"/>
        </w:trPr>
        <w:tc>
          <w:tcPr>
            <w:tcW w:w="3860" w:type="dxa"/>
            <w:vAlign w:val="bottom"/>
          </w:tcPr>
          <w:p>
            <w:pPr>
              <w:spacing w:after="0"/>
              <w:rPr>
                <w:sz w:val="24"/>
                <w:szCs w:val="24"/>
                <w:color w:val="auto"/>
              </w:rPr>
            </w:pPr>
          </w:p>
        </w:tc>
        <w:tc>
          <w:tcPr>
            <w:tcW w:w="7380" w:type="dxa"/>
            <w:vAlign w:val="bottom"/>
            <w:gridSpan w:val="2"/>
          </w:tcPr>
          <w:p>
            <w:pPr>
              <w:jc w:val="right"/>
              <w:ind w:right="5356"/>
              <w:spacing w:after="0"/>
              <w:rPr>
                <w:sz w:val="20"/>
                <w:szCs w:val="20"/>
                <w:color w:val="auto"/>
              </w:rPr>
            </w:pPr>
            <w:r>
              <w:rPr>
                <w:rFonts w:ascii="Times New Roman" w:cs="Times New Roman" w:eastAsia="Times New Roman" w:hAnsi="Times New Roman"/>
                <w:sz w:val="18"/>
                <w:szCs w:val="18"/>
                <w:color w:val="auto"/>
              </w:rPr>
              <w:t>F-39</w:t>
            </w:r>
          </w:p>
        </w:tc>
      </w:tr>
      <w:tr>
        <w:trPr>
          <w:trHeight w:val="763"/>
        </w:trPr>
        <w:tc>
          <w:tcPr>
            <w:tcW w:w="3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16—Financial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comprise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by category</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(excluding indirect tax receivables)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559,543</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729,787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439,222</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729,787</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439,222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727,470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437,095</w:t>
            </w: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729,787</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by category</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458,207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(excluding indirect tax and employee related payables)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0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953,321</w:t>
            </w: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738,831</w:t>
            </w:r>
          </w:p>
        </w:tc>
        <w:tc>
          <w:tcPr>
            <w:tcW w:w="100" w:type="dxa"/>
            <w:vAlign w:val="bottom"/>
            <w:tcBorders>
              <w:top w:val="single" w:sz="8" w:color="CFF0FC"/>
            </w:tcBorders>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Derivative liabilities</w:t>
            </w:r>
          </w:p>
        </w:tc>
        <w:tc>
          <w:tcPr>
            <w:tcW w:w="10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150,670</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143,296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1,103,991</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882,127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365,080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738,911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659,131</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1,103,991</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882,127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are specified below:</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600" w:type="dxa"/>
            <w:vAlign w:val="bottom"/>
          </w:tcPr>
          <w:p>
            <w:pPr>
              <w:spacing w:after="0"/>
              <w:rPr>
                <w:sz w:val="22"/>
                <w:szCs w:val="22"/>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2"/>
                <w:szCs w:val="22"/>
                <w:color w:val="auto"/>
              </w:rPr>
            </w:pPr>
          </w:p>
        </w:tc>
        <w:tc>
          <w:tcPr>
            <w:tcW w:w="134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2"/>
                <w:szCs w:val="22"/>
                <w:color w:val="auto"/>
              </w:rPr>
            </w:pPr>
          </w:p>
        </w:tc>
      </w:tr>
      <w:tr>
        <w:trPr>
          <w:trHeight w:val="142"/>
        </w:trPr>
        <w:tc>
          <w:tcPr>
            <w:tcW w:w="66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gain of financial liabilities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(net)</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44,755</w:t>
            </w:r>
          </w:p>
        </w:tc>
        <w:tc>
          <w:tcPr>
            <w:tcW w:w="100" w:type="dxa"/>
            <w:vAlign w:val="bottom"/>
          </w:tcPr>
          <w:p>
            <w:pPr>
              <w:spacing w:after="0"/>
              <w:rPr>
                <w:sz w:val="18"/>
                <w:szCs w:val="18"/>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25,609</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43,857</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52,181</w:t>
            </w:r>
          </w:p>
        </w:tc>
        <w:tc>
          <w:tcPr>
            <w:tcW w:w="100" w:type="dxa"/>
            <w:vAlign w:val="bottom"/>
            <w:shd w:val="clear" w:color="auto" w:fill="CFF0FC"/>
          </w:tcPr>
          <w:p>
            <w:pPr>
              <w:spacing w:after="0"/>
              <w:rPr>
                <w:sz w:val="21"/>
                <w:szCs w:val="21"/>
                <w:color w:val="auto"/>
              </w:rPr>
            </w:pPr>
          </w:p>
        </w:tc>
      </w:tr>
      <w:tr>
        <w:trPr>
          <w:trHeight w:val="197"/>
        </w:trPr>
        <w:tc>
          <w:tcPr>
            <w:tcW w:w="660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65,504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loss of financial liabilities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(net)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100,027</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44,065</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-5356860</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-5356860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-5031105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-5031105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-4465320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-4448175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-3342640</wp:posOffset>
            </wp:positionV>
            <wp:extent cx="685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-3034030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-2725420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-2142490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-882015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-864870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-882015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-864870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Interest income and interest expenses relate to financial assets and liabilities measured at amortized cost. Net exchange rate gains and losses primarily relate to U.S. Dollar/Euro fluctuations pertaining to the Company’s cash, cash equivalents, marketable securities and borrowings.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transaction costs. The convertible notes rank equally in right of payment with all future senior unsecured indebtedness. Unless earlier converted or redeemed, the convertible notes will mature on April 1, 2028.</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convertible notes accrue interest at a rate of 2.25% per annum, payable semi-annually in arrears on April 1 and October 1 of each year, beginning on October 1, 2022.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each of (i)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Funding Liabilities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entered into capped synthetic royalty funding agreements with Royalty Pharma (the “Purchaser”), which is presented as royalty funding liabilities, and represents the Company’s contractual obligations to pay a predetermined percentage of future commercial revenue until reaching a predetermined multiple of proceeds received, according to the detailed provisions of the synthetic royalty funding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YORVIPATH Agreement</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September 2024, the Company entered into a $150.0 million capped synthetic royalty funding agreement (the “Royalty Pharma Yorvipath Agreement”) with the Purchaser. The net proceeds were $148.2 million (€134.2 million) after deducting offering expenses.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SKYTROFA Agreement</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September 2023, the Company entered into a $150.0 million capped synthetic royalty funding agreement (the “Royalty Pharma Skytrofa Agreement”) with the Purchaser. The net proceeds were $146.3 million (€136.3 million) after deducting offering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primarily leases office and laboratory facilities. Lease arrangements contain a range of different terms and conditions and are typically entered into for fixed periods. In order to improve flexibility to the Company’s operations, lease arrangements may provide the Company with option to extend the lease or terminate the lease within the enforceable lease term. In the Company’s current lease portfolio, extension and termination options are up to five years, in addition to the non-cancellable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expenses related to lease activities were recognized in the consolidated statements of profit or loss: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58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expenses</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1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leases and leases of low value assets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interest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expenses</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15,900</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15,809</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9461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February 2022, the Company entered into a facility lease in Germany with an enforceable lease term of 15 years, and comprises total lease cash-outflows of €81.1 million. In addition, in December 2024, the Company entered into additional leases in Denmark with enforceable lease terms of 12 years with option to terminate earlier and comprise total lease cash-outflows of €16.2 million if not terminated earlier. The leases are expected to commence in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borrowings related to financing activities is specified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Non-cash items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Repay-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0"/>
                <w:szCs w:val="10"/>
                <w:color w:val="auto"/>
              </w:rPr>
            </w:pPr>
          </w:p>
        </w:tc>
        <w:tc>
          <w:tcPr>
            <w:tcW w:w="108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Remeasure-</w:t>
            </w:r>
          </w:p>
        </w:tc>
        <w:tc>
          <w:tcPr>
            <w:tcW w:w="120" w:type="dxa"/>
            <w:vAlign w:val="bottom"/>
          </w:tcPr>
          <w:p>
            <w:pPr>
              <w:spacing w:after="0"/>
              <w:rPr>
                <w:sz w:val="10"/>
                <w:szCs w:val="10"/>
                <w:color w:val="auto"/>
              </w:rPr>
            </w:pPr>
          </w:p>
        </w:tc>
        <w:tc>
          <w:tcPr>
            <w:tcW w:w="10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Accretion of</w:t>
            </w:r>
          </w:p>
        </w:tc>
        <w:tc>
          <w:tcPr>
            <w:tcW w:w="1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0"/>
                <w:szCs w:val="10"/>
                <w:color w:val="auto"/>
              </w:rPr>
            </w:pPr>
          </w:p>
        </w:tc>
        <w:tc>
          <w:tcPr>
            <w:tcW w:w="8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9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ments</w:t>
            </w: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ments</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Borrowings (excluding lease</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545,472</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763,586</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93,030</w:t>
            </w:r>
          </w:p>
        </w:tc>
        <w:tc>
          <w:tcPr>
            <w:tcW w:w="0" w:type="dxa"/>
            <w:vAlign w:val="bottom"/>
          </w:tcPr>
          <w:p>
            <w:pPr>
              <w:spacing w:after="0"/>
              <w:rPr>
                <w:sz w:val="1"/>
                <w:szCs w:val="1"/>
                <w:color w:val="auto"/>
              </w:rPr>
            </w:pPr>
          </w:p>
        </w:tc>
      </w:tr>
      <w:tr>
        <w:trPr>
          <w:trHeight w:val="249"/>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financing activities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644,265</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(26,496)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134,158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(11,248)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65,419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49,657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856,616</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Borrowings (excluding lease</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136,256</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545,472</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0" w:type="dxa"/>
            <w:vAlign w:val="bottom"/>
          </w:tcPr>
          <w:p>
            <w:pPr>
              <w:spacing w:after="0"/>
              <w:rPr>
                <w:sz w:val="1"/>
                <w:szCs w:val="1"/>
                <w:color w:val="auto"/>
              </w:rPr>
            </w:pPr>
          </w:p>
        </w:tc>
      </w:tr>
      <w:tr>
        <w:trPr>
          <w:trHeight w:val="249"/>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financing activities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508,377</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(26,060)</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136,256</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2,973</w:t>
            </w: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43,967</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(21,248)</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644,265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-1071245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-1054100</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-1071245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-1054100</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-1071245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-1054100</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-1071245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-1054100</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-1071245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-1054100</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-1071245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-1054100</wp:posOffset>
            </wp:positionV>
            <wp:extent cx="685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-1071245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-1054100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-25400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-7620</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inputs and accordingly, derivative liabilities are measured by using the Black-Scholes option-pricing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(49.6% and 50.5% as of December 31, 2024 and December 31,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description of fair values, refer to the following section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December 31, 2024, all other inputs and assumptions held constant, a 10% relative increase in volatility, will increase the fair value of derivative liabilities by approximately €15.0 million and indicates a decrease in profit or loss and equity before tax. Similarly, a 10% relative decrease in volatility indicates the opposite impact.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Similarly, on December 31, 2024, all other inputs and assumptions held constant, a 10% increase in the share price, will increase the fair value of derivative liabilities by approximately €30.8 million and indicates a decrease in profit or loss and equity before tax. Similarly, a 10% decrease in the share price indicates the opposite impact.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Because of the short-term maturity for cash and cash equivalents, receivables and trade payables, their fair value approximate carrying amount. Fair value compared to carrying amount of marketable securities, convertible notes, royalty funding liabilities and derivatives, and their level in the fair value hierarchy is summarized in following table, where;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82" w:lineRule="exact"/>
        <w:rPr>
          <w:sz w:val="20"/>
          <w:szCs w:val="20"/>
          <w:color w:val="auto"/>
        </w:rPr>
      </w:pPr>
    </w:p>
    <w:p>
      <w:pPr>
        <w:ind w:right="40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quoted prices (unadjusted) in active markets for identical assets or liabilities that the entity can access at the measurement date;</w:t>
      </w:r>
      <w:r>
        <w:rPr>
          <w:rFonts w:ascii="Times New Roman" w:cs="Times New Roman" w:eastAsia="Times New Roman" w:hAnsi="Times New Roman"/>
          <w:sz w:val="18"/>
          <w:szCs w:val="18"/>
          <w:b w:val="1"/>
          <w:bCs w:val="1"/>
          <w:color w:val="auto"/>
        </w:rPr>
        <w:t xml:space="preserve"> Level 2 </w:t>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color w:val="auto"/>
        </w:rPr>
        <w:t xml:space="preserve"> Level 3 </w:t>
      </w:r>
      <w:r>
        <w:rPr>
          <w:rFonts w:ascii="Times New Roman" w:cs="Times New Roman" w:eastAsia="Times New Roman" w:hAnsi="Times New Roman"/>
          <w:sz w:val="18"/>
          <w:szCs w:val="18"/>
          <w:color w:val="auto"/>
        </w:rPr>
        <w:t>inputs are unobservable inputs for the asset or liability.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5"/>
                <w:szCs w:val="15"/>
                <w:color w:val="auto"/>
              </w:rPr>
            </w:pP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tcPr>
          <w:p>
            <w:pPr>
              <w:jc w:val="right"/>
              <w:ind w:right="1120"/>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(1-3)</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14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7,275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438,288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407,095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385,410</w:t>
            </w:r>
          </w:p>
        </w:tc>
        <w:tc>
          <w:tcPr>
            <w:tcW w:w="12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funding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305,379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305,673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143,975</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763,586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743,961</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545,472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529,385</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150,670</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-864870</wp:posOffset>
            </wp:positionV>
            <wp:extent cx="7747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-864870</wp:posOffset>
            </wp:positionV>
            <wp:extent cx="768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-864870</wp:posOffset>
            </wp:positionV>
            <wp:extent cx="7747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-864870</wp:posOffset>
            </wp:positionV>
            <wp:extent cx="774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-299720</wp:posOffset>
            </wp:positionV>
            <wp:extent cx="774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768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-299720</wp:posOffset>
            </wp:positionV>
            <wp:extent cx="774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-299720</wp:posOffset>
            </wp:positionV>
            <wp:extent cx="774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7683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7747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7747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movements in level 3 fair value measurements: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66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142,467</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recognized in financial income or expense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15,483</w:t>
            </w: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143,296</w:t>
            </w: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9461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9461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Financial Risk Management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manages capital to ensure that all group enterprises will be able to continue as a going concern while maximizing the return to shareholders through the optimization of debt and equity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capital structure consists of equity and external debt obtained through issuance of convertible notes and royalty funding liabilities. The Company is not subject to any contractually imposed capital requirements or financial covenants. The capital structure is reviewed on an ongoing basis for the adequacy of the Company’s capital compared to the resources required for carrying out ordinary activities</w:t>
      </w:r>
      <w:r>
        <w:rPr>
          <w:rFonts w:ascii="Times New Roman" w:cs="Times New Roman" w:eastAsia="Times New Roman" w:hAnsi="Times New Roman"/>
          <w:sz w:val="18"/>
          <w:szCs w:val="18"/>
          <w:color w:val="404040"/>
        </w:rPr>
        <w:t>.</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Development in the Company’s share capital and treasury shares reserves are described in the following sections. Other equity reserves are described in Note 2, “Summary of Material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share capital of Ascendis Pharma A/S consists of 60,689,487 fully paid shares at a nominal value of DKK 1, all in the same share class, and which includes </w:t>
      </w:r>
      <w:r>
        <w:rPr>
          <w:rFonts w:ascii="Times New Roman" w:cs="Times New Roman" w:eastAsia="Times New Roman" w:hAnsi="Times New Roman"/>
          <w:sz w:val="18"/>
          <w:szCs w:val="18"/>
          <w:b w:val="1"/>
          <w:bCs w:val="1"/>
          <w:color w:val="auto"/>
        </w:rPr>
        <w:t>845,887</w:t>
      </w:r>
      <w:r>
        <w:rPr>
          <w:rFonts w:ascii="Times New Roman" w:cs="Times New Roman" w:eastAsia="Times New Roman" w:hAnsi="Times New Roman"/>
          <w:sz w:val="18"/>
          <w:szCs w:val="18"/>
          <w:color w:val="auto"/>
        </w:rPr>
        <w:t xml:space="preserve"> ordinary shares represented by ADSs held by Ascendis Pharma 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outstanding shares of the Company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13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share capital</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57,707,439</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57,152,295</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56,937,682</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53,750,386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47,985,837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through cash contributions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2,982,048</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555,144</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214,613</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3,187,296</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5,764,549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60,689,487</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57,707,439</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57,152,295</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56,937,682</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53,750,386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 Reserve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development in holding of treasury shares was as follows: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in</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4"/>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1,113,152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 under stock incentive programs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(20,098 )</w:t>
            </w:r>
          </w:p>
        </w:tc>
        <w:tc>
          <w:tcPr>
            <w:tcW w:w="2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1,093,054</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Transferred under stock incentive programs</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(247,167 )</w:t>
            </w:r>
          </w:p>
        </w:tc>
        <w:tc>
          <w:tcPr>
            <w:tcW w:w="22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845,887</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-2091055</wp:posOffset>
            </wp:positionV>
            <wp:extent cx="774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-2091055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-2091055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-2091055</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 Objectives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regularly monitors the access to domestic and international financial markets, manages the financial risks relating to its operations, and analyzes exposures to risk, including market risk, such as foreign currency risk and interest rate risk, credit risk and liquidity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risk exposure and risk management policies are described in the following sections.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activities expose the group enterprises to the financial risks of changes in foreign currency exchange rates and interest rates. Derivative financial instruments are not applied to manage exposure to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risks arising from various currency exposures, primarily with respect to the U.S. Dollar (“USD”). Foreign currency exchange risks to the USD are unchanged to prior year, and primarily relate to sales and purchases in foreign currencies, convertible notes and royalty funding liabilities, countered by cash and cash equivalents. The exposure from foreign currency exchange risks is managed by maintaining cash positions in the currencies in which the majority of future expenses are denominated, and payments are made from those reserves.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Sensitivity Analysis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details how a strengthening of the USD against the EUR would impact profit or loss, and equity before tax at the reporting date. A similar weakening of the USD would have the opposite effect. A positive number indicates an increase in profit or loss and equity before tax, while a negative number indicates the opposite. The sensitivity analysis is deemed representative of the inherent foreign currency exchange risk associated with the operations.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40" w:type="dxa"/>
            <w:vAlign w:val="bottom"/>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Hypothetical impact on consolidated</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Increase in</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Profit/(loss)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positions</w:t>
            </w: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 before tax</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5"/>
          </w:tcPr>
          <w:p>
            <w:pPr>
              <w:ind w:left="980"/>
              <w:spacing w:after="0" w:line="142" w:lineRule="exact"/>
              <w:rPr>
                <w:sz w:val="20"/>
                <w:szCs w:val="20"/>
                <w:color w:val="auto"/>
              </w:rPr>
            </w:pPr>
            <w:r>
              <w:rPr>
                <w:rFonts w:ascii="Times New Roman" w:cs="Times New Roman" w:eastAsia="Times New Roman" w:hAnsi="Times New Roman"/>
                <w:sz w:val="14"/>
                <w:szCs w:val="14"/>
                <w:b w:val="1"/>
                <w:bCs w:val="1"/>
                <w:color w:val="auto"/>
              </w:rPr>
              <w:t>(EUR ‘000)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USD/EUR</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(735,064 )</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10 %</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(73,506 )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(73,506 )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(369,091 )</w:t>
            </w:r>
          </w:p>
        </w:tc>
        <w:tc>
          <w:tcPr>
            <w:tcW w:w="13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10 %</w:t>
            </w:r>
          </w:p>
        </w:tc>
        <w:tc>
          <w:tcPr>
            <w:tcW w:w="1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(36,909 )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(36,909 )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Outstanding convertible notes comprise a 2.25% coupon fixed rate structure. Further, the effective interest rate on royalty funding liabilities is estimated at initial recognition and takes into account anticipated amount and timing of future cash flows, which further depends on future commercial revenue forecasts and the probability of exercising the embedded buy-out option. Material changes to anticipated future cash flows could potentially increase or decrease future interest expense. In addition, the interest rate on lease liabilities is fixed at the lease commencement date.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Future indebtedness, including those related to lease arrangements, if any, may be subject to higher interest rates. In addition, future interest income from interest-bearing bank deposits may fall short of expectations due to changes in interest rates.</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Since the fair value is exposed from the development in interest rates, the profit or loss is exposed to volatility from such development. The effects of interest rate fluctuations are not considered a material risk to the Company’s financial position. Accordingly, no interest sensitivity analysis has been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has adopted an investment policy with the primary purpose of preserving capital, fulfilling liquidity needs and diversifying the risks associated with cash, cash equivalents and marketable securities. This investment policy establishes minimum ratings for institutions with which the Company holds cash and cash equivalents, as well as rating and concentration limits for marketable securities held.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exposure to credit risk primarily relates to cash and cash equivalents. The credit risk on bank deposits is limited because the counterparties, holding significant deposits, are banks with minimum credit-ratings of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may be placed into investment grade rated marketable securities. The Company’s investment policy, approved by the Board, only allows investment in marketable securities having investment grade credit-ratings, assigned by international credit-rating agencies. Accordingly, the risk from probability of default is low. On each reporting date, the risk of expected credit loss on bank deposits and marketable securities, if any, including the hypothetical impact arising from the probability of default,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the reporting dates, there are no significant overdue trade receivable balances. As a result, write-down to accommodate expected credit-losses is not deemed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Management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Historically, the risk of insufficient funds has been addressed through proceeds from sale of the Company’s securities in private and public offerings, through issuance of convertible notes in 2022, and through royalty funding liabilities in 2024 and 2023.</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Liquidity risk is managed by maintaining adequate cash reserves and banking facilities. The risk of shortage of funds is monitored, using a liquidity planning tool, to ensure sufficient funds are available to settle liabilities as they fall due. Besides long term deposits on leases, the Company’s financial assets are recoverable within twelve months after the reporting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analysis</w:t>
      </w:r>
    </w:p>
    <w:p>
      <w:pPr>
        <w:spacing w:after="0" w:line="1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maturity analysis (on an undiscounted basis) for non-derivative financial liabilities recognized in the consolidated statements of financial position: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40" w:type="dxa"/>
            <w:vAlign w:val="bottom"/>
          </w:tcPr>
          <w:p>
            <w:pPr>
              <w:spacing w:after="0"/>
              <w:rPr>
                <w:sz w:val="12"/>
                <w:szCs w:val="12"/>
                <w:color w:val="auto"/>
              </w:rPr>
            </w:pPr>
          </w:p>
        </w:tc>
        <w:tc>
          <w:tcPr>
            <w:tcW w:w="10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220" w:type="dxa"/>
            <w:vAlign w:val="bottom"/>
          </w:tcPr>
          <w:p>
            <w:pPr>
              <w:spacing w:after="0"/>
              <w:rPr>
                <w:sz w:val="12"/>
                <w:szCs w:val="12"/>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2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(excluding lease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1,027,558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1,073,521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763,586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96,705</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96,705</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1,079,565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52,787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1,276,842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953,321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(excluding lease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742,925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797,030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114,867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120,659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794,351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91,453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1,006,463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738,831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51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F-47</w:t>
            </w:r>
          </w:p>
        </w:tc>
        <w:tc>
          <w:tcPr>
            <w:tcW w:w="2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-2219325</wp:posOffset>
            </wp:positionV>
            <wp:extent cx="7747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-2219325</wp:posOffset>
            </wp:positionV>
            <wp:extent cx="774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-2219325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-2219325</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-1071245</wp:posOffset>
            </wp:positionV>
            <wp:extent cx="7747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-1053465</wp:posOffset>
            </wp:positionV>
            <wp:extent cx="7747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-1071245</wp:posOffset>
            </wp:positionV>
            <wp:extent cx="7747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-1053465</wp:posOffset>
            </wp:positionV>
            <wp:extent cx="774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-1071245</wp:posOffset>
            </wp:positionV>
            <wp:extent cx="6858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-1053465</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-1071245</wp:posOffset>
            </wp:positionV>
            <wp:extent cx="685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-1053465</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9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“Borrowings (excluding lease liabilities)” comprise convertible notes and royalty funding liabilities. Further details regarding classification of convertible notes as current liabilities in the consolidated statement of financial position are provided in Note 2, “Summary of Material Accounting Policies,” section “New and Amended IFRS Accounting Standards and Interpretations.” Expected maturity for royalty funding liabilities is based on anticipated amount and timing of future revenue from sale of commercial products. Further details regarding the payment structure of the royalty funding agreements are provided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Contractual commitments for the acquisition of property, plant and equipment were €0.3 million and €1.2 million for the years ended December 31, 2024 and 2023, respectively. Further, with certain suppliers, the Company has agreed minimum commitments related to the manufacturing of product supply, subject to continuous negotiation and adjustments according to the individual contractual terms and conditions. Cost of product supply is recognized when the Company obtains control of the goods. In addition, the Company has commitments related to short-term leases and leases of low value assets, contracts of various lengths in respect of research and development with CROs, and IT and facility related services. Costs relating to those commitments are recognized as services are received.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aware of any significant legal claims or disputes.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19—Related Party Transactions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the Executive Board and non-executive Senior Management (“Key Management Personnel”) are considered related parties as they have authority and responsibility for planning and directing the Company’s operations. Related parties also include undertakings in which such individuals have a controlling or joint controlling interest. Additionally, all group enterprises and associates are considered related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Company’s related parties nor major shareholders hold a controlling, joint controlling, or significant interest in the Group.</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agreements with and issued warrants, RSUs and PSUs to Key Management Personnel. In addition, the Company pays fees for board tenure and board committee tenure to the independent members of the Board of Directors. For further details, refer to Note 6, “Employee Costs.” Indemnification agreements have been entered with members of the Board of Directors, the Executive Board and Non-executive Senior Management.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Transactions between the parent company and group enterprises comprise management and license fees, research and development services, administration services, and clinical and commercial supplies. These transactions have been eliminated in the consolidated financial statements. Transactions and outstanding balances with the associates are disclosed in Note 12, “Investments in Associates.”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the parent company Ascendis Pharma A/S is jointly taxed with its Danish subsidiaries, where the current Danish corporation tax is allocated between the jointly taxed Danish companies. For further details, refer to Note 9, “Tax on Profit/(Loss) for the Year and Deferred Tax.”</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Except for the information disclosed above, the Company has not undertaken any significant transactions with members of the Key Management Personnel, or undertakings in which the identified related parties have a controlling or joint controlling interest.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7" w:name="page238"/>
    <w:bookmarkEnd w:id="23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20—Investments in Group Enterprises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Pharma A/S’s (parent company) investments in group enterprises at December 31, 2024 comprise: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6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Domicile</w:t>
            </w:r>
          </w:p>
        </w:tc>
        <w:tc>
          <w:tcPr>
            <w:tcW w:w="120" w:type="dxa"/>
            <w:vAlign w:val="bottom"/>
          </w:tcPr>
          <w:p>
            <w:pPr>
              <w:spacing w:after="0"/>
              <w:rPr>
                <w:sz w:val="15"/>
                <w:szCs w:val="15"/>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5"/>
                <w:szCs w:val="15"/>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GmbH</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GmbH</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Inc.</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Inc.</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Ophthalmology Division A/S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Division A/S</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Bone Diseases A/S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Growth Disorders A/S</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Oncology Division A/S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Europe A/S</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UK Limited</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Iberia S.L.</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France SASU</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Italia SRL</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Ascendis Pharma Sverige AB</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Switzerland GmbH</w:t>
            </w:r>
          </w:p>
        </w:tc>
        <w:tc>
          <w:tcPr>
            <w:tcW w:w="18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148"/>
        </w:trPr>
        <w:tc>
          <w:tcPr>
            <w:tcW w:w="748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Associates</w:t>
            </w:r>
          </w:p>
        </w:tc>
        <w:tc>
          <w:tcPr>
            <w:tcW w:w="180" w:type="dxa"/>
            <w:vAlign w:val="bottom"/>
          </w:tcPr>
          <w:p>
            <w:pPr>
              <w:spacing w:after="0"/>
              <w:rPr>
                <w:sz w:val="12"/>
                <w:szCs w:val="12"/>
                <w:color w:val="auto"/>
              </w:rPr>
            </w:pPr>
          </w:p>
        </w:tc>
        <w:tc>
          <w:tcPr>
            <w:tcW w:w="16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Domicile</w:t>
            </w:r>
          </w:p>
        </w:tc>
        <w:tc>
          <w:tcPr>
            <w:tcW w:w="120" w:type="dxa"/>
            <w:vAlign w:val="bottom"/>
          </w:tcPr>
          <w:p>
            <w:pPr>
              <w:spacing w:after="0"/>
              <w:rPr>
                <w:sz w:val="12"/>
                <w:szCs w:val="12"/>
                <w:color w:val="auto"/>
              </w:rPr>
            </w:pPr>
          </w:p>
        </w:tc>
        <w:tc>
          <w:tcPr>
            <w:tcW w:w="1620" w:type="dxa"/>
            <w:vAlign w:val="bottom"/>
            <w:tcBorders>
              <w:bottom w:val="single" w:sz="8" w:color="auto"/>
            </w:tcBorders>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2"/>
                <w:szCs w:val="12"/>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VISEN Pharmaceuticals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Cayman Island</w:t>
            </w:r>
          </w:p>
        </w:tc>
        <w:tc>
          <w:tcPr>
            <w:tcW w:w="1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43.9 %</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Eyconis Inc.</w:t>
            </w:r>
          </w:p>
        </w:tc>
        <w:tc>
          <w:tcPr>
            <w:tcW w:w="18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21—Ownership</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investors, or groups of affiliated investors, are known by us to beneficially own more than 5% of the Company’s outstanding ordinary shares at December 31, 2024:</w:t>
      </w:r>
    </w:p>
    <w:p>
      <w:pPr>
        <w:spacing w:after="0" w:line="54"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Management, LLC, USA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Westfield Capital Management Company, L.P., USA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FMR LLC, USA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Avoro Capital Advisors LLC, USA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Artisan Partners LP, USA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Janus Henderson Group plc, United Kingdom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American Depository Shares are held through BNY (Nominees) Limited as nominee, of The Bank of New York Mellon, UK (as registered holder of the Company’s outstanding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events have occurred after the reporting date that would influence the evaluation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5360" w:type="dxa"/>
            <w:vAlign w:val="bottom"/>
            <w:gridSpan w:val="26"/>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0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gridSpan w:val="20"/>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Pr>
          <w:p>
            <w:pPr>
              <w:spacing w:after="0"/>
              <w:rPr>
                <w:sz w:val="24"/>
                <w:szCs w:val="24"/>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24"/>
                <w:szCs w:val="24"/>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20"/>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45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1">
              <w:r>
                <w:rPr>
                  <w:rFonts w:ascii="Times New Roman" w:cs="Times New Roman" w:eastAsia="Times New Roman" w:hAnsi="Times New Roman"/>
                  <w:sz w:val="18"/>
                  <w:szCs w:val="18"/>
                  <w:color w:val="0000FF"/>
                </w:rPr>
                <w:t>Articles of Association, currently in effect (English translation).</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Deposit Agreement dated January 27, 2015 among Ascendis Pharma</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333-209336</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A/S The Bank of New York Mellon and Owners and Holders of</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American Depositary Shares.</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Form of American Depositary Receipt (included in Exhibit 2.1).</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Description of Share Capital and American Depositary Shares.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3">
              <w:r>
                <w:rPr>
                  <w:rFonts w:ascii="Times New Roman" w:cs="Times New Roman" w:eastAsia="Times New Roman" w:hAnsi="Times New Roman"/>
                  <w:sz w:val="18"/>
                  <w:szCs w:val="18"/>
                  <w:color w:val="0000FF"/>
                </w:rPr>
                <w:t>Rental Agreement, between Technologiepark Heidelberg II GmbH &amp;</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12/18/2014</w:t>
            </w:r>
          </w:p>
        </w:tc>
        <w:tc>
          <w:tcPr>
            <w:tcW w:w="2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10.3(a)</w:t>
            </w: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333-201050</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3">
              <w:r>
                <w:rPr>
                  <w:rFonts w:ascii="Times New Roman" w:cs="Times New Roman" w:eastAsia="Times New Roman" w:hAnsi="Times New Roman"/>
                  <w:sz w:val="18"/>
                  <w:szCs w:val="18"/>
                  <w:color w:val="0000FF"/>
                </w:rPr>
                <w:t>Co. KG and Ascendis Pharma GmbH (English translation).</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4">
              <w:r>
                <w:rPr>
                  <w:rFonts w:ascii="Times New Roman" w:cs="Times New Roman" w:eastAsia="Times New Roman" w:hAnsi="Times New Roman"/>
                  <w:sz w:val="18"/>
                  <w:szCs w:val="18"/>
                  <w:color w:val="0000FF"/>
                </w:rPr>
                <w:t>Supplement No. 1 to Rental Agreement, between Technologiepark</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12/18/2014</w:t>
            </w:r>
          </w:p>
        </w:tc>
        <w:tc>
          <w:tcPr>
            <w:tcW w:w="20" w:type="dxa"/>
            <w:vAlign w:val="bottom"/>
          </w:tcPr>
          <w:p>
            <w:pPr>
              <w:spacing w:after="0"/>
              <w:rPr>
                <w:sz w:val="24"/>
                <w:szCs w:val="2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10.3(b)</w:t>
            </w: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333-201050</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w w:val="99"/>
              </w:rPr>
            </w:pPr>
            <w:hyperlink r:id="rId714">
              <w:r>
                <w:rPr>
                  <w:rFonts w:ascii="Times New Roman" w:cs="Times New Roman" w:eastAsia="Times New Roman" w:hAnsi="Times New Roman"/>
                  <w:sz w:val="18"/>
                  <w:szCs w:val="18"/>
                  <w:color w:val="0000FF"/>
                  <w:w w:val="99"/>
                </w:rPr>
                <w:t>Heidelberg II GmbH &amp; Co. KG and Ascendis Pharma GmbH (English</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4">
              <w:r>
                <w:rPr>
                  <w:rFonts w:ascii="Times New Roman" w:cs="Times New Roman" w:eastAsia="Times New Roman" w:hAnsi="Times New Roman"/>
                  <w:sz w:val="18"/>
                  <w:szCs w:val="18"/>
                  <w:color w:val="0000FF"/>
                </w:rPr>
                <w:t>translation).</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5">
              <w:r>
                <w:rPr>
                  <w:rFonts w:ascii="Times New Roman" w:cs="Times New Roman" w:eastAsia="Times New Roman" w:hAnsi="Times New Roman"/>
                  <w:sz w:val="18"/>
                  <w:szCs w:val="18"/>
                  <w:color w:val="0000FF"/>
                </w:rPr>
                <w:t>Reference is made to Exhibit 1.1.</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Warrant Certificate for Warrants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6">
              <w:r>
                <w:rPr>
                  <w:rFonts w:ascii="Times New Roman" w:cs="Times New Roman" w:eastAsia="Times New Roman" w:hAnsi="Times New Roman"/>
                  <w:sz w:val="18"/>
                  <w:szCs w:val="18"/>
                  <w:color w:val="0000FF"/>
                </w:rPr>
                <w:t>Form of Indemnification Agreement for board members and senior</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1/16/2015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333-201050</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6">
              <w:r>
                <w:rPr>
                  <w:rFonts w:ascii="Times New Roman" w:cs="Times New Roman" w:eastAsia="Times New Roman" w:hAnsi="Times New Roman"/>
                  <w:sz w:val="18"/>
                  <w:szCs w:val="18"/>
                  <w:color w:val="0000FF"/>
                </w:rPr>
                <w:t>management.</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7">
              <w:r>
                <w:rPr>
                  <w:rFonts w:ascii="Times New Roman" w:cs="Times New Roman" w:eastAsia="Times New Roman" w:hAnsi="Times New Roman"/>
                  <w:sz w:val="18"/>
                  <w:szCs w:val="18"/>
                  <w:color w:val="0000FF"/>
                </w:rPr>
                <w:t>Registration Rights Agreement dated December 11, 2015 by and</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12/14/2015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w w:val="99"/>
              </w:rPr>
            </w:pPr>
            <w:hyperlink r:id="rId717">
              <w:r>
                <w:rPr>
                  <w:rFonts w:ascii="Times New Roman" w:cs="Times New Roman" w:eastAsia="Times New Roman" w:hAnsi="Times New Roman"/>
                  <w:sz w:val="18"/>
                  <w:szCs w:val="18"/>
                  <w:color w:val="0000FF"/>
                  <w:w w:val="99"/>
                </w:rPr>
                <w:t>among Ascendis Pharma A/S, Fidelity Securities Fund: Fidelity Series</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7">
              <w:r>
                <w:rPr>
                  <w:rFonts w:ascii="Times New Roman" w:cs="Times New Roman" w:eastAsia="Times New Roman" w:hAnsi="Times New Roman"/>
                  <w:sz w:val="18"/>
                  <w:szCs w:val="18"/>
                  <w:color w:val="0000FF"/>
                </w:rPr>
                <w:t>Small Cap Opportunities Fund—Healthcare Sub and Fidelity Stock</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7">
              <w:r>
                <w:rPr>
                  <w:rFonts w:ascii="Times New Roman" w:cs="Times New Roman" w:eastAsia="Times New Roman" w:hAnsi="Times New Roman"/>
                  <w:sz w:val="18"/>
                  <w:szCs w:val="18"/>
                  <w:color w:val="0000FF"/>
                </w:rPr>
                <w:t>Selector Small Cap Fund—Health Care Sub.</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6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w w:val="99"/>
              </w:rPr>
            </w:pPr>
            <w:hyperlink r:id="rId718">
              <w:r>
                <w:rPr>
                  <w:rFonts w:ascii="Times New Roman" w:cs="Times New Roman" w:eastAsia="Times New Roman" w:hAnsi="Times New Roman"/>
                  <w:sz w:val="18"/>
                  <w:szCs w:val="18"/>
                  <w:color w:val="0000FF"/>
                  <w:w w:val="99"/>
                </w:rPr>
                <w:t>Lease Agreement dated September 7, 2015 between Ascendis Pharma</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8">
              <w:r>
                <w:rPr>
                  <w:rFonts w:ascii="Times New Roman" w:cs="Times New Roman" w:eastAsia="Times New Roman" w:hAnsi="Times New Roman"/>
                  <w:sz w:val="18"/>
                  <w:szCs w:val="18"/>
                  <w:color w:val="0000FF"/>
                </w:rPr>
                <w:t>A/S and Dades AS.</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19">
              <w:r>
                <w:rPr>
                  <w:rFonts w:ascii="Times New Roman" w:cs="Times New Roman" w:eastAsia="Times New Roman" w:hAnsi="Times New Roman"/>
                  <w:sz w:val="18"/>
                  <w:szCs w:val="18"/>
                  <w:color w:val="0000FF"/>
                </w:rPr>
                <w:t>Manufacturing and Supply Agreement dated December 21, 2017,</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3/28/2018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Borders>
              <w:right w:val="single" w:sz="8" w:color="0000FF"/>
            </w:tcBorders>
            <w:gridSpan w:val="8"/>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19">
              <w:r>
                <w:rPr>
                  <w:rFonts w:ascii="Times New Roman" w:cs="Times New Roman" w:eastAsia="Times New Roman" w:hAnsi="Times New Roman"/>
                  <w:sz w:val="18"/>
                  <w:szCs w:val="18"/>
                  <w:color w:val="0000FF"/>
                </w:rPr>
                <w:t>between Ascendis Pharma A/S and NOF Corporation.</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300" w:type="dxa"/>
            <w:vAlign w:val="bottom"/>
            <w:tcBorders>
              <w:right w:val="single" w:sz="8" w:color="0000EE"/>
            </w:tcBorders>
            <w:gridSpan w:val="8"/>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20">
              <w:r>
                <w:rPr>
                  <w:rFonts w:ascii="Times New Roman" w:cs="Times New Roman" w:eastAsia="Times New Roman" w:hAnsi="Times New Roman"/>
                  <w:sz w:val="18"/>
                  <w:szCs w:val="18"/>
                  <w:color w:val="0000FF"/>
                </w:rPr>
                <w:t>Manufacturing and Supply Agreement dated January 12, 2017,</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3/28/2018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Borders>
              <w:right w:val="single" w:sz="8" w:color="0000FF"/>
            </w:tcBorders>
            <w:gridSpan w:val="8"/>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20">
              <w:r>
                <w:rPr>
                  <w:rFonts w:ascii="Times New Roman" w:cs="Times New Roman" w:eastAsia="Times New Roman" w:hAnsi="Times New Roman"/>
                  <w:sz w:val="18"/>
                  <w:szCs w:val="18"/>
                  <w:color w:val="0000FF"/>
                </w:rPr>
                <w:t>between Ascendis Pharma A/S and Medicom Innovation Partner A/S.</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FF"/>
            </w:tcBorders>
            <w:gridSpan w:val="8"/>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Supply Agreement dated January 1, 2019, between Ascendis Pharma</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Borders>
              <w:right w:val="single" w:sz="8" w:color="0000FF"/>
            </w:tcBorders>
            <w:gridSpan w:val="8"/>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A/S and Vetter Pharma International GMBH.</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EE"/>
            </w:tcBorders>
            <w:gridSpan w:val="8"/>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722">
              <w:r>
                <w:rPr>
                  <w:rFonts w:ascii="Times New Roman" w:cs="Times New Roman" w:eastAsia="Times New Roman" w:hAnsi="Times New Roman"/>
                  <w:sz w:val="18"/>
                  <w:szCs w:val="18"/>
                  <w:color w:val="0000FF"/>
                </w:rPr>
                <w:t>Manufacturing and Supply Agreement dated October 26, 2018,</w:t>
              </w:r>
            </w:hyperlink>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gridSpan w:val="9"/>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3"/>
          </w:tcPr>
          <w:p>
            <w:pPr>
              <w:spacing w:after="0" w:line="196" w:lineRule="exact"/>
              <w:rPr>
                <w:rFonts w:ascii="Times New Roman" w:cs="Times New Roman" w:eastAsia="Times New Roman" w:hAnsi="Times New Roman"/>
                <w:sz w:val="18"/>
                <w:szCs w:val="18"/>
                <w:color w:val="0000FF"/>
              </w:rPr>
            </w:pPr>
            <w:hyperlink r:id="rId722">
              <w:r>
                <w:rPr>
                  <w:rFonts w:ascii="Times New Roman" w:cs="Times New Roman" w:eastAsia="Times New Roman" w:hAnsi="Times New Roman"/>
                  <w:sz w:val="18"/>
                  <w:szCs w:val="18"/>
                  <w:color w:val="0000FF"/>
                </w:rPr>
                <w:t>between Ascendis Pharma A/S and Carbogen Amcis AG.</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1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tcPr>
          <w:p>
            <w:pPr>
              <w:spacing w:after="0"/>
              <w:rPr>
                <w:sz w:val="24"/>
                <w:szCs w:val="24"/>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Pr>
          <w:p>
            <w:pPr>
              <w:spacing w:after="0"/>
              <w:rPr>
                <w:sz w:val="24"/>
                <w:szCs w:val="24"/>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18"/>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4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Exclusive Licence Agreement dated November 7, 2018, between</w:t>
              </w:r>
            </w:hyperlink>
          </w:p>
        </w:tc>
        <w:tc>
          <w:tcPr>
            <w:tcW w:w="4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Ascendis Pharma Growth Disorders A/S and VISEN Pharmaceuticals</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(CNP).</w:t>
              </w:r>
            </w:hyperlink>
          </w:p>
        </w:tc>
        <w:tc>
          <w:tcPr>
            <w:tcW w:w="45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Exclusive Licence Agreement dated November 7, 2018, between</w:t>
              </w:r>
            </w:hyperlink>
          </w:p>
        </w:tc>
        <w:tc>
          <w:tcPr>
            <w:tcW w:w="4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25">
              <w:r>
                <w:rPr>
                  <w:rFonts w:ascii="Times New Roman" w:cs="Times New Roman" w:eastAsia="Times New Roman" w:hAnsi="Times New Roman"/>
                  <w:sz w:val="18"/>
                  <w:szCs w:val="18"/>
                  <w:color w:val="0000FF"/>
                  <w:w w:val="99"/>
                </w:rPr>
                <w:t>Ascendis Pharma Endocrinology Division A/S and VISEN</w:t>
              </w:r>
            </w:hyperlink>
          </w:p>
        </w:tc>
        <w:tc>
          <w:tcPr>
            <w:tcW w:w="86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Pharmaceuticals (hGH).</w:t>
              </w:r>
            </w:hyperlink>
          </w:p>
        </w:tc>
        <w:tc>
          <w:tcPr>
            <w:tcW w:w="334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Exclusive Licence Agreement dated November 7, 2018, between</w:t>
              </w:r>
            </w:hyperlink>
          </w:p>
        </w:tc>
        <w:tc>
          <w:tcPr>
            <w:tcW w:w="4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Ascendis Pharma Bone Diseases A/S and VISEN Pharmaceuticals</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(PTH).</w:t>
              </w:r>
            </w:hyperlink>
          </w:p>
        </w:tc>
        <w:tc>
          <w:tcPr>
            <w:tcW w:w="45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Tech Transfer and Manufacturing Services Agreement dated</w:t>
              </w:r>
            </w:hyperlink>
          </w:p>
        </w:tc>
        <w:tc>
          <w:tcPr>
            <w:tcW w:w="7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4/2/2020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December 12, 2019 between Ascendis Pharma A/S and Lonza Ltd.</w:t>
              </w:r>
            </w:hyperlink>
          </w:p>
        </w:tc>
        <w:tc>
          <w:tcPr>
            <w:tcW w:w="2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Packaging and Supply Agreement dated December 1, 2019 between</w:t>
              </w:r>
            </w:hyperlink>
          </w:p>
        </w:tc>
        <w:tc>
          <w:tcPr>
            <w:tcW w:w="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4/2/2020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Ascendis Pharma A/S and Sharp Corporation.</w:t>
              </w:r>
            </w:hyperlink>
          </w:p>
        </w:tc>
        <w:tc>
          <w:tcPr>
            <w:tcW w:w="1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Manufacturing and Supply Agreement dated December 27, 2020,</w:t>
              </w:r>
            </w:hyperlink>
          </w:p>
        </w:tc>
        <w:tc>
          <w:tcPr>
            <w:tcW w:w="3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between Ascendis Pharma A/S and Bachem AG.</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Manufacturing and Supply Agreement dated May 27, 2021, between</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Ascendis Pharma A/S and Carbogen Amcis AG.</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Manufacturing and Supply Agreement dated August 31, 2020 between</w:t>
              </w:r>
            </w:hyperlink>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Ascendis Pharma A/S and NOF Corporation.</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32">
              <w:r>
                <w:rPr>
                  <w:rFonts w:ascii="Times New Roman" w:cs="Times New Roman" w:eastAsia="Times New Roman" w:hAnsi="Times New Roman"/>
                  <w:sz w:val="18"/>
                  <w:szCs w:val="18"/>
                  <w:color w:val="0000FF"/>
                </w:rPr>
                <w:t>Amended and Restated Shareholders Agreement dated January 8,</w:t>
              </w:r>
            </w:hyperlink>
          </w:p>
        </w:tc>
        <w:tc>
          <w:tcPr>
            <w:tcW w:w="3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732">
              <w:r>
                <w:rPr>
                  <w:rFonts w:ascii="Times New Roman" w:cs="Times New Roman" w:eastAsia="Times New Roman" w:hAnsi="Times New Roman"/>
                  <w:sz w:val="18"/>
                  <w:szCs w:val="18"/>
                  <w:color w:val="0000FF"/>
                </w:rPr>
                <w:t>2021, by and among Ascendis Pharma A/S and the parties set forth</w:t>
              </w:r>
            </w:hyperlink>
          </w:p>
        </w:tc>
        <w:tc>
          <w:tcPr>
            <w:tcW w:w="2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FF"/>
              </w:rPr>
            </w:pPr>
            <w:hyperlink r:id="rId732">
              <w:r>
                <w:rPr>
                  <w:rFonts w:ascii="Times New Roman" w:cs="Times New Roman" w:eastAsia="Times New Roman" w:hAnsi="Times New Roman"/>
                  <w:sz w:val="18"/>
                  <w:szCs w:val="18"/>
                  <w:color w:val="0000FF"/>
                </w:rPr>
                <w:t>therein.</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33">
              <w:r>
                <w:rPr>
                  <w:rFonts w:ascii="Times New Roman" w:cs="Times New Roman" w:eastAsia="Times New Roman" w:hAnsi="Times New Roman"/>
                  <w:sz w:val="18"/>
                  <w:szCs w:val="18"/>
                  <w:color w:val="0000FF"/>
                </w:rPr>
                <w:t>Amendment Letter to the Exclusive Licence Agreement dated January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733">
              <w:r>
                <w:rPr>
                  <w:rFonts w:ascii="Times New Roman" w:cs="Times New Roman" w:eastAsia="Times New Roman" w:hAnsi="Times New Roman"/>
                  <w:sz w:val="18"/>
                  <w:szCs w:val="18"/>
                  <w:color w:val="0000FF"/>
                </w:rPr>
                <w:t>4, 2021 between Ascendis Pharma Growth Disorders A/S and VISEN</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733">
              <w:r>
                <w:rPr>
                  <w:rFonts w:ascii="Times New Roman" w:cs="Times New Roman" w:eastAsia="Times New Roman" w:hAnsi="Times New Roman"/>
                  <w:sz w:val="18"/>
                  <w:szCs w:val="18"/>
                  <w:color w:val="0000FF"/>
                </w:rPr>
                <w:t>Pharmaceuticals (CNP).</w:t>
              </w:r>
            </w:hyperlink>
          </w:p>
        </w:tc>
        <w:tc>
          <w:tcPr>
            <w:tcW w:w="334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34">
              <w:r>
                <w:rPr>
                  <w:rFonts w:ascii="Times New Roman" w:cs="Times New Roman" w:eastAsia="Times New Roman" w:hAnsi="Times New Roman"/>
                  <w:sz w:val="18"/>
                  <w:szCs w:val="18"/>
                  <w:color w:val="0000FF"/>
                </w:rPr>
                <w:t>Amendment Letter to the Exclusive Licence Agreement dated January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734">
              <w:r>
                <w:rPr>
                  <w:rFonts w:ascii="Times New Roman" w:cs="Times New Roman" w:eastAsia="Times New Roman" w:hAnsi="Times New Roman"/>
                  <w:sz w:val="18"/>
                  <w:szCs w:val="18"/>
                  <w:color w:val="0000FF"/>
                </w:rPr>
                <w:t>4, 2021 between Ascendis Pharma Endocrinology Division A/S and</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734">
              <w:r>
                <w:rPr>
                  <w:rFonts w:ascii="Times New Roman" w:cs="Times New Roman" w:eastAsia="Times New Roman" w:hAnsi="Times New Roman"/>
                  <w:sz w:val="18"/>
                  <w:szCs w:val="18"/>
                  <w:color w:val="0000FF"/>
                </w:rPr>
                <w:t>VISEN Pharmaceuticals (hGH).</w:t>
              </w:r>
            </w:hyperlink>
          </w:p>
        </w:tc>
        <w:tc>
          <w:tcPr>
            <w:tcW w:w="278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735">
              <w:r>
                <w:rPr>
                  <w:rFonts w:ascii="Times New Roman" w:cs="Times New Roman" w:eastAsia="Times New Roman" w:hAnsi="Times New Roman"/>
                  <w:sz w:val="18"/>
                  <w:szCs w:val="18"/>
                  <w:color w:val="0000FF"/>
                </w:rPr>
                <w:t>Amendment Letter to the Exclusive Licence Agreement dated January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735">
              <w:r>
                <w:rPr>
                  <w:rFonts w:ascii="Times New Roman" w:cs="Times New Roman" w:eastAsia="Times New Roman" w:hAnsi="Times New Roman"/>
                  <w:sz w:val="18"/>
                  <w:szCs w:val="18"/>
                  <w:color w:val="0000FF"/>
                </w:rPr>
                <w:t>4, 2021 between Ascendis Pharma Bone Diseases A/S and VISEN</w:t>
              </w:r>
            </w:hyperlink>
          </w:p>
        </w:tc>
        <w:tc>
          <w:tcPr>
            <w:tcW w:w="3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735">
              <w:r>
                <w:rPr>
                  <w:rFonts w:ascii="Times New Roman" w:cs="Times New Roman" w:eastAsia="Times New Roman" w:hAnsi="Times New Roman"/>
                  <w:sz w:val="18"/>
                  <w:szCs w:val="18"/>
                  <w:color w:val="0000FF"/>
                </w:rPr>
                <w:t>Pharmaceuticals (PTH).</w:t>
              </w:r>
            </w:hyperlink>
          </w:p>
        </w:tc>
        <w:tc>
          <w:tcPr>
            <w:tcW w:w="33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Revenue Participation Right Purchase and Sale Agreement dated</w:t>
              </w:r>
            </w:hyperlink>
          </w:p>
        </w:tc>
        <w:tc>
          <w:tcPr>
            <w:tcW w:w="4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September 5, 2023 between Ascendis Pharma Endocrinology Division</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736">
              <w:r>
                <w:rPr>
                  <w:rFonts w:ascii="Times New Roman" w:cs="Times New Roman" w:eastAsia="Times New Roman" w:hAnsi="Times New Roman"/>
                  <w:sz w:val="18"/>
                  <w:szCs w:val="18"/>
                  <w:color w:val="0000FF"/>
                  <w:w w:val="99"/>
                </w:rPr>
                <w:t>A/S, Ascendis Pharma A/S and Royalty Pharma Development Funding</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736">
              <w:r>
                <w:rPr>
                  <w:rFonts w:ascii="Times New Roman" w:cs="Times New Roman" w:eastAsia="Times New Roman" w:hAnsi="Times New Roman"/>
                  <w:sz w:val="18"/>
                  <w:szCs w:val="18"/>
                  <w:color w:val="0000FF"/>
                  <w:w w:val="93"/>
                </w:rPr>
                <w:t>LLC.</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3"/>
              </w:rPr>
              <w:t>4.23*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Revenue Participation Right Purchase and Sale Agreement dated</w:t>
            </w:r>
          </w:p>
        </w:tc>
        <w:tc>
          <w:tcPr>
            <w:tcW w:w="4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September 3, 2024 between</w:t>
            </w:r>
          </w:p>
        </w:tc>
        <w:tc>
          <w:tcPr>
            <w:tcW w:w="30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4" w:right="35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0" w:type="dxa"/>
            <w:vAlign w:val="bottom"/>
          </w:tcPr>
          <w:p>
            <w:pPr>
              <w:spacing w:after="0"/>
              <w:rPr>
                <w:sz w:val="24"/>
                <w:szCs w:val="2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Pr>
          <w:p>
            <w:pPr>
              <w:spacing w:after="0"/>
              <w:rPr>
                <w:sz w:val="24"/>
                <w:szCs w:val="24"/>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24"/>
                <w:szCs w:val="24"/>
                <w:color w:val="auto"/>
              </w:rPr>
            </w:pPr>
          </w:p>
        </w:tc>
        <w:tc>
          <w:tcPr>
            <w:tcW w:w="10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6"/>
        </w:trPr>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20" w:type="dxa"/>
            <w:vAlign w:val="bottom"/>
            <w:gridSpan w:val="9"/>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67"/>
        </w:trPr>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Ascendis Pharma Bone Diseases A/S, Ascendis Pharma A/S and</w:t>
            </w: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Royalty Pharma Development Funding LLC.</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Supply Agreement dated October 1, 2022 between Ascendis Pharma</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A/S and Vetter Pharma International GmbH.</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Amendment Number 1 to Supply Agreement dated April 8, 2024</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between Ascendis Pharma A/S and Vetter Pharma International GmbH</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Ascendis Pharma A/S Restricted Stock Unit Program.</w:t>
              </w:r>
            </w:hyperlink>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2/28/2023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rPr>
              <w:t>333-270088</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Ascendis Pharma A/S Performance Stock Unit Program.</w:t>
              </w:r>
            </w:hyperlink>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2/29/2024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rPr>
              <w:t>333-277519</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Insider Trading Compliance Policy.</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Certification by Principal Executive Officer Pursuant to Section 302 of</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 302 of</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Certification by Principal Executive Officer Pursuant to Section 906 of</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 906 of</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Ascendis Pharma A/S Policy for Recovery of Erroneously Awarded</w:t>
              </w:r>
            </w:hyperlink>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97.1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99"/>
              </w:rPr>
              <w:t>001-36815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0" w:type="dxa"/>
            <w:vAlign w:val="bottom"/>
            <w:gridSpan w:val="9"/>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1"/>
          </w:tcPr>
          <w:p>
            <w:pPr>
              <w:spacing w:after="0" w:line="196" w:lineRule="exact"/>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Compensation.</w:t>
              </w:r>
            </w:hyperlink>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9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included in Exhibit 101).</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Confidential treatment has been granted for certain information contained in this Exhibit. Such information has been omitted and filed separately with the SEC.</w:t>
      </w:r>
    </w:p>
    <w:p>
      <w:pPr>
        <w:spacing w:after="0" w:line="127" w:lineRule="exact"/>
        <w:rPr>
          <w:sz w:val="20"/>
          <w:szCs w:val="20"/>
          <w:color w:val="auto"/>
        </w:rPr>
      </w:pPr>
    </w:p>
    <w:p>
      <w:pPr>
        <w:ind w:left="100" w:right="380" w:firstLine="8"/>
        <w:spacing w:after="0" w:line="298" w:lineRule="auto"/>
        <w:tabs>
          <w:tab w:leader="none" w:pos="22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marked by asterisks, have been omitted pursuant to Instruction 4(a) to Exhibits to Form 20-F because they are both (i) not material, and (ii) include information of the type that we treat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4" w:right="359" w:bottom="1440" w:gutter="0" w:footer="0" w:header="0"/>
        </w:sectPr>
      </w:pPr>
    </w:p>
    <w:bookmarkStart w:id="241" w:name="page242"/>
    <w:bookmarkEnd w:id="2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26035</wp:posOffset>
            </wp:positionV>
            <wp:extent cx="25717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Jan Møller Mikkelsen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Board Member</w:t>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26035</wp:posOffset>
            </wp:positionV>
            <wp:extent cx="257175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Scott T. Smith</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3" w:right="4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our Annual Report on Form 20-F. The summary below does not purport to be complete and is qualified in its entirety by reference to applicable Danish Law and our articles of association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“Description of American Depositary Shares”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company was incorporated on September 21, 2006 as a private limited liability company (in Danish: </w:t>
      </w:r>
      <w:r>
        <w:rPr>
          <w:rFonts w:ascii="Times New Roman" w:cs="Times New Roman" w:eastAsia="Times New Roman" w:hAnsi="Times New Roman"/>
          <w:sz w:val="18"/>
          <w:szCs w:val="18"/>
          <w:i w:val="1"/>
          <w:iCs w:val="1"/>
          <w:color w:val="auto"/>
        </w:rPr>
        <w:t>Anpartsselskab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ApS</w:t>
      </w:r>
      <w:r>
        <w:rPr>
          <w:rFonts w:ascii="Times New Roman" w:cs="Times New Roman" w:eastAsia="Times New Roman" w:hAnsi="Times New Roman"/>
          <w:sz w:val="18"/>
          <w:szCs w:val="18"/>
          <w:color w:val="auto"/>
        </w:rPr>
        <w:t>) under Danish law and is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registered with the Danish Business Authority (in Danish: </w:t>
      </w:r>
      <w:r>
        <w:rPr>
          <w:rFonts w:ascii="Times New Roman" w:cs="Times New Roman" w:eastAsia="Times New Roman" w:hAnsi="Times New Roman"/>
          <w:sz w:val="18"/>
          <w:szCs w:val="18"/>
          <w:i w:val="1"/>
          <w:iCs w:val="1"/>
          <w:color w:val="auto"/>
        </w:rPr>
        <w:t>Erhvervsstyrelsen</w:t>
      </w:r>
      <w:r>
        <w:rPr>
          <w:rFonts w:ascii="Times New Roman" w:cs="Times New Roman" w:eastAsia="Times New Roman" w:hAnsi="Times New Roman"/>
          <w:sz w:val="18"/>
          <w:szCs w:val="18"/>
          <w:color w:val="auto"/>
        </w:rPr>
        <w:t xml:space="preserve">) in Copenhagen, Denmark under registration number 29918791. On December 17, 2007, our company was converted into a public limited liability company (in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w:t>
      </w:r>
      <w:r>
        <w:rPr>
          <w:rFonts w:ascii="Times New Roman" w:cs="Times New Roman" w:eastAsia="Times New Roman" w:hAnsi="Times New Roman"/>
          <w:sz w:val="18"/>
          <w:szCs w:val="18"/>
          <w:color w:val="auto"/>
        </w:rPr>
        <w:t>). Our company’s headquarters and registered office is Tuborg Boulevard 12, DK-2900 Hellerup, Denmark.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Authorizations to our board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board of directors is authorized to increase the share capital as follows:</w:t>
      </w:r>
    </w:p>
    <w:p>
      <w:pPr>
        <w:spacing w:after="0" w:line="117" w:lineRule="exact"/>
        <w:rPr>
          <w:sz w:val="20"/>
          <w:szCs w:val="20"/>
          <w:color w:val="auto"/>
        </w:rPr>
      </w:pPr>
    </w:p>
    <w:p>
      <w:pPr>
        <w:ind w:left="1020" w:right="160" w:hanging="503"/>
        <w:spacing w:after="0" w:line="266"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9,000,000 shares with pre-emptive subscription rights for existing shareholders. Capital increases according to this authorization shall be carried out by our board of directors by way of cash contributions. This authorization is valid until May 29, 2029.</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3,825,000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as determined in accordance with Danish law. This authorization is valid until May 27, 2026.</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111,992 warrants and to increase our share capital by up to 111,912 shares without pre-emptive subscription rights for existing shareholders in connection with the exercise, if any, of said warrants and to determine the terms and conditions thereof. This authorization is valid until May 28, 2025.</w:t>
      </w:r>
    </w:p>
    <w:p>
      <w:pPr>
        <w:spacing w:after="0" w:line="6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obtain loans against issuance of convertible bonds which confer the right to subscribe for shares in the Company. The Company’s existing shareholders shall not have pre-emption rights to such shares. Our board of directors is authorized to increase the share capital by up to nominal DKK 9,000,000 by conversion of the convertible bonds. The convertible bonds shall be offered at a subscription price and a conversion price that correspond in aggregate to at least the market price of the shares at the time of the decision of our board of directors to issue the convertible bonds as determined in accordance with Danish law. The loans shall be paid in cash and our board of directors shall determine the terms and conditions for the convertible bonds. This authorization is valid until May 29, 2027.</w:t>
      </w:r>
    </w:p>
    <w:p>
      <w:pPr>
        <w:spacing w:after="0" w:line="79"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948,124 warrants to members of the executive management and employees, advisors and consultants of the Company or our subsidiaries and to increase our share capital by up to 948,124 shares, without pre-emptive subscription rights for existing shareholders in connection with the exercise, if any, of said warrants and to determine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3" w:name="page244"/>
    <w:bookmarkEnd w:id="243"/>
    <w:p>
      <w:pPr>
        <w:spacing w:after="0" w:line="86" w:lineRule="exact"/>
        <w:rPr>
          <w:sz w:val="20"/>
          <w:szCs w:val="20"/>
          <w:color w:val="auto"/>
        </w:rPr>
      </w:pPr>
    </w:p>
    <w:p>
      <w:pPr>
        <w:jc w:val="both"/>
        <w:ind w:left="1020" w:right="280"/>
        <w:spacing w:after="0" w:line="266" w:lineRule="auto"/>
        <w:rPr>
          <w:sz w:val="20"/>
          <w:szCs w:val="20"/>
          <w:color w:val="auto"/>
        </w:rPr>
      </w:pPr>
      <w:r>
        <w:rPr>
          <w:rFonts w:ascii="Times New Roman" w:cs="Times New Roman" w:eastAsia="Times New Roman" w:hAnsi="Times New Roman"/>
          <w:sz w:val="18"/>
          <w:szCs w:val="18"/>
          <w:color w:val="auto"/>
        </w:rPr>
        <w:t>The exercise price for the warrants shall be determined by the board of directors in consultation with the Company’s advisors and shall at least be equal to the market price of the shares at the time of issuance as determined in accordance with Danish law. This authorization is valid until May 29, 2027.</w:t>
      </w:r>
    </w:p>
    <w:p>
      <w:pPr>
        <w:spacing w:after="0" w:line="68" w:lineRule="exact"/>
        <w:rPr>
          <w:sz w:val="20"/>
          <w:szCs w:val="20"/>
          <w:color w:val="auto"/>
        </w:rPr>
      </w:pPr>
    </w:p>
    <w:p>
      <w:pPr>
        <w:ind w:left="1020" w:right="60" w:hanging="503"/>
        <w:spacing w:after="0" w:line="256"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1,000,000 warrants to members of the executive management and employees, advisors and consultants of the Company or our subsidiaries and to increase our share capital by up to 1,000,000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as determined in accordance with Danish law. This authorization is valid until May 29, 2029.</w:t>
      </w:r>
    </w:p>
    <w:p>
      <w:pPr>
        <w:spacing w:after="0" w:line="79"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board of directors exercises its authorizations in full, and all warrants and convertible debt instruments are exercised fully (not including already issued warrants and already issued convertible debt instruments), then our share capital will amount to 84,574,603 shares consisting of 84,574,603 shares with a nominal value of DKK 1 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ADSs are listed on The Nasdaq Global Select Market under the symbol “ASND.”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warrants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2024, our board of directors is authorized to issue 2,060,116 warrants in the period ending May 29, 2029. As of December 31, 2024, there were outstanding 6,204,122 warrants to subscribe for our ordinary shares and such warrants had a weighted-average exercise price of €93.25.</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our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warrants granted under the program from December 2012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for warrants granted under the program as in effect since December 9, 2021, the following vesting applies: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4" w:name="page245"/>
    <w:bookmarkEnd w:id="244"/>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For outstanding warrants,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expire ten years after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and PSU program</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has received authorization from stockholders during the period until May 27, 2026 to purchase up to 2,000,000 shares or ADSs representing a corresponding amount of shares in the company as treasury shares. In addition, our board of directors has received authorization from stockholders during the period until May 29, 2028 to purchase up to additional 1,000,000 shares or ADSs representing a corresponding amount of shares in the company as treasury shares.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has partially exercised this right and the company re-purchased 154,837 ADSs in November 2021 (154,837) and 1,000,000 ADSs in March 2022 (1,000,000), representing a corresponding amount of shares in the company as treasury shares primarily for grants of Restricted Stock Units (“RSUs”) and/or Performance Stock Units (“PSUs”) in connection with the implementation of a Restricted Stock Units Program (“RSU Program”) and a Performance Stock Units program (“PSU Program”). In 2024, 2023, and 2022, 212,160 ADSs, 20,098 ADSs and 41,685 ADSs, respectively, were transferred to holders under the company’s RSU Program. Similarly, in 2024, 35,007 ADSs were transferred to holders under the company’s PSU Program.</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Program</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RSUs may be granted to members of the senior management team, non-executive directors, and other employees (“RSU Participants”) employed with the company or another company within the company’s group. Our board of directors may also, at its sole discretion, decide to grant RSUs to consultants or members of our board of directors who are then also deemed RSU Participants.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One RSU represents a right for the RSU Participant to receive one ADS upon vesting. ADSs underlying RSUs are deemed to be treasury shares that have been repurchased in the market and, upon vesting, the company may at its sole discretion choose to make a cash settlement instead of delivering ADSs.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the RSU Program.</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RSUs are granted to the RSU Participant free of charge. It is a condition for vesting that the RSU Participant is still either employed or retained as consultant within the company or another company within the company’s group or serving as member of the board of directors on the vesting date. Subject to earlier vesting, upon the occurrence of certain exit events, for each award of RSUs, 1/3 of such RSUs will vest on each anniversary of the date of grant, subject to continued service.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2024, our board of directors granted an aggregate of (i) 20,610 RSUs to certain non-employee board members of the company, (ii) 158,875 RSUs to certain members of senior management of the company, and (iii) 538,495 RSUs to certain other employees of the company under the terms of the RSU Program.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Program</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PSUs may be granted to members of the senior management team, non-executive directors and other employees (“PSU Participants”) employed with the company or another company within the company’s group. Our board of directors may also at its sole discretion decide to grant PSUs to consultants or members of our board of directors, who are then also deemed PSU Participants.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One PSU represents a right for the PSU Participant to receive one ADS upon vesting. ADSs underlying PSUs are deemed to be treasury shares that have been repurchased in the market and, upon vesting, the company may at its sole discretion choose to make a cash settlement instead of delivering ADSs.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PSUs and may at its discretion and on an individual basis decide to deviate from the vesting principles and/or the vesting conditions as set forth in the company’s PSU Program.</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PSUs are granted to the PSU Participant free of charge. It is a condition for vesting that the PSU Participant is still either employed or retained as consultant within the company or another company within the company’s group or serving as member of the board of directors on the vesting date. Subject to earlier vesting, upon the occurrence of certain exit events, for each award of PSUs 1/3 of such PSUs will vest on each anniversary of the date of grant, subject to continued service and subject to the fulfillment of the performance conditions as determined by our board of directors.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PSUs and any rights or payments in respect thereto will be subject to recoupment by the company to the extent required to comply with applicable law or any policy of the company providing for the reimbursement of incentive compensation.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2024, our board of directors granted an aggregate of 92,655 PSUs to certain members of senior management of the company under the terms of the PSU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Under the 2015 Registration Rights Agreement, we were required to timely register with the Securities and Exchange Commission 1.0 million ordinary shares underlying 1.0 million ADSs (the “Fidelity Shares”), purchased by Fidelity Securities Fund: Fidelity Series Small Cap Opportunities Fund— 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Fund—Health Care Sub.</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6" w:name="page247"/>
    <w:bookmarkEnd w:id="2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register</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are obligated to maintain an owners’ register (in Danish: </w:t>
      </w:r>
      <w:r>
        <w:rPr>
          <w:rFonts w:ascii="Times New Roman" w:cs="Times New Roman" w:eastAsia="Times New Roman" w:hAnsi="Times New Roman"/>
          <w:sz w:val="18"/>
          <w:szCs w:val="18"/>
          <w:i w:val="1"/>
          <w:iCs w:val="1"/>
          <w:color w:val="auto"/>
        </w:rPr>
        <w:t>ejerbog</w:t>
      </w:r>
      <w:r>
        <w:rPr>
          <w:rFonts w:ascii="Times New Roman" w:cs="Times New Roman" w:eastAsia="Times New Roman" w:hAnsi="Times New Roman"/>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 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and Danish corporate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articles of association, the following should be emphasized: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clause</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provisions regarding the board of directors and the executive board</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our articles of association, our board of directors shall be elected by our shareholders at the general meeting and shall be composed of not less than three and no more than 10 members. The members of the board of directors are elected for a term expiring at the first coming annual general meeting following their election. Board members must retire from the board of directors at the annual general meeting following their 75th birthday. Board members are not required to own any shares of our share capital.</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9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Item 10 E. Additional Information—Taxation</w:t>
      </w:r>
      <w:r>
        <w:rPr>
          <w:rFonts w:ascii="Times New Roman" w:cs="Times New Roman" w:eastAsia="Times New Roman" w:hAnsi="Times New Roman"/>
          <w:sz w:val="18"/>
          <w:szCs w:val="18"/>
          <w:color w:val="auto"/>
        </w:rPr>
        <w:t>” in our Annual Report on Form 20-F for a summary of certain tax consequences in respect of dividends or distributions to holders of our ordinary shares or the ADSs.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subscription rights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future issuances of new shares and/or pre-emptive rights are registered under the Securities Act or with any authority outside Denmark,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shareholders in jurisdictions outside Denmark may be unable to exercise their pre-emptive subscription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on liquidation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holding of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hold shares under the articles of association or Danish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capital calls by us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as well as the Danish Companies Act, our shareholders are not obligated to pay further amounts to us. All our shares are fully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or similar obligations relating to our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requirements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CPR number or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status of the notification obligations is not fully clarified in relation to ADS holders and an ADS holder may be subject to such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the highest authority in all matters, subject to the limitations provided by Danish law and the articles of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in the Greater Copenhagen area not later than the end of May in each year.</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latest, two weeks before a general meeting (inclusive of the day of the general meeting), we shall make the following information and documents available on our webpage:</w:t>
      </w:r>
    </w:p>
    <w:p>
      <w:pPr>
        <w:spacing w:after="0" w:line="54" w:lineRule="exact"/>
        <w:rPr>
          <w:sz w:val="20"/>
          <w:szCs w:val="20"/>
          <w:color w:val="auto"/>
        </w:rPr>
      </w:pPr>
    </w:p>
    <w:p>
      <w:pPr>
        <w:ind w:left="1020" w:hanging="503"/>
        <w:spacing w:after="0"/>
        <w:tabs>
          <w:tab w:leader="none" w:pos="1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that shall be presented at the general meeting, which will, in the case of the annual general meeting, include the annual report,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complete proposals.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directly receive notices or other materials or to attend or vote at general meetings.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Resolutions in general meetings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Danish rules intended to prevent market abuse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abandoned our previous practice.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the shareholders and to third parties for acting in violation of the articles of association and Danish law.</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we have entered into agreements with our board members and members of our senior management, pursuant to which, subject to limited exceptions, we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Danish corporate law and our articles of association and Delaware corporate law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our Annual Report on Form 20-F.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board members</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Public limited liability companies in Denmark are usually subject to a two-tier governance structure with the board of directors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members of our board of directors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members of the board of directors of a limited liability company are generally appointed for an individual term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There is no limit on the number of consecutive terms the board members may serve. Pursuant to our articles of association, our board members are appointed by the general meeting of shareholders for a term of one year. Election of board members is, according to our articles of association, an item that shall be included on the agenda for the annual general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general meeting, shareholders are entitled at all times to dismiss a board member by a simple majority vote.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of whether they participate in the vote) vote in favor of having representation, we must organize an election process.</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member vacancies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in the event of a vacancy, new board members are elected by the shareholders in a general meeting. Thus, a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three.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board members may not take part in any matter or decision-making that involves a subject or transaction in relation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member has a conflict of interest with us.</w:t>
      </w:r>
    </w:p>
    <w:p>
      <w:pPr>
        <w:spacing w:after="0" w:line="15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if:</w:t>
      </w:r>
    </w:p>
    <w:p>
      <w:pPr>
        <w:spacing w:after="0" w:line="52" w:lineRule="exact"/>
        <w:rPr>
          <w:sz w:val="20"/>
          <w:szCs w:val="20"/>
          <w:color w:val="auto"/>
        </w:rPr>
      </w:pPr>
    </w:p>
    <w:p>
      <w:pPr>
        <w:ind w:left="1020" w:hanging="503"/>
        <w:spacing w:after="0"/>
        <w:tabs>
          <w:tab w:leader="none" w:pos="10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52" w:name="page253"/>
    <w:bookmarkEnd w:id="2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board members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In the event that a board member in a Danish limited liability company is unable to participate in a board meeting, the elected alternate,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meeting</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general meetings in limited liability companies shall be convened by the board of directors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Delaware law, unless otherwise provided in the certificate of incorporation or bylaws, written notice of any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given to each stockholder entitled to vote at the meeting not less than ten nor more than 60 days before the date of the meeting and shall specify the place, date, hour, and purpose or purposes of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Each ordinary share confers the right to cast one vote at the general meeting of shareholders, unless the articles of association provide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ordinary shares may cast as many votes as it holds shares. Shares that are held by the company or its subsidiaries do not confer the right to vote.</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extraordinary general meetings of shareholders will be held whenever the board of directors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9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of stockholders.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permissible for shareholders to take action and pass resolutions by written consent in the event of unanimity;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will normally not be the case in listed companies and for a listed company, this method of adopting resolutions is generally not feasible.</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The concept of appraisal rights does not exist under Danish law, except in connection with statutory redemptions rights according to the Danish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or cross-border conversion are, according to Sections 286, 306 and 318 m of the Danish Companies Act, entitled to have their shares redeemed.</w:t>
      </w:r>
    </w:p>
    <w:p>
      <w:pPr>
        <w:spacing w:after="0" w:line="18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fair value of the stockholder’s shares, in connection with certain mergers and consolidations.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only a company itself can bring a civil action against a third party; an individual shareholder does not have the right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4" w:name="page255"/>
    <w:bookmarkEnd w:id="25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Danish limited liability companies may not subscribe for newly issued shares in their own capital. Such company may, however, according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 corporation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11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possible to implement limited protective anti-takeover measures. Such provisions may include, among other things,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share classes with different voting rights, (ii) specific requirements to register the shares named in the company’s owners register and (iii) notification requirements concerning participation in general meetings. We have currently not adopted any such provisions.</w:t>
      </w:r>
    </w:p>
    <w:p>
      <w:pPr>
        <w:spacing w:after="0" w:line="173"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8" w:lineRule="exact"/>
        <w:rPr>
          <w:sz w:val="20"/>
          <w:szCs w:val="20"/>
          <w:color w:val="auto"/>
        </w:rPr>
      </w:pPr>
    </w:p>
    <w:p>
      <w:pPr>
        <w:ind w:left="1020" w:right="200" w:hanging="503"/>
        <w:spacing w:after="0" w:line="282" w:lineRule="auto"/>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Section 150 of the Danish Companies Act, a shareholder may request an inspection of the company’s books regarding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92"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certain of the corporation’s books and records, for any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during the corporation’s usual hours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shareholders have pre-emptive subscription rights in connection with capital increases that are carried out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 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8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such stock unless, and to the extent that, such rights are expressly provided for in the certificate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distribution of ordinary and extraordinary dividends requires the approval of a company’s shareholders at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Under the Danish Companies Act the general meeting may authorise the board of directors to resolve to distribute extraordinary dividends after 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 resolution to distribute extraordinary dividends is passed more than six months after the balance sheet date as set out in the company's latest approved annual report an interim balance sheet showing that sufficient funds are available for distribution must always be prepared.</w:t>
      </w:r>
    </w:p>
    <w:p>
      <w:pPr>
        <w:spacing w:after="0" w:line="16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amendments to the articles of association shall be approved by the general meeting of shareholders with a minimum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2"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7"/>
          <w:szCs w:val="17"/>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spacing w:after="0" w:line="1" w:lineRule="exact"/>
        <w:rPr>
          <w:sz w:val="20"/>
          <w:szCs w:val="20"/>
          <w:color w:val="auto"/>
        </w:rPr>
      </w:pPr>
    </w:p>
    <w:p>
      <w:pPr>
        <w:ind w:firstLine="8"/>
        <w:spacing w:after="0" w:line="253"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governing documents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All resolutions made by the general meeting may be adopted by a simple majority of the votes, subject only to the mandatory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corporation’s certificate of incorporation may be amended only if adopted and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advisable by the board of directors and approved by a majority of the outstanding shares entitled to vote (subject to limited exceptions), and the bylaws may be amended with the approval of a majority of the outstanding shares entitled to vote and may, if so provided in the certificate of incorporation, also be amended by the board of directors.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depositary for the ADSs is The Bank of New York Mellon. The Bank of New York Mellon’s depositary office and its principal executive office are located at 240 Greenwich Street, New York, New York 10286.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the ADSs. Each ADS represents one ordinary share (or a right to receive one ordinary share) deposited with The Bank of New York Mellon, acting through an office located in the United Kingdom, or any successor, as custodian for the depositary. Each ADS also represents any other securities, cash or other property which may be held by the depositary in respect of the depositary facility.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our Annual Report on Form 20-F. New York law governs the deposit agreement and the ADSs.</w:t>
      </w:r>
    </w:p>
    <w:p>
      <w:pPr>
        <w:spacing w:after="0" w:line="18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ADS. For directions on how to obtain copies of those documents, see the section titled “Item 19—Exhibits” in our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ordinary shares?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We do not expect to declare or pay any cash dividends or cash distributions on our ordinary shares for the foreseeable future. The depositary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Times New Roman" w:cs="Times New Roman" w:eastAsia="Times New Roman" w:hAnsi="Times New Roman"/>
          <w:sz w:val="18"/>
          <w:szCs w:val="18"/>
          <w:i w:val="1"/>
          <w:iCs w:val="1"/>
          <w:color w:val="auto"/>
        </w:rPr>
        <w:t>Item 10 E. Additional Information—Taxation</w:t>
      </w:r>
      <w:r>
        <w:rPr>
          <w:rFonts w:ascii="Times New Roman" w:cs="Times New Roman" w:eastAsia="Times New Roman" w:hAnsi="Times New Roman"/>
          <w:sz w:val="18"/>
          <w:szCs w:val="18"/>
          <w:color w:val="auto"/>
        </w:rPr>
        <w:t>” in our Annual Report on Form 20-F for a 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9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The depositary may distribute additional ADSs representing any ordinary shares we distribute as a dividend or free distribution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Elective Distributions in Cash or Shares</w:t>
      </w:r>
      <w:r>
        <w:rPr>
          <w:rFonts w:ascii="Times New Roman" w:cs="Times New Roman" w:eastAsia="Times New Roman" w:hAnsi="Times New Roman"/>
          <w:sz w:val="18"/>
          <w:szCs w:val="18"/>
          <w:color w:val="auto"/>
        </w:rPr>
        <w:t>. If we offer holders of our ordinary shares the option to receive dividends in either cash or shares,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8" w:name="page259"/>
    <w:bookmarkEnd w:id="258"/>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Rights to Purchase Additional Ordinary Shares</w:t>
      </w:r>
      <w:r>
        <w:rPr>
          <w:rFonts w:ascii="Times New Roman" w:cs="Times New Roman" w:eastAsia="Times New Roman" w:hAnsi="Times New Roman"/>
          <w:sz w:val="18"/>
          <w:szCs w:val="18"/>
          <w:color w:val="auto"/>
        </w:rPr>
        <w:t>. If we offer holders of our securities any rights to subscribe for additional ordinary shares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the depositary may make these rights available to ADS holders. If the depositary decides it is not legal and practical to make the rights available but that it is practical to sell the rights, the depositary will use reasonable efforts to sell the rights and distribute the net proceeds in the same way as it does with cash distributions. The depositary will allow rights that are not distributed or sold to lapse. In that case, you will receive no value for them.</w:t>
      </w:r>
    </w:p>
    <w:p>
      <w:pPr>
        <w:spacing w:after="0" w:line="18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representing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The depositary will send to you anything else we distribute to holders of deposited securities by any means it determines is equitable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practicable. If it cannot make the distribution proportionally among the owners, the depositary may adopt another equitable and practical method. It may decide to sell what we distributed and distribute the net proceeds, in the same way as it does with cash. Alternatively, it may decide to hold what we distributed, in which case ADSs will also represent the newly distributed property.</w:t>
      </w:r>
    </w:p>
    <w:p>
      <w:pPr>
        <w:spacing w:after="0" w:line="1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9" w:name="page260"/>
    <w:bookmarkEnd w:id="2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interchange between certificated ADSs and uncertificated ADSs?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21"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do so. Those materials will describe the matters to be voted on and explain how you may instruct the depositary how to vote. For instructions to be valid, they must reach the depositary by a date set by the depositary.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ordinary shares represented by your ADS.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ordinary shares represented by your ADSs are not voted as you requested.</w:t>
      </w:r>
    </w:p>
    <w:p>
      <w:pPr>
        <w:spacing w:after="0" w:line="180"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Except as described above, you will not be able to exercise your right to vote unless you withdraw the ordinary shares. However, you may not know about the shareholder meeting far enough in advance to withdraw the ordinary 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you be responsible for paying?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deposit agreement, the holders of ADSs will be required to pay the following fees: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ordinary shares or ADSs must pay:</w:t>
            </w:r>
          </w:p>
        </w:tc>
        <w:tc>
          <w:tcPr>
            <w:tcW w:w="5800" w:type="dxa"/>
            <w:vAlign w:val="bottom"/>
          </w:tcPr>
          <w:p>
            <w:pPr>
              <w:jc w:val="right"/>
              <w:ind w:right="5130"/>
              <w:spacing w:after="0"/>
              <w:rPr>
                <w:sz w:val="20"/>
                <w:szCs w:val="20"/>
                <w:color w:val="auto"/>
              </w:rPr>
            </w:pPr>
            <w:r>
              <w:rPr>
                <w:rFonts w:ascii="Times New Roman" w:cs="Times New Roman" w:eastAsia="Times New Roman" w:hAnsi="Times New Roman"/>
                <w:sz w:val="18"/>
                <w:szCs w:val="18"/>
                <w:b w:val="1"/>
                <w:bCs w:val="1"/>
                <w:i w:val="1"/>
                <w:iCs w:val="1"/>
                <w:color w:val="auto"/>
              </w:rPr>
              <w:t>For:</w:t>
            </w: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tc>
        <w:tc>
          <w:tcPr>
            <w:tcW w:w="5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Issue of ADSs, including issues resulting from a distribution of</w:t>
            </w:r>
          </w:p>
        </w:tc>
      </w:tr>
      <w:tr>
        <w:trPr>
          <w:trHeight w:val="234"/>
        </w:trPr>
        <w:tc>
          <w:tcPr>
            <w:tcW w:w="5440" w:type="dxa"/>
            <w:vAlign w:val="bottom"/>
          </w:tcPr>
          <w:p>
            <w:pPr>
              <w:spacing w:after="0"/>
              <w:rPr>
                <w:sz w:val="20"/>
                <w:szCs w:val="20"/>
                <w:color w:val="auto"/>
              </w:rPr>
            </w:pPr>
          </w:p>
        </w:tc>
        <w:tc>
          <w:tcPr>
            <w:tcW w:w="58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ordinary shares or rights or other property</w:t>
            </w:r>
          </w:p>
        </w:tc>
      </w:tr>
      <w:tr>
        <w:trPr>
          <w:trHeight w:val="648"/>
        </w:trPr>
        <w:tc>
          <w:tcPr>
            <w:tcW w:w="5440" w:type="dxa"/>
            <w:vAlign w:val="bottom"/>
          </w:tcPr>
          <w:p>
            <w:pPr>
              <w:spacing w:after="0"/>
              <w:rPr>
                <w:sz w:val="24"/>
                <w:szCs w:val="24"/>
                <w:color w:val="auto"/>
              </w:rPr>
            </w:pPr>
          </w:p>
        </w:tc>
        <w:tc>
          <w:tcPr>
            <w:tcW w:w="58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18</w:t>
            </w:r>
          </w:p>
        </w:tc>
      </w:tr>
      <w:tr>
        <w:trPr>
          <w:trHeight w:val="763"/>
        </w:trPr>
        <w:tc>
          <w:tcPr>
            <w:tcW w:w="544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117"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shares had been deposited for issue of ADSs</w:t>
      </w:r>
    </w:p>
    <w:p>
      <w:pPr>
        <w:spacing w:after="0" w:line="1" w:lineRule="exact"/>
        <w:rPr>
          <w:sz w:val="20"/>
          <w:szCs w:val="20"/>
          <w:color w:val="auto"/>
        </w:rPr>
      </w:pPr>
    </w:p>
    <w:p>
      <w:pPr>
        <w:ind w:left="120" w:right="2360"/>
        <w:spacing w:after="0" w:line="386" w:lineRule="auto"/>
        <w:rPr>
          <w:sz w:val="20"/>
          <w:szCs w:val="20"/>
          <w:color w:val="auto"/>
        </w:rPr>
      </w:pPr>
      <w:r>
        <w:rPr>
          <w:rFonts w:ascii="Times New Roman" w:cs="Times New Roman" w:eastAsia="Times New Roman" w:hAnsi="Times New Roman"/>
          <w:sz w:val="18"/>
          <w:szCs w:val="18"/>
          <w:color w:val="auto"/>
        </w:rPr>
        <w:t>$0.05 (or less) per ADS per calendar year Registration or transfer fees</w:t>
      </w: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 or share underlying an ADS, for example, share transfer taxes, stamp duty or withholding taxes</w:t>
      </w:r>
    </w:p>
    <w:p>
      <w:pPr>
        <w:spacing w:after="0" w:line="1"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45" w:right="360" w:hanging="245"/>
        <w:spacing w:after="0" w:line="282"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53" w:lineRule="exact"/>
        <w:rPr>
          <w:rFonts w:ascii="Times New Roman" w:cs="Times New Roman" w:eastAsia="Times New Roman" w:hAnsi="Times New Roman"/>
          <w:sz w:val="18"/>
          <w:szCs w:val="18"/>
          <w:color w:val="auto"/>
        </w:rPr>
      </w:pPr>
    </w:p>
    <w:p>
      <w:pPr>
        <w:ind w:left="245" w:hanging="245"/>
        <w:spacing w:after="0"/>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you</w:t>
      </w:r>
    </w:p>
    <w:p>
      <w:pPr>
        <w:spacing w:after="0" w:line="117" w:lineRule="exact"/>
        <w:rPr>
          <w:rFonts w:ascii="Times New Roman" w:cs="Times New Roman" w:eastAsia="Times New Roman" w:hAnsi="Times New Roman"/>
          <w:sz w:val="18"/>
          <w:szCs w:val="18"/>
          <w:color w:val="auto"/>
        </w:rPr>
      </w:pPr>
    </w:p>
    <w:p>
      <w:pPr>
        <w:ind w:left="245" w:right="740" w:hanging="245"/>
        <w:spacing w:after="0" w:line="282"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you</w:t>
      </w:r>
    </w:p>
    <w:p>
      <w:pPr>
        <w:spacing w:after="0" w:line="161" w:lineRule="exact"/>
        <w:rPr>
          <w:rFonts w:ascii="Times New Roman" w:cs="Times New Roman" w:eastAsia="Times New Roman" w:hAnsi="Times New Roman"/>
          <w:sz w:val="18"/>
          <w:szCs w:val="18"/>
          <w:color w:val="auto"/>
        </w:rPr>
      </w:pPr>
    </w:p>
    <w:p>
      <w:pPr>
        <w:ind w:left="245" w:hanging="245"/>
        <w:spacing w:after="0"/>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 Depositary services</w:t>
      </w:r>
    </w:p>
    <w:p>
      <w:pPr>
        <w:spacing w:after="0" w:line="117" w:lineRule="exact"/>
        <w:rPr>
          <w:rFonts w:ascii="Times New Roman" w:cs="Times New Roman" w:eastAsia="Times New Roman" w:hAnsi="Times New Roman"/>
          <w:sz w:val="18"/>
          <w:szCs w:val="18"/>
          <w:color w:val="auto"/>
        </w:rPr>
      </w:pPr>
    </w:p>
    <w:p>
      <w:pPr>
        <w:jc w:val="both"/>
        <w:ind w:left="245" w:right="200" w:hanging="245"/>
        <w:spacing w:after="0" w:line="266"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ordinary shares on our share register to or from the name of the depositary or its agent when you deposit or withdraw shares</w:t>
      </w:r>
    </w:p>
    <w:p>
      <w:pPr>
        <w:spacing w:after="0" w:line="67" w:lineRule="exact"/>
        <w:rPr>
          <w:rFonts w:ascii="Times New Roman" w:cs="Times New Roman" w:eastAsia="Times New Roman" w:hAnsi="Times New Roman"/>
          <w:sz w:val="18"/>
          <w:szCs w:val="18"/>
          <w:color w:val="auto"/>
        </w:rPr>
      </w:pPr>
    </w:p>
    <w:p>
      <w:pPr>
        <w:ind w:left="245" w:right="680" w:hanging="245"/>
        <w:spacing w:after="0" w:line="312" w:lineRule="auto"/>
        <w:tabs>
          <w:tab w:leader="none" w:pos="24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 (including SWIFT), telex and facsimile transmissions (when expressly provided in the deposit agreement)</w:t>
      </w:r>
    </w:p>
    <w:p>
      <w:pPr>
        <w:spacing w:after="0" w:line="31" w:lineRule="exact"/>
        <w:rPr>
          <w:rFonts w:ascii="Times New Roman" w:cs="Times New Roman" w:eastAsia="Times New Roman" w:hAnsi="Times New Roman"/>
          <w:sz w:val="17"/>
          <w:szCs w:val="17"/>
          <w:color w:val="auto"/>
        </w:rPr>
      </w:pPr>
    </w:p>
    <w:p>
      <w:pPr>
        <w:ind w:left="245" w:hanging="245"/>
        <w:spacing w:after="0"/>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117" w:lineRule="exact"/>
        <w:rPr>
          <w:rFonts w:ascii="Times New Roman" w:cs="Times New Roman" w:eastAsia="Times New Roman" w:hAnsi="Times New Roman"/>
          <w:sz w:val="18"/>
          <w:szCs w:val="18"/>
          <w:color w:val="auto"/>
        </w:rPr>
      </w:pPr>
    </w:p>
    <w:p>
      <w:pPr>
        <w:ind w:left="245" w:hanging="245"/>
        <w:spacing w:after="0"/>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necessary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5" w:hanging="245"/>
        <w:spacing w:after="0"/>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440" w:lineRule="exact"/>
        <w:rPr>
          <w:sz w:val="20"/>
          <w:szCs w:val="20"/>
          <w:color w:val="auto"/>
        </w:rPr>
      </w:pPr>
    </w:p>
    <w:p>
      <w:pPr>
        <w:sectPr>
          <w:pgSz w:w="11900" w:h="16838" w:orient="portrait"/>
          <w:cols w:equalWidth="0" w:num="2">
            <w:col w:w="5460" w:space="455"/>
            <w:col w:w="5285"/>
          </w:cols>
          <w:pgMar w:left="320" w:top="1440" w:right="379" w:bottom="1440" w:gutter="0" w:footer="0" w:header="0"/>
        </w:sectPr>
      </w:pPr>
    </w:p>
    <w:p>
      <w:pPr>
        <w:spacing w:after="0" w:line="256"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333" w:lineRule="exact"/>
        <w:rPr>
          <w:sz w:val="20"/>
          <w:szCs w:val="20"/>
          <w:color w:val="auto"/>
        </w:rPr>
      </w:pPr>
    </w:p>
    <w:p>
      <w:pPr>
        <w:ind w:left="120"/>
        <w:spacing w:after="0"/>
        <w:tabs>
          <w:tab w:leader="none" w:pos="4480" w:val="left"/>
        </w:tabs>
        <w:rPr>
          <w:sz w:val="20"/>
          <w:szCs w:val="20"/>
          <w:color w:val="auto"/>
        </w:rPr>
      </w:pPr>
      <w:r>
        <w:rPr>
          <w:rFonts w:ascii="Times New Roman" w:cs="Times New Roman" w:eastAsia="Times New Roman" w:hAnsi="Times New Roman"/>
          <w:sz w:val="18"/>
          <w:szCs w:val="18"/>
          <w:b w:val="1"/>
          <w:bCs w:val="1"/>
          <w:i w:val="1"/>
          <w:iCs w:val="1"/>
          <w:color w:val="auto"/>
        </w:rPr>
        <w:t>If we:</w:t>
      </w:r>
      <w:r>
        <w:rPr>
          <w:sz w:val="20"/>
          <w:szCs w:val="20"/>
          <w:color w:val="auto"/>
        </w:rPr>
        <w:tab/>
      </w:r>
      <w:r>
        <w:rPr>
          <w:rFonts w:ascii="Times New Roman" w:cs="Times New Roman" w:eastAsia="Times New Roman" w:hAnsi="Times New Roman"/>
          <w:sz w:val="17"/>
          <w:szCs w:val="17"/>
          <w:b w:val="1"/>
          <w:bCs w:val="1"/>
          <w:i w:val="1"/>
          <w:iCs w:val="1"/>
          <w:color w:val="auto"/>
        </w:rPr>
        <w:t>Then:</w:t>
      </w:r>
    </w:p>
    <w:p>
      <w:pPr>
        <w:sectPr>
          <w:pgSz w:w="11900" w:h="16838" w:orient="portrait"/>
          <w:cols w:equalWidth="0" w:num="1">
            <w:col w:w="11200"/>
          </w:cols>
          <w:pgMar w:left="320" w:top="1440" w:right="379" w:bottom="1440" w:gutter="0" w:footer="0" w:header="0"/>
        </w:sectPr>
      </w:pPr>
    </w:p>
    <w:p>
      <w:pPr>
        <w:spacing w:after="0" w:line="121" w:lineRule="exact"/>
        <w:rPr>
          <w:sz w:val="20"/>
          <w:szCs w:val="20"/>
          <w:color w:val="auto"/>
        </w:rPr>
      </w:pPr>
    </w:p>
    <w:p>
      <w:pPr>
        <w:ind w:left="500" w:right="260" w:hanging="199"/>
        <w:spacing w:after="0" w:line="282" w:lineRule="auto"/>
        <w:tabs>
          <w:tab w:leader="none" w:pos="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nominal or par value of our ordinary shares</w:t>
      </w:r>
    </w:p>
    <w:p>
      <w:pPr>
        <w:spacing w:after="0" w:line="53" w:lineRule="exact"/>
        <w:rPr>
          <w:rFonts w:ascii="Times New Roman" w:cs="Times New Roman" w:eastAsia="Times New Roman" w:hAnsi="Times New Roman"/>
          <w:sz w:val="18"/>
          <w:szCs w:val="18"/>
          <w:color w:val="auto"/>
        </w:rPr>
      </w:pPr>
    </w:p>
    <w:p>
      <w:pPr>
        <w:ind w:left="500" w:right="560" w:hanging="199"/>
        <w:spacing w:after="0" w:line="282" w:lineRule="auto"/>
        <w:tabs>
          <w:tab w:leader="none" w:pos="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up or consolidate any of the deposited securities</w:t>
      </w:r>
    </w:p>
    <w:p>
      <w:pPr>
        <w:spacing w:after="0" w:line="53" w:lineRule="exact"/>
        <w:rPr>
          <w:rFonts w:ascii="Times New Roman" w:cs="Times New Roman" w:eastAsia="Times New Roman" w:hAnsi="Times New Roman"/>
          <w:sz w:val="18"/>
          <w:szCs w:val="18"/>
          <w:color w:val="auto"/>
        </w:rPr>
      </w:pPr>
    </w:p>
    <w:p>
      <w:pPr>
        <w:ind w:left="500" w:right="80" w:hanging="199"/>
        <w:spacing w:after="0" w:line="282" w:lineRule="auto"/>
        <w:tabs>
          <w:tab w:leader="none" w:pos="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securities on the ordinary shares that are not distributed to you</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500" w:hanging="199"/>
        <w:spacing w:after="0" w:line="266" w:lineRule="auto"/>
        <w:tabs>
          <w:tab w:leader="none" w:pos="5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Recapitalize, reorganize, merge, liquidate, sell all or substantially all of our assets, or take any similar action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The cash, ordinary shares or other securities received by the depositary will become deposited securities.</w:t>
      </w:r>
    </w:p>
    <w:p>
      <w:pPr>
        <w:spacing w:after="0"/>
        <w:rPr>
          <w:sz w:val="20"/>
          <w:szCs w:val="20"/>
          <w:color w:val="auto"/>
        </w:rPr>
      </w:pPr>
      <w:r>
        <w:rPr>
          <w:rFonts w:ascii="Times New Roman" w:cs="Times New Roman" w:eastAsia="Times New Roman" w:hAnsi="Times New Roman"/>
          <w:sz w:val="18"/>
          <w:szCs w:val="18"/>
          <w:color w:val="auto"/>
        </w:rPr>
        <w:t>Each ADS will automatically represent its equal share of the new deposited securities.</w:t>
      </w:r>
    </w:p>
    <w:p>
      <w:pPr>
        <w:spacing w:after="0" w:line="31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pacing w:after="0" w:line="1050" w:lineRule="exact"/>
        <w:rPr>
          <w:sz w:val="20"/>
          <w:szCs w:val="20"/>
          <w:color w:val="auto"/>
        </w:rPr>
      </w:pPr>
    </w:p>
    <w:p>
      <w:pPr>
        <w:sectPr>
          <w:pgSz w:w="11900" w:h="16838" w:orient="portrait"/>
          <w:cols w:equalWidth="0" w:num="2">
            <w:col w:w="4240" w:space="260"/>
            <w:col w:w="6700"/>
          </w:cols>
          <w:pgMar w:left="320" w:top="1440" w:right="379" w:bottom="1440" w:gutter="0" w:footer="0" w:header="0"/>
          <w:type w:val="continuous"/>
        </w:sect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62" w:name="page263"/>
    <w:bookmarkEnd w:id="2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depositary:</w:t>
      </w:r>
    </w:p>
    <w:p>
      <w:pPr>
        <w:spacing w:after="0" w:line="99" w:lineRule="exact"/>
        <w:rPr>
          <w:sz w:val="20"/>
          <w:szCs w:val="20"/>
          <w:color w:val="auto"/>
        </w:rPr>
      </w:pPr>
    </w:p>
    <w:p>
      <w:pPr>
        <w:ind w:left="1020" w:hanging="503"/>
        <w:spacing w:after="0"/>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is prevented or delayed by law or circumstances beyond our control from performing our obligations under the deposit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exercises, or fails to exercise, discretion permitted under the deposit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to holders of ADSs under the terms of the deposit agreement, or for any special,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tax consequences to any holders of ADSs on account of their ownership of ADSs;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person.</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an ADS, make a distribution on an ADS, or permit withdrawal of ordinary shares, the depositary may require:</w:t>
      </w:r>
    </w:p>
    <w:p>
      <w:pPr>
        <w:spacing w:after="0" w:line="54" w:lineRule="exact"/>
        <w:rPr>
          <w:sz w:val="20"/>
          <w:szCs w:val="20"/>
          <w:color w:val="auto"/>
        </w:rPr>
      </w:pPr>
    </w:p>
    <w:p>
      <w:pPr>
        <w:ind w:left="1020" w:right="520" w:hanging="503"/>
        <w:spacing w:after="0" w:line="282" w:lineRule="auto"/>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Right to Receive the Ordinary Shares Underlying Your ADSs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ordinary shares at any time except:</w:t>
      </w:r>
    </w:p>
    <w:p>
      <w:pPr>
        <w:spacing w:after="0" w:line="117" w:lineRule="exact"/>
        <w:rPr>
          <w:sz w:val="20"/>
          <w:szCs w:val="20"/>
          <w:color w:val="auto"/>
        </w:rPr>
      </w:pPr>
    </w:p>
    <w:p>
      <w:pPr>
        <w:ind w:left="1020" w:hanging="503"/>
        <w:spacing w:after="0" w:line="282" w:lineRule="auto"/>
        <w:tabs>
          <w:tab w:leader="none" w:pos="10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and</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3" w:name="page264"/>
    <w:bookmarkEnd w:id="26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of withdrawal is not limited by any other provision of the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 ADS Holder Information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CERTAIN IDENTIFIED CONFIDENTIAL INFORMATION HAS BEEN REDACTED FROM THIS EXHIBIT BECAUSE IT IS (I) CUSTOMARILY AND ACTUALLY TREATED AS PRIVATE OR CONFIDENTIAL AND (II) NOT MATERIAL. CONFIDENTIAL PORTIONS OF THIS EXHIBIT ARE DESIGNATED BY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Participation Right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and Sale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Between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Ascendis Pharma Bone Diseases A/S and Ascendis Pharma A/S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September 3,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ACTIVE/78804560.7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ACTIVE/93721142.5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86"/>
        </w:trPr>
        <w:tc>
          <w:tcPr>
            <w:tcW w:w="1380" w:type="dxa"/>
            <w:vAlign w:val="bottom"/>
          </w:tcPr>
          <w:p>
            <w:pPr>
              <w:spacing w:after="0"/>
              <w:rPr>
                <w:sz w:val="24"/>
                <w:szCs w:val="24"/>
                <w:color w:val="auto"/>
              </w:rPr>
            </w:pPr>
          </w:p>
        </w:tc>
        <w:tc>
          <w:tcPr>
            <w:tcW w:w="7740" w:type="dxa"/>
            <w:vAlign w:val="bottom"/>
          </w:tcPr>
          <w:p>
            <w:pPr>
              <w:ind w:left="30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080" w:type="dxa"/>
            <w:vAlign w:val="bottom"/>
          </w:tcPr>
          <w:p>
            <w:pPr>
              <w:spacing w:after="0"/>
              <w:rPr>
                <w:sz w:val="24"/>
                <w:szCs w:val="24"/>
                <w:color w:val="auto"/>
              </w:rPr>
            </w:pPr>
          </w:p>
        </w:tc>
      </w:tr>
      <w:tr>
        <w:trPr>
          <w:trHeight w:val="459"/>
        </w:trPr>
        <w:tc>
          <w:tcPr>
            <w:tcW w:w="13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080" w:type="dxa"/>
            <w:vAlign w:val="bottom"/>
          </w:tcPr>
          <w:p>
            <w:pPr>
              <w:jc w:val="right"/>
              <w:ind w:right="14"/>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1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1.1</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1.2</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Certain Interpretations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1.3</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Headings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2 PURCHASE, SALE AND ASSIGNMENT OF THE REVENUE PARTICIPATION RIGHT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2.1</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Purchase, Sale and Assignment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2.2</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Assumed Obligations,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2.3</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True Sale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3 CLOSING; PAYMENT OF PURCHASE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3.1</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Closing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3.2</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Payment of Purchase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3.3</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Bill o</w:t>
            </w:r>
            <w:r>
              <w:rPr>
                <w:rFonts w:ascii="Times New Roman" w:cs="Times New Roman" w:eastAsia="Times New Roman" w:hAnsi="Times New Roman"/>
                <w:sz w:val="22"/>
                <w:szCs w:val="22"/>
                <w:color w:val="000000"/>
              </w:rPr>
              <w:t>f Sale [***].</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3.4</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Seller Form W-8BEN-E.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3.5</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Buyer Form W-9.</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1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4 REPRESENTATIONS AND WARRANTIES OF THE SELLER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Existence; Good Standing</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4.2</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Authorization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4.3</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Enforceability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4.4</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Conflicts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4.5</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Consents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4.6</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4.7</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Compliance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4.8</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Licenses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4.9</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Manufacturing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4.10</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Intellectual Property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4.11</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Title to Revenue Participation Right; No Liens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4.12</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Indebtedness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4.13</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Lien Related Representation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4.14</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Brokers’ Fees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4.15</w:t>
            </w:r>
          </w:p>
        </w:tc>
        <w:tc>
          <w:tcPr>
            <w:tcW w:w="774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Foreign Corrupt Practices Act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4.16</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Additional Products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5 REPRESENTATIONS AND WARRANTIES OF THE BUYER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5.1</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Existence; Good Standing</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5.2</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Authorization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5.3</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Enforceability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5.4</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Conflicts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5.5</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Consents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5.6</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Litigation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5.7</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Financing</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5.8</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Brokers’ Fees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6 NO OTHER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7 COVENANTS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7.1</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Seller Diligence Requirements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7.2</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Reporting</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7.3</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Revenue Payments; Revenue Payment Details; Buy-Out Payment.</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7.4</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Inspections and Audits of the Seller</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7.5</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Intellectual Property Matters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7.6</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In-Licenses and Intercompany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7.7</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Out-Licenses and Contract Manufacturing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7.8</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Disclosures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7.9</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Post-Closing Obligation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7.10</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Efforts to Consummate Transactions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7.11</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Further Assurances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7.12</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Late 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7.13</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Negative Pledge; Preservation of Assets; Lien Cooperation.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8 INDEMNIFICATION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3"/>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8.1</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General Indemnity</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8.2</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Notice of Claims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8.3</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Limitations on Liability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8.4</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Third Party Claims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8.5</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Exclusive Remedy</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5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0000FF"/>
              </w:rPr>
              <w:t>Section 8.6</w:t>
            </w:r>
          </w:p>
        </w:tc>
        <w:tc>
          <w:tcPr>
            <w:tcW w:w="782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Tax Treatment for Indemnification 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9 CONFIDENTIALITY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9.1</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Confidentiality</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9.2</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Authorized Disclosure.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2"/>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10 TERMINATION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10.1</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Term and Expiration; Surviving Payments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10.2</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Mutual Termination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10.3</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Survival</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12"/>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ARTICLE 11 MISCELLANEOUS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Notices</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11.2</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Expenses</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11.3</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Assignment; Transfer Restrictions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11.4</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Amendment and Waiver</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11.5</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Entire Agreement</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11.6</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No Third Party Beneficiaries</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11.7</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Governing Law</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11.8</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Jurisdiction; Venue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11.9</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Severability</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11.10</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Specific Performance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11.11</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Counterparts</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11.12</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Relationship of the Parties; Cooperation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11.13</w:t>
            </w:r>
          </w:p>
        </w:tc>
        <w:tc>
          <w:tcPr>
            <w:tcW w:w="67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Parent Guarantee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572770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268" w:name="page269"/>
    <w:bookmarkEnd w:id="268"/>
    <w:p>
      <w:pPr>
        <w:jc w:val="right"/>
        <w:ind w:right="3719"/>
        <w:spacing w:after="0"/>
        <w:rPr>
          <w:sz w:val="20"/>
          <w:szCs w:val="20"/>
          <w:color w:val="auto"/>
        </w:rPr>
      </w:pPr>
      <w:r>
        <w:rPr>
          <w:rFonts w:ascii="Times New Roman" w:cs="Times New Roman" w:eastAsia="Times New Roman" w:hAnsi="Times New Roman"/>
          <w:sz w:val="22"/>
          <w:szCs w:val="22"/>
          <w:b w:val="1"/>
          <w:bCs w:val="1"/>
          <w:u w:val="single" w:color="auto"/>
          <w:color w:val="auto"/>
        </w:rPr>
        <w:t>Index of Exhibits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Payment Instructions</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Form of Bill of Sale</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Existing Intercompany Agreements</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269" w:name="page270"/>
    <w:bookmarkEnd w:id="269"/>
    <w:p>
      <w:pPr>
        <w:ind w:left="10320"/>
        <w:spacing w:after="0"/>
        <w:rPr>
          <w:sz w:val="20"/>
          <w:szCs w:val="20"/>
          <w:color w:val="auto"/>
        </w:rPr>
      </w:pPr>
      <w:r>
        <w:rPr>
          <w:rFonts w:ascii="Times New Roman" w:cs="Times New Roman" w:eastAsia="Times New Roman" w:hAnsi="Times New Roman"/>
          <w:sz w:val="17"/>
          <w:szCs w:val="17"/>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REVENUE PARTICIPATION RIGHT PURCHASE AND SALE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REVENUE PARTICIPATION RIGHT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September 3,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 entered into by and between Royalty Pharma Development Funding, LLC, a Delaware limited liability company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Ascendis Pharma Bone Diseases A/S, a corporation organized under the laws of Denmark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Ascendis Pharma A/S, a public limited liability company (</w:t>
      </w:r>
      <w:r>
        <w:rPr>
          <w:rFonts w:ascii="Times New Roman" w:cs="Times New Roman" w:eastAsia="Times New Roman" w:hAnsi="Times New Roman"/>
          <w:sz w:val="22"/>
          <w:szCs w:val="22"/>
          <w:i w:val="1"/>
          <w:iCs w:val="1"/>
          <w:color w:val="auto"/>
        </w:rPr>
        <w:t>Aktieselskab</w:t>
      </w:r>
      <w:r>
        <w:rPr>
          <w:rFonts w:ascii="Times New Roman" w:cs="Times New Roman" w:eastAsia="Times New Roman" w:hAnsi="Times New Roman"/>
          <w:sz w:val="22"/>
          <w:szCs w:val="22"/>
          <w:color w:val="auto"/>
        </w:rPr>
        <w:t>) organized under the laws of Denmark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of the Seller).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Seller is in the business of, among other things, developing and Commercializing the Product in the Territory; and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Buyer desires to purchase the Revenue Participation Right and receive the Revenue Payments from the Seller, and the Seller desires to sell the Revenue Participation Right and make the Revenue Payments to the Buyer, in each case on the terms and conditions set forth in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Seller, the Parent and the Buyer hereby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terms, as used herein, shall have the following meanings: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2023 Agreement</w:t>
      </w:r>
      <w:r>
        <w:rPr>
          <w:rFonts w:ascii="Times New Roman" w:cs="Times New Roman" w:eastAsia="Times New Roman" w:hAnsi="Times New Roman"/>
          <w:sz w:val="22"/>
          <w:szCs w:val="22"/>
          <w:color w:val="auto"/>
        </w:rPr>
        <w:t>” means that certain Revenue Participation Right Purchase and Sale Agreement by and among Ascendis Pharma Endocrinology Division A/S, the Parent and the Buyer, dated September 5, 2023.</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2023 Back-Up Security Interest</w:t>
      </w:r>
      <w:r>
        <w:rPr>
          <w:rFonts w:ascii="Times New Roman" w:cs="Times New Roman" w:eastAsia="Times New Roman" w:hAnsi="Times New Roman"/>
          <w:sz w:val="22"/>
          <w:szCs w:val="22"/>
          <w:color w:val="auto"/>
        </w:rPr>
        <w:t>” has the meaning ascribed to “Back-Up Security Interest” in the 2023 Agreement.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Ascendis Technology</w:t>
      </w:r>
      <w:r>
        <w:rPr>
          <w:rFonts w:ascii="Times New Roman" w:cs="Times New Roman" w:eastAsia="Times New Roman" w:hAnsi="Times New Roman"/>
          <w:sz w:val="22"/>
          <w:szCs w:val="22"/>
          <w:color w:val="auto"/>
        </w:rPr>
        <w:t>” means, as of the Effective Date or at any time thereafter during the term of this Agreement, Seller’s and/or its Affiliates’ proprietary chemistry, materials and methodologies for transiently covalently coupling a substrate of interest (e.g., a peptide, protein, small molecule or any other drug) to various carriers via a TransCon Linker, thereby allowing release of the transiently linked substrate in a controlled manner over time for a therapeutic or prophylactic effect.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particular Person, any other Person directly or indirectly controlling, controlled by or under common control with such particular Person. For purposes of the foregoing sentence, the term “control” means direct or indirect ownership of (a) fifty percent (50%) or more, including ownership by trusts with substantially the same beneficial interests, of the voting and equity rights of such Person, firm, trust, corporation, partnership 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0" w:name="page271"/>
    <w:bookmarkEnd w:id="270"/>
    <w:p>
      <w:pPr>
        <w:jc w:val="both"/>
        <w:spacing w:after="0" w:line="236" w:lineRule="auto"/>
        <w:rPr>
          <w:sz w:val="20"/>
          <w:szCs w:val="20"/>
          <w:color w:val="auto"/>
        </w:rPr>
      </w:pPr>
      <w:r>
        <w:rPr>
          <w:rFonts w:ascii="Times New Roman" w:cs="Times New Roman" w:eastAsia="Times New Roman" w:hAnsi="Times New Roman"/>
          <w:sz w:val="22"/>
          <w:szCs w:val="22"/>
          <w:color w:val="auto"/>
        </w:rPr>
        <w:t>other entity or combination thereof, or (b) the power to direct the management of such person, firm, trust, corporation, partnership or other entity or combination thereof, by contract or otherwise. For purposes hereof, any Person shall be deemed to control a partnership, limited liability company, association or other business entity if such Person,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 Arbitrator</w:t>
      </w:r>
      <w:r>
        <w:rPr>
          <w:rFonts w:ascii="Times New Roman" w:cs="Times New Roman" w:eastAsia="Times New Roman" w:hAnsi="Times New Roman"/>
          <w:sz w:val="22"/>
          <w:szCs w:val="22"/>
          <w:color w:val="auto"/>
        </w:rPr>
        <w:t>” is defined in Section 7.4(d).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Stability Period</w:t>
      </w:r>
      <w:r>
        <w:rPr>
          <w:rFonts w:ascii="Times New Roman" w:cs="Times New Roman" w:eastAsia="Times New Roman" w:hAnsi="Times New Roman"/>
          <w:sz w:val="22"/>
          <w:szCs w:val="22"/>
          <w:color w:val="auto"/>
        </w:rPr>
        <w:t>” means the expiry dating period for YORVIPATH from its date of manufacture when YORVIPATH is stored at two (2) degrees Celsius to eight (8) degrees Celsius, for which the Seller or its Affiliates has received Marketing Approval in the Territory.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Security Interest</w:t>
      </w:r>
      <w:r>
        <w:rPr>
          <w:rFonts w:ascii="Times New Roman" w:cs="Times New Roman" w:eastAsia="Times New Roman" w:hAnsi="Times New Roman"/>
          <w:sz w:val="22"/>
          <w:szCs w:val="22"/>
          <w:color w:val="auto"/>
        </w:rPr>
        <w:t>” is defined in Section 2.3.</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Laws</w:t>
      </w:r>
      <w:r>
        <w:rPr>
          <w:rFonts w:ascii="Times New Roman" w:cs="Times New Roman" w:eastAsia="Times New Roman" w:hAnsi="Times New Roman"/>
          <w:sz w:val="22"/>
          <w:szCs w:val="22"/>
          <w:color w:val="auto"/>
        </w:rPr>
        <w:t>” means, collectively, bankruptcy, insolvency, reorganization, moratorium, fraudulent conveyance, fraudulent transfer or other similar laws affecting the enforcement of creditors’ rights generally.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is defined in Section 3.3.</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or Denmark are permitted or required by applicable law or regulation to remain closed.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Buy-Out Notice</w:t>
      </w:r>
      <w:r>
        <w:rPr>
          <w:rFonts w:ascii="Times New Roman" w:cs="Times New Roman" w:eastAsia="Times New Roman" w:hAnsi="Times New Roman"/>
          <w:sz w:val="22"/>
          <w:szCs w:val="22"/>
          <w:color w:val="auto"/>
        </w:rPr>
        <w:t>” is defined in Section 7.3(d)(ii).</w:t>
      </w:r>
    </w:p>
    <w:p>
      <w:pPr>
        <w:spacing w:after="0" w:line="220" w:lineRule="exact"/>
        <w:rPr>
          <w:sz w:val="20"/>
          <w:szCs w:val="20"/>
          <w:color w:val="auto"/>
        </w:rPr>
      </w:pPr>
    </w:p>
    <w:p>
      <w:pPr>
        <w:jc w:val="both"/>
        <w:ind w:firstLine="825"/>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Buy-Out Payment</w:t>
      </w:r>
      <w:r>
        <w:rPr>
          <w:rFonts w:ascii="Times New Roman" w:cs="Times New Roman" w:eastAsia="Times New Roman" w:hAnsi="Times New Roman"/>
          <w:sz w:val="21"/>
          <w:szCs w:val="21"/>
          <w:color w:val="auto"/>
        </w:rPr>
        <w:t>” means, (a) in the case of Section 7.3(d)(i), 2.0 times the Purchase Price minus the Revenue Payments paid to the Buyer as of the effective date of the Change of Control, provided, if the Change of Control occurs on or prior to September 30, 2028 and Seller has paid Buyer Revenue Payments equal to the Purchase Price as of the date of the Change of Control, then 1.65 times the Purchase Price minus the Revenue Payments paid to the Buyer as of the effective date of the Change of Control and (b) in the case of Section 7.3(d)(ii), 2.0 times the Purchase Price minus the Revenue Payments paid to the Buyer as of the effective date of the Buy-Out Notice, provided, if the Buy-Out Notice is provided on or prior to September 30, 2028 and Seller has paid Buyer Revenue Payments equal to the Purchase Price as of the date of the Buy-Out Notice, then 1.65 times the Purchase Price minus the Revenue Payments paid to the Buyer as of the effective date of the Buy-Out Notice.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is defined in Section 8.1(a).</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period of three (3) consecutive months ending at midnight, Copenhagen, Denmark time on the last day of March, June, September, or December, respectively.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1" w:name="page272"/>
    <w:bookmarkEnd w:id="27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(12) consecutive months commencing on January 1 of any year.</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 a transaction or series of related transactions that results in the sale or other disposition of all or substantially all of the Parent’s and its Affiliates’ assets, on a consolidated basis; or (b) a merger or consolidation with a Third Party in which the Parent is not the surviving corporation or in which, if the Parent is the surviving corporation, the shareholders of the Parent immediately prior to the consummation of such merger or consolidation do not, immediately after consummation of such merger or consolidation, possess, directly or indirectly through one or more intermediaries, and acting jointly, a majority of the voting power of all of the surviving entity’s outstanding stock and other securities and the power to elect a majority of the members of Parent’s board of directors; or (c) a transaction or series of related transactions with one or more Third Parties (which may include a tender offer for the Parent’s stock or the issuance, sale or exchange of stock of the Parent) if the shareholders of the Parent immediately prior to such transaction(s) do not, immediately after consummation of such transaction(s), possess, directly or indirectly through one or more intermediaries, and acting jointly, a majority of the voting power of all of the Parent’s or its successor’s outstanding stock and other securities and the power to elect a majority of the members of the Parent’s or its successor’s board of directors.</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Co-Commercialization Agreement</w:t>
      </w:r>
      <w:r>
        <w:rPr>
          <w:rFonts w:ascii="Times New Roman" w:cs="Times New Roman" w:eastAsia="Times New Roman" w:hAnsi="Times New Roman"/>
          <w:sz w:val="22"/>
          <w:szCs w:val="22"/>
          <w:color w:val="auto"/>
        </w:rPr>
        <w:t>” means any written agreement to which the Seller or any of its Affiliates is a party pursuant to which the Seller (or such Affiliate) and the counterparty agree to co-Commercialize the Product in the Territory, including sharing in the net profits (and losses) of such Commercialization, (a) with a Permitted Transferee or (b) with the Seller (or its Affiliate) (i) retaining the sole right to book all co-Commercialization sales of the Product in the Territory and (ii) entitled to at least a fifty percent (50%) share of such net profits (and losses) or alternatively at least a fifty percent (50%) share of net sales of the Product in the Territory.</w:t>
      </w:r>
    </w:p>
    <w:p>
      <w:pPr>
        <w:spacing w:after="0" w:line="181" w:lineRule="exact"/>
        <w:rPr>
          <w:sz w:val="20"/>
          <w:szCs w:val="20"/>
          <w:color w:val="auto"/>
        </w:rPr>
      </w:pPr>
    </w:p>
    <w:p>
      <w:pPr>
        <w:jc w:val="both"/>
        <w:ind w:firstLine="830"/>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Launch</w:t>
      </w:r>
      <w:r>
        <w:rPr>
          <w:rFonts w:ascii="Times New Roman" w:cs="Times New Roman" w:eastAsia="Times New Roman" w:hAnsi="Times New Roman"/>
          <w:sz w:val="22"/>
          <w:szCs w:val="22"/>
          <w:color w:val="auto"/>
        </w:rPr>
        <w:t>” means the occurrence of both (a) the first sale of a Product by or on behalf of Seller or its Affiliates or any Licensees to a Third Party for end use or consumption of such Product in the Territory after Regulatory Approval required to market and sell such Product has been granted in the Territory, and (b) the availability of sufficient ready-for-sale inventory of Product in commercial quantities for Commercialization in the Territory in all approved dosages.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any and all activities directed to the distribution, marketing, detailing, promotion, commercial launching, selling and securing of reimbursement of a product (including using, importing, selling and offering for sale of the product ), and shall include post-Marketing Approval studies, post-launch marketing, promoting, detailing, marketing research, distributing, customer service, or transporting a product for sale, and regulatory compliance with respect to the foregoing. When used as a verb,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shall mean to engage in Commercialization. For clarity,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excludes Manufacturing activities.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by the Seller and its Affiliates with respect to any objective, such reasonable and diligent efforts to accomplish such objective as a recently commercial stage biopharmaceutical enterprise would normally use to accomplish a similar objective under similar circumstances. It is understood and agreed that with respect to the conduct of the Manufacture of the Product for Commercialization in the Territory and the Commercialization of the Product in the Territory, including the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2" w:name="page273"/>
    <w:bookmarkEnd w:id="272"/>
    <w:p>
      <w:pPr>
        <w:jc w:val="both"/>
        <w:spacing w:after="0" w:line="236" w:lineRule="auto"/>
        <w:rPr>
          <w:sz w:val="20"/>
          <w:szCs w:val="20"/>
          <w:color w:val="auto"/>
        </w:rPr>
      </w:pPr>
      <w:r>
        <w:rPr>
          <w:rFonts w:ascii="Times New Roman" w:cs="Times New Roman" w:eastAsia="Times New Roman" w:hAnsi="Times New Roman"/>
          <w:sz w:val="22"/>
          <w:szCs w:val="22"/>
          <w:color w:val="auto"/>
        </w:rPr>
        <w:t>commercial launch of the Product in the Territory, by the Seller and its Affiliates (including through their Licensees and Manufacturers), such efforts shall be substantially equivalent to those efforts and resources commonly used by a recently commercial stage biopharmaceutical enterprise for pharmaceutical products owned by it, which product is at a similar stage in its product life and is of similar market potential taking into account efficacy, safety, approved labeling, the competitiveness of alternative products in the marketplace, the patent and other proprietary position of the product and the profitability of the product (excluding the amounts payable to the Buyer pursuant to this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&amp; IP Report</w:t>
      </w:r>
      <w:r>
        <w:rPr>
          <w:rFonts w:ascii="Times New Roman" w:cs="Times New Roman" w:eastAsia="Times New Roman" w:hAnsi="Times New Roman"/>
          <w:sz w:val="22"/>
          <w:szCs w:val="22"/>
          <w:color w:val="auto"/>
        </w:rPr>
        <w:t>” is defined in Section 7.2(a).</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Updates</w:t>
      </w:r>
      <w:r>
        <w:rPr>
          <w:rFonts w:ascii="Times New Roman" w:cs="Times New Roman" w:eastAsia="Times New Roman" w:hAnsi="Times New Roman"/>
          <w:sz w:val="22"/>
          <w:szCs w:val="22"/>
          <w:color w:val="auto"/>
        </w:rPr>
        <w:t>” means a summary of material updates with respect to the Related Parties’ Commercialization of the Product in the Territory.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is defined in Section 9.1.</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Manufacturing Agreement</w:t>
      </w:r>
      <w:r>
        <w:rPr>
          <w:rFonts w:ascii="Times New Roman" w:cs="Times New Roman" w:eastAsia="Times New Roman" w:hAnsi="Times New Roman"/>
          <w:sz w:val="22"/>
          <w:szCs w:val="22"/>
          <w:color w:val="auto"/>
        </w:rPr>
        <w:t>” means any agreement or arrangement between the Seller or any of its Affiliates and any Third Party for the Manufacture of a product, including bulk drug product, bulk drug substance and finished product.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 Intercreditor Agreement</w:t>
      </w:r>
      <w:r>
        <w:rPr>
          <w:rFonts w:ascii="Times New Roman" w:cs="Times New Roman" w:eastAsia="Times New Roman" w:hAnsi="Times New Roman"/>
          <w:sz w:val="22"/>
          <w:szCs w:val="22"/>
          <w:color w:val="auto"/>
        </w:rPr>
        <w:t>” means a customary intercreditor agreement between the Buyer and a senior debt provider providing: (a) [***]; (b) [***]; (c) [***]; and (d) any other provisions reasonably satisfactory to the senior debt provider and the Buyer consistent with clauses (a)-(c) above and consistent with the premise that (i) [***] and (ii) [***]; and (e) the Buyer shall not interfere with such senior debt provider enforcing its rights and remedies as a secured creditor (to the extent such enforcement is not inconsistent with clauses (a)-(d) above).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is defined in Section 9.1.</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means the Disclosure Schedule, dated as of the Effective Date, delivered to the Buyer by the Seller concurrently with the execution of this Agreement.</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Distributor</w:t>
      </w:r>
      <w:r>
        <w:rPr>
          <w:rFonts w:ascii="Times New Roman" w:cs="Times New Roman" w:eastAsia="Times New Roman" w:hAnsi="Times New Roman"/>
          <w:sz w:val="22"/>
          <w:szCs w:val="22"/>
          <w:color w:val="auto"/>
        </w:rPr>
        <w:t>” means a Third Party that has the right, option or obligation to distribute, market and sell the Product (with or without any devices or delivery systems) in one or more regions in the Territory on behalf of a Related Party.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Contract Manufacturing Agreement</w:t>
      </w:r>
      <w:r>
        <w:rPr>
          <w:rFonts w:ascii="Times New Roman" w:cs="Times New Roman" w:eastAsia="Times New Roman" w:hAnsi="Times New Roman"/>
          <w:sz w:val="22"/>
          <w:szCs w:val="22"/>
          <w:color w:val="auto"/>
        </w:rPr>
        <w:t>” has the meaning set forth in Section 4.9.</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Intercompany Agreements</w:t>
      </w:r>
      <w:r>
        <w:rPr>
          <w:rFonts w:ascii="Times New Roman" w:cs="Times New Roman" w:eastAsia="Times New Roman" w:hAnsi="Times New Roman"/>
          <w:sz w:val="22"/>
          <w:szCs w:val="22"/>
          <w:color w:val="auto"/>
        </w:rPr>
        <w:t xml:space="preserve">” means (a) the Existing Intercompany Distribution Agreement and (b) the Intercompany Agreements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Intercompany Distribution Agreement</w:t>
      </w:r>
      <w:r>
        <w:rPr>
          <w:rFonts w:ascii="Times New Roman" w:cs="Times New Roman" w:eastAsia="Times New Roman" w:hAnsi="Times New Roman"/>
          <w:sz w:val="22"/>
          <w:szCs w:val="22"/>
          <w:color w:val="auto"/>
        </w:rPr>
        <w:t>” means that certain Marketing, Sales and Distribution Agreement between Ascendis Pharma Bone Diseases A/S as supplier and Ascendis Pharma Endocrinology, Inc. as distributor, dated September 1, 2024.</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Patents</w:t>
      </w:r>
      <w:r>
        <w:rPr>
          <w:rFonts w:ascii="Times New Roman" w:cs="Times New Roman" w:eastAsia="Times New Roman" w:hAnsi="Times New Roman"/>
          <w:sz w:val="22"/>
          <w:szCs w:val="22"/>
          <w:color w:val="auto"/>
        </w:rPr>
        <w:t>” has the meaning set forth in Section 4.10(a).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3" w:name="page274"/>
    <w:bookmarkEnd w:id="27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is defined in Section 4.15.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Sales</w:t>
      </w:r>
      <w:r>
        <w:rPr>
          <w:rFonts w:ascii="Times New Roman" w:cs="Times New Roman" w:eastAsia="Times New Roman" w:hAnsi="Times New Roman"/>
          <w:sz w:val="22"/>
          <w:szCs w:val="22"/>
          <w:color w:val="auto"/>
        </w:rPr>
        <w:t>” is defined in the definition of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as promulgated by the International Accounting Standards Board as adopted in the European Union, consistently applied.</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any indebtedness for borrowed money, obligation evidenced by a note, bond, debenture or similar instrument, or guarantee of any of the foregoing.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is defined in Section 8.2.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is defined in Section 8.2.</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any (a) in-license or (b) settlement agreement or other similar agreement or arrangement, in each case of (a) and (b), between the Seller or any of its Affiliates, on the one hand, and any Third Party, on the other hand, pursuant to which the Seller or any of its Affiliates obtain an in-license or a covenant not to sue or similar grant of rights under any Patents or other Intellectual Property Rights owned or controlled by such Third Party that are necessary for the commercial Manufacture of the Product anywhere in the world for Commercialization in the Territory or the Commercialization of the Product in the Territory.</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means any and all of the following as they exist at any time: (a) Patents; (b) registered and unregistered trademarks, service marks, trade names, trade dress, logos, packaging design, slogans and Internet domain names, and registrations and applications for registration of any of the foregoing; (c) copyrights in both published and unpublished works, including all compilations, databases and computer programs, manuals and other documentation and all copyright registrations and applications, and all derivatives, translations, adaptations and combinations of the above; (d) Know-How; and</w:t>
      </w:r>
    </w:p>
    <w:p>
      <w:pPr>
        <w:spacing w:after="0" w:line="1" w:lineRule="exact"/>
        <w:rPr>
          <w:sz w:val="20"/>
          <w:szCs w:val="20"/>
          <w:color w:val="auto"/>
        </w:rPr>
      </w:pPr>
    </w:p>
    <w:p>
      <w:pPr>
        <w:ind w:firstLine="8"/>
        <w:spacing w:after="0" w:line="237" w:lineRule="auto"/>
        <w:tabs>
          <w:tab w:leader="none" w:pos="29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other intellectual property rights and/or proprietary rights, whether or not patentable, specifically relating to any of the foregoing.</w:t>
      </w:r>
    </w:p>
    <w:p>
      <w:pPr>
        <w:spacing w:after="0" w:line="17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 Updates</w:t>
      </w:r>
      <w:r>
        <w:rPr>
          <w:rFonts w:ascii="Times New Roman" w:cs="Times New Roman" w:eastAsia="Times New Roman" w:hAnsi="Times New Roman"/>
          <w:sz w:val="21"/>
          <w:szCs w:val="21"/>
          <w:color w:val="auto"/>
        </w:rPr>
        <w:t>” means an updated list of the Patents owned or controlled by the Seller, Parent or any of its Affiliates that relate to the Product in the Territory or the Commercialization of the Product in the Territory and identifying in such list any new Patents issued or filed, amended or supplemented, or any abandonments or other termination of prosecution.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Intercompany Agreements</w:t>
      </w:r>
      <w:r>
        <w:rPr>
          <w:rFonts w:ascii="Times New Roman" w:cs="Times New Roman" w:eastAsia="Times New Roman" w:hAnsi="Times New Roman"/>
          <w:sz w:val="21"/>
          <w:szCs w:val="21"/>
          <w:color w:val="auto"/>
        </w:rPr>
        <w:t>” means any license, settlement agreement or other agreement or arrangement between the Seller or any of its Affiliates, on the one hand, and any of the Seller’s Affiliates, on the other hand, pursuant to which the Seller or any of its Affiliates obtains or grants a license, sublicense, or a covenant not to sue or similar grant of rights to any Patents or other Intellectual Property Rights owned or controlled by the Seller or any of its Affiliates that are necessary to commercially Manufacture the Product for Commercialization of the Product in the Territory or to Commercialize the Product in the Territory.</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and all proprietary or confidential information, know-how and trade secrets, including processes, formulae, models and techniques, rights in research in progress, algorithms, data, databases, data collections, chemical and biological materials (including any compounds, DNA, RNA, clones, vectors, cells and any expression product, progeny, derivatives or improvements thereto), and the results of experimentation and testing, and samples.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participation interest, charge, adverse claim, security interest, encumbrance or restriction of any kind, including any restriction on use, transfer or exercise of any other attribute of ownership of any kind.</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a Third Party (other than a Distributor) to whom any Related Party (including, for clarity, another Licensee) has granted a license or sublicense to Commercialize the Product in the Territory.</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Manufacturer</w:t>
      </w:r>
      <w:r>
        <w:rPr>
          <w:rFonts w:ascii="Times New Roman" w:cs="Times New Roman" w:eastAsia="Times New Roman" w:hAnsi="Times New Roman"/>
          <w:sz w:val="22"/>
          <w:szCs w:val="22"/>
          <w:color w:val="auto"/>
        </w:rPr>
        <w:t>” means a Third Party that is a party to any Contract Manufacturing Agreement.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means manufacturing, production, formulating, processing, filling, finishing, quality control, quality assurance, stability testing, packaging, labeling, shipping, importing, storage and similar activities with respect to a product (and components thereof or therefor), and regulatory compliance with respect to the foregoing. “</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shall mean to engage in Manufacturing. For clarity,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excludes Commercialization activities.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 Report</w:t>
      </w:r>
      <w:r>
        <w:rPr>
          <w:rFonts w:ascii="Times New Roman" w:cs="Times New Roman" w:eastAsia="Times New Roman" w:hAnsi="Times New Roman"/>
          <w:sz w:val="22"/>
          <w:szCs w:val="22"/>
          <w:color w:val="auto"/>
        </w:rPr>
        <w:t>” is defined in Section 7.2(b).</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 Updates</w:t>
      </w:r>
      <w:r>
        <w:rPr>
          <w:rFonts w:ascii="Times New Roman" w:cs="Times New Roman" w:eastAsia="Times New Roman" w:hAnsi="Times New Roman"/>
          <w:sz w:val="22"/>
          <w:szCs w:val="22"/>
          <w:color w:val="auto"/>
        </w:rPr>
        <w:t>” means a summary of material updates with respect to the Related Parties’ and Manufacturers’ Manufacturing of the Product for Commercialization in the Territory, including updates regarding pursuit of Authorized Stability Periods of at least [***].</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means, with respect to any product, any and all approvals (including drug and/or device approval applications), licenses, registrations or authorizations sufficient to Commercialize such product in accordance with applicable laws (excluding any compassionate or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2"/>
          <w:szCs w:val="22"/>
          <w:color w:val="auto"/>
        </w:rPr>
        <w:t>emergency use or similar approval or authorization and excluding pricing or reimbursement approvals).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effect on (i) the Commercialization of the Product in the Territory, (ii) any of the Intellectual Property Rights or Marketing Approvals owned or controlled by Seller, Parent or its Affiliates directly related to the Commercialization of the Product in the Territory, (iii) the Seller’s ability to commercially Manufacture or have Manufactured the Product for the Commercialization of the Product in the Territory, with a Commercial Launch in the Territory of no later than March 31, 2025, (iv) the legality, validity or enforceability of this Agreement, (v) the ability of the Seller or its Affiliates to perform any of its obligations under this Agreement, or (vi) the rights or remedies of the Buyer under this Agreement; or (b) an adverse effect in any material respect on the timing, duration, or amount of the payment of any of the Revenue Payments.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the gross amount invoiced, billed or otherwise recorded for sales of the Product in the Territory by or on behalf of the Seller, its Affiliates, or any Licensee, in each case, to a Third Party in accordance with IFRS consistently applied (“</w:t>
      </w:r>
      <w:r>
        <w:rPr>
          <w:rFonts w:ascii="Times New Roman" w:cs="Times New Roman" w:eastAsia="Times New Roman" w:hAnsi="Times New Roman"/>
          <w:sz w:val="22"/>
          <w:szCs w:val="22"/>
          <w:u w:val="single" w:color="auto"/>
          <w:color w:val="auto"/>
        </w:rPr>
        <w:t>Gross Sales</w:t>
      </w:r>
      <w:r>
        <w:rPr>
          <w:rFonts w:ascii="Times New Roman" w:cs="Times New Roman" w:eastAsia="Times New Roman" w:hAnsi="Times New Roman"/>
          <w:sz w:val="22"/>
          <w:szCs w:val="22"/>
          <w:color w:val="auto"/>
        </w:rPr>
        <w:t>”), less the following amounts, to the extent actually incurred or accrued in calculating revenue from sales of the Product in the Territory in accordance with IFRS consistently applied, and not reimbursed by or recovered from such Third Party; provided, that any given amount may be taken as a permitted deduction only once: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Net Sales shall be determined in U.S. dollars. If Seller, its Affiliates, or any Licensee effects a sale, disposition, or transfer of a Product to a Third Party other than on customary commercial terms or for non-monetary consideration, the Net Sales of such Product to such Third Party shall be deemed to be “the fair market value” of such Product. For purposes of the foregoing, “fair market value” means the value that would have been derived had such Product been sold as a separate product to another customer on customary commercial terms. Net Sales will not include [***]. Net Sales shall also include [***].</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any license between the Seller or any of its Affiliates, on the one hand, and any Third Party, on the other hand, pursuant to which the Seller or any of its Affiliates grants a license or sublicense under any Intellectual Property Right owned or controlled by the Seller or any of its Affiliates to Commercialize the Product in the Territory.</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any and all patents and patent applications,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 Development Transaction</w:t>
      </w:r>
      <w:r>
        <w:rPr>
          <w:rFonts w:ascii="Times New Roman" w:cs="Times New Roman" w:eastAsia="Times New Roman" w:hAnsi="Times New Roman"/>
          <w:sz w:val="22"/>
          <w:szCs w:val="22"/>
          <w:color w:val="auto"/>
        </w:rPr>
        <w:t>” is defined in Section 7.13.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any of the following:</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both"/>
        <w:ind w:firstLine="757"/>
        <w:spacing w:after="0" w:line="239"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granted as a replacement or substitute for any Liens in existence on the Effective Date; provided that any such replacement or substitute Lien (i) does not secure an aggregate amount of Indebtedness or other obligations, if any, greater than that secured on the Effective Date and (ii) does not encumber any property other than the property subject thereto on the Effective Date (plus improvements and accessions to such property);</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that are being contested in good faith by appropriate proceedings diligently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or common law Liens of landlords, carriers, warehousemen, mechanics, materialmen, repairmen, construction contractors or other like Liens that secure amounts not overdue for a period of more than [***] or that are being contested in good faith by appropriate proceedings diligently conducted;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secured Indebtedness that the Parent, Seller and/or any Affiliate of the Parent or Seller incur from a Third Party, a Lien on the US Product Rights or any “proceeds” (as defined in the UCC) thereof; provided that any such Third Party enters into a Customary Intercreditor Agreement (“</w:t>
      </w:r>
      <w:r>
        <w:rPr>
          <w:rFonts w:ascii="Times New Roman" w:cs="Times New Roman" w:eastAsia="Times New Roman" w:hAnsi="Times New Roman"/>
          <w:sz w:val="22"/>
          <w:szCs w:val="22"/>
          <w:u w:val="single" w:color="auto"/>
          <w:color w:val="auto"/>
        </w:rPr>
        <w:t>Permitted Secured Indebtedness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Security Interest;</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or similar grants of rights in connection with licensing or collaboration transactions otherwise permitted by this Agreement;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2023 Back-Up Security Interest.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Out-License</w:t>
      </w:r>
      <w:r>
        <w:rPr>
          <w:rFonts w:ascii="Times New Roman" w:cs="Times New Roman" w:eastAsia="Times New Roman" w:hAnsi="Times New Roman"/>
          <w:sz w:val="22"/>
          <w:szCs w:val="22"/>
          <w:color w:val="auto"/>
        </w:rPr>
        <w:t>” means (a) a written Out-License to a Permitted Transferee or with a Distributor (acting solely as a Distributor), or (b) a Co-Commercialization Agreement.</w:t>
      </w:r>
    </w:p>
    <w:p>
      <w:pPr>
        <w:spacing w:after="0" w:line="158" w:lineRule="exact"/>
        <w:rPr>
          <w:sz w:val="20"/>
          <w:szCs w:val="20"/>
          <w:color w:val="auto"/>
        </w:rPr>
      </w:pPr>
    </w:p>
    <w:p>
      <w:pPr>
        <w:ind w:left="760" w:right="328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Secured Indebtedness</w:t>
      </w:r>
      <w:r>
        <w:rPr>
          <w:rFonts w:ascii="Times New Roman" w:cs="Times New Roman" w:eastAsia="Times New Roman" w:hAnsi="Times New Roman"/>
          <w:sz w:val="22"/>
          <w:szCs w:val="22"/>
          <w:color w:val="auto"/>
        </w:rPr>
        <w:t>” is defined in the definition of “Permitted Liens.” “</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means [***].</w:t>
      </w:r>
    </w:p>
    <w:p>
      <w:pPr>
        <w:spacing w:after="0" w:line="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product that (a) contains a parathyroid hormone-based active ingredient or active moiety and (b) has received a Marketing Approval in the Territory for hypoparathyroidism. “Product” includes palopegteriparatide, also known as TransCon PTH or YORVIPATH for which the FDA has approved Seller’s NDA 216490.</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IP</w:t>
      </w:r>
      <w:r>
        <w:rPr>
          <w:rFonts w:ascii="Times New Roman" w:cs="Times New Roman" w:eastAsia="Times New Roman" w:hAnsi="Times New Roman"/>
          <w:sz w:val="22"/>
          <w:szCs w:val="22"/>
          <w:color w:val="auto"/>
        </w:rPr>
        <w:t>” is defined in Section 4.10(b).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one hundred and fifty million dollars ($150,000,000).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7" w:name="page278"/>
    <w:bookmarkEnd w:id="27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is defined in Section 9.1.</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Governmental Entity, including the FDA, which has responsibility in granting a Marketing Approval.</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means each of the Seller, its Affiliates, and their respective Licensees, as applicable.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Participation Right</w:t>
      </w:r>
      <w:r>
        <w:rPr>
          <w:rFonts w:ascii="Times New Roman" w:cs="Times New Roman" w:eastAsia="Times New Roman" w:hAnsi="Times New Roman"/>
          <w:sz w:val="22"/>
          <w:szCs w:val="22"/>
          <w:color w:val="auto"/>
        </w:rPr>
        <w:t>” means the right to receive payment in full of all Revenue Payments, and an undivided ownership interest in all Net Sales occurring from and after the date hereof, including all accounts (as defined in the UCC), general intangibles (as defined in the UCC), payment intangibles (as defined in the UCC) and all other rights to payment on account of, in connection with or arising from such Net Sales, and all proceeds thereof, in an amount equal to the Revenue Percentage.</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Payment</w:t>
      </w:r>
      <w:r>
        <w:rPr>
          <w:rFonts w:ascii="Times New Roman" w:cs="Times New Roman" w:eastAsia="Times New Roman" w:hAnsi="Times New Roman"/>
          <w:sz w:val="22"/>
          <w:szCs w:val="22"/>
          <w:color w:val="auto"/>
        </w:rPr>
        <w:t>” means for each Calendar Quarter occurring (in whole or in part) during the Revenue Payment Term, an amount payable to the Buyer equal to the product of (a) Net Sales during such Calendar Quarter (or, for any Calendar Quarter occurring in part during the Revenue Payment Term, Net Sales for the calendar days falling within the Revenue Payment Term during such Calendar Quarter) and (b) the Revenue Percentage.</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Payment Term</w:t>
      </w:r>
      <w:r>
        <w:rPr>
          <w:rFonts w:ascii="Times New Roman" w:cs="Times New Roman" w:eastAsia="Times New Roman" w:hAnsi="Times New Roman"/>
          <w:sz w:val="22"/>
          <w:szCs w:val="22"/>
          <w:color w:val="auto"/>
        </w:rPr>
        <w:t>” means the period commencing on the date hereof and ending on the earliest to occur of the following: (a) the date on which the product of Net Sales occurring from and after the date hereof and until and including December 31, 2029 multiplied by the Revenue Percentage equals or exceeds 1.65 times the Purchase Price, if such date occurs on or before December 31, 2029, (b) the date on which the product of Net Sales occurring from and after the date hereof multiplied by the Revenue Percentage equals or exceeds 2.0 times the Purchase Price or (c) the date on which the Buy-Out Payment is paid to the Buyer.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Percentage</w:t>
      </w:r>
      <w:r>
        <w:rPr>
          <w:rFonts w:ascii="Times New Roman" w:cs="Times New Roman" w:eastAsia="Times New Roman" w:hAnsi="Times New Roman"/>
          <w:sz w:val="22"/>
          <w:szCs w:val="22"/>
          <w:color w:val="auto"/>
        </w:rPr>
        <w:t>” means 3.0%.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is defined in Section 7.3(c).</w:t>
      </w:r>
    </w:p>
    <w:p>
      <w:pPr>
        <w:spacing w:after="0" w:line="2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Safety Notices</w:t>
      </w:r>
      <w:r>
        <w:rPr>
          <w:rFonts w:ascii="Times New Roman" w:cs="Times New Roman" w:eastAsia="Times New Roman" w:hAnsi="Times New Roman"/>
          <w:sz w:val="21"/>
          <w:szCs w:val="21"/>
          <w:color w:val="auto"/>
        </w:rPr>
        <w:t>” means any recalls, field notifications, market withdrawals, warnings, “dear doctor” letters, investigator notices, safety alerts or other notices of action relating to an alleged lack of safety or regulatory compliance of the Product.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is defined in Section 8.1(b).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license,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jc w:val="both"/>
        <w:spacing w:after="0" w:line="239" w:lineRule="auto"/>
        <w:rPr>
          <w:sz w:val="20"/>
          <w:szCs w:val="20"/>
          <w:color w:val="auto"/>
        </w:rPr>
      </w:pPr>
      <w:r>
        <w:rPr>
          <w:rFonts w:ascii="Times New Roman" w:cs="Times New Roman" w:eastAsia="Times New Roman" w:hAnsi="Times New Roman"/>
          <w:sz w:val="22"/>
          <w:szCs w:val="22"/>
          <w:color w:val="auto"/>
        </w:rPr>
        <w:t>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United States of America (including its territories and possessions).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the Seller or an Affiliate of the Seller.</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in the State of New York; provided, that, if with respect to any financing statement or by reason of any provisions of law, the perfection, priority or the effect of perfection, priority or non-perfection of the security interests granted to the Administrative Agent pursuant to this Agreement is governed by the Uniform Commercial Code in a jurisdiction of the United States other than New York, then “UCC” means the Uniform Commercial Code in such other jurisdiction for purposes of the provisions of this Agreement and any financing statement relating to such perfection, priority or effect of perfection, priority or non-perfection.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Code</w:t>
      </w:r>
      <w:r>
        <w:rPr>
          <w:rFonts w:ascii="Times New Roman" w:cs="Times New Roman" w:eastAsia="Times New Roman" w:hAnsi="Times New Roman"/>
          <w:sz w:val="22"/>
          <w:szCs w:val="22"/>
          <w:color w:val="auto"/>
        </w:rPr>
        <w:t>” means the U.S. Internal Revenue Code of 1986, as amended.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Product Rights</w:t>
      </w:r>
      <w:r>
        <w:rPr>
          <w:rFonts w:ascii="Times New Roman" w:cs="Times New Roman" w:eastAsia="Times New Roman" w:hAnsi="Times New Roman"/>
          <w:sz w:val="22"/>
          <w:szCs w:val="22"/>
          <w:color w:val="auto"/>
        </w:rPr>
        <w:t xml:space="preserve">” means (a) the Intellectual Property Rights set forth in the sections of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entitled “Existing Patents for US Product Rights Only”, “Trademarks and Trademark Applications for US Product Rights” and “Domain Names for US Product Rights”; (b) any other Intellectual Property Rights owned or controlled by the Seller or any of its Affiliates at any time during the term of this Agreement that directly relate to the Commercialization of the Product in the Territory and that are registered or pending at the United States Patent and Trademark Office, but excluding those Intellectual Property Rights that are necessary to make, have made, sell, offer for sale, use, import or otherwise exploit the Ascendis Technology in or outside the Territory, (c) Seller’s NDA 216490, and (d) any future Marketing Approvals for the Product in the Territory.</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1.2 Certain Interpretations</w:t>
      </w:r>
      <w:r>
        <w:rPr>
          <w:rFonts w:ascii="Times New Roman" w:cs="Times New Roman" w:eastAsia="Times New Roman" w:hAnsi="Times New Roman"/>
          <w:sz w:val="22"/>
          <w:szCs w:val="22"/>
          <w:color w:val="auto"/>
        </w:rPr>
        <w:t xml:space="preserve"> . Except where expressly stated otherwise in this Agreement, the following rules of interpretation apply to this Agreement:</w:t>
      </w:r>
    </w:p>
    <w:p>
      <w:pPr>
        <w:spacing w:after="0" w:line="158" w:lineRule="exact"/>
        <w:rPr>
          <w:sz w:val="20"/>
          <w:szCs w:val="20"/>
          <w:color w:val="auto"/>
        </w:rPr>
      </w:pPr>
    </w:p>
    <w:p>
      <w:pPr>
        <w:ind w:right="20" w:firstLine="757"/>
        <w:spacing w:after="0" w:line="258"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“if;”</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permitted successors and assigns;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are applicable to the singular as well as the plural forms of such terms;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ind w:right="20" w:firstLine="757"/>
        <w:spacing w:after="0" w:line="258"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“Article,” “Section” or “Exhibit” refer to an Article or Section of, or an Exhibit to, this Agreement, and references to a “Schedule” refer to the corresponding part of the Disclosure Schedule;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referring to matters that would or could have, or would or could reasonably be expected to have, or similar phrases, shall be deemed to have such result or expectation with or without the giving of notice or the passage of time, or both;</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terms not specifically or completely defined herein shall be construed in conformity with, and all financial data (including financial ratios and other financial calculations) required to be submitted pursuant to this Agreement or any related document shall be prepared in conformity with IFRS;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covenants that are to be undertaken “reasonably” by the Seller or its Affiliates, such actions (or inactions) shall take into account the Buyer’s economic interest in the Revenue Participation Right and the Revenue Payments and the impact of the applicable action (or inaction) on such interest;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or otherwise to dollar amounts refer to the lawful currency of the United States.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1.3 Headings</w:t>
      </w:r>
      <w:r>
        <w:rPr>
          <w:rFonts w:ascii="Times New Roman" w:cs="Times New Roman" w:eastAsia="Times New Roman" w:hAnsi="Times New Roman"/>
          <w:sz w:val="22"/>
          <w:szCs w:val="22"/>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SALE AND ASSIGNMENT OF THE REVENUE PARTICIPATION RIGHT</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2.1 Purchase, Sale and Assignment</w:t>
      </w:r>
      <w:r>
        <w:rPr>
          <w:rFonts w:ascii="Times New Roman" w:cs="Times New Roman" w:eastAsia="Times New Roman" w:hAnsi="Times New Roman"/>
          <w:sz w:val="22"/>
          <w:szCs w:val="22"/>
          <w:color w:val="auto"/>
        </w:rPr>
        <w:t>. On the Effective Date and upon the terms and subject to the conditions of this Agreement, in exchange for the Buyer’s payment of the Purchase Price, the Seller shall (and Parent shall and shall cause its Affiliate(s) to) sell, transfer, assign and convey to the Buyer, and the Buyer shall purchase, acquire and accept from the Seller (either directly or through the Seller’s Affiliates), the Revenue Participation Right free and clear of all Liens. From and after the Effective Date, each of the Parent and the Seller relinquishes all of the Seller’s, the Parent’s and their Affiliates’ right, title and interest in and to the Revenue Participation Right, and all such right, title and interest shall vest in the Buyer. In addition, the Seller hereby agrees to pay to the Buyer the Revenue Payments on the terms and conditions set forth herein.</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2.2 No Assumed Obligations, Etc.</w:t>
      </w:r>
      <w:r>
        <w:rPr>
          <w:rFonts w:ascii="Times New Roman" w:cs="Times New Roman" w:eastAsia="Times New Roman" w:hAnsi="Times New Roman"/>
          <w:sz w:val="22"/>
          <w:szCs w:val="22"/>
          <w:color w:val="auto"/>
        </w:rPr>
        <w:t xml:space="preserve"> . Notwithstanding any provision in this Agreement to the contrary, the Buyer is, on the terms and conditions set forth in this Agreement, only purchasing, acquiring and accepting the Revenue Participation Right and is not assuming any liability or obligation of the Seller, the Parent or its Affiliates of whatever nature, whether presently in existence or arising or asserted hereafter. Except as specifically set forth herein in respect of the Revenue Participation Right, the Buyer does not, by such purchase, acquisition and acceptance of the Revenue Participation Right, acquire any other rights of the Seller, the Parent or its Affiliates, or any other assets of the Seller, the Parent or its Affiliates, in each case, other than to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0" w:name="page281"/>
    <w:bookmarkEnd w:id="280"/>
    <w:p>
      <w:pPr>
        <w:jc w:val="both"/>
        <w:spacing w:after="0" w:line="261" w:lineRule="auto"/>
        <w:rPr>
          <w:sz w:val="20"/>
          <w:szCs w:val="20"/>
          <w:color w:val="auto"/>
        </w:rPr>
      </w:pPr>
      <w:r>
        <w:rPr>
          <w:rFonts w:ascii="Times New Roman" w:cs="Times New Roman" w:eastAsia="Times New Roman" w:hAnsi="Times New Roman"/>
          <w:sz w:val="21"/>
          <w:szCs w:val="21"/>
          <w:color w:val="auto"/>
        </w:rPr>
        <w:t>the extent of the Back-Up Security Interest granted pursuant to the terms of this Agreement ([***]). For the avoidance of doubt and notwithstanding anything herein to the contrary, nothing in this provision limits any other obligation of the Buyer, the Parent or the Seller under this Agreement or otherwise, including without limitation any indemnity obligations under ARTICLE 8.</w:t>
      </w:r>
    </w:p>
    <w:p>
      <w:pPr>
        <w:spacing w:after="0" w:line="15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u w:val="single" w:color="auto"/>
          <w:color w:val="auto"/>
        </w:rPr>
        <w:t>Section 2.3 True Sale</w:t>
      </w:r>
      <w:r>
        <w:rPr>
          <w:rFonts w:ascii="Times New Roman" w:cs="Times New Roman" w:eastAsia="Times New Roman" w:hAnsi="Times New Roman"/>
          <w:sz w:val="21"/>
          <w:szCs w:val="21"/>
          <w:color w:val="auto"/>
        </w:rPr>
        <w:t>. It is the intention of the parties hereto that the sale, transfer, assignment and conveyance of the Revenue Participation Right contemplated by this Agreement be, and is, a true, complete, absolute and irrevocable sale, transfer, assignment and conveyance by the Seller (on behalf of itself and, as applicable, its Affiliates) to the Buyer of all of the Seller’s and its Affiliates’ rights, title and interests in and to the Revenue Participation Right (except as otherwise required by IFRS solely for financial reporting purposes or by applicable tax law in Denmark solely for Danish tax purposes). None of the Seller, the Parent nor the Buyer intends the transactions contemplated by this Agreement to be, or for any purpose characterized as, a loan from the Buyer to the Seller, or a pledge, a financing transaction or a borrowing (except as otherwise required by IFRS solely for financial reporting purposes or by applicable tax law in Denmark solely for Danish tax purposes). It is the intention of the parties hereto that the beneficial interest in and title to the Revenue Participation Right and any “proceeds” (as such term is defined in the UCC) thereof shall not be part of the Seller’s, the Parent’s or their Affiliates’ estates in the event of the filing of a petition by or against the Seller, the Parent or any of their Affiliates under any Bankruptcy Laws. The Seller and the Parent each (on behalf of itself and, as applicable, its Affiliates) hereby waives, to the maximum extent permitted by applicable law, any right to contest or otherwise assert that the sale contemplated by this Agreement does not constitute a true, complete, absolute and irrevocable sale, transfer, assignment and conveyance by the Seller (directly or through one or more of its Affiliates) to the Buyer of all of the Seller’s and its Affiliates’ right, title and interest in and to the Revenue Participation Right under applicable law, which waiver shall, to the maximum extent permitted by applicable law, be enforceable against the Seller, the Parent and their Affiliates in any bankruptcy or insolvency proceeding relating to the Seller, the Parent or any of their Affiliates. Accordingly, the Seller, the Parent and their Affiliates shall treat the sale, transfer, assignment and conveyance of the Revenue Participation Right as a sale of “accounts,” or “payment intangibles” (as appropriate) in accordance with the UCC, and each of the Seller and the Parent hereby authorizes the Buyer and its representatives at any time to file one or more financing statements or any amendments to financing statements previously filed by the Buyer (and continuation statements with respect to such financing statements when applicable) naming the Seller (or its Affiliate) as the “seller” and the Buyer as the “buyer” in respect of the Revenue Participation Right. Not in derogation of the foregoing statement of the intent of the parties hereto in this regard, and for the purposes of providing additional assurance to the Buyer, including in the event that, despite the intent of the parties hereto, the sale, transfer, assignment and conveyance contemplated hereby is hereafter held not to be a sale, each of the Seller and the Parent (on its own behalf and on behalf of its Affiliates, as applicable) hereby grants, and by delivery of [***] shall grant, to the Buyer a security interest in, to and under the Revenue Participation Right, the Revenue Payments, the US Product Rights and any “proceeds” (as defined in the UCC) of each of the foregoing as security for all of the Seller’s, the Parent’s and their Affiliates’ obligations under this Agreement [***], including the obligations to pay the Revenue Payments (the “</w:t>
      </w:r>
      <w:r>
        <w:rPr>
          <w:rFonts w:ascii="Times New Roman" w:cs="Times New Roman" w:eastAsia="Times New Roman" w:hAnsi="Times New Roman"/>
          <w:sz w:val="21"/>
          <w:szCs w:val="21"/>
          <w:u w:val="single" w:color="auto"/>
          <w:color w:val="auto"/>
        </w:rPr>
        <w:t>Back-Up Security Interest</w:t>
      </w:r>
      <w:r>
        <w:rPr>
          <w:rFonts w:ascii="Times New Roman" w:cs="Times New Roman" w:eastAsia="Times New Roman" w:hAnsi="Times New Roman"/>
          <w:sz w:val="21"/>
          <w:szCs w:val="21"/>
          <w:color w:val="auto"/>
        </w:rPr>
        <w:t>”), and each of the Seller and the Parent (on its own behalf and on behalf of its Affiliates) does hereby authorize the Buyer and its representatives, from and after the Effective Date, to file one or more financing statements (and continuation statements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1" w:name="page282"/>
    <w:bookmarkEnd w:id="281"/>
    <w:p>
      <w:pPr>
        <w:jc w:val="both"/>
        <w:spacing w:after="0" w:line="258" w:lineRule="auto"/>
        <w:rPr>
          <w:sz w:val="20"/>
          <w:szCs w:val="20"/>
          <w:color w:val="auto"/>
        </w:rPr>
      </w:pPr>
      <w:r>
        <w:rPr>
          <w:rFonts w:ascii="Times New Roman" w:cs="Times New Roman" w:eastAsia="Times New Roman" w:hAnsi="Times New Roman"/>
          <w:sz w:val="22"/>
          <w:szCs w:val="22"/>
          <w:color w:val="auto"/>
        </w:rPr>
        <w:t>and any amendments with respect to such financing statements when applicable) in such manner and such jurisdictions as are necessary or appropriate to perfect such Back-Up Security Interest.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CLOSING; PAYMENT OF PURCHASE PRICE</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3.1 Closing</w:t>
      </w:r>
      <w:r>
        <w:rPr>
          <w:rFonts w:ascii="Times New Roman" w:cs="Times New Roman" w:eastAsia="Times New Roman" w:hAnsi="Times New Roman"/>
          <w:sz w:val="22"/>
          <w:szCs w:val="22"/>
          <w:color w:val="auto"/>
        </w:rPr>
        <w:t xml:space="preserve"> . The purchase and sale of the Revenue Participation Right shall take place remotely via the exchange of documents and signatures on the date hereof or such other place, time and date as the parties hereto may mutually agree.</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3.2 Payment of Purchase Price</w:t>
      </w:r>
      <w:r>
        <w:rPr>
          <w:rFonts w:ascii="Times New Roman" w:cs="Times New Roman" w:eastAsia="Times New Roman" w:hAnsi="Times New Roman"/>
          <w:sz w:val="22"/>
          <w:szCs w:val="22"/>
          <w:color w:val="auto"/>
        </w:rPr>
        <w:t xml:space="preserve">. On the Effective Date, the Buyer shall pay to the Seller the Purchase Price by wire transfer of immediately available funds to the account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without set-off, reduction or deduction, or withholding for or on account of any Taxes.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3.3 Bill of Sale [***].</w:t>
      </w:r>
      <w:r>
        <w:rPr>
          <w:rFonts w:ascii="Times New Roman" w:cs="Times New Roman" w:eastAsia="Times New Roman" w:hAnsi="Times New Roman"/>
          <w:sz w:val="22"/>
          <w:szCs w:val="22"/>
          <w:color w:val="auto"/>
        </w:rPr>
        <w:t xml:space="preserve"> On the Effective Date, upon confirmation of the receipt of the Purchase Price, (a) the Seller shall deliver (and the Seller or the Parent shall cause their Affiliate(s) to deliver) to the Buyer a duly executed bill of sale and agreement evidencing the sale, transfer, assignment and conveyance of the Revenue Participation Right and certain other agreements in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and (b) [***].</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3.4 Seller Form W-8BEN-E</w:t>
      </w:r>
      <w:r>
        <w:rPr>
          <w:rFonts w:ascii="Times New Roman" w:cs="Times New Roman" w:eastAsia="Times New Roman" w:hAnsi="Times New Roman"/>
          <w:sz w:val="22"/>
          <w:szCs w:val="22"/>
          <w:color w:val="auto"/>
        </w:rPr>
        <w:t>. On or prior to the Effective Date, the Seller shall deliver to the Buyer a valid, properly executed IRS Form W-8BEN-E certifying that the Seller is exempt from U.S. federal backup withholding tax.</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3.5 Buyer Form W-9</w:t>
      </w:r>
      <w:r>
        <w:rPr>
          <w:rFonts w:ascii="Times New Roman" w:cs="Times New Roman" w:eastAsia="Times New Roman" w:hAnsi="Times New Roman"/>
          <w:sz w:val="22"/>
          <w:szCs w:val="22"/>
          <w:color w:val="auto"/>
        </w:rPr>
        <w:t>. On or prior to the Effective Date, the Buyer shall deliver to the Seller a valid, properly executed IRS Form W-9 certifying that the Buyer is exempt from U.S. federal withholding and backup withholding tax with respect to the Revenue Payments.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THE SELLER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Except as set forth on the Disclosure Schedule attached hereto, the Parent (as to Section 4.1 through Section 4.5) and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each represents and warrants to the Buyer that as of the Effective Date:</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4.1 Existence; Good Standing</w:t>
      </w:r>
      <w:r>
        <w:rPr>
          <w:rFonts w:ascii="Times New Roman" w:cs="Times New Roman" w:eastAsia="Times New Roman" w:hAnsi="Times New Roman"/>
          <w:sz w:val="22"/>
          <w:szCs w:val="22"/>
          <w:color w:val="auto"/>
        </w:rPr>
        <w:t>. The Seller is a corporation, duly organized and validly existing under the laws of Denmark. The Parent is a public limited liability company (</w:t>
      </w:r>
      <w:r>
        <w:rPr>
          <w:rFonts w:ascii="Times New Roman" w:cs="Times New Roman" w:eastAsia="Times New Roman" w:hAnsi="Times New Roman"/>
          <w:sz w:val="22"/>
          <w:szCs w:val="22"/>
          <w:i w:val="1"/>
          <w:iCs w:val="1"/>
          <w:color w:val="auto"/>
        </w:rPr>
        <w:t>Aktieselskab</w:t>
      </w:r>
      <w:r>
        <w:rPr>
          <w:rFonts w:ascii="Times New Roman" w:cs="Times New Roman" w:eastAsia="Times New Roman" w:hAnsi="Times New Roman"/>
          <w:sz w:val="22"/>
          <w:szCs w:val="22"/>
          <w:color w:val="auto"/>
        </w:rPr>
        <w:t>) duly organized and validly existing under the laws of Denmark. Each of the Seller and the Parent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spacing w:after="0" w:line="18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4.2 Authorization</w:t>
      </w:r>
      <w:r>
        <w:rPr>
          <w:rFonts w:ascii="Times New Roman" w:cs="Times New Roman" w:eastAsia="Times New Roman" w:hAnsi="Times New Roman"/>
          <w:sz w:val="22"/>
          <w:szCs w:val="22"/>
          <w:color w:val="auto"/>
        </w:rPr>
        <w:t xml:space="preserve"> . Each of the Seller and the Parent has all requisite corporate power and authority to execute, deliver and perform its respective obligations under this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jc w:val="both"/>
        <w:spacing w:after="0" w:line="258" w:lineRule="auto"/>
        <w:rPr>
          <w:sz w:val="20"/>
          <w:szCs w:val="20"/>
          <w:color w:val="auto"/>
        </w:rPr>
      </w:pPr>
      <w:r>
        <w:rPr>
          <w:rFonts w:ascii="Times New Roman" w:cs="Times New Roman" w:eastAsia="Times New Roman" w:hAnsi="Times New Roman"/>
          <w:sz w:val="22"/>
          <w:szCs w:val="22"/>
          <w:color w:val="auto"/>
        </w:rPr>
        <w:t>Agreement. The execution, delivery and performance of this Agreement, and the consummation of the transactions contemplated hereby, have been duly authorized by all necessary corporate action on the part of the Seller and the Parent.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4.3 Enforceability</w:t>
      </w:r>
      <w:r>
        <w:rPr>
          <w:rFonts w:ascii="Times New Roman" w:cs="Times New Roman" w:eastAsia="Times New Roman" w:hAnsi="Times New Roman"/>
          <w:sz w:val="22"/>
          <w:szCs w:val="22"/>
          <w:color w:val="auto"/>
        </w:rPr>
        <w:t xml:space="preserve"> . This Agreement has been duly executed and delivered by each of the Seller and the Parent and constitutes the valid and legally binding obligation of each of the Seller and the Parent, enforceable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4.4 No Conflicts</w:t>
      </w:r>
      <w:r>
        <w:rPr>
          <w:rFonts w:ascii="Times New Roman" w:cs="Times New Roman" w:eastAsia="Times New Roman" w:hAnsi="Times New Roman"/>
          <w:sz w:val="22"/>
          <w:szCs w:val="22"/>
          <w:color w:val="auto"/>
        </w:rPr>
        <w:t xml:space="preserve"> . The execution, delivery and performance by the Seller and the Parent of this Agreement and the consummation of the transactions contemplated hereby do not and will not (i) contravene or conflict with the organizational documents of the Seller or the Parent, (ii) contravene or conflict with or constitute a material default under any material provision of any law binding upon or applicable to the Seller or the Parent or the Revenue Participation Right or (iii) contravene or conflict with or constitute a material default under any material agreement or Judgment binding upon or applicable to the Seller, the Parent or any of its Affiliates.</w:t>
      </w:r>
    </w:p>
    <w:p>
      <w:pPr>
        <w:spacing w:after="0" w:line="181"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4.5 Consents</w:t>
      </w:r>
      <w:r>
        <w:rPr>
          <w:rFonts w:ascii="Times New Roman" w:cs="Times New Roman" w:eastAsia="Times New Roman" w:hAnsi="Times New Roman"/>
          <w:sz w:val="21"/>
          <w:szCs w:val="21"/>
          <w:color w:val="auto"/>
        </w:rPr>
        <w:t xml:space="preserve"> . Except for any filings required by the federal securities laws or stock exchange rules, no consent, approval, license, order, authorization, registration, declaration or filing with or of any Governmental Entity or other Person is required to be done or obtained by the Seller or any of its Affiliates in connection with (i) the execution and delivery by the Seller and the Parent of this Agreement, (ii) the performance by the Seller and the Parent of its respective obligations under this Agreement, or (iii) the consummation by the Seller or the Parent of any of the transactions contemplated by this Agreement.</w:t>
      </w:r>
    </w:p>
    <w:p>
      <w:pPr>
        <w:spacing w:after="0" w:line="16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4.6 No Litigation</w:t>
      </w:r>
      <w:r>
        <w:rPr>
          <w:rFonts w:ascii="Times New Roman" w:cs="Times New Roman" w:eastAsia="Times New Roman" w:hAnsi="Times New Roman"/>
          <w:sz w:val="22"/>
          <w:szCs w:val="22"/>
          <w:color w:val="auto"/>
        </w:rPr>
        <w:t>. Neither the Seller nor any of its Affiliates is a party to, and none has received any written notice of, any action, claim, suit, investigation or proceeding pending before any Governmental Entity and, to the knowledge of the Seller, no such action, claim, suit, investigation or proceeding has been threatened against the Seller or any of its Affiliates, that, either individually or in the aggregate, has had or would reasonably be expected to have a Material Adverse Effect.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4.7</w:t>
      </w:r>
      <w:r>
        <w:rPr>
          <w:sz w:val="20"/>
          <w:szCs w:val="20"/>
          <w:color w:val="auto"/>
        </w:rPr>
        <w:tab/>
      </w:r>
      <w:r>
        <w:rPr>
          <w:rFonts w:ascii="Times New Roman" w:cs="Times New Roman" w:eastAsia="Times New Roman" w:hAnsi="Times New Roman"/>
          <w:sz w:val="21"/>
          <w:szCs w:val="21"/>
          <w:u w:val="single" w:color="auto"/>
          <w:color w:val="auto"/>
        </w:rPr>
        <w:t>Compliance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applications, submissions, information and data related to the Product submitted or utilized as the basis for any request to any Regulatory Authority by or on behalf of the Seller or any of its Affiliates were true and correct in all material respects as of the date of such submission or request, and any material updates, changes, corrections or modification to such applications, submissions, information or data required under applicable laws or regulations have been submitted to the necessary Regulatory Authorities, in each case, for the Commercialization of the Product in the Territory.</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provided to the Buyer prior to the Effective Date in the data room available to the Buyer true, correct and complete copies of all material communications sent or received since September 1, 2021 by the Seller and any of its Affiliates to or from any Regulatory Authorities related to the Commercialization of the Product in the Territory or the Manufacture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2"/>
          <w:szCs w:val="22"/>
          <w:color w:val="auto"/>
        </w:rPr>
        <w:t>the Product anywhere in the world for Commercialization in the Territory.</w:t>
      </w:r>
    </w:p>
    <w:p>
      <w:pPr>
        <w:spacing w:after="0" w:line="206" w:lineRule="exact"/>
        <w:rPr>
          <w:sz w:val="20"/>
          <w:szCs w:val="20"/>
          <w:color w:val="auto"/>
        </w:rPr>
      </w:pPr>
    </w:p>
    <w:p>
      <w:pPr>
        <w:jc w:val="both"/>
        <w:ind w:firstLine="757"/>
        <w:spacing w:after="0" w:line="239"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neither the Seller nor any of its Affiliates has committed any act, made any statement or failed to make any statement in respect of the Product that would reasonably be expected to provide a basis for the FDA to invoke its policy with respect to “Fraud, Untrue Statements of Material Facts, Bribery, and Illegal Gratuities”, or any other Regulatory Authority to invoke similar policies, set forth in any applicable laws or regulations.</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September 1, 2021 (A) there have been no Safety Notices, (B) to the knowledge of the Seller, there are no unresolved material product complaints with respect to the Product in the Territory, which would result in a Material Adverse Effect, and (C) to the knowledge of the Seller, there are no facts currently in existence that would, individually or in the aggregate, reasonably be expected to result in (1) a material Safety Notice with respect to any Product or (2) a material change in the labeling of the Product in the Territory.</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its Affiliates have not experienced any significant failures in the commercial Manufacturing of the Product for Commercialization in the Territory that have not been resolved, or that would, individually or in the aggregate, have had or would reasonably be expected to result in, if such failure occurred again, a Material Adverse Effect. No facts exist with respect to, and the Seller does not expect any impediments to, the Manufacturing of the Product that would, individually or in the aggregate, reasonably be expected to delay Commercial Launch beyond March 31, 2025.</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the Seller and its Affiliates are, and have been, in compliance with all applicable laws administered or issued by the FDA or any similar Regulatory Authority in each country where the Product has been, or is intended to be, Manufactured for Commercialization in the Territory, including the Federal Food, Drug, and Cosmetic Act, the Public Health Service Act, applicable requirements in FDA regulations, and any orders issued by FDA or similar Regulator Authorities in each country where the Product has been Manufactured for Commercialization in the Territory, and all other laws regarding ownership, developing, testing, Manufacturing, disposal, Commercializing, and complaint handling or adverse event reporting for the products of the Seller or its Affiliates, except to the extent that such failure to comply with such applicable laws would not reasonably be expected to result in a Material Adverse Effect.</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4.8 Licenses and Intercompany Agreements. There are no In-Licenses or Out-Licenses. There are no Intercompany Agreements other than the Existing Intercompany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-198755</wp:posOffset>
            </wp:positionV>
            <wp:extent cx="87439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7">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3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4.9 Manufacturing Matters</w:t>
      </w:r>
      <w:r>
        <w:rPr>
          <w:rFonts w:ascii="Times New Roman" w:cs="Times New Roman" w:eastAsia="Times New Roman" w:hAnsi="Times New Roman"/>
          <w:sz w:val="21"/>
          <w:szCs w:val="21"/>
          <w:color w:val="auto"/>
        </w:rPr>
        <w:t xml:space="preserve"> . A true, correct and complete copy of each Contract Manufacturing Agreement (together with any amendment, supplement or modification thereto) pursuant to which commercial Manufacturing of the Product is carried out, or is scheduled or intended to be carried out, for the Commercialization of the Product in the Territory that is currently in effect to which Seller or any of its Affiliates is a party has been provided in the data room and is listed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4.9</w:t>
      </w:r>
      <w:r>
        <w:rPr>
          <w:rFonts w:ascii="Times New Roman" w:cs="Times New Roman" w:eastAsia="Times New Roman" w:hAnsi="Times New Roman"/>
          <w:sz w:val="21"/>
          <w:szCs w:val="21"/>
          <w:color w:val="auto"/>
        </w:rPr>
        <w:t xml:space="preserve"> of the Disclosure Schedule (each, an “</w:t>
      </w:r>
      <w:r>
        <w:rPr>
          <w:rFonts w:ascii="Times New Roman" w:cs="Times New Roman" w:eastAsia="Times New Roman" w:hAnsi="Times New Roman"/>
          <w:sz w:val="21"/>
          <w:szCs w:val="21"/>
          <w:u w:val="single" w:color="auto"/>
          <w:color w:val="auto"/>
        </w:rPr>
        <w:t>Existing Contract Manufacturing Agreement</w:t>
      </w:r>
      <w:r>
        <w:rPr>
          <w:rFonts w:ascii="Times New Roman" w:cs="Times New Roman" w:eastAsia="Times New Roman" w:hAnsi="Times New Roman"/>
          <w:sz w:val="21"/>
          <w:szCs w:val="21"/>
          <w:color w:val="auto"/>
        </w:rPr>
        <w:t>”). Each Existing Contract Manufacturing Agreement is in full force and effect in accordance with its terms. There is and has been no breach or default under any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4" w:name="page285"/>
    <w:bookmarkEnd w:id="284"/>
    <w:p>
      <w:pPr>
        <w:jc w:val="both"/>
        <w:spacing w:after="0" w:line="235" w:lineRule="auto"/>
        <w:rPr>
          <w:sz w:val="20"/>
          <w:szCs w:val="20"/>
          <w:color w:val="auto"/>
        </w:rPr>
      </w:pPr>
      <w:r>
        <w:rPr>
          <w:rFonts w:ascii="Times New Roman" w:cs="Times New Roman" w:eastAsia="Times New Roman" w:hAnsi="Times New Roman"/>
          <w:sz w:val="22"/>
          <w:szCs w:val="22"/>
          <w:color w:val="auto"/>
        </w:rPr>
        <w:t>provision of any Existing Contract Manufacturing Agreement either by the Seller or any of its Affiliates or, to the knowledge of the Seller, by the respective counterparty (or any predecessor thereof) thereto, and no termination of any Existing Contract Manufacturing Agreements has been notified or threatened. No party to any Existing Contract Manufacturing Agreement has assigned all or part of such Existing Contract Manufacturing Agreement to any other Person. The Existing Contract Manufacturing Agreements, collectively, obligate the Manufacturer that is party thereto to supply the Seller and its Affiliates with sufficient quantities of YORVIPATH to meet Seller’s and its Affiliates’ currently existing Commercialization forecast for YORVIPATH in the Territory in 2025 in accordance with the applicable forecasting mechanisms and commitment schedules in each such Existing Contracts Manufacturing Agreement.</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4.10</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lists all of the currently existing Patents owned or controlled by Seller or its Affiliates that directly relate to the Manufacture of the Product for Commercialization of the Product in the Territory or Commercialization of the Product in the Territory (“</w:t>
      </w:r>
      <w:r>
        <w:rPr>
          <w:rFonts w:ascii="Times New Roman" w:cs="Times New Roman" w:eastAsia="Times New Roman" w:hAnsi="Times New Roman"/>
          <w:sz w:val="22"/>
          <w:szCs w:val="22"/>
          <w:u w:val="single" w:color="auto"/>
          <w:color w:val="auto"/>
        </w:rPr>
        <w:t>Existing Patents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the Seller is the sole and exclusive registered owner of all the Existing Patents.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specifies the respective patent or patent application numbers as to each listed Patent or patent application within the Existing Patents. </w:t>
      </w:r>
      <w:r>
        <w:rPr>
          <w:rFonts w:ascii="Times New Roman" w:cs="Times New Roman" w:eastAsia="Times New Roman" w:hAnsi="Times New Roman"/>
          <w:sz w:val="22"/>
          <w:szCs w:val="22"/>
          <w:u w:val="single" w:color="auto"/>
          <w:color w:val="auto"/>
        </w:rPr>
        <w:t>Schedule 4.10(a)</w:t>
      </w:r>
      <w:r>
        <w:rPr>
          <w:rFonts w:ascii="Times New Roman" w:cs="Times New Roman" w:eastAsia="Times New Roman" w:hAnsi="Times New Roman"/>
          <w:sz w:val="22"/>
          <w:szCs w:val="22"/>
          <w:color w:val="auto"/>
        </w:rPr>
        <w:t xml:space="preserve"> of the Disclosure Schedule specifies any Person other than the Seller owning or having an interest in any Existing Patent, including the nature of such interest.</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nor any of its Affiliates is a party to any pending, and, to the knowledge of the Seller, there is no threatened, litigation, interference, reexamination, opposition or like procedure involving any of the Existing Patents or other Intellectual Property Rights owned or controlled by Seller or any of its Affiliates that directly relate to the Manufacture of the Product for Commercialization of the Product in the Territory or Commercialization of the Product in the Territory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IP</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Patents within the Existing Patents are enforceable, in full force and effect, and have not lapsed, expired or otherwise terminated and, to the knowledge of the Seller, are valid. None of the Seller nor any of its Affiliates has received any written notice relating to the lapse, expiration or other termination of any of the issued Patents within the Existing Patents. None of the Seller nor any of its Affiliates has received any written notice or written legal opinion from a Third Party that alleges that any Product IP is invalid or unenforceable.</w:t>
      </w:r>
    </w:p>
    <w:p>
      <w:pPr>
        <w:spacing w:after="0" w:line="17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nor any of its Affiliates has received any written notice that there is any, and, to the knowledge of the Seller, there is no, Person who is or claims to be an inventor under any of the Existing Patent who is not a named inventor thereof.</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or its Affiliate has paid all maintenance fees, annuities and like payments required with respect to all of the Existing Patents.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(i) the Commercialization of the Product in the Territory and the Manufacture of the Product for Commercialization of the Product in the Territory has not and will not, infringe, misappropriate or otherwise violate any Patent or other Intellectual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5" w:name="page286"/>
    <w:bookmarkEnd w:id="285"/>
    <w:p>
      <w:pPr>
        <w:jc w:val="both"/>
        <w:spacing w:after="0" w:line="244" w:lineRule="auto"/>
        <w:rPr>
          <w:sz w:val="20"/>
          <w:szCs w:val="20"/>
          <w:color w:val="auto"/>
        </w:rPr>
      </w:pPr>
      <w:r>
        <w:rPr>
          <w:rFonts w:ascii="Times New Roman" w:cs="Times New Roman" w:eastAsia="Times New Roman" w:hAnsi="Times New Roman"/>
          <w:sz w:val="22"/>
          <w:szCs w:val="22"/>
          <w:color w:val="auto"/>
        </w:rPr>
        <w:t>Property Rights of any Third Party as of the Effective Date (without reference to any safe harbor), and (ii) no Person is infringing, misappropriating or otherwise violating, or threatening to infringe, misappropriate or otherwise violate, any Product IP.</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4.11 Title to Revenue Participation Right; No Liens</w:t>
      </w:r>
      <w:r>
        <w:rPr>
          <w:rFonts w:ascii="Times New Roman" w:cs="Times New Roman" w:eastAsia="Times New Roman" w:hAnsi="Times New Roman"/>
          <w:sz w:val="22"/>
          <w:szCs w:val="22"/>
          <w:color w:val="auto"/>
        </w:rPr>
        <w:t>. The Seller and/or its Affiliates holds all rights, interests, and title necessary to sell, transfer, assign and convey the Revenue Participation Right to the Buyer. From and after the Effective Date, the Buyer will have acquired, subject to the terms and conditions set forth in this Agreement, good and marketable title to the Revenue Participation Right and Revenue Payments, in each case free and clear of all Liens (other than the Back-Up Security Interest, which shall be a first priority Lien). None of the property or assets of the Seller or any of its Affiliates is subject to, or encumbered by, any Lien, other than (i) the Revenue Participation Right and Revenue Payments, which are covered by the immediately preceding sentence and (ii) the 2023 Back-Up Security Interest granted to the Buyer pursuant to the 2023 Agreement. The Seller, together with the Parent, [***], holds all rights, interests, and title necessary to fully grant or authorize the grant of the Back-Up Security Interest.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4.12 Indebtedness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of the Disclosure Schedule sets forth a complete list of the outstanding Indebtedness of, or incurred by, the Seller and its Affiliates.</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4.13 Lien Related Representation and Warranties</w:t>
      </w:r>
      <w:r>
        <w:rPr>
          <w:rFonts w:ascii="Times New Roman" w:cs="Times New Roman" w:eastAsia="Times New Roman" w:hAnsi="Times New Roman"/>
          <w:sz w:val="22"/>
          <w:szCs w:val="22"/>
          <w:color w:val="auto"/>
        </w:rPr>
        <w:t>. The Seller’s exact legal name (as defined in Section 9-503 of the UCC) is, and has since November 2016 been, “Ascendis Pharma Bone Diseases A/S”. Prior to November 2016, the legal name of Seller was Ascendis Pharma Osteoarthritis Division A/S. The Seller is, and for the prior ten (10) years has been, a corporation and incorporated in Denmark. The Parent’s exact legal name (as defined in Section 9-503 of the UCC) is, and for the immediately preceding ten (10) years has been, “Ascendis Pharma A/S”. The Parent is, and since February 2, 2015 has been, a public limited liability company (</w:t>
      </w:r>
      <w:r>
        <w:rPr>
          <w:rFonts w:ascii="Times New Roman" w:cs="Times New Roman" w:eastAsia="Times New Roman" w:hAnsi="Times New Roman"/>
          <w:sz w:val="22"/>
          <w:szCs w:val="22"/>
          <w:i w:val="1"/>
          <w:iCs w:val="1"/>
          <w:color w:val="auto"/>
        </w:rPr>
        <w:t>Aktieselskab</w:t>
      </w:r>
      <w:r>
        <w:rPr>
          <w:rFonts w:ascii="Times New Roman" w:cs="Times New Roman" w:eastAsia="Times New Roman" w:hAnsi="Times New Roman"/>
          <w:sz w:val="22"/>
          <w:szCs w:val="22"/>
          <w:color w:val="auto"/>
        </w:rPr>
        <w:t>) organized under the laws of Denmark.</w:t>
      </w:r>
    </w:p>
    <w:p>
      <w:pPr>
        <w:spacing w:after="0" w:line="181"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4.14 Brokers’ Fees</w:t>
      </w:r>
      <w:r>
        <w:rPr>
          <w:rFonts w:ascii="Times New Roman" w:cs="Times New Roman" w:eastAsia="Times New Roman" w:hAnsi="Times New Roman"/>
          <w:sz w:val="22"/>
          <w:szCs w:val="22"/>
          <w:color w:val="auto"/>
        </w:rPr>
        <w:t>. Except for Evercore Group L.L.C., there is no investment banker, broker, finder, financial advisor or other intermediary who has been retained by or is authorized to act on behalf of the Seller or any of its Affiliate who might be entitled to any fee or commission in connection with the transactions contemplated by this Agreement.</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4.15 Foreign Corrupt Practices Act</w:t>
      </w:r>
      <w:r>
        <w:rPr>
          <w:rFonts w:ascii="Times New Roman" w:cs="Times New Roman" w:eastAsia="Times New Roman" w:hAnsi="Times New Roman"/>
          <w:sz w:val="22"/>
          <w:szCs w:val="22"/>
          <w:color w:val="auto"/>
        </w:rPr>
        <w:t xml:space="preserve"> . None of the Seller or its Affiliates nor, to the knowledge of Seller, any of its or their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Seller or any of its Affiliates in obtaining or retaining business for or with, or directing business to, any person. None of the Seller or any of its Affiliates nor, to the knowledge of Seller, any of its or their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jc w:val="both"/>
        <w:spacing w:after="0" w:line="238" w:lineRule="auto"/>
        <w:rPr>
          <w:sz w:val="20"/>
          <w:szCs w:val="20"/>
          <w:color w:val="auto"/>
        </w:rPr>
      </w:pPr>
      <w:r>
        <w:rPr>
          <w:rFonts w:ascii="Times New Roman" w:cs="Times New Roman" w:eastAsia="Times New Roman" w:hAnsi="Times New Roman"/>
          <w:sz w:val="22"/>
          <w:szCs w:val="22"/>
          <w:color w:val="auto"/>
        </w:rPr>
        <w:t>has caused each of its Affiliates to maintain, systems of internal controls (including, but not limited to, accounting systems, purchasing systems and billing systems) and written policies designed to ensure compliance with the FCPA or any other applicable anti-bribery or anti-corruption law. To the knowledge of the Seller, neither the Seller nor any of its Affiliates or its or their officers, directors or employees are the subject of any allegation, voluntary disclosure, investigation, prosecution or other enforcement action related to the FCPA or any other anti-corruption law.</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4.16</w:t>
      </w:r>
      <w:r>
        <w:rPr>
          <w:sz w:val="20"/>
          <w:szCs w:val="20"/>
          <w:color w:val="auto"/>
        </w:rPr>
        <w:tab/>
      </w:r>
      <w:r>
        <w:rPr>
          <w:rFonts w:ascii="Times New Roman" w:cs="Times New Roman" w:eastAsia="Times New Roman" w:hAnsi="Times New Roman"/>
          <w:sz w:val="21"/>
          <w:szCs w:val="21"/>
          <w:u w:val="single" w:color="auto"/>
          <w:color w:val="auto"/>
        </w:rPr>
        <w:t>Additional Products</w:t>
      </w:r>
      <w:r>
        <w:rPr>
          <w:rFonts w:ascii="Times New Roman" w:cs="Times New Roman" w:eastAsia="Times New Roman" w:hAnsi="Times New Roman"/>
          <w:sz w:val="21"/>
          <w:szCs w:val="21"/>
          <w:color w:val="auto"/>
        </w:rPr>
        <w:t>. [***], in each case other than YORVIPATH.</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u w:val="single" w:color="auto"/>
          <w:color w:val="auto"/>
        </w:rPr>
        <w:t>ARTICLE 5</w:t>
      </w:r>
    </w:p>
    <w:p>
      <w:pPr>
        <w:spacing w:after="0" w:line="14" w:lineRule="exact"/>
        <w:rPr>
          <w:sz w:val="20"/>
          <w:szCs w:val="20"/>
          <w:color w:val="auto"/>
        </w:rPr>
      </w:pPr>
    </w:p>
    <w:p>
      <w:pPr>
        <w:ind w:right="2820" w:firstLine="2823"/>
        <w:spacing w:after="0" w:line="424" w:lineRule="auto"/>
        <w:rPr>
          <w:sz w:val="20"/>
          <w:szCs w:val="20"/>
          <w:color w:val="auto"/>
        </w:rPr>
      </w:pPr>
      <w:r>
        <w:rPr>
          <w:rFonts w:ascii="Times New Roman" w:cs="Times New Roman" w:eastAsia="Times New Roman" w:hAnsi="Times New Roman"/>
          <w:sz w:val="22"/>
          <w:szCs w:val="22"/>
          <w:color w:val="auto"/>
        </w:rPr>
        <w:t>REPRESENTATIONS AND WARRANTIES OF THE BUYER The Buyer hereby represents and warrants to the Seller that as of the Effective Date:</w:t>
      </w: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5.1 Existence; Good Standing</w:t>
      </w:r>
      <w:r>
        <w:rPr>
          <w:rFonts w:ascii="Times New Roman" w:cs="Times New Roman" w:eastAsia="Times New Roman" w:hAnsi="Times New Roman"/>
          <w:sz w:val="22"/>
          <w:szCs w:val="22"/>
          <w:color w:val="auto"/>
        </w:rPr>
        <w:t>. The Buyer is a limited liability company duly organized, validly existing and in good standing under the laws of Delaware. The Buyer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5.2 Authorization</w:t>
      </w:r>
      <w:r>
        <w:rPr>
          <w:rFonts w:ascii="Times New Roman" w:cs="Times New Roman" w:eastAsia="Times New Roman" w:hAnsi="Times New Roman"/>
          <w:sz w:val="22"/>
          <w:szCs w:val="22"/>
          <w:color w:val="auto"/>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5.3 Enforceability</w:t>
      </w:r>
      <w:r>
        <w:rPr>
          <w:rFonts w:ascii="Times New Roman" w:cs="Times New Roman" w:eastAsia="Times New Roman" w:hAnsi="Times New Roman"/>
          <w:sz w:val="22"/>
          <w:szCs w:val="22"/>
          <w:color w:val="auto"/>
        </w:rPr>
        <w:t xml:space="preserve"> .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5.4 No Conflicts . The execution, delivery and performance by the Buyer of this Agreement and the consummation of the transactions contemplated hereby do not and will not (i) contravene or conflict with the organizational documents of the Buyer, (ii) contravene or conflict with or constitute a material default under any material provision of any law binding upon or applicable to the Buyer or (iii) contravene or conflict with or constitute a material default under any material agreement or Judgment binding upon or applicable to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-649605</wp:posOffset>
            </wp:positionV>
            <wp:extent cx="16217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1">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5.5 Consents</w:t>
      </w:r>
      <w:r>
        <w:rPr>
          <w:rFonts w:ascii="Times New Roman" w:cs="Times New Roman" w:eastAsia="Times New Roman" w:hAnsi="Times New Roman"/>
          <w:sz w:val="22"/>
          <w:szCs w:val="22"/>
          <w:color w:val="auto"/>
        </w:rPr>
        <w:t xml:space="preserve"> . Except for the filing of financial statement(s) in accordance with Section 2.3 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7" w:name="page288"/>
    <w:bookmarkEnd w:id="287"/>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5.6 No Litigation</w:t>
      </w:r>
      <w:r>
        <w:rPr>
          <w:rFonts w:ascii="Times New Roman" w:cs="Times New Roman" w:eastAsia="Times New Roman" w:hAnsi="Times New Roman"/>
          <w:sz w:val="22"/>
          <w:szCs w:val="22"/>
          <w:color w:val="auto"/>
        </w:rPr>
        <w:t>. There is no action, claim, suit, investigation or proceeding pending or, to the knowledge of the Buyer, threatened before any Governmental Entity to which the Buyer is a party that would reasonably be expected to prevent or materially and adversely affect the ability of the Buyer to perform its obligations under this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5.7 Financing</w:t>
      </w:r>
      <w:r>
        <w:rPr>
          <w:rFonts w:ascii="Times New Roman" w:cs="Times New Roman" w:eastAsia="Times New Roman" w:hAnsi="Times New Roman"/>
          <w:sz w:val="22"/>
          <w:szCs w:val="22"/>
          <w:color w:val="auto"/>
        </w:rPr>
        <w:t xml:space="preserve"> . The Buyer has sufficient cash to pay the Purchase Price on the Effective Date. The Buyer acknowledges that its obligations under this Agreement are not contingent on obtaining financing.</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5.8 Brokers’ Fees</w:t>
      </w:r>
      <w:r>
        <w:rPr>
          <w:rFonts w:ascii="Times New Roman" w:cs="Times New Roman" w:eastAsia="Times New Roman" w:hAnsi="Times New Roman"/>
          <w:sz w:val="22"/>
          <w:szCs w:val="22"/>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 OTHER REPRESENTATIONS AND WARRANTIES</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EXCEPT FOR THE EXPRESS WARRANTIES SET FORTH IN THIS AGREEMENT AND ANY DOCUMENTS OR INSTRUMENTS DELIVERED HEREUNDER, NONE OF THE PARTIES HERETO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7.1 Seller Diligence Requirements</w:t>
      </w:r>
      <w:r>
        <w:rPr>
          <w:rFonts w:ascii="Times New Roman" w:cs="Times New Roman" w:eastAsia="Times New Roman" w:hAnsi="Times New Roman"/>
          <w:sz w:val="22"/>
          <w:szCs w:val="22"/>
          <w:color w:val="auto"/>
        </w:rPr>
        <w:t xml:space="preserve"> . The Seller shall, directly or indirectly through its Affiliates or any Licensees or Manufacturers, use Commercially Reasonable Efforts to Manufacture the Product for Commercialization in the Territory, and Commercialize the Product in the Territory. In furtherance of the foregoing, (i) the Seller shall and shall cause its Affiliates to use Commercially Reasonable Efforts to prepare, execute, deliver and file any and all agreements, documents or instruments, or amendments or modifications to any existing agreements, documents or instruments, that are necessary or desirable to (A) secure and maintain any Marketing Approval that is necessary or useful to Manufacture the Product for Commercialization in the Territory and Commercialize the Product in the Territory and (B) obtain an Authorized Stability Period of at least [***], and (ii) the Seller shall not, and shall cause its Affiliates to not, withdraw or abandon, or fail to take any action necessary to prevent the withdrawal or abandonment of, any Marketing Approval for the Product in the Territory.</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7.2</w:t>
      </w:r>
      <w:r>
        <w:rPr>
          <w:sz w:val="20"/>
          <w:szCs w:val="20"/>
          <w:color w:val="auto"/>
        </w:rPr>
        <w:tab/>
      </w: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58" w:lineRule="auto"/>
        <w:tabs>
          <w:tab w:leader="none" w:pos="118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Seller shall provide the Buyer promptly following the end of each Calendar Quarter, but in any event no later than [***] calendar days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8" w:name="page289"/>
    <w:bookmarkEnd w:id="288"/>
    <w:p>
      <w:pPr>
        <w:ind w:right="20"/>
        <w:spacing w:after="0" w:line="258" w:lineRule="auto"/>
        <w:rPr>
          <w:sz w:val="20"/>
          <w:szCs w:val="20"/>
          <w:color w:val="auto"/>
        </w:rPr>
      </w:pPr>
      <w:r>
        <w:rPr>
          <w:rFonts w:ascii="Times New Roman" w:cs="Times New Roman" w:eastAsia="Times New Roman" w:hAnsi="Times New Roman"/>
          <w:sz w:val="22"/>
          <w:szCs w:val="22"/>
          <w:color w:val="auto"/>
        </w:rPr>
        <w:t>after the end of such Calendar Quarter, a reasonably detailed report (each, a “</w:t>
      </w:r>
      <w:r>
        <w:rPr>
          <w:rFonts w:ascii="Times New Roman" w:cs="Times New Roman" w:eastAsia="Times New Roman" w:hAnsi="Times New Roman"/>
          <w:sz w:val="22"/>
          <w:szCs w:val="22"/>
          <w:u w:val="single" w:color="auto"/>
          <w:color w:val="auto"/>
        </w:rPr>
        <w:t>Commercial &amp; IP Report</w:t>
      </w:r>
      <w:r>
        <w:rPr>
          <w:rFonts w:ascii="Times New Roman" w:cs="Times New Roman" w:eastAsia="Times New Roman" w:hAnsi="Times New Roman"/>
          <w:sz w:val="22"/>
          <w:szCs w:val="22"/>
          <w:color w:val="auto"/>
        </w:rPr>
        <w:t>”) setting forth, with respect to such same period, (i) the Commercial Updates and (ii) the Intellectual Property Updates.</w:t>
      </w:r>
    </w:p>
    <w:p>
      <w:pPr>
        <w:spacing w:after="0" w:line="158" w:lineRule="exact"/>
        <w:rPr>
          <w:sz w:val="20"/>
          <w:szCs w:val="20"/>
          <w:color w:val="auto"/>
        </w:rPr>
      </w:pPr>
    </w:p>
    <w:p>
      <w:pPr>
        <w:jc w:val="both"/>
        <w:ind w:firstLine="757"/>
        <w:spacing w:after="0" w:line="238"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until receipt of an Authorized Stability Period of at least [***], the Seller shall provide the Buyer promptly following the end of each Calendar Quarter (or, after receipt of an Authorized Stability Period of at least [***], promptly following the end of each Calendar Year), but in any event no later than [***] calendar days after the end of such Calendar Quarter or Calendar Year, as applicable, a reasonably detailed report (each, a “</w:t>
      </w:r>
      <w:r>
        <w:rPr>
          <w:rFonts w:ascii="Times New Roman" w:cs="Times New Roman" w:eastAsia="Times New Roman" w:hAnsi="Times New Roman"/>
          <w:sz w:val="22"/>
          <w:szCs w:val="22"/>
          <w:u w:val="single" w:color="auto"/>
          <w:color w:val="auto"/>
        </w:rPr>
        <w:t>Manufacturing Report</w:t>
      </w:r>
      <w:r>
        <w:rPr>
          <w:rFonts w:ascii="Times New Roman" w:cs="Times New Roman" w:eastAsia="Times New Roman" w:hAnsi="Times New Roman"/>
          <w:sz w:val="22"/>
          <w:szCs w:val="22"/>
          <w:color w:val="auto"/>
        </w:rPr>
        <w:t>”) setting forth, with respect to such same period, the Manufacturing Updates.</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information provided in the Commercial &amp; IP Reports and Manufacturing Reports, the Seller shall provide the Buyer with such additional information directly related to the Product in the Territory (including with respect to Commercialization (including the anticipated Commercial Launch) and Manufacturing) as the Buyer may reasonably request from time to time in writing, which additional information the Seller may provide orally; provided, that, after receipt of an Authorized Stability Period of at least [***], the Buyer shall make such requests for additional information no more frequently than [***].</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prepare and maintain and shall cause its Affiliates and any Licensees and Manufacturers to prepare and maintain reasonably complete and accurate records of the information to be disclosed in each Commercial &amp; IP Report and Manufacturing Report. In addition, the Seller shall provide the Buyer with prompt (and in any event within [***] Business Days) written notice of (i) any Safety Notices, (ii) any developments that would reasonably be expected to cause the Commercial Launch to occur later than March 31, 2025, and (iii) if Commercial Launch does not occur by March 31, 2025, any developments that would reasonably be expected to further delay Commercial Launch thereafter.</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7.3</w:t>
      </w:r>
      <w:r>
        <w:rPr>
          <w:sz w:val="20"/>
          <w:szCs w:val="20"/>
          <w:color w:val="auto"/>
        </w:rPr>
        <w:tab/>
      </w:r>
      <w:r>
        <w:rPr>
          <w:rFonts w:ascii="Times New Roman" w:cs="Times New Roman" w:eastAsia="Times New Roman" w:hAnsi="Times New Roman"/>
          <w:sz w:val="21"/>
          <w:szCs w:val="21"/>
          <w:u w:val="single" w:color="auto"/>
          <w:color w:val="auto"/>
        </w:rPr>
        <w:t>Revenue Payments; Revenue Payment Details; Buy-Out Payment.</w:t>
      </w:r>
    </w:p>
    <w:p>
      <w:pPr>
        <w:spacing w:after="0" w:line="206" w:lineRule="exact"/>
        <w:rPr>
          <w:sz w:val="20"/>
          <w:szCs w:val="20"/>
          <w:color w:val="auto"/>
        </w:rPr>
      </w:pPr>
    </w:p>
    <w:p>
      <w:pPr>
        <w:jc w:val="both"/>
        <w:ind w:firstLine="757"/>
        <w:spacing w:after="0" w:line="244"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Quarter occurring (in whole or in part) during the Revenue Payment Term, the Seller shall pay to the Buyer the Revenue Payment for each such Calendar Quarter promptly, but in any event no later than [***] calendar days after the end of each such Calendar Quarter.</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Buyer has complied with its obligations under Section 3.5 of this Agreement (and, if applicable, any assignee has provided Seller with a valid and properly executed IRS Form W-9 or applicable IRS Form W-8 confirming that no withholding is required for U.S. federal income tax purposes), the Seller shall make all payments required to be made by it to the Buyer pursuant to this Agreement in U.S. dollars by wire transfer of immediately available funds, without set-off, reduction or deduction, or withholding for or on account of any Taxes, to the bank account designated in writing from time to time by the Buyer.</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Quarter occurring (in whole or in part) during the Revenue Payment Term, the Seller shall provide the Buyer promptly following the end of such Calendar Quarter, but in any event no later than [***] calendar days after the end of such Calendar Quarter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9" w:name="page290"/>
    <w:bookmarkEnd w:id="289"/>
    <w:p>
      <w:pPr>
        <w:jc w:val="both"/>
        <w:spacing w:after="0" w:line="238" w:lineRule="auto"/>
        <w:rPr>
          <w:sz w:val="20"/>
          <w:szCs w:val="20"/>
          <w:color w:val="auto"/>
        </w:rPr>
      </w:pPr>
      <w:r>
        <w:rPr>
          <w:rFonts w:ascii="Times New Roman" w:cs="Times New Roman" w:eastAsia="Times New Roman" w:hAnsi="Times New Roman"/>
          <w:sz w:val="22"/>
          <w:szCs w:val="22"/>
          <w:color w:val="auto"/>
        </w:rPr>
        <w:t>or promptly after the Seller has issued quarterly or annual financial statements for public use, if later than [***] calendar days after the end of the applicable Calendar Quarter, a report (a “</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setting forth in reasonable detail (i) Gross Sales and Net Sales for such Calendar Quarter and Calendar Year to date (including a detailed break-down of all permitted deductions from Gross Sales used to determine Net Sales [***]), and (ii) the calculation of the Revenue Payment payable to the Buyer for the applicable Calendar Quarter, identifying [***] sold by the Seller, its Affiliates and each Licensee in the Territory.</w:t>
      </w:r>
    </w:p>
    <w:p>
      <w:pPr>
        <w:spacing w:after="0" w:line="177" w:lineRule="exact"/>
        <w:rPr>
          <w:sz w:val="20"/>
          <w:szCs w:val="20"/>
          <w:color w:val="auto"/>
        </w:rPr>
      </w:pPr>
    </w:p>
    <w:p>
      <w:pPr>
        <w:ind w:left="1180" w:hanging="423"/>
        <w:spacing w:after="0"/>
        <w:tabs>
          <w:tab w:leader="none" w:pos="118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of this Agreement:</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708"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or one or more of its Affiliates enters into a definitive agreement for or otherwise obtains knowledge of a Change of Control, the Seller shall provide prompt (and in any event within [***] Business Days) written notice thereof to the Buyer, which notice shall include reasonable detail as to the Change of Control, including the parties to such Change of Control; and if a Change of Control occurs or is consummated, the Seller shall, concurrently with the occurrence or consummation of such Change of Control pay (or cause to be paid) to the Buyer the applicable Buy-Out Payment by wire transfer of immediately available funds to one or more accounts specified by the Buyer; or</w:t>
      </w:r>
    </w:p>
    <w:p>
      <w:pPr>
        <w:spacing w:after="0" w:line="183" w:lineRule="exact"/>
        <w:rPr>
          <w:rFonts w:ascii="Times New Roman" w:cs="Times New Roman" w:eastAsia="Times New Roman" w:hAnsi="Times New Roman"/>
          <w:sz w:val="22"/>
          <w:szCs w:val="22"/>
          <w:color w:val="010000"/>
        </w:rPr>
      </w:pPr>
    </w:p>
    <w:p>
      <w:pPr>
        <w:jc w:val="both"/>
        <w:ind w:left="1500" w:firstLine="754"/>
        <w:spacing w:after="0" w:line="238" w:lineRule="auto"/>
        <w:tabs>
          <w:tab w:leader="none" w:pos="2708"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desires to pay the Buy-Out Payment and terminate this Agreement, the Seller shall provide the Buyer with written notice (“</w:t>
      </w:r>
      <w:r>
        <w:rPr>
          <w:rFonts w:ascii="Times New Roman" w:cs="Times New Roman" w:eastAsia="Times New Roman" w:hAnsi="Times New Roman"/>
          <w:sz w:val="22"/>
          <w:szCs w:val="22"/>
          <w:u w:val="single" w:color="auto"/>
          <w:color w:val="auto"/>
        </w:rPr>
        <w:t>Buy-Out Notice</w:t>
      </w:r>
      <w:r>
        <w:rPr>
          <w:rFonts w:ascii="Times New Roman" w:cs="Times New Roman" w:eastAsia="Times New Roman" w:hAnsi="Times New Roman"/>
          <w:sz w:val="22"/>
          <w:szCs w:val="22"/>
          <w:color w:val="auto"/>
        </w:rPr>
        <w:t>”) that the Seller is electing to make the Buy-Out Payment, which election shall be irrevocable, and the Seller shall, on the [***] Business Days following delivery of such notice pay to the Buyer the applicable Buy-Out Payment amount by wire transfer of immediately available funds to one or more accounts specified by the Buyer.</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7.4</w:t>
      </w:r>
      <w:r>
        <w:rPr>
          <w:sz w:val="20"/>
          <w:szCs w:val="20"/>
          <w:color w:val="auto"/>
        </w:rPr>
        <w:tab/>
      </w:r>
      <w:r>
        <w:rPr>
          <w:rFonts w:ascii="Times New Roman" w:cs="Times New Roman" w:eastAsia="Times New Roman" w:hAnsi="Times New Roman"/>
          <w:sz w:val="21"/>
          <w:szCs w:val="21"/>
          <w:u w:val="single" w:color="auto"/>
          <w:color w:val="auto"/>
        </w:rPr>
        <w:t>Inspections and Audits of the Seller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prior written notice and during normal business hours, the Buyer may cause an inspection and/or audit, by an independent public accounting firm reasonably acceptable to the Seller and subject to a confidentiality agreement between the Seller and such public accounting firm reasonably acceptable to the Seller, the Buyer and such independent public accounting firm, of the Seller’s and its Affiliates’ books of account, for the sole purpose of determining the correctness of the Revenue Payments made under this Agreement.</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inspection and/or audit shall be permitted with respect to the Revenue Payments no more frequently than</w:t>
      </w:r>
    </w:p>
    <w:p>
      <w:pPr>
        <w:spacing w:after="0" w:line="25" w:lineRule="exact"/>
        <w:rPr>
          <w:rFonts w:ascii="Times New Roman" w:cs="Times New Roman" w:eastAsia="Times New Roman" w:hAnsi="Times New Roman"/>
          <w:sz w:val="21"/>
          <w:szCs w:val="21"/>
          <w:color w:val="auto"/>
        </w:rPr>
      </w:pPr>
    </w:p>
    <w:p>
      <w:pPr>
        <w:jc w:val="both"/>
        <w:ind w:firstLine="8"/>
        <w:spacing w:after="0" w:line="245" w:lineRule="auto"/>
        <w:tabs>
          <w:tab w:leader="none" w:pos="52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Seller’s and its Affiliates’ books of account for any period commencing [***] preceding the Calendar Year in which the Buyer submits the written request for such inspection and/or audit. In connection with any such inspection and/or audit, upon the Buyer’s request, the Seller and its Affiliates shall exercise any rights it may have under any Out-License relating to the Product to cause an inspection and/or audit by an independent public accounting firm to be made of the books of account of any counterparty thereto for the purpose of determining the correctness of the Revenue Payments made under this Agreement.</w:t>
      </w:r>
    </w:p>
    <w:p>
      <w:pPr>
        <w:spacing w:after="0" w:line="174"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expenses of any inspection or audit requested by the Buyer hereunder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jc w:val="both"/>
        <w:spacing w:after="0" w:line="234" w:lineRule="auto"/>
        <w:rPr>
          <w:sz w:val="20"/>
          <w:szCs w:val="20"/>
          <w:color w:val="auto"/>
        </w:rPr>
      </w:pPr>
      <w:r>
        <w:rPr>
          <w:rFonts w:ascii="Times New Roman" w:cs="Times New Roman" w:eastAsia="Times New Roman" w:hAnsi="Times New Roman"/>
          <w:sz w:val="22"/>
          <w:szCs w:val="22"/>
          <w:color w:val="auto"/>
        </w:rPr>
        <w:t>(including the fees and expenses of such independent public accounting firm designated for such purpose) shall be borne by (i) the Buyer, if the independent public accounting firm determines that the Revenue Payments previously paid were incorrect by an amount less than or equal to [***] of the Revenue Payments actually paid or (ii) the Seller, if the independent public accounting firm determines that the Revenue Payments previously paid were incorrect by an amount greater than [***] of the Revenue Payments actually paid. Any such independent public accounting firm shall not disclose to the Buyer the confidential information of the Seller or any counterparty to any Out-License relating to the Product except to the extent such disclosure is either necessary to determine the correctness of a Revenue Payment or otherwise would be included in a Commercial &amp; IP Report, Manufacturing Report or Revenue Report. All information obtained by the Buyer as a result of any such inspection or audit shall be Confidential Information subject to ARTICLE 9.</w:t>
      </w:r>
    </w:p>
    <w:p>
      <w:pPr>
        <w:spacing w:after="0" w:line="183" w:lineRule="exact"/>
        <w:rPr>
          <w:sz w:val="20"/>
          <w:szCs w:val="20"/>
          <w:color w:val="auto"/>
        </w:rPr>
      </w:pPr>
    </w:p>
    <w:p>
      <w:pPr>
        <w:jc w:val="both"/>
        <w:ind w:firstLine="757"/>
        <w:spacing w:after="0" w:line="235"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Seller disputes any of the inspection and/or audit results of Section 7.4(a), the parties shall work in good faith to resolve the dispute. If the parties are unable to reach a mutually acceptable resolution of any such dispute within [***] days, the dispute shall be submitted for resolution to an independent certified public accounting firm jointly selected by [***] or to such other Person as the parties shall mutually agree (the “</w:t>
      </w:r>
      <w:r>
        <w:rPr>
          <w:rFonts w:ascii="Times New Roman" w:cs="Times New Roman" w:eastAsia="Times New Roman" w:hAnsi="Times New Roman"/>
          <w:sz w:val="22"/>
          <w:szCs w:val="22"/>
          <w:u w:val="single" w:color="auto"/>
          <w:color w:val="auto"/>
        </w:rPr>
        <w:t>Audit Arbitrator</w:t>
      </w:r>
      <w:r>
        <w:rPr>
          <w:rFonts w:ascii="Times New Roman" w:cs="Times New Roman" w:eastAsia="Times New Roman" w:hAnsi="Times New Roman"/>
          <w:sz w:val="22"/>
          <w:szCs w:val="22"/>
          <w:color w:val="auto"/>
        </w:rPr>
        <w:t>”). The decision of Audit Arbitrator shall be final and the costs of such arbitration as well as the initial audit shall be borne between the parties consistent with Section 7.4(c). Not later than [***] days after such decision and in accordance with such decision, the audited party shall pay the additional amounts, with interest from the date originally due in accordance with Section 7.12, or the auditing party shall reimburse the excess payments, as applicable.</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7.5</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to the Buyer a copy of any written notice received by any Related Party or Manufacturer from a Third Party alleging or claiming that the Commercialization of the Product in the Territory or the Manufacture of the Product for Commercialization in the Territory infringes or misappropriates any Patents or other intellectual property rights of a Third Party, together with copies of material correspondence sent or received by any Related Party or Manufacturer related thereto, as soon as practicable and in any event not more than [***] Business Days following such delivery or receipt.</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inform the Buyer upon filing or otherwise submitting a written claim to a Third Party of any infringement or misappropriation by such Third Party of any Patent or other Intellectual Property Right owned or controlled by Seller, Parent or its Affiliates that directly relates to the Commercialization of the Product in the Territory or the Manufacture of the Product for Commercialization in the Territory, or if Seller, Parent or its Affiliates receive a written notice from a Third Party alleging that any such Patent or other Intellectual Property Right owned or controlled by Seller, Parent or its Affiliates that directly relates to the Commercialization of the Product in the Territory or the Manufacture of the Product for Commercialization in the Territory is invalid or unenforceable; provided, that, reasonably prior to the Seller’s or any of its Affiliate’s initiating, or permitting a Licensee to initiate, an enforcement action regarding any suspected infringement or misappropriation by a Third Party of any such Patent or other Intellectual Property Right owned or controlled by Seller, Parent or its Affiliates that directly relates to the Commercialization of the Product in the Territory or the Manufacture of the Product for Commercialization in the Territory, the Seller shall provide the Buyer with written notice of</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2"/>
          <w:szCs w:val="22"/>
          <w:color w:val="auto"/>
        </w:rPr>
        <w:t>such enforcement action and thereafter shall provide the Buyer with such additional information on a regular basis.</w:t>
      </w:r>
    </w:p>
    <w:p>
      <w:pPr>
        <w:spacing w:after="0" w:line="206" w:lineRule="exact"/>
        <w:rPr>
          <w:sz w:val="20"/>
          <w:szCs w:val="20"/>
          <w:color w:val="auto"/>
        </w:rPr>
      </w:pPr>
    </w:p>
    <w:p>
      <w:pPr>
        <w:jc w:val="both"/>
        <w:ind w:firstLine="757"/>
        <w:spacing w:after="0" w:line="244"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another Related Party to, diligently file, prosecute, and maintain all Patents owned or controlled by Seller or its Affiliates that directly relate to the Commercialization of the Product in the Territory or the Manufacture of the Product for Commercialization in the Territory.</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or any of its Affiliates or Licensees recovers monetary damages from a Third Party, where such damages, whether in the form of judgment or settlement, result from the infringement by such Third Party of any Patents that directly relate to the Commercialization of the Product in the Territory, such recovery will be allocated first to the reimbursement of any expenses incurred by the Seller and its Affiliates or Licensees in bringing such action (including all reasonable attorneys’ fees), and any remaining amounts will be [***].</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7.6</w:t>
      </w:r>
      <w:r>
        <w:rPr>
          <w:sz w:val="20"/>
          <w:szCs w:val="20"/>
          <w:color w:val="auto"/>
        </w:rPr>
        <w:tab/>
      </w:r>
      <w:r>
        <w:rPr>
          <w:rFonts w:ascii="Times New Roman" w:cs="Times New Roman" w:eastAsia="Times New Roman" w:hAnsi="Times New Roman"/>
          <w:sz w:val="21"/>
          <w:szCs w:val="21"/>
          <w:u w:val="single" w:color="auto"/>
          <w:color w:val="auto"/>
        </w:rPr>
        <w:t>In-Licenses and Intercompany Agreements.</w:t>
      </w:r>
    </w:p>
    <w:p>
      <w:pPr>
        <w:spacing w:after="0" w:line="206" w:lineRule="exact"/>
        <w:rPr>
          <w:sz w:val="20"/>
          <w:szCs w:val="20"/>
          <w:color w:val="auto"/>
        </w:rPr>
      </w:pPr>
    </w:p>
    <w:p>
      <w:pPr>
        <w:jc w:val="both"/>
        <w:ind w:firstLine="440"/>
        <w:spacing w:after="0" w:line="238" w:lineRule="auto"/>
        <w:tabs>
          <w:tab w:leader="none" w:pos="73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 Business Days) provide the Buyer with (i) executed copies of any In-License entered into by the Seller or any of its Affiliates, and (ii) executed copies of each material amendment, supplement, modification or written waiver of any provision of any In-License. The Seller shall not, and shall cause its Affiliates not to, amend or modify in any material respect, terminate or assign, any In-License that may reasonably materially adversely affect the Buyer’s rights or economic interests under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its Affiliates (as applicable) to, comply in all material respects with its and their obligations under each In-License and shall not take any action or forego any action that would reasonably be expected to result in a material breach thereof. Promptly, and in any event within [***] Business Days following the Seller’s or its Affiliate’s notice to a counterparty to any In-License of an alleged breach by such counterparty under any such In-License, the Seller shall provide the Buyer with a copy thereof.</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will, or will cause its Affiliates to, (i) maintain the Intercompany Agreements in a manner that permits the Seller and its Affiliates to Commercialize the Product in the Territory and Manufacture the Product for Commercialization in the Territory in accordance with the terms of this Agreement, and (ii) not assign, transfer, terminate, amend or waive any provision of, or otherwise modify, any Intercompany Agreement in any manner except, in the case of clauses (i) and (ii) above, that would not reasonably be expected to have a Material Adverse Effect, or to the extent otherwise required pursuant to a “determination,” within the meaning of Section 1313(a) of the US Code, or a comparable provision of non-U.S. law. In furtherance of the foregoing, the Seller shall not, and the Parent shall cause [***] not to, assign, transfer, terminate, amend or waive any provision of, or otherwise modify, [***] without obtaining the Buyer’s prior written consent (not to be unreasonably conditioned, withheld or delayed), unless any such termination, amendment, waiver or modification is made as required pursuant to applicable law, including a “determination” within the meaning of Section 1313(a) of the US Code, or a comparable provision of non-U.S. law.</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7.7</w:t>
      </w:r>
      <w:r>
        <w:rPr>
          <w:sz w:val="20"/>
          <w:szCs w:val="20"/>
          <w:color w:val="auto"/>
        </w:rPr>
        <w:tab/>
      </w:r>
      <w:r>
        <w:rPr>
          <w:rFonts w:ascii="Times New Roman" w:cs="Times New Roman" w:eastAsia="Times New Roman" w:hAnsi="Times New Roman"/>
          <w:sz w:val="21"/>
          <w:szCs w:val="21"/>
          <w:u w:val="single" w:color="auto"/>
          <w:color w:val="auto"/>
        </w:rPr>
        <w:t>Out-Licenses and Contract Manufacturing Agreements.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jc w:val="both"/>
        <w:ind w:firstLine="757"/>
        <w:spacing w:after="0" w:line="239" w:lineRule="auto"/>
        <w:tabs>
          <w:tab w:leader="none" w:pos="118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 Permitted Out-License, the Seller shall not, and shall not permit any of its Affiliates to, enter into an Out-License without the Buyer’s prior written consent. The Seller shall notify the Buyer in writing at least [***] prior to the issuance of any public announcement regarding a Permitted Out-License, which notice shall include a copy of the draft public announcement.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and shall cause its Affiliates not to, (i) amend or modify in any material respect, terminate or assign any Out-License (except for a Permitted Out-License) without obtaining the Buyer’s prior written consent (not to be unreasonably conditioned, withheld or delayed) or (ii) amend, modify, terminate or assign any Contract Manufacturing Agreement pursuant to which commercial Manufacturing of the Product is carried out, or is intended to be carried out, for the Commercialization of the Product in the Territory if such amendment, modification, termination or assignment of or to such Contract Manufacturing Agreement would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 Business Days) provide the Buyer with (i) executed copies of each Out-License, and (ii) executed copies of each material amendment, supplement, modification or written waiver of any provision of an Out-License.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prompt (and in any event within [***] Business Days) written notice of a breach by a counterparty to any Out-License of its obligations under any Out-License, in each case of which a member of the Seller’s executive or legal team becomes aware.</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written notice promptly (and in any event within [***] Business Days) following the termination of any Out-License.</w:t>
      </w:r>
    </w:p>
    <w:p>
      <w:pPr>
        <w:spacing w:after="0" w:line="15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7.8 Disclosures</w:t>
      </w:r>
      <w:r>
        <w:rPr>
          <w:rFonts w:ascii="Times New Roman" w:cs="Times New Roman" w:eastAsia="Times New Roman" w:hAnsi="Times New Roman"/>
          <w:sz w:val="21"/>
          <w:szCs w:val="21"/>
          <w:color w:val="auto"/>
        </w:rPr>
        <w:t>. Except for a press release previously approved in form and substance by the Seller and the Buyer or any other public announcement using substantially the same text as such press release, neither the Buyer nor the Seller shall, and each party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except as may be required by applicable law or stock exchange rule (in which case either party required to make the press release or other public announcement or disclosure shall allow the other party reasonable time to comment on, and, if applicable, reasonably request the disclosing party to seek confidential treatment in respect of portions of, such press release or other public announcement or disclosure in advance of such issuance).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7.9 Post-Closing Obligation</w:t>
      </w:r>
      <w:r>
        <w:rPr>
          <w:rFonts w:ascii="Times New Roman" w:cs="Times New Roman" w:eastAsia="Times New Roman" w:hAnsi="Times New Roman"/>
          <w:sz w:val="22"/>
          <w:szCs w:val="22"/>
          <w:color w:val="auto"/>
        </w:rPr>
        <w:t xml:space="preserve"> . The Seller shall deliver to the Buyer within [***] Business Days after the Effective Date [***]. For the avoidance of doubt, the contents of [***] are Confidential Information of the Seller and subject to the terms and conditions of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7.10 Efforts to Consummate Transactions</w:t>
      </w:r>
      <w:r>
        <w:rPr>
          <w:rFonts w:ascii="Times New Roman" w:cs="Times New Roman" w:eastAsia="Times New Roman" w:hAnsi="Times New Roman"/>
          <w:sz w:val="22"/>
          <w:szCs w:val="22"/>
          <w:color w:val="auto"/>
        </w:rPr>
        <w:t>. Subject to the terms and conditions of this Agreement, each of the Seller, the Parent and the Buyer will use, and will cause its respective Affiliates to use, its and their commercially reasonable efforts to take, or cause to be taken, all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jc w:val="both"/>
        <w:spacing w:after="0" w:line="258" w:lineRule="auto"/>
        <w:rPr>
          <w:sz w:val="20"/>
          <w:szCs w:val="20"/>
          <w:color w:val="auto"/>
        </w:rPr>
      </w:pPr>
      <w:r>
        <w:rPr>
          <w:rFonts w:ascii="Times New Roman" w:cs="Times New Roman" w:eastAsia="Times New Roman" w:hAnsi="Times New Roman"/>
          <w:sz w:val="22"/>
          <w:szCs w:val="22"/>
          <w:color w:val="auto"/>
        </w:rPr>
        <w:t>actions and to do, or cause to be done, all things reasonably necessary under applicable law to consummate the transactions contemplated by this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7.11 Further Assurances</w:t>
      </w:r>
      <w:r>
        <w:rPr>
          <w:rFonts w:ascii="Times New Roman" w:cs="Times New Roman" w:eastAsia="Times New Roman" w:hAnsi="Times New Roman"/>
          <w:sz w:val="22"/>
          <w:szCs w:val="22"/>
          <w:color w:val="auto"/>
        </w:rPr>
        <w:t xml:space="preserve"> . The Seller, the Parent and the Buyer agree to execute and deliver such other documents, certificates, agreements and other writings and to take such other actions as may be reasonably necessary in order to give effect to and carry on the transactions contemplated by this Agreement.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7.12 Late Payments</w:t>
      </w:r>
      <w:r>
        <w:rPr>
          <w:rFonts w:ascii="Times New Roman" w:cs="Times New Roman" w:eastAsia="Times New Roman" w:hAnsi="Times New Roman"/>
          <w:sz w:val="22"/>
          <w:szCs w:val="22"/>
          <w:color w:val="auto"/>
        </w:rPr>
        <w:t>. A late fee of the lesser of (a) [***] over the Prime Rate, and (b) the highest rate permitted under applicable law shall accrue on all unpaid amounts with respect to any payment owed to either party hereunder, including the Purchase Price or any Revenue Payment, from the date such obligation was due until the date payment is made. The imposition and payment of a late fee shall not constitute a waiver of the rights of either party with respect to such payment default. [***].</w:t>
      </w:r>
    </w:p>
    <w:p>
      <w:pPr>
        <w:spacing w:after="0" w:line="17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7.13 Negative Pledge; Preservation of Assets; Lien Cooperation.</w:t>
      </w:r>
      <w:r>
        <w:rPr>
          <w:rFonts w:ascii="Times New Roman" w:cs="Times New Roman" w:eastAsia="Times New Roman" w:hAnsi="Times New Roman"/>
          <w:sz w:val="22"/>
          <w:szCs w:val="22"/>
          <w:color w:val="auto"/>
        </w:rPr>
        <w:t xml:space="preserve"> The Seller and the Parent shall not, and shall not permit any of its respective Affiliates to, create, incur, assume or suffer to exist any Lien on the Revenue Participation Right, the Revenue Payments, the US Product Rights or any “proceeds” (as defined in the UCC) of each of the Revenue Participation Right, the Revenue Payments and the US Product Rights except for (a) the Back-Up Security Interest and (b) as applicable, any Permitted Lien. Notwithstanding anything herein to the contrary, none of the Parent, the Seller nor any of their Affiliates shall take any actions, fail to take any actions, permit any actions, fail to permit any actions, enter into any contracts or arrangements, or amend, restate, supplement, waive any rights under or otherwise modify any contracts or arrangements in a manner that would, individually or in the aggregate, reasonably be expected to adversely affect in any material respect the Revenue Participation Right, the Revenue Payments, the commercial Manufacture of the Product for Commercialization in the Territory, the Commercial Launch of the Product in the Territory, or the Commercialization of the Product in the Territory, with the intent to circumvent the provisions of, or obligations under, this Agreement. For clarity, this Agreement shall not be construed, understood, or interpreted to limit Seller, Parent or its Affiliates’ rights to (i) enter into any license or other similar arrangements between the Seller or any of its Affiliates, on the one hand, and any Third Party, on the other hand, pursuant to which the Seller or any of its Affiliates grants a license, sublicense or other similar rights under any Intellectual Property Right owned or controlled by the Seller or any of its Affiliates to make, have made, sell, offer for sale, import, use or otherwise exploit (w) the Ascendis Technology outside the Territory, (x) the Ascendis Technology in the Territory for purposes other than the commercial Manufacture or Commercialization of the Product in the Territory to the extent provided under this Agreement, (y) Intellectual Property Rights solely related to a product other than the Product in the Territory or (z) the Product outside the Territory and (ii) enable, permit or grant a Third Party to use or reference the Marketing Approval of the Product in the Territory for purposes outside of the Territory (such actions described in clauses (i) and (ii), a “</w:t>
      </w:r>
      <w:r>
        <w:rPr>
          <w:rFonts w:ascii="Times New Roman" w:cs="Times New Roman" w:eastAsia="Times New Roman" w:hAnsi="Times New Roman"/>
          <w:sz w:val="22"/>
          <w:szCs w:val="22"/>
          <w:u w:val="single" w:color="auto"/>
          <w:color w:val="auto"/>
        </w:rPr>
        <w:t>Permitted Business Development Transaction</w:t>
      </w:r>
      <w:r>
        <w:rPr>
          <w:rFonts w:ascii="Times New Roman" w:cs="Times New Roman" w:eastAsia="Times New Roman" w:hAnsi="Times New Roman"/>
          <w:sz w:val="22"/>
          <w:szCs w:val="22"/>
          <w:color w:val="auto"/>
        </w:rPr>
        <w:t>”). The Buyer agrees to cooperate with Seller, Parent and its Affiliates to reasonably accommodate any Permitted Business Development Transaction or any Permitted Secured Indebtedness, including to adjust, as necessary, the scope or priority of the Back-Up Security Interest. For the avoidance of doubt, for purposes of the 2023 Agreement, the Buyer, in its capacity as a party to the 2023 Agreement, hereby consents to the Seller and the Parent’s entry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spacing w:after="0" w:line="258" w:lineRule="auto"/>
        <w:rPr>
          <w:sz w:val="20"/>
          <w:szCs w:val="20"/>
          <w:color w:val="auto"/>
        </w:rPr>
      </w:pPr>
      <w:r>
        <w:rPr>
          <w:rFonts w:ascii="Times New Roman" w:cs="Times New Roman" w:eastAsia="Times New Roman" w:hAnsi="Times New Roman"/>
          <w:sz w:val="22"/>
          <w:szCs w:val="22"/>
          <w:color w:val="auto"/>
        </w:rPr>
        <w:t>into this Agreement and the grant of the Back-Up Security Interest to the Buyer hereunder, notwithstanding Section 7.13 of the 2023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INDEMNIFICATION</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8.1</w:t>
      </w:r>
      <w:r>
        <w:rPr>
          <w:sz w:val="20"/>
          <w:szCs w:val="20"/>
          <w:color w:val="auto"/>
        </w:rPr>
        <w:tab/>
      </w:r>
      <w:r>
        <w:rPr>
          <w:rFonts w:ascii="Times New Roman" w:cs="Times New Roman" w:eastAsia="Times New Roman" w:hAnsi="Times New Roman"/>
          <w:sz w:val="21"/>
          <w:szCs w:val="21"/>
          <w:u w:val="single" w:color="auto"/>
          <w:color w:val="auto"/>
        </w:rPr>
        <w:t>General Indemnity</w:t>
      </w:r>
      <w:r>
        <w:rPr>
          <w:rFonts w:ascii="Times New Roman" w:cs="Times New Roman" w:eastAsia="Times New Roman" w:hAnsi="Times New Roman"/>
          <w:sz w:val="21"/>
          <w:szCs w:val="21"/>
          <w:color w:val="auto"/>
        </w:rPr>
        <w:t>. Subject to Section 8.3, from and after the Effective Date:</w:t>
      </w:r>
    </w:p>
    <w:p>
      <w:pPr>
        <w:spacing w:after="0" w:line="206" w:lineRule="exact"/>
        <w:rPr>
          <w:sz w:val="20"/>
          <w:szCs w:val="20"/>
          <w:color w:val="auto"/>
        </w:rPr>
      </w:pPr>
    </w:p>
    <w:p>
      <w:pPr>
        <w:jc w:val="both"/>
        <w:ind w:firstLine="757"/>
        <w:spacing w:after="0" w:line="235" w:lineRule="auto"/>
        <w:tabs>
          <w:tab w:leader="none" w:pos="118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Parent hereby agree to, jointly and severally, indemnify, defend and hold harmless the Buyer and its Affiliates and its and their directors, managers, trustees, officers, agents and employees (the “</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from, against and in respect of all Losses suffered or incurred by the Buyer Indemnified Parties to the extent arising out of or resulting from (i) any breach of any of the representations or warranties (in each case, when made) of the Seller or the Parent in this Agreement (including the Bill of Sale [***]) and (ii) any breach of any of the covenants or agreements of the Seller or the Parent in this Agreement (including the Bill of Sale [***]); provided, however, that the foregoing shall exclude any indemnification to any Buyer Indemnified Party to the extent resulting from the gross negligence, willful misconduct, or fraud of any Buyer Indemnified Party.</w:t>
      </w:r>
    </w:p>
    <w:p>
      <w:pPr>
        <w:spacing w:after="0" w:line="17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from, against and in respect of all Losses suffered or incurred by the Seller Indemnified Parties to the extent arising out of or resulting from (i) any or breach of any of the representations or warranties (in each case, when made) of the Buyer in this Agreement (including the Bill of Sale) or (ii) any breach of any of the covenants or agreements of the Buyer in this Agreement (including the Bill of Sale); provided, however, that the foregoing shall exclude any indemnification to any Seller Indemnified Party to the extent resulting from the gross negligence, willful misconduct, or fraud of any Seller Indemnified Party.</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8.2 Notice of Claims</w:t>
      </w:r>
      <w:r>
        <w:rPr>
          <w:rFonts w:ascii="Times New Roman" w:cs="Times New Roman" w:eastAsia="Times New Roman" w:hAnsi="Times New Roman"/>
          <w:sz w:val="22"/>
          <w:szCs w:val="22"/>
          <w:color w:val="auto"/>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suffered or incurred any Losses for which indemnification may be sought under this ARTICLE 8, the Indemnified Party shall so notify the other party from whom indemnification is sought under this ARTICLE 8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promptly in writing describing such Loss, the amount or estimated amount thereof, if known or reasonably capable of estimation, and the method of computation of such Loss, all with reasonable particularity and containing a reference to the provisions of this Agreement (or the Bill of Sale [***]) in respect of which such Loss shall have occurred. If any claim, action, suit or proceeding is asserted or instituted by or against a Third Party with respect to which an Indemnified Party intends to claim any Loss under this Section 8.2,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5" w:name="page296"/>
    <w:bookmarkEnd w:id="295"/>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8.3 Limitations on Liability</w:t>
      </w:r>
      <w:r>
        <w:rPr>
          <w:rFonts w:ascii="Times New Roman" w:cs="Times New Roman" w:eastAsia="Times New Roman" w:hAnsi="Times New Roman"/>
          <w:sz w:val="22"/>
          <w:szCs w:val="22"/>
          <w:color w:val="auto"/>
        </w:rPr>
        <w:t>. No party hereto shall be liable (and no claim for indemnification hereunder shall be asserted) for any indirect, consequential, punitive, special or incidental damages, including loss of profits, under this ARTICLE 8 as a result of any breach or violation of any covenant or agreement of such party (including under this ARTICLE 8) in or pursuant to this Agreement (including the Bill of Sale [***]). Notwithstanding the foregoing, the Buyer shall be entitled to make indemnification claims, in accordance with the procedures set forth in this ARTICLE 8, for Losses that include any portion of the Revenue Payments that the Buyer was entitled to receive but did not receive timely or at all due to any indemnifiable events under this Agreement (including the Bill of Sale [***]), and such portion of the Revenue Payments shall not be deemed indirect, consequential, punitive, special or incidental damages, including loss of profits, for any purpose of this Agreement (including the Bill of Sale [***]).</w:t>
      </w:r>
    </w:p>
    <w:p>
      <w:pPr>
        <w:spacing w:after="0" w:line="18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8.4 Third Party Claims</w:t>
      </w:r>
      <w:r>
        <w:rPr>
          <w:rFonts w:ascii="Times New Roman" w:cs="Times New Roman" w:eastAsia="Times New Roman" w:hAnsi="Times New Roman"/>
          <w:sz w:val="22"/>
          <w:szCs w:val="22"/>
          <w:color w:val="auto"/>
        </w:rPr>
        <w:t>. Upon providing notice to an Indemnifying Party by an Indemnified Party pursuant to Section 8.2 of the commencement of any action, suit or proceeding against such Indemnified Party by a Third Party with respect to which such Indemnified Party intends to claim any Loss under this ARTICLE 8, such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commercially reasonable efforts to cooperate in such defense; provided, that the Indemnifying Party shall bear the Indemnified Party’s reasonable out-of-pocket costs and expenses incurred in connection with such cooperation. The Indemnified Party may retain separate co-counsel at its expense and may participate in the defense of such claim. The Indemnifying Party shall not consent to the entry of any Judgment or enter into any settlement with respect to such claim without the prior written consent of the Indemnified Party unless such Judgment or settlement (A) provides for the payment by the Indemnifying Party of money as the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in compliance with this Section 8.4, (i) the Indemnified Party may defend against, and consent to the entry of any reasonable Judgment or enter into any reasonable settlement with respect to, such claim in any manner such Indemnified Party reasonably deems appropriate, (ii) subject to the limitations in Section 8.3,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8.</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8.5 Exclusive Remedy</w:t>
      </w:r>
      <w:r>
        <w:rPr>
          <w:rFonts w:ascii="Times New Roman" w:cs="Times New Roman" w:eastAsia="Times New Roman" w:hAnsi="Times New Roman"/>
          <w:sz w:val="22"/>
          <w:szCs w:val="22"/>
          <w:color w:val="auto"/>
        </w:rPr>
        <w:t>. Except as set forth in Section 11.10, from and after the Effective Date,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(including the Bill</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jc w:val="both"/>
        <w:spacing w:after="0" w:line="244" w:lineRule="auto"/>
        <w:rPr>
          <w:sz w:val="20"/>
          <w:szCs w:val="20"/>
          <w:color w:val="auto"/>
        </w:rPr>
      </w:pPr>
      <w:r>
        <w:rPr>
          <w:rFonts w:ascii="Times New Roman" w:cs="Times New Roman" w:eastAsia="Times New Roman" w:hAnsi="Times New Roman"/>
          <w:sz w:val="22"/>
          <w:szCs w:val="22"/>
          <w:color w:val="auto"/>
        </w:rPr>
        <w:t>of Sale [***]), and each party hereto hereby waives, to the fullest extent permitted under applicable law, and agrees not to assert any other claim or action in respect of any such breach. Notwithstanding the foregoing, claims for fraud shall not be waived or limited in any way by this ARTICLE 8.</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8.6 Tax Treatment for Indemnification Payments</w:t>
      </w:r>
      <w:r>
        <w:rPr>
          <w:rFonts w:ascii="Times New Roman" w:cs="Times New Roman" w:eastAsia="Times New Roman" w:hAnsi="Times New Roman"/>
          <w:sz w:val="22"/>
          <w:szCs w:val="22"/>
          <w:color w:val="auto"/>
        </w:rPr>
        <w:t xml:space="preserve"> . Any indemnification payments made pursuant to this ARTICLE 8 will be treated as an adjustment to the Purchase Price for U.S. federal income tax purposes to the fullest extent permitted by applicable law, except to the extent otherwise required pursuant to a “determination,” within the meaning of Section 1313(a) of the US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CONFIDENTIALITY</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9.1 Confidentiality</w:t>
      </w:r>
      <w:r>
        <w:rPr>
          <w:rFonts w:ascii="Times New Roman" w:cs="Times New Roman" w:eastAsia="Times New Roman" w:hAnsi="Times New Roman"/>
          <w:sz w:val="22"/>
          <w:szCs w:val="22"/>
          <w:color w:val="auto"/>
        </w:rPr>
        <w:t>. Except as provided in this ARTICLE 9 or otherwise agreed in writing by the parties, the parties agree that, during the term of this Agreement and for [***] years thereafter, each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shall (a) keep confidential and shall not publish or otherwise disclose, except as permitted pursuant to Section 9.2, any information furnished to it by or on behalf of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pursuant to this Agreement (such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and (b) shall not use the Confidential Information of the Disclosing Party for any purpose other than as provided for in this Agreement (which includes the exercise of any rights or the performance of any obligations hereunder), except in each case ((a) and (b)) for that portion of such information that the Receiving Party can demonstrate by competent proof:</w:t>
      </w:r>
    </w:p>
    <w:p>
      <w:pPr>
        <w:spacing w:after="0" w:line="178" w:lineRule="exact"/>
        <w:rPr>
          <w:sz w:val="20"/>
          <w:szCs w:val="20"/>
          <w:color w:val="auto"/>
        </w:rPr>
      </w:pPr>
    </w:p>
    <w:p>
      <w:pPr>
        <w:ind w:right="60" w:firstLine="757"/>
        <w:spacing w:after="0" w:line="258"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the Receiving Party or any of its Affiliates without the use of the Confidential Information of the Disclosing Party; or</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on a non-confidential basis by a Third Party who did not receive such Confidential Information from the Disclosing Party and without obligations of confidentiality with respect thereto.</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9.2</w:t>
      </w:r>
      <w:r>
        <w:rPr>
          <w:sz w:val="20"/>
          <w:szCs w:val="20"/>
          <w:color w:val="auto"/>
        </w:rPr>
        <w:tab/>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757"/>
        <w:spacing w:after="0" w:line="258"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Confidential Information to the extent such disclosure is reasonably necessary in the following situations: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prosecuting or defending litigation between the parties hereto;</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ind w:left="1500"/>
        <w:spacing w:after="0"/>
        <w:tabs>
          <w:tab w:leader="none" w:pos="2000" w:val="left"/>
        </w:tabs>
        <w:rPr>
          <w:sz w:val="20"/>
          <w:szCs w:val="20"/>
          <w:color w:val="auto"/>
        </w:rPr>
      </w:pPr>
      <w:r>
        <w:rPr>
          <w:rFonts w:ascii="Times New Roman" w:cs="Times New Roman" w:eastAsia="Times New Roman" w:hAnsi="Times New Roman"/>
          <w:sz w:val="22"/>
          <w:szCs w:val="22"/>
          <w:color w:val="010000"/>
        </w:rPr>
        <w:t>(ii)</w:t>
      </w:r>
      <w:r>
        <w:rPr>
          <w:rFonts w:ascii="Times New Roman" w:cs="Times New Roman" w:eastAsia="Times New Roman" w:hAnsi="Times New Roman"/>
          <w:sz w:val="22"/>
          <w:szCs w:val="22"/>
          <w:color w:val="auto"/>
        </w:rPr>
        <w:tab/>
        <w:t>complying  with  applicable  laws  and  regulations,  including  regulations  promulgated  by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exchanges;</w:t>
      </w:r>
    </w:p>
    <w:p>
      <w:pPr>
        <w:spacing w:after="0" w:line="182" w:lineRule="exact"/>
        <w:rPr>
          <w:sz w:val="20"/>
          <w:szCs w:val="20"/>
          <w:color w:val="auto"/>
        </w:rPr>
      </w:pPr>
    </w:p>
    <w:p>
      <w:pPr>
        <w:ind w:left="2000" w:hanging="495"/>
        <w:spacing w:after="0"/>
        <w:tabs>
          <w:tab w:leader="none" w:pos="2000"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 valid order of a court or administrative body of competent jurisdiction or other</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Governmental Entity;</w:t>
      </w:r>
    </w:p>
    <w:p>
      <w:pPr>
        <w:spacing w:after="0" w:line="182" w:lineRule="exact"/>
        <w:rPr>
          <w:rFonts w:ascii="Times New Roman" w:cs="Times New Roman" w:eastAsia="Times New Roman" w:hAnsi="Times New Roman"/>
          <w:sz w:val="22"/>
          <w:szCs w:val="22"/>
          <w:color w:val="010000"/>
        </w:rPr>
      </w:pPr>
    </w:p>
    <w:p>
      <w:pPr>
        <w:jc w:val="both"/>
        <w:ind w:firstLine="1505"/>
        <w:spacing w:after="0" w:line="244" w:lineRule="auto"/>
        <w:tabs>
          <w:tab w:leader="none" w:pos="1970"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 to its Affiliates and its and its Affiliates’ Representatives; provided, that each recipient of Confidential Information must be bound by obligations of confidentiality and non-use at least as stringent as those set forth in this Agreement prior to any such disclosure;</w:t>
      </w:r>
    </w:p>
    <w:p>
      <w:pPr>
        <w:spacing w:after="0" w:line="173" w:lineRule="exact"/>
        <w:rPr>
          <w:rFonts w:ascii="Times New Roman" w:cs="Times New Roman" w:eastAsia="Times New Roman" w:hAnsi="Times New Roman"/>
          <w:sz w:val="22"/>
          <w:szCs w:val="22"/>
          <w:color w:val="010000"/>
        </w:rPr>
      </w:pPr>
    </w:p>
    <w:p>
      <w:pPr>
        <w:jc w:val="both"/>
        <w:ind w:firstLine="1505"/>
        <w:spacing w:after="0" w:line="238" w:lineRule="auto"/>
        <w:tabs>
          <w:tab w:leader="none" w:pos="1983"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 to its actual or potential investors, lenders or acquirers, and their respective accountants, financial advisors and other professional representatives, provided, that such disclosure shall be made only to the extent customarily required to consummate such investment, financing transaction or acquisition and that each recipient of Confidential Information must be bound by obligations of confidentiality and non-use at least as stringent as those set forth in this Agreement prior to any such disclosure; or</w:t>
      </w:r>
    </w:p>
    <w:p>
      <w:pPr>
        <w:spacing w:after="0" w:line="176"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prior written consent of the Disclosing Party.</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Notwithstanding the foregoing, in the event the Receiving Party is required to make a disclosure of the Disclosing Party’s Confidential Information pursuant to Section 9.2(a)(ii) or (iii), it will, except where impracticable, give reasonable advance notice to the Disclosing Party of such disclosure and use reasonable efforts to secure confidential treatment of such information. Without limiting the foregoing, a party may disclose the other party’s Confidential Information, without the other party’s prior written permission, to the extent it is required to do so by law, regulation, or a court or administrative order or an order of another Governmental Entity; however, prior to such disclosure, the compelled party shall notify the other party (which notice shall include a copy of the relevant portion of any applicable subpoena or order) as promptly as possible after it learns of such requirement to disclose, except to the extent such notification would be impractical or legally impermissible (in which event notification shall be made as soon as reasonably practicable and permissible), provide the other party with reasonable opportunity to pursue legal action to prevent or limit the required disclosure, and, if requested, provide reasonable assistance at the other party’s expense in undertaking reasonable legal action to prevent or limit the required disclosure. In the event of any such required disclosure, the party required to disclose the other party’s Confidential Information shall disclose only that portion of the other party’s Confidential Information that it is legally required to disclose based on the advice of its counsel. The Receiving Party shall continue to hold in confidence hereunder any such disclosed Confidential Information of the Disclosing Party unless and until such information is no longer required to be held in confidence under the terms of this Agreement.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Buyer shall not seek, because of, or based upon, any Confidential Information of the Seller, Patent or any other form of intellectual property protection with respect to, or related to, any such Confidential Information or use the Confidential Information of the Seller to obtain, or seek to obtain, a commercial advantage over the Seller. Without limiting the foregoing, the Buyer shall not file any Patent application based upon, disclosing or using any of the Confidential Information of the Seller provided hereunder.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10.1 Term and Expiration; Surviving Payments</w:t>
      </w:r>
      <w:r>
        <w:rPr>
          <w:rFonts w:ascii="Times New Roman" w:cs="Times New Roman" w:eastAsia="Times New Roman" w:hAnsi="Times New Roman"/>
          <w:sz w:val="22"/>
          <w:szCs w:val="22"/>
          <w:color w:val="auto"/>
        </w:rPr>
        <w:t xml:space="preserve"> . Unless earlier terminated as provided in Section 10.2, this Agreement shall be effective as of the Effective Date and shall continue in full force and effect until such time as the Seller has made all Revenue Payments or the Buy-Out Payment, as applicable, in full under this Agreement, at which time this Agreement shall automatically terminate, except in each case with respect to any rights or obligations that accrued or arose prior to such termination.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10.2 Mutual Termination</w:t>
      </w:r>
      <w:r>
        <w:rPr>
          <w:rFonts w:ascii="Times New Roman" w:cs="Times New Roman" w:eastAsia="Times New Roman" w:hAnsi="Times New Roman"/>
          <w:sz w:val="22"/>
          <w:szCs w:val="22"/>
          <w:color w:val="auto"/>
        </w:rPr>
        <w:t>. This Agreement may be terminated by mutual written agreement of the Buyer and the Seller.</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10.3 Survival</w:t>
      </w:r>
      <w:r>
        <w:rPr>
          <w:rFonts w:ascii="Times New Roman" w:cs="Times New Roman" w:eastAsia="Times New Roman" w:hAnsi="Times New Roman"/>
          <w:sz w:val="22"/>
          <w:szCs w:val="22"/>
          <w:color w:val="auto"/>
        </w:rPr>
        <w:t xml:space="preserve"> . Notwithstanding anything to the contrary in this ARTICLE 10, the following provisions shall survive termination of this Agreement: ARTICLE 1; Section 7.4 (Inspections and Audits of the Seller); Section 7.12 (Late Payments); ARTICLE 8 (Indemnification); ARTICLE 9 (Confidentiality); Section 10.1 (Term and Expiration; Surviving Payments); Section 10.3 (Survival); ARTICLE 11 (Miscellaneous). Termination of this Agreement shall not relieve any party of liability in respect of breaches under this Agreement by any party on or prior to termination.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11.1 Notices</w:t>
      </w:r>
      <w:r>
        <w:rPr>
          <w:rFonts w:ascii="Times New Roman" w:cs="Times New Roman" w:eastAsia="Times New Roman" w:hAnsi="Times New Roman"/>
          <w:sz w:val="22"/>
          <w:szCs w:val="22"/>
          <w:color w:val="auto"/>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11.1:</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Seller or the Parent, to it at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Tuborg Boulevard 12</w:t>
      </w:r>
    </w:p>
    <w:p>
      <w:pPr>
        <w:ind w:left="760"/>
        <w:spacing w:after="0" w:line="230" w:lineRule="auto"/>
        <w:rPr>
          <w:sz w:val="20"/>
          <w:szCs w:val="20"/>
          <w:color w:val="auto"/>
        </w:rPr>
      </w:pPr>
      <w:r>
        <w:rPr>
          <w:rFonts w:ascii="Times New Roman" w:cs="Times New Roman" w:eastAsia="Times New Roman" w:hAnsi="Times New Roman"/>
          <w:sz w:val="22"/>
          <w:szCs w:val="22"/>
          <w:color w:val="auto"/>
        </w:rPr>
        <w:t>DK-2900 Hellerup</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140 Scott Drive</w:t>
      </w:r>
    </w:p>
    <w:p>
      <w:pPr>
        <w:ind w:left="760"/>
        <w:spacing w:after="0" w:line="230" w:lineRule="auto"/>
        <w:rPr>
          <w:sz w:val="20"/>
          <w:szCs w:val="20"/>
          <w:color w:val="auto"/>
        </w:rPr>
      </w:pPr>
      <w:r>
        <w:rPr>
          <w:rFonts w:ascii="Times New Roman" w:cs="Times New Roman" w:eastAsia="Times New Roman" w:hAnsi="Times New Roman"/>
          <w:sz w:val="22"/>
          <w:szCs w:val="22"/>
          <w:color w:val="auto"/>
        </w:rPr>
        <w:t>Menlo Park, California 94025</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Mark V. Roeder</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Buyer, to it at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9" w:name="page300"/>
    <w:bookmarkEnd w:id="299"/>
    <w:p>
      <w:pPr>
        <w:ind w:left="76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 E. 59th Street, Suite 3300</w:t>
      </w:r>
    </w:p>
    <w:p>
      <w:pPr>
        <w:ind w:left="760"/>
        <w:spacing w:after="0" w:line="230" w:lineRule="auto"/>
        <w:rPr>
          <w:sz w:val="20"/>
          <w:szCs w:val="20"/>
          <w:color w:val="auto"/>
        </w:rPr>
      </w:pPr>
      <w:r>
        <w:rPr>
          <w:rFonts w:ascii="Times New Roman" w:cs="Times New Roman" w:eastAsia="Times New Roman" w:hAnsi="Times New Roman"/>
          <w:sz w:val="22"/>
          <w:szCs w:val="22"/>
          <w:color w:val="auto"/>
        </w:rPr>
        <w:t>New York, New York 10022</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100 Northern Avenue</w:t>
      </w:r>
    </w:p>
    <w:p>
      <w:pPr>
        <w:ind w:left="760"/>
        <w:spacing w:after="0" w:line="230" w:lineRule="auto"/>
        <w:rPr>
          <w:sz w:val="20"/>
          <w:szCs w:val="20"/>
          <w:color w:val="auto"/>
        </w:rPr>
      </w:pPr>
      <w:r>
        <w:rPr>
          <w:rFonts w:ascii="Times New Roman" w:cs="Times New Roman" w:eastAsia="Times New Roman" w:hAnsi="Times New Roman"/>
          <w:sz w:val="22"/>
          <w:szCs w:val="22"/>
          <w:color w:val="auto"/>
        </w:rPr>
        <w:t>Boston, Massachusetts 02210</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Robert M. Crawford and Jacqueline Mercier</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notices and communications under this Agreement shall be deemed to have been duly given (i) when delivered by hand, if personally delivered, (ii) when received by a recipient, if sent by email, with an acknowledgement of receipt being produced by the recipient’s email account, or (iii) one (1) Business Day following sending within the United States by overnight delivery via commercial one-day overnight courier service.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11.2 Expenses .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-493395</wp:posOffset>
            </wp:positionV>
            <wp:extent cx="140081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5">
                      <a:extLst>
                        <a:ext uri="{28A0092B-C50C-407E-A947-70E740481C1C}"/>
                      </a:extLst>
                    </a:blip>
                    <a:srcRect/>
                    <a:stretch>
                      <a:fillRect/>
                    </a:stretch>
                  </pic:blipFill>
                  <pic:spPr bwMode="auto">
                    <a:xfrm>
                      <a:off x="0" y="0"/>
                      <a:ext cx="1400810" cy="8255"/>
                    </a:xfrm>
                    <a:prstGeom prst="rect">
                      <a:avLst/>
                    </a:prstGeom>
                    <a:noFill/>
                  </pic:spPr>
                </pic:pic>
              </a:graphicData>
            </a:graphic>
          </wp:anchor>
        </w:drawing>
      </w:r>
    </w:p>
    <w:p>
      <w:pPr>
        <w:spacing w:after="0" w:line="16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11.3</w:t>
      </w:r>
      <w:r>
        <w:rPr>
          <w:sz w:val="20"/>
          <w:szCs w:val="20"/>
          <w:color w:val="auto"/>
        </w:rPr>
        <w:tab/>
      </w:r>
      <w:r>
        <w:rPr>
          <w:rFonts w:ascii="Times New Roman" w:cs="Times New Roman" w:eastAsia="Times New Roman" w:hAnsi="Times New Roman"/>
          <w:sz w:val="21"/>
          <w:szCs w:val="21"/>
          <w:u w:val="single" w:color="auto"/>
          <w:color w:val="auto"/>
        </w:rPr>
        <w:t>Assignment; Transfer Restrictions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Seller nor any of their Affiliates shall sell, assign or otherwise transfer, including by asset sale, merger, change of control, operation of law, or otherwise, this Agreement or any portion of the US Product Rights to any Person without the prior written consent of the Buyer (not to be unreasonably conditioned, withheld or delayed) except (i) to an Affiliate if such Affiliate transferee agrees in a writing reasonably acceptable to the Buyer that such Affiliate assumes all of the obligations of the Parent and the Seller to the Buyer under this Agreement and the Parent guarantees the performance of such Affiliate or (ii) in connection with a Change of Control. Further, the Parent, the Seller and its Affiliates shall be permitted to assign all or substantially all of the US Product Rights to a Permitted Transferee if such Permitted Transferee agrees in a writing reasonably acceptable to the Buyer that it assumes all of the obligations of the Parent and the Seller to the Buyer under this Agreement. For clarity, nothing in this Section 11.3 shall prohibit any Out-Licenses permitted by and entered into in accordance with Section 7.7.</w:t>
      </w:r>
    </w:p>
    <w:p>
      <w:pPr>
        <w:spacing w:after="0" w:line="179"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of the transactions contemplated by this Agreement, the Buyer may assign this Agreement without the prior written consent of the Seller if the Buyer provides a prior written notice to Seller regarding such assignment.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assigning this Agreement as set forth in this Section 11.3 will promptly notify the other party of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Any purported sale, assignment or transfer in violation of this Section 11.3 shall be null and void.</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inure to the benefit of and be enforceable by, the parties hereto and their respective permitted successors and assigns.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11.4</w:t>
      </w:r>
      <w:r>
        <w:rPr>
          <w:sz w:val="20"/>
          <w:szCs w:val="20"/>
          <w:color w:val="auto"/>
        </w:rPr>
        <w:tab/>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757"/>
        <w:spacing w:after="0" w:line="244"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restated, modified or supplemented only in a writing signed by each of the Seller, the Parent and the Buyer. Any provision of this Agreement may be waived only in a writing signed by the parties hereto granting such waiver.</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11.5 Entire Agreement</w:t>
      </w:r>
      <w:r>
        <w:rPr>
          <w:rFonts w:ascii="Times New Roman" w:cs="Times New Roman" w:eastAsia="Times New Roman" w:hAnsi="Times New Roman"/>
          <w:sz w:val="22"/>
          <w:szCs w:val="22"/>
          <w:color w:val="auto"/>
        </w:rPr>
        <w:t>.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11.6 No Third Party Beneficiaries</w:t>
      </w:r>
      <w:r>
        <w:rPr>
          <w:rFonts w:ascii="Times New Roman" w:cs="Times New Roman" w:eastAsia="Times New Roman" w:hAnsi="Times New Roman"/>
          <w:sz w:val="22"/>
          <w:szCs w:val="22"/>
          <w:color w:val="auto"/>
        </w:rPr>
        <w:t xml:space="preserve"> . This Agreement is for the sole benefit of the Seller, the Parent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8.</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11.7 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11.8</w:t>
      </w:r>
      <w:r>
        <w:rPr>
          <w:sz w:val="20"/>
          <w:szCs w:val="20"/>
          <w:color w:val="auto"/>
        </w:rPr>
        <w:tab/>
      </w: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EACH HEREBY IRREVOCABLY AND UNCONDITIONALLY AGREE THAT ALL CLAIMS IN RESPECT OF ANY SUCH ACTION OR PROCEEDING MAY BE HEARD AND DETERMINED IN ANY SUCH NEW YORK STATE COURT OR, TO THE FULLEST EXTENT PERMITTED BY APPLICABLE LAW, IN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1" w:name="page302"/>
    <w:bookmarkEnd w:id="301"/>
    <w:p>
      <w:pPr>
        <w:jc w:val="both"/>
        <w:spacing w:after="0" w:line="233" w:lineRule="auto"/>
        <w:rPr>
          <w:sz w:val="20"/>
          <w:szCs w:val="20"/>
          <w:color w:val="auto"/>
        </w:rPr>
      </w:pPr>
      <w:r>
        <w:rPr>
          <w:rFonts w:ascii="Times New Roman" w:cs="Times New Roman" w:eastAsia="Times New Roman" w:hAnsi="Times New Roman"/>
          <w:sz w:val="22"/>
          <w:szCs w:val="22"/>
          <w:color w:val="auto"/>
        </w:rPr>
        <w:t>SUCH FEDERAL COURT. THE BUYER AND THE SELLER EACH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NOTHING IN THIS AGREEMENT OR IN ANY OTHER DOCUMENT SHALL AFFECT ANY RIGHT THAT THE BUYER MAY OTHERWISE HAVE TO BRING ANY ACTION OR PROCEEDING RELATING TO THIS AGREEMENT OR ANY OTHER DOCUMENT AGAINST THE SELLER OR ITS AFFILIATES OR ITS OR THEIR PROPERTIES IN THE COURTS OF ANY JURISDICTION. THE BUYER AND THE SELLER EACH AGREE, TO THE FULLEST EXTENT PERMITTED BY APPLICABLE LAW, THAT PROCESS MAY BE SERVED ON THE BUYER OR THE SELLER IN THE SAME MANNER THAT NOTICES MAY BE GIVEN PURSUANT TO SECTION 11.1 HEREOF.</w:t>
      </w:r>
    </w:p>
    <w:p>
      <w:pPr>
        <w:spacing w:after="0" w:line="187" w:lineRule="exact"/>
        <w:rPr>
          <w:sz w:val="20"/>
          <w:szCs w:val="20"/>
          <w:color w:val="auto"/>
        </w:rPr>
      </w:pPr>
    </w:p>
    <w:p>
      <w:pPr>
        <w:jc w:val="both"/>
        <w:ind w:firstLine="757"/>
        <w:spacing w:after="0" w:line="235" w:lineRule="auto"/>
        <w:tabs>
          <w:tab w:leader="none" w:pos="118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83" w:lineRule="exact"/>
        <w:rPr>
          <w:sz w:val="20"/>
          <w:szCs w:val="20"/>
          <w:color w:val="auto"/>
        </w:rPr>
      </w:pPr>
    </w:p>
    <w:p>
      <w:pPr>
        <w:jc w:val="both"/>
        <w:ind w:firstLine="757"/>
        <w:spacing w:after="0" w:line="244" w:lineRule="auto"/>
        <w:tabs>
          <w:tab w:leader="none" w:pos="118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AND UNCONDITIONALLY WAIVES ANY RIGHT TO TRIAL BY JURY WITH RESPECT TO ANY PROCEEDING ARISING OUT OF, RELATING TO OR IN CONNECTION WITH THIS AGREEMENT OR ANY TRANSACTION CONTEMPLATED HEREBY.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11.9 Severability</w:t>
      </w:r>
      <w:r>
        <w:rPr>
          <w:rFonts w:ascii="Times New Roman" w:cs="Times New Roman" w:eastAsia="Times New Roman" w:hAnsi="Times New Roman"/>
          <w:sz w:val="22"/>
          <w:szCs w:val="22"/>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11.10 Specific Performance . Each of the parties acknowledges and agrees that the other parties may be damaged irreparably in the event any of the provisions of this Agreement are not performed in accordance with their specific terms or otherwise are breached or violated. Accordingly, notwithstanding Section 8.5, each of the parties agrees that, without posting bond or other undertaking, the other parties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-954405</wp:posOffset>
            </wp:positionV>
            <wp:extent cx="209296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8">
                      <a:extLst>
                        <a:ext uri="{28A0092B-C50C-407E-A947-70E740481C1C}"/>
                      </a:extLst>
                    </a:blip>
                    <a:srcRect/>
                    <a:stretch>
                      <a:fillRect/>
                    </a:stretch>
                  </pic:blipFill>
                  <pic:spPr bwMode="auto">
                    <a:xfrm>
                      <a:off x="0" y="0"/>
                      <a:ext cx="209296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further agrees that, in the event of any action for specific performance in respect of such breach or violation, it shall not assert that the defense that a remedy at law would be adequate.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11.11 Counterparts</w:t>
      </w:r>
      <w:r>
        <w:rPr>
          <w:rFonts w:ascii="Times New Roman" w:cs="Times New Roman" w:eastAsia="Times New Roman" w:hAnsi="Times New Roman"/>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7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11.12 Relationship of the Parties; Cooperation</w:t>
      </w:r>
      <w:r>
        <w:rPr>
          <w:rFonts w:ascii="Times New Roman" w:cs="Times New Roman" w:eastAsia="Times New Roman" w:hAnsi="Times New Roman"/>
          <w:sz w:val="22"/>
          <w:szCs w:val="22"/>
          <w:color w:val="auto"/>
        </w:rPr>
        <w:t xml:space="preserve"> . The relationship between the Buyer, on the one hand, and the Seller and the Parent, on the other hand, is solely that of purchaser and seller/guarantor, and no party hereto has any fiduciary or other special relationship with any other party or any of its Affiliates. This Agreement is not a partnership or similar agreement, and nothing contained herein shall be deemed to constitute the Buyer, the Seller, the Parent or any of their Affiliates as a partnership, an association, a joint venture or any other kind of entity or legal form for any purposes, including any Tax purposes. The Buyer, the Seller and the Parent acknowledge and agree that the Buyer’s interests hereunder (including the Revenue Participation Right) are not equity interests and that the Buyer shall have the rights of a secured party (as defined in the UCC) with respect to the Revenue Participation Right. The Buyer, the Seller and the Parent agree to treat the transactions contemplated by this Agreement as a sale of the Revenue Participation Right for U.S. federal, state, local and non-U.S. tax purposes (except as otherwise required by IFRS solely for financial reporting purposes or by applicable tax law in Denmark solely for Danish tax purposes), and that they shall not take any position that is inconsistent with this Section 11.12 in any filing with any Governmental Entity or any audit or other tax-related administrative or judicial proceeding unless the other party hereto has consented in writing to such actions or to the extent otherwise required pursuant to a “determination,” within the meaning of Section 1313(a) of the US Code, or a comparable provision of non-U.S. law. Each of the Buyer, the Seller and the Parent shall cooperate fully, as and to the extent reasonably requested by the other party, in connection with the filing of tax returns and any audit, litigation or other proceeding with respect to taxes relating to the Revenue Participation Right. If there is an inquiry by any Governmental Entity of the Buyer, the Seller or the Parent related to the treatment described in this Section 11.12, the parties hereto shall cooperate with each other in responding to such inquiry in a reasonable manner which is consistent with this Section 11.12.</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11.13 Parent Guarantee</w:t>
      </w:r>
      <w:r>
        <w:rPr>
          <w:rFonts w:ascii="Times New Roman" w:cs="Times New Roman" w:eastAsia="Times New Roman" w:hAnsi="Times New Roman"/>
          <w:sz w:val="22"/>
          <w:szCs w:val="22"/>
          <w:color w:val="auto"/>
        </w:rPr>
        <w:t xml:space="preserve"> . The Parent (i) hereby unconditionally guarantees the due and punctual payment and performance of all of the Seller’s and its Affiliates’ obligations and commitments under this Agreement or any related documents, and (ii) hereby further covenants to procure and cause the Seller and its Affiliates to take such actions necessary to support and duly complete the due and punctual payment and performance of the Seller’s and its Affiliates’ obligations and commitments under this Agreement and any related documents in relation to the Buyer’s exercise of its rights and remedies under this Agreement and any related documents (collectively, (i) and (ii) this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This Parent Guaranty is an irrevocable guaranty of payment and performance (and not just of collection) and shall continue in effect notwithstanding any extension or modification of the terms of this Agreement or any related document, any assumption of any such guaranteed obligations by any other party or Person or any other act or event that might otherwise operate as a legal or equitable discharge of the Parent. The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jc w:val="both"/>
        <w:spacing w:after="0" w:line="232" w:lineRule="auto"/>
        <w:rPr>
          <w:sz w:val="20"/>
          <w:szCs w:val="20"/>
          <w:color w:val="auto"/>
        </w:rPr>
      </w:pPr>
      <w:r>
        <w:rPr>
          <w:rFonts w:ascii="Times New Roman" w:cs="Times New Roman" w:eastAsia="Times New Roman" w:hAnsi="Times New Roman"/>
          <w:sz w:val="22"/>
          <w:szCs w:val="22"/>
          <w:color w:val="auto"/>
        </w:rPr>
        <w:t>Parent hereby waives all its rights to subrogation arising out of any payment or performance by The Parent under this Parent Guaranty. The obligations of the Parent hereunder shall be absolute and unconditional, and shall not be affected by or contingent upon (a) the liquidation or dissolution of, or the merger or consolidation of the Seller or any of its Affiliates with or into any corporation or other Person, or any sale or transfer by the Seller or any of its Affiliates or all or any part of its or their property or assets, (b) the bankruptcy, receivership, insolvency, reorganization or similar proceedings involving or affecting the Seller or its Affiliates, or (c) any modification, alteration, amendment, supplement, waiver or addition of or to this Agreement or any related document. The Parent hereby waives all suretyship defenses and protest, notice of protest, demand for performance, diligence, notice of any other action at any time taken or omitted by the Buyer and, generally, all demands and notices of every kind in connection with this Parent Guaranty, and the Seller’s and its Affiliates’ obligations in this Agreement and any related documents hereby guaranteed, and which the Parent may otherwise assert against the Buyer. This Parent Guaranty shall continue to be effective or shall be reinstated, as the case may be, if at any time payment or performance of any of the obligations of the Seller or any of its Affiliates under this Agreement or any related document is rescinded or must otherwise be restored or returned by the Company upon the insolvency, bankruptcy or reorganization of the Seller or its Affiliates or otherwise. The Parent acknowledges that each of the waivers set forth in this Parent Guaranty is made with full knowledge of its significance and consequences and under the circumstances the waivers are reasonable and not contrary to public policy. If any of said waivers is determined to be contrary to any applicable law or public policy, such waivers shall be effective only to the extent permitted and required by applicable law.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4" w:name="page305"/>
    <w:bookmarkEnd w:id="304"/>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PARENT</w:t>
      </w:r>
    </w:p>
    <w:p>
      <w:pPr>
        <w:spacing w:after="0" w:line="2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233"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Jan Møller Mikkelsen</w:t>
      </w:r>
    </w:p>
    <w:p>
      <w:pPr>
        <w:spacing w:after="0" w:line="1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-3810</wp:posOffset>
            </wp:positionV>
            <wp:extent cx="286321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ind w:left="6640"/>
        <w:spacing w:after="0" w:line="233" w:lineRule="auto"/>
        <w:rPr>
          <w:sz w:val="20"/>
          <w:szCs w:val="20"/>
          <w:color w:val="auto"/>
        </w:rPr>
      </w:pPr>
      <w:r>
        <w:rPr>
          <w:rFonts w:ascii="Times New Roman" w:cs="Times New Roman" w:eastAsia="Times New Roman" w:hAnsi="Times New Roman"/>
          <w:sz w:val="22"/>
          <w:szCs w:val="22"/>
          <w:color w:val="auto"/>
        </w:rPr>
        <w:t>Name: Jan Møller Mikkelsen</w:t>
      </w:r>
    </w:p>
    <w:p>
      <w:pPr>
        <w:ind w:left="6640"/>
        <w:spacing w:after="0" w:line="231" w:lineRule="auto"/>
        <w:rPr>
          <w:sz w:val="20"/>
          <w:szCs w:val="20"/>
          <w:color w:val="auto"/>
        </w:rPr>
      </w:pPr>
      <w:r>
        <w:rPr>
          <w:rFonts w:ascii="Times New Roman" w:cs="Times New Roman" w:eastAsia="Times New Roman" w:hAnsi="Times New Roman"/>
          <w:sz w:val="22"/>
          <w:szCs w:val="22"/>
          <w:color w:val="auto"/>
        </w:rPr>
        <w:t>Title: CEO</w:t>
      </w:r>
    </w:p>
    <w:p>
      <w:pPr>
        <w:ind w:left="6640"/>
        <w:spacing w:after="0" w:line="230" w:lineRule="auto"/>
        <w:rPr>
          <w:sz w:val="20"/>
          <w:szCs w:val="20"/>
          <w:color w:val="auto"/>
        </w:rPr>
      </w:pPr>
      <w:r>
        <w:rPr>
          <w:rFonts w:ascii="Times New Roman" w:cs="Times New Roman" w:eastAsia="Times New Roman" w:hAnsi="Times New Roman"/>
          <w:sz w:val="22"/>
          <w:szCs w:val="22"/>
          <w:color w:val="auto"/>
        </w:rPr>
        <w:t>Name: Albert Cha</w:t>
      </w:r>
    </w:p>
    <w:p>
      <w:pPr>
        <w:spacing w:after="0" w:line="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 Chairman</w:t>
      </w:r>
    </w:p>
    <w:p>
      <w:pPr>
        <w:spacing w:after="0" w:line="200" w:lineRule="exact"/>
        <w:rPr>
          <w:sz w:val="20"/>
          <w:szCs w:val="20"/>
          <w:color w:val="auto"/>
        </w:rPr>
      </w:pP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SELLER</w:t>
      </w:r>
    </w:p>
    <w:p>
      <w:pPr>
        <w:spacing w:after="0" w:line="2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ASCENDIS PHARMA BONE DISEASES A/S</w:t>
      </w:r>
    </w:p>
    <w:p>
      <w:pPr>
        <w:spacing w:after="0" w:line="223" w:lineRule="exact"/>
        <w:rPr>
          <w:sz w:val="20"/>
          <w:szCs w:val="20"/>
          <w:color w:val="auto"/>
        </w:rPr>
      </w:pPr>
    </w:p>
    <w:tbl>
      <w:tblPr>
        <w:tblLayout w:type="fixed"/>
        <w:tblInd w:w="596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/s/ Jan Møller Mikkelsen</w:t>
            </w:r>
          </w:p>
        </w:tc>
      </w:tr>
      <w:tr>
        <w:trPr>
          <w:trHeight w:val="270"/>
        </w:trPr>
        <w:tc>
          <w:tcPr>
            <w:tcW w:w="680" w:type="dxa"/>
            <w:vAlign w:val="bottom"/>
          </w:tcPr>
          <w:p>
            <w:pPr>
              <w:spacing w:after="0"/>
              <w:rPr>
                <w:sz w:val="23"/>
                <w:szCs w:val="23"/>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Michael Wolff Jensen</w:t>
            </w:r>
          </w:p>
        </w:tc>
      </w:tr>
      <w:tr>
        <w:trPr>
          <w:trHeight w:val="209"/>
        </w:trPr>
        <w:tc>
          <w:tcPr>
            <w:tcW w:w="680" w:type="dxa"/>
            <w:vAlign w:val="bottom"/>
          </w:tcPr>
          <w:p>
            <w:pPr>
              <w:spacing w:after="0"/>
              <w:rPr>
                <w:sz w:val="18"/>
                <w:szCs w:val="18"/>
                <w:color w:val="auto"/>
              </w:rPr>
            </w:pPr>
          </w:p>
        </w:tc>
        <w:tc>
          <w:tcPr>
            <w:tcW w:w="45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Jan Møller Mikkelsen</w:t>
            </w:r>
          </w:p>
        </w:tc>
      </w:tr>
      <w:tr>
        <w:trPr>
          <w:trHeight w:val="243"/>
        </w:trPr>
        <w:tc>
          <w:tcPr>
            <w:tcW w:w="680" w:type="dxa"/>
            <w:vAlign w:val="bottom"/>
          </w:tcPr>
          <w:p>
            <w:pPr>
              <w:spacing w:after="0"/>
              <w:rPr>
                <w:sz w:val="21"/>
                <w:szCs w:val="21"/>
                <w:color w:val="auto"/>
              </w:rPr>
            </w:pPr>
          </w:p>
        </w:tc>
        <w:tc>
          <w:tcPr>
            <w:tcW w:w="4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 CEO</w:t>
            </w:r>
          </w:p>
        </w:tc>
      </w:tr>
      <w:tr>
        <w:trPr>
          <w:trHeight w:val="243"/>
        </w:trPr>
        <w:tc>
          <w:tcPr>
            <w:tcW w:w="680" w:type="dxa"/>
            <w:vAlign w:val="bottom"/>
          </w:tcPr>
          <w:p>
            <w:pPr>
              <w:spacing w:after="0"/>
              <w:rPr>
                <w:sz w:val="21"/>
                <w:szCs w:val="21"/>
                <w:color w:val="auto"/>
              </w:rPr>
            </w:pPr>
          </w:p>
        </w:tc>
        <w:tc>
          <w:tcPr>
            <w:tcW w:w="4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 Michael Wolff Jensen</w:t>
            </w:r>
          </w:p>
        </w:tc>
      </w:tr>
      <w:tr>
        <w:trPr>
          <w:trHeight w:val="282"/>
        </w:trPr>
        <w:tc>
          <w:tcPr>
            <w:tcW w:w="6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Title: Chairman</w:t>
            </w:r>
          </w:p>
        </w:tc>
      </w:tr>
    </w:tbl>
    <w:p>
      <w:pPr>
        <w:spacing w:after="0" w:line="200" w:lineRule="exact"/>
        <w:rPr>
          <w:sz w:val="20"/>
          <w:szCs w:val="20"/>
          <w:color w:val="auto"/>
        </w:rPr>
      </w:pPr>
    </w:p>
    <w:p>
      <w:pPr>
        <w:spacing w:after="0" w:line="2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BUYER</w:t>
      </w:r>
    </w:p>
    <w:p>
      <w:pPr>
        <w:spacing w:after="0" w:line="2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ROYALTY PHARMA DEVELOPMENT FUNDING,</w:t>
      </w:r>
    </w:p>
    <w:p>
      <w:pPr>
        <w:spacing w:after="0" w:line="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LLC</w:t>
      </w:r>
    </w:p>
    <w:p>
      <w:pPr>
        <w:spacing w:after="0" w:line="209" w:lineRule="exact"/>
        <w:rPr>
          <w:sz w:val="20"/>
          <w:szCs w:val="20"/>
          <w:color w:val="auto"/>
        </w:rPr>
      </w:pPr>
    </w:p>
    <w:tbl>
      <w:tblPr>
        <w:tblLayout w:type="fixed"/>
        <w:tblInd w:w="5960" w:type="dxa"/>
        <w:tblCellMar>
          <w:top w:w="0" w:type="dxa"/>
          <w:left w:w="0" w:type="dxa"/>
          <w:bottom w:w="0" w:type="dxa"/>
          <w:right w:w="0" w:type="dxa"/>
        </w:tblCellMar>
      </w:tblP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Royalty Pharma Holdings, Ltd., its Manager</w:t>
            </w:r>
          </w:p>
        </w:tc>
      </w:tr>
      <w:tr>
        <w:trPr>
          <w:trHeight w:val="474"/>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George W. Lloyd</w:t>
            </w:r>
          </w:p>
        </w:tc>
      </w:tr>
      <w:tr>
        <w:trPr>
          <w:trHeight w:val="209"/>
        </w:trPr>
        <w:tc>
          <w:tcPr>
            <w:tcW w:w="680" w:type="dxa"/>
            <w:vAlign w:val="bottom"/>
          </w:tcPr>
          <w:p>
            <w:pPr>
              <w:spacing w:after="0"/>
              <w:rPr>
                <w:sz w:val="18"/>
                <w:szCs w:val="18"/>
                <w:color w:val="auto"/>
              </w:rPr>
            </w:pPr>
          </w:p>
        </w:tc>
        <w:tc>
          <w:tcPr>
            <w:tcW w:w="45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George W. Lloyd</w:t>
            </w:r>
          </w:p>
        </w:tc>
      </w:tr>
      <w:tr>
        <w:trPr>
          <w:trHeight w:val="282"/>
        </w:trPr>
        <w:tc>
          <w:tcPr>
            <w:tcW w:w="6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 Page to Revenue Participation Right Purchase and Sale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9019"/>
          </w:cols>
          <w:pgMar w:left="1440" w:top="140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1036955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type w:val="continuous"/>
        </w:sectPr>
      </w:pPr>
    </w:p>
    <w:bookmarkStart w:id="306" w:name="page307"/>
    <w:bookmarkEnd w:id="306"/>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9019"/>
          </w:cols>
          <w:pgMar w:left="1440" w:top="140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1036955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type w:val="continuous"/>
        </w:sectPr>
      </w:pPr>
    </w:p>
    <w:bookmarkStart w:id="307" w:name="page308"/>
    <w:bookmarkEnd w:id="307"/>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ectPr>
          <w:pgSz w:w="11900" w:h="16838" w:orient="portrait"/>
          <w:cols w:equalWidth="0" w:num="1">
            <w:col w:w="9019"/>
          </w:cols>
          <w:pgMar w:left="1440" w:top="1440"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1585595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ectPr>
          <w:pgSz w:w="11900" w:h="16838" w:orient="portrait"/>
          <w:cols w:equalWidth="0" w:num="1">
            <w:col w:w="9019"/>
          </w:cols>
          <w:pgMar w:left="1440" w:top="140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1311275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type w:val="continuous"/>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4.24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20"/>
        <w:spacing w:after="0" w:line="269" w:lineRule="auto"/>
        <w:rPr>
          <w:sz w:val="20"/>
          <w:szCs w:val="20"/>
          <w:color w:val="auto"/>
        </w:rPr>
      </w:pPr>
      <w:r>
        <w:rPr>
          <w:rFonts w:ascii="Times New Roman" w:cs="Times New Roman" w:eastAsia="Times New Roman" w:hAnsi="Times New Roman"/>
          <w:sz w:val="20"/>
          <w:szCs w:val="20"/>
          <w:color w:val="auto"/>
        </w:rPr>
        <w:t>CERTAIN IDENTIFIED CONFIDENTIAL INFORMATION HAS BEEN REDACTED FROM THIS EXHIBIT BECAUSE IT IS (I) CUSTOMARILY AND ACTUALLY TREATED AS PRIVATE OR CONFIDENTIAL AND (II) NOT MATERIAL.</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CONFIDENTIAL PORTIONS OF THIS EXHIBIT ARE DESIGNATED BY [***].</w:t>
      </w:r>
    </w:p>
    <w:p>
      <w:pPr>
        <w:spacing w:after="0" w:line="200" w:lineRule="exact"/>
        <w:rPr>
          <w:sz w:val="20"/>
          <w:szCs w:val="20"/>
          <w:color w:val="auto"/>
        </w:rPr>
      </w:pPr>
    </w:p>
    <w:p>
      <w:pPr>
        <w:spacing w:after="0" w:line="22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43"/>
          <w:szCs w:val="43"/>
          <w:color w:val="auto"/>
        </w:rPr>
        <w:t>SUPPLY AGREEMENT</w:t>
      </w:r>
    </w:p>
    <w:p>
      <w:pPr>
        <w:spacing w:after="0" w:line="25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for manufacture and supply of single chamber cartridges, pre-filled with TransCon PTH [***] assembled [***]</w:t>
      </w:r>
    </w:p>
    <w:p>
      <w:pPr>
        <w:spacing w:after="0" w:line="24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effective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2022</w:t>
      </w:r>
    </w:p>
    <w:p>
      <w:pPr>
        <w:spacing w:after="0" w:line="16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9"/>
          <w:szCs w:val="29"/>
          <w:color w:val="auto"/>
        </w:rPr>
        <w:t>ASCENDIS PHARMA A/S</w:t>
      </w:r>
    </w:p>
    <w:p>
      <w:pPr>
        <w:spacing w:after="0" w:line="3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and</w:t>
      </w:r>
    </w:p>
    <w:p>
      <w:pPr>
        <w:spacing w:after="0" w:line="22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9"/>
          <w:szCs w:val="29"/>
          <w:color w:val="auto"/>
        </w:rPr>
        <w:t>VETTER PHARMA INTERNATIONAL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1158875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779" w:right="339" w:bottom="1440" w:gutter="0" w:footer="0" w:header="0"/>
        </w:sectPr>
      </w:pPr>
    </w:p>
    <w:bookmarkStart w:id="310" w:name="page311"/>
    <w:bookmarkEnd w:id="310"/>
    <w:p>
      <w:pPr>
        <w:ind w:left="5300"/>
        <w:spacing w:after="0"/>
        <w:rPr>
          <w:sz w:val="20"/>
          <w:szCs w:val="20"/>
          <w:color w:val="auto"/>
        </w:rPr>
      </w:pPr>
      <w:r>
        <w:rPr>
          <w:rFonts w:ascii="Times New Roman" w:cs="Times New Roman" w:eastAsia="Times New Roman" w:hAnsi="Times New Roman"/>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b w:val="1"/>
          <w:bCs w:val="1"/>
          <w:u w:val="single" w:color="auto"/>
          <w:color w:val="auto"/>
        </w:rPr>
        <w:t>TABLE OF CONTENTS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 DEFINITIONS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2: MANUFACTURE AND GOVERNANCE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3: MATERIALS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4: BATCH SIZE AND YIELD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5: INSPECTION &amp; ACCEPTANCE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6: NON-CONFORMANCE, LOSSES AND RESUPPLY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7: CAPACITY AGREEMENT, FORECAST AND PURCHASE ORDERS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8: RELEASE AND DELIVERY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9: PRICES AND PAYMENTS</w:t>
      </w:r>
    </w:p>
    <w:p>
      <w:pPr>
        <w:spacing w:after="0" w:line="10" w:lineRule="exact"/>
        <w:rPr>
          <w:sz w:val="20"/>
          <w:szCs w:val="20"/>
          <w:color w:val="auto"/>
        </w:rPr>
      </w:pPr>
    </w:p>
    <w:p>
      <w:pPr>
        <w:ind w:right="2399"/>
        <w:spacing w:after="0" w:line="247" w:lineRule="auto"/>
        <w:rPr>
          <w:sz w:val="20"/>
          <w:szCs w:val="20"/>
          <w:color w:val="auto"/>
        </w:rPr>
      </w:pPr>
      <w:r>
        <w:rPr>
          <w:rFonts w:ascii="Times New Roman" w:cs="Times New Roman" w:eastAsia="Times New Roman" w:hAnsi="Times New Roman"/>
          <w:sz w:val="25"/>
          <w:szCs w:val="25"/>
          <w:color w:val="auto"/>
        </w:rPr>
        <w:t>ARTICLE 10: APPROVALS, AUDITS, CHANGES AND REGULATORY SERVICES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11: INTELLECTUAL PROPERTY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12: LIABILITY, INDEMNIFICATION, INSURANCE AND RECALL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13: LIMITATIONS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14: TERM AND TERMINATION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15: ANTI-BRIBERY AND DATA PROTECTION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16: CONFIDENTIALITY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17: MISCELLANEOUS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1: SC-TERMS AND CAPACITY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2: PRICES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3: EQUIPMENT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4: COMMERCIAL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1181735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311" w:name="page312"/>
    <w:bookmarkEnd w:id="311"/>
    <w:p>
      <w:pPr>
        <w:jc w:val="center"/>
        <w:ind w:right="40"/>
        <w:spacing w:after="0"/>
        <w:rPr>
          <w:sz w:val="20"/>
          <w:szCs w:val="20"/>
          <w:color w:val="auto"/>
        </w:rPr>
      </w:pPr>
      <w:r>
        <w:rPr>
          <w:rFonts w:ascii="Times New Roman" w:cs="Times New Roman" w:eastAsia="Times New Roman" w:hAnsi="Times New Roman"/>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firstLine="443"/>
        <w:spacing w:after="0" w:line="268" w:lineRule="auto"/>
        <w:rPr>
          <w:sz w:val="20"/>
          <w:szCs w:val="20"/>
          <w:color w:val="auto"/>
        </w:rPr>
      </w:pPr>
      <w:r>
        <w:rPr>
          <w:rFonts w:ascii="Times New Roman" w:cs="Times New Roman" w:eastAsia="Times New Roman" w:hAnsi="Times New Roman"/>
          <w:sz w:val="19"/>
          <w:szCs w:val="19"/>
          <w:b w:val="1"/>
          <w:bCs w:val="1"/>
          <w:color w:val="auto"/>
        </w:rPr>
        <w:t>THIS SUPPLY AGREEMENT</w:t>
      </w:r>
      <w:r>
        <w:rPr>
          <w:rFonts w:ascii="Times New Roman" w:cs="Times New Roman" w:eastAsia="Times New Roman" w:hAnsi="Times New Roman"/>
          <w:sz w:val="19"/>
          <w:szCs w:val="19"/>
          <w:color w:val="auto"/>
        </w:rPr>
        <w:t>, made and entered into as of the date written above (hereinafter,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by and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Ascendis Pharma A/S</w:t>
      </w:r>
      <w:r>
        <w:rPr>
          <w:rFonts w:ascii="Times New Roman" w:cs="Times New Roman" w:eastAsia="Times New Roman" w:hAnsi="Times New Roman"/>
          <w:sz w:val="19"/>
          <w:szCs w:val="19"/>
          <w:color w:val="auto"/>
        </w:rPr>
        <w:t>, a company duly organized and existing under the laws of</w:t>
      </w:r>
      <w:r>
        <w:rPr>
          <w:rFonts w:ascii="Times New Roman" w:cs="Times New Roman" w:eastAsia="Times New Roman" w:hAnsi="Times New Roman"/>
          <w:sz w:val="19"/>
          <w:szCs w:val="19"/>
          <w:i w:val="1"/>
          <w:iCs w:val="1"/>
          <w:color w:val="auto"/>
        </w:rPr>
        <w:t xml:space="preserve"> Denmark </w:t>
      </w:r>
      <w:r>
        <w:rPr>
          <w:rFonts w:ascii="Times New Roman" w:cs="Times New Roman" w:eastAsia="Times New Roman" w:hAnsi="Times New Roman"/>
          <w:sz w:val="19"/>
          <w:szCs w:val="19"/>
          <w:color w:val="auto"/>
        </w:rPr>
        <w:t>and having its place of business located at</w:t>
      </w:r>
      <w:r>
        <w:rPr>
          <w:rFonts w:ascii="Times New Roman" w:cs="Times New Roman" w:eastAsia="Times New Roman" w:hAnsi="Times New Roman"/>
          <w:sz w:val="19"/>
          <w:szCs w:val="19"/>
          <w:i w:val="1"/>
          <w:iCs w:val="1"/>
          <w:color w:val="auto"/>
        </w:rPr>
        <w:t xml:space="preserve"> Tuborg Boulevard 12, 2900 Hellerup, Denmark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Ascendis</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Vetter Pharma International GmbH</w:t>
      </w:r>
      <w:r>
        <w:rPr>
          <w:rFonts w:ascii="Times New Roman" w:cs="Times New Roman" w:eastAsia="Times New Roman" w:hAnsi="Times New Roman"/>
          <w:sz w:val="19"/>
          <w:szCs w:val="19"/>
          <w:color w:val="auto"/>
        </w:rPr>
        <w:t>, a company duly organized and existing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laws of </w:t>
      </w:r>
      <w:r>
        <w:rPr>
          <w:rFonts w:ascii="Times New Roman" w:cs="Times New Roman" w:eastAsia="Times New Roman" w:hAnsi="Times New Roman"/>
          <w:sz w:val="19"/>
          <w:szCs w:val="19"/>
          <w:i w:val="1"/>
          <w:iCs w:val="1"/>
          <w:color w:val="auto"/>
        </w:rPr>
        <w:t>Germany</w:t>
      </w:r>
      <w:r>
        <w:rPr>
          <w:rFonts w:ascii="Times New Roman" w:cs="Times New Roman" w:eastAsia="Times New Roman" w:hAnsi="Times New Roman"/>
          <w:sz w:val="19"/>
          <w:szCs w:val="19"/>
          <w:color w:val="auto"/>
        </w:rPr>
        <w:t xml:space="preserve">, having its principal place of business at </w:t>
      </w:r>
      <w:r>
        <w:rPr>
          <w:rFonts w:ascii="Times New Roman" w:cs="Times New Roman" w:eastAsia="Times New Roman" w:hAnsi="Times New Roman"/>
          <w:sz w:val="19"/>
          <w:szCs w:val="19"/>
          <w:i w:val="1"/>
          <w:iCs w:val="1"/>
          <w:color w:val="auto"/>
        </w:rPr>
        <w:t>Eywiesenstraße 5, 88212 Ravensburg, Germany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Vetter International”),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29" w:lineRule="exact"/>
        <w:rPr>
          <w:sz w:val="20"/>
          <w:szCs w:val="20"/>
          <w:color w:val="auto"/>
        </w:rPr>
      </w:pPr>
    </w:p>
    <w:p>
      <w:pPr>
        <w:ind w:right="820"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Ascendis desires the Manufacture and supply of single chamber cartridges, pre-filled with TransCon PTH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assembled [***] for use within the Territory;</w:t>
      </w:r>
    </w:p>
    <w:p>
      <w:pPr>
        <w:spacing w:after="0" w:line="165" w:lineRule="exact"/>
        <w:rPr>
          <w:sz w:val="20"/>
          <w:szCs w:val="20"/>
          <w:color w:val="auto"/>
        </w:rPr>
      </w:pPr>
    </w:p>
    <w:p>
      <w:pPr>
        <w:ind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premises and of the mutual covenants and agreements hereinafter set forth, and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conditions of this Agreement, Ascendis and Vetter International agree as follows:</w:t>
      </w: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1: DEFINITIONS</w:t>
      </w:r>
    </w:p>
    <w:p>
      <w:pPr>
        <w:spacing w:after="0" w:line="23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For all purposes of this Agreement, and all amendments thereto, the following capitalized terms, whether used in the singular or plural, shall have the same and uniform meanings as below defined and specified, unless the context otherwise requires:</w:t>
      </w:r>
    </w:p>
    <w:p>
      <w:pPr>
        <w:spacing w:after="0" w:line="200" w:lineRule="exact"/>
        <w:rPr>
          <w:sz w:val="20"/>
          <w:szCs w:val="20"/>
          <w:color w:val="auto"/>
        </w:rPr>
      </w:pPr>
    </w:p>
    <w:p>
      <w:pPr>
        <w:spacing w:after="0" w:line="202" w:lineRule="exact"/>
        <w:rPr>
          <w:sz w:val="20"/>
          <w:szCs w:val="20"/>
          <w:color w:val="auto"/>
        </w:rPr>
      </w:pPr>
    </w:p>
    <w:p>
      <w:pPr>
        <w:ind w:left="380" w:right="20" w:hanging="372"/>
        <w:spacing w:after="0" w:line="249" w:lineRule="auto"/>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shall in respect of Ascendis mean any person, firm, company, or entity which is directly or indirectly controlled by Ascendis, and with respect to Vetter International, any person, firm, company, or entity which is under common control of the trustees/executors of the estate of </w:t>
      </w:r>
      <w:r>
        <w:rPr>
          <w:rFonts w:ascii="Times New Roman" w:cs="Times New Roman" w:eastAsia="Times New Roman" w:hAnsi="Times New Roman"/>
          <w:sz w:val="20"/>
          <w:szCs w:val="20"/>
          <w:i w:val="1"/>
          <w:iCs w:val="1"/>
          <w:color w:val="auto"/>
        </w:rPr>
        <w:t>Helmut Vetter.</w:t>
      </w:r>
      <w:r>
        <w:rPr>
          <w:rFonts w:ascii="Times New Roman" w:cs="Times New Roman" w:eastAsia="Times New Roman" w:hAnsi="Times New Roman"/>
          <w:sz w:val="20"/>
          <w:szCs w:val="20"/>
          <w:color w:val="auto"/>
        </w:rPr>
        <w:t xml:space="preserve"> For all purposes hereof, “control” shall mean owning more than fifty percent (50%) of the voting stock or interests.</w:t>
      </w:r>
    </w:p>
    <w:p>
      <w:pPr>
        <w:spacing w:after="0" w:line="19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Specifications</w:t>
      </w:r>
      <w:r>
        <w:rPr>
          <w:rFonts w:ascii="Times New Roman" w:cs="Times New Roman" w:eastAsia="Times New Roman" w:hAnsi="Times New Roman"/>
          <w:sz w:val="20"/>
          <w:szCs w:val="20"/>
          <w:color w:val="auto"/>
        </w:rPr>
        <w:t>” shall have the meaning set forth in the Commercial Quality Agreement.</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this supply agreement and its Annexes, specifically including the Commercial Quality Agreement.</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Annex</w:t>
      </w:r>
      <w:r>
        <w:rPr>
          <w:rFonts w:ascii="Times New Roman" w:cs="Times New Roman" w:eastAsia="Times New Roman" w:hAnsi="Times New Roman"/>
          <w:sz w:val="20"/>
          <w:szCs w:val="20"/>
          <w:color w:val="auto"/>
        </w:rPr>
        <w:t>” shall mean an annex attached to this Agreement.</w:t>
      </w:r>
    </w:p>
    <w:p>
      <w:pPr>
        <w:spacing w:after="0" w:line="21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“API</w:t>
      </w:r>
      <w:r>
        <w:rPr>
          <w:rFonts w:ascii="Times New Roman" w:cs="Times New Roman" w:eastAsia="Times New Roman" w:hAnsi="Times New Roman"/>
          <w:sz w:val="20"/>
          <w:szCs w:val="20"/>
          <w:color w:val="auto"/>
        </w:rPr>
        <w:t>” shall mean TransCon PTH as specified in Appendix 2 of the Commercial Quality Agreement.</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Ascendis IP</w:t>
      </w:r>
      <w:r>
        <w:rPr>
          <w:rFonts w:ascii="Times New Roman" w:cs="Times New Roman" w:eastAsia="Times New Roman" w:hAnsi="Times New Roman"/>
          <w:sz w:val="20"/>
          <w:szCs w:val="20"/>
          <w:color w:val="auto"/>
        </w:rPr>
        <w:t>” shall have the meaning set forth in Section 11(2).</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shall mean an appendix attached to the Commercial Quality Agreement.</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shall mean an article of this Agreement (excluding the Commercial Quality Agreement).</w:t>
      </w:r>
    </w:p>
    <w:p>
      <w:pPr>
        <w:spacing w:after="0" w:line="215" w:lineRule="exact"/>
        <w:rPr>
          <w:rFonts w:ascii="Times New Roman" w:cs="Times New Roman" w:eastAsia="Times New Roman" w:hAnsi="Times New Roman"/>
          <w:sz w:val="20"/>
          <w:szCs w:val="20"/>
          <w:color w:val="auto"/>
        </w:rPr>
      </w:pPr>
    </w:p>
    <w:p>
      <w:pPr>
        <w:ind w:left="900" w:hanging="892"/>
        <w:spacing w:after="0"/>
        <w:tabs>
          <w:tab w:leader="none" w:pos="9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“Ascendis”</w:t>
      </w:r>
      <w:r>
        <w:rPr>
          <w:rFonts w:ascii="Times New Roman" w:cs="Times New Roman" w:eastAsia="Times New Roman" w:hAnsi="Times New Roman"/>
          <w:sz w:val="20"/>
          <w:szCs w:val="20"/>
          <w:color w:val="auto"/>
        </w:rPr>
        <w:t xml:space="preserve"> shall have the meaning set forth first above.</w:t>
      </w:r>
    </w:p>
    <w:p>
      <w:pPr>
        <w:spacing w:after="0" w:line="215" w:lineRule="exact"/>
        <w:rPr>
          <w:rFonts w:ascii="Times New Roman" w:cs="Times New Roman" w:eastAsia="Times New Roman" w:hAnsi="Times New Roman"/>
          <w:sz w:val="20"/>
          <w:szCs w:val="20"/>
          <w:color w:val="auto"/>
        </w:rPr>
      </w:pPr>
    </w:p>
    <w:p>
      <w:pPr>
        <w:jc w:val="both"/>
        <w:ind w:left="900" w:hanging="892"/>
        <w:spacing w:after="0" w:line="254" w:lineRule="auto"/>
        <w:tabs>
          <w:tab w:leader="none" w:pos="9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Ascendis Disclosed Manufacture IP</w:t>
      </w:r>
      <w:r>
        <w:rPr>
          <w:rFonts w:ascii="Times New Roman" w:cs="Times New Roman" w:eastAsia="Times New Roman" w:hAnsi="Times New Roman"/>
          <w:sz w:val="20"/>
          <w:szCs w:val="20"/>
          <w:color w:val="auto"/>
        </w:rPr>
        <w:t>” means any generally applicable manufacturing IP of Ascendis disclosed by Ascendis to Vetter International and/or any of its Affiliates under this Agreement and implemented at the Facility upon specific written request of Ascendis.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12" w:name="page313"/>
    <w:bookmarkEnd w:id="312"/>
    <w:p>
      <w:pPr>
        <w:jc w:val="center"/>
        <w:ind w:right="20"/>
        <w:spacing w:after="0"/>
        <w:rPr>
          <w:sz w:val="20"/>
          <w:szCs w:val="20"/>
          <w:color w:val="auto"/>
        </w:rPr>
      </w:pPr>
      <w:r>
        <w:rPr>
          <w:rFonts w:ascii="Times New Roman" w:cs="Times New Roman" w:eastAsia="Times New Roman" w:hAnsi="Times New Roman"/>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hanging="452"/>
        <w:spacing w:after="0" w:line="269" w:lineRule="auto"/>
        <w:tabs>
          <w:tab w:leader="none" w:pos="4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Ascendis Materials</w:t>
      </w:r>
      <w:r>
        <w:rPr>
          <w:rFonts w:ascii="Times New Roman" w:cs="Times New Roman" w:eastAsia="Times New Roman" w:hAnsi="Times New Roman"/>
          <w:sz w:val="20"/>
          <w:szCs w:val="20"/>
          <w:color w:val="auto"/>
        </w:rPr>
        <w:t>” shall mean the materials provided by Ascendis or on behalf of Ascendis by third party supplier directly engaged by Ascendis including API as further detailed in the Commercial Quality Agreement.</w:t>
      </w:r>
    </w:p>
    <w:p>
      <w:pPr>
        <w:spacing w:after="0" w:line="172" w:lineRule="exact"/>
        <w:rPr>
          <w:rFonts w:ascii="Times New Roman" w:cs="Times New Roman" w:eastAsia="Times New Roman" w:hAnsi="Times New Roman"/>
          <w:sz w:val="20"/>
          <w:szCs w:val="20"/>
          <w:color w:val="auto"/>
        </w:rPr>
      </w:pPr>
    </w:p>
    <w:p>
      <w:pPr>
        <w:ind w:left="380" w:right="220" w:hanging="372"/>
        <w:spacing w:after="0" w:line="269" w:lineRule="auto"/>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calendar day other than a Saturday, a Sunday or a calendar day on which commercial banks located in Baden-Württemberg, Germany or Denmark, are authorized or required by law to be closed.</w:t>
      </w:r>
    </w:p>
    <w:p>
      <w:pPr>
        <w:spacing w:after="0" w:line="159" w:lineRule="exact"/>
        <w:rPr>
          <w:rFonts w:ascii="Times New Roman" w:cs="Times New Roman" w:eastAsia="Times New Roman" w:hAnsi="Times New Roman"/>
          <w:sz w:val="20"/>
          <w:szCs w:val="20"/>
          <w:color w:val="auto"/>
        </w:rPr>
      </w:pPr>
    </w:p>
    <w:p>
      <w:pPr>
        <w:ind w:left="380" w:right="100" w:hanging="372"/>
        <w:spacing w:after="0" w:line="269" w:lineRule="auto"/>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Quality Agreement</w:t>
      </w:r>
      <w:r>
        <w:rPr>
          <w:rFonts w:ascii="Times New Roman" w:cs="Times New Roman" w:eastAsia="Times New Roman" w:hAnsi="Times New Roman"/>
          <w:sz w:val="20"/>
          <w:szCs w:val="20"/>
          <w:color w:val="auto"/>
        </w:rPr>
        <w:t>” shall mean the commercial quality agreement, including all Appendices, attached hereto as Annex 4, which Vetter International shall cause Vetter Pharma to enter into with respect to the quality of the Product.</w:t>
      </w:r>
    </w:p>
    <w:p>
      <w:pPr>
        <w:spacing w:after="0" w:line="17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Completion Date</w:t>
      </w:r>
      <w:r>
        <w:rPr>
          <w:rFonts w:ascii="Times New Roman" w:cs="Times New Roman" w:eastAsia="Times New Roman" w:hAnsi="Times New Roman"/>
          <w:sz w:val="20"/>
          <w:szCs w:val="20"/>
          <w:color w:val="auto"/>
        </w:rPr>
        <w:t>” shall have the meaning set forth in Section 14(1).</w:t>
      </w:r>
    </w:p>
    <w:p>
      <w:pPr>
        <w:spacing w:after="0" w:line="21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shall have the meaning set forth in Section 16 (2).</w:t>
      </w:r>
    </w:p>
    <w:p>
      <w:pPr>
        <w:spacing w:after="0" w:line="22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Costs and Liabilities</w:t>
      </w:r>
      <w:r>
        <w:rPr>
          <w:rFonts w:ascii="Times New Roman" w:cs="Times New Roman" w:eastAsia="Times New Roman" w:hAnsi="Times New Roman"/>
          <w:sz w:val="20"/>
          <w:szCs w:val="20"/>
          <w:color w:val="auto"/>
        </w:rPr>
        <w:t>” shall mean damages, liabilities, claims, suits, awards, judgments, costs and/or expenses, including any court costs and/or reasonable attorneys’ fees.</w:t>
      </w:r>
    </w:p>
    <w:p>
      <w:pPr>
        <w:spacing w:after="0" w:line="159" w:lineRule="exact"/>
        <w:rPr>
          <w:rFonts w:ascii="Times New Roman" w:cs="Times New Roman" w:eastAsia="Times New Roman" w:hAnsi="Times New Roman"/>
          <w:sz w:val="20"/>
          <w:szCs w:val="20"/>
          <w:color w:val="auto"/>
        </w:rPr>
      </w:pPr>
    </w:p>
    <w:p>
      <w:pPr>
        <w:ind w:left="1200" w:hanging="1192"/>
        <w:spacing w:after="0"/>
        <w:tabs>
          <w:tab w:leader="none" w:pos="12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Critical Deviations</w:t>
      </w:r>
      <w:r>
        <w:rPr>
          <w:rFonts w:ascii="Times New Roman" w:cs="Times New Roman" w:eastAsia="Times New Roman" w:hAnsi="Times New Roman"/>
          <w:sz w:val="20"/>
          <w:szCs w:val="20"/>
          <w:color w:val="auto"/>
        </w:rPr>
        <w:t>” shall have the meaning set forth in the Commercial Quality Agreement.</w:t>
      </w:r>
    </w:p>
    <w:p>
      <w:pPr>
        <w:spacing w:after="0" w:line="215" w:lineRule="exact"/>
        <w:rPr>
          <w:rFonts w:ascii="Times New Roman" w:cs="Times New Roman" w:eastAsia="Times New Roman" w:hAnsi="Times New Roman"/>
          <w:sz w:val="20"/>
          <w:szCs w:val="20"/>
          <w:color w:val="auto"/>
        </w:rPr>
      </w:pPr>
    </w:p>
    <w:p>
      <w:pPr>
        <w:ind w:left="1200" w:hanging="1192"/>
        <w:spacing w:after="0"/>
        <w:tabs>
          <w:tab w:leader="none" w:pos="12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"SCC"</w:t>
      </w:r>
      <w:r>
        <w:rPr>
          <w:rFonts w:ascii="Times New Roman" w:cs="Times New Roman" w:eastAsia="Times New Roman" w:hAnsi="Times New Roman"/>
          <w:sz w:val="20"/>
          <w:szCs w:val="20"/>
          <w:color w:val="auto"/>
        </w:rPr>
        <w:t xml:space="preserve"> shall mean Single Chamber Cartridge.</w:t>
      </w:r>
    </w:p>
    <w:p>
      <w:pPr>
        <w:spacing w:after="0" w:line="215" w:lineRule="exact"/>
        <w:rPr>
          <w:rFonts w:ascii="Times New Roman" w:cs="Times New Roman" w:eastAsia="Times New Roman" w:hAnsi="Times New Roman"/>
          <w:sz w:val="20"/>
          <w:szCs w:val="20"/>
          <w:color w:val="auto"/>
        </w:rPr>
      </w:pPr>
    </w:p>
    <w:p>
      <w:pPr>
        <w:ind w:left="600" w:right="260" w:hanging="592"/>
        <w:spacing w:after="0" w:line="269" w:lineRule="auto"/>
        <w:tabs>
          <w:tab w:leader="none" w:pos="6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Delivery Date</w:t>
      </w:r>
      <w:r>
        <w:rPr>
          <w:rFonts w:ascii="Times New Roman" w:cs="Times New Roman" w:eastAsia="Times New Roman" w:hAnsi="Times New Roman"/>
          <w:sz w:val="20"/>
          <w:szCs w:val="20"/>
          <w:color w:val="auto"/>
        </w:rPr>
        <w:t>” means the date that Product shall be delivered pursuant to the Business Day specified by Ascendis in the Purchase Order confirmed by Vetter International in writing [***].</w:t>
      </w:r>
    </w:p>
    <w:p>
      <w:pPr>
        <w:spacing w:after="0" w:line="159"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“Deviations”</w:t>
      </w:r>
      <w:r>
        <w:rPr>
          <w:rFonts w:ascii="Times New Roman" w:cs="Times New Roman" w:eastAsia="Times New Roman" w:hAnsi="Times New Roman"/>
          <w:sz w:val="20"/>
          <w:szCs w:val="20"/>
          <w:color w:val="auto"/>
        </w:rPr>
        <w:t xml:space="preserve"> shall have the meaning set forth in the Commercial Quality Agreement.</w:t>
      </w:r>
    </w:p>
    <w:p>
      <w:pPr>
        <w:spacing w:after="0" w:line="215"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“Discloser”</w:t>
      </w:r>
      <w:r>
        <w:rPr>
          <w:rFonts w:ascii="Times New Roman" w:cs="Times New Roman" w:eastAsia="Times New Roman" w:hAnsi="Times New Roman"/>
          <w:sz w:val="20"/>
          <w:szCs w:val="20"/>
          <w:color w:val="auto"/>
        </w:rPr>
        <w:t xml:space="preserve"> shall have the meaning set forth in Section 16(1).</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mean the day and year set forth first above.</w:t>
      </w:r>
    </w:p>
    <w:p>
      <w:pPr>
        <w:spacing w:after="0" w:line="22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EMA</w:t>
      </w:r>
      <w:r>
        <w:rPr>
          <w:rFonts w:ascii="Times New Roman" w:cs="Times New Roman" w:eastAsia="Times New Roman" w:hAnsi="Times New Roman"/>
          <w:sz w:val="20"/>
          <w:szCs w:val="20"/>
          <w:color w:val="auto"/>
        </w:rPr>
        <w:t xml:space="preserve">” shall mean the </w:t>
      </w:r>
      <w:r>
        <w:rPr>
          <w:rFonts w:ascii="Times New Roman" w:cs="Times New Roman" w:eastAsia="Times New Roman" w:hAnsi="Times New Roman"/>
          <w:sz w:val="20"/>
          <w:szCs w:val="20"/>
          <w:i w:val="1"/>
          <w:iCs w:val="1"/>
          <w:color w:val="auto"/>
        </w:rPr>
        <w:t>European Medicines Agency</w:t>
      </w:r>
      <w:r>
        <w:rPr>
          <w:rFonts w:ascii="Times New Roman" w:cs="Times New Roman" w:eastAsia="Times New Roman" w:hAnsi="Times New Roman"/>
          <w:sz w:val="20"/>
          <w:szCs w:val="20"/>
          <w:color w:val="auto"/>
        </w:rPr>
        <w:t>, or any successor agency.</w:t>
      </w:r>
    </w:p>
    <w:p>
      <w:pPr>
        <w:spacing w:after="0" w:line="23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shall mean the equipment in more detail set forth in Annex 3.</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shall mean the manufacturing and logistics facilities used for the Manufacture and located in or near [***].</w:t>
      </w:r>
    </w:p>
    <w:p>
      <w:pPr>
        <w:spacing w:after="0" w:line="22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xml:space="preserve">” shall mean the </w:t>
      </w:r>
      <w:r>
        <w:rPr>
          <w:rFonts w:ascii="Times New Roman" w:cs="Times New Roman" w:eastAsia="Times New Roman" w:hAnsi="Times New Roman"/>
          <w:sz w:val="20"/>
          <w:szCs w:val="20"/>
          <w:i w:val="1"/>
          <w:iCs w:val="1"/>
          <w:color w:val="auto"/>
        </w:rPr>
        <w:t>Food and Drug Administration</w:t>
      </w:r>
      <w:r>
        <w:rPr>
          <w:rFonts w:ascii="Times New Roman" w:cs="Times New Roman" w:eastAsia="Times New Roman" w:hAnsi="Times New Roman"/>
          <w:sz w:val="20"/>
          <w:szCs w:val="20"/>
          <w:color w:val="auto"/>
        </w:rPr>
        <w:t xml:space="preserve"> of the </w:t>
      </w:r>
      <w:r>
        <w:rPr>
          <w:rFonts w:ascii="Times New Roman" w:cs="Times New Roman" w:eastAsia="Times New Roman" w:hAnsi="Times New Roman"/>
          <w:sz w:val="20"/>
          <w:szCs w:val="20"/>
          <w:i w:val="1"/>
          <w:iCs w:val="1"/>
          <w:color w:val="auto"/>
        </w:rPr>
        <w:t>United States of America,</w:t>
      </w:r>
      <w:r>
        <w:rPr>
          <w:rFonts w:ascii="Times New Roman" w:cs="Times New Roman" w:eastAsia="Times New Roman" w:hAnsi="Times New Roman"/>
          <w:sz w:val="20"/>
          <w:szCs w:val="20"/>
          <w:color w:val="auto"/>
        </w:rPr>
        <w:t xml:space="preserve"> or any successor agency.</w:t>
      </w:r>
    </w:p>
    <w:p>
      <w:pPr>
        <w:spacing w:after="0" w:line="21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Release”</w:t>
      </w:r>
      <w:r>
        <w:rPr>
          <w:rFonts w:ascii="Times New Roman" w:cs="Times New Roman" w:eastAsia="Times New Roman" w:hAnsi="Times New Roman"/>
          <w:sz w:val="20"/>
          <w:szCs w:val="20"/>
          <w:color w:val="auto"/>
        </w:rPr>
        <w:t xml:space="preserve"> shall have the meaning defined in Section 8(2) (b).</w:t>
      </w:r>
    </w:p>
    <w:p>
      <w:pPr>
        <w:spacing w:after="0" w:line="21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shall have the meaning set forth in Section 17(1).</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GMP</w:t>
      </w:r>
      <w:r>
        <w:rPr>
          <w:rFonts w:ascii="Times New Roman" w:cs="Times New Roman" w:eastAsia="Times New Roman" w:hAnsi="Times New Roman"/>
          <w:sz w:val="20"/>
          <w:szCs w:val="20"/>
          <w:color w:val="auto"/>
        </w:rPr>
        <w:t>” shall have the meaning set forth in the Commercial Quality Agreement.</w:t>
      </w:r>
    </w:p>
    <w:p>
      <w:pPr>
        <w:spacing w:after="0" w:line="215" w:lineRule="exact"/>
        <w:rPr>
          <w:rFonts w:ascii="Times New Roman" w:cs="Times New Roman" w:eastAsia="Times New Roman" w:hAnsi="Times New Roman"/>
          <w:sz w:val="20"/>
          <w:szCs w:val="20"/>
          <w:color w:val="auto"/>
        </w:rPr>
      </w:pPr>
    </w:p>
    <w:p>
      <w:pPr>
        <w:ind w:left="380" w:right="400" w:hanging="372"/>
        <w:spacing w:after="0" w:line="269" w:lineRule="auto"/>
        <w:tabs>
          <w:tab w:leader="none" w:pos="429"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of Ascendis</w:t>
      </w:r>
      <w:r>
        <w:rPr>
          <w:rFonts w:ascii="Times New Roman" w:cs="Times New Roman" w:eastAsia="Times New Roman" w:hAnsi="Times New Roman"/>
          <w:sz w:val="20"/>
          <w:szCs w:val="20"/>
          <w:color w:val="auto"/>
        </w:rPr>
        <w:t>” shall have the meaning set forth in the Commercial Quality Agreement and referred to by the respective Appendix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13" w:name="page314"/>
    <w:bookmarkEnd w:id="313"/>
    <w:p>
      <w:pPr>
        <w:jc w:val="center"/>
        <w:ind w:right="-59"/>
        <w:spacing w:after="0"/>
        <w:rPr>
          <w:sz w:val="20"/>
          <w:szCs w:val="20"/>
          <w:color w:val="auto"/>
        </w:rPr>
      </w:pPr>
      <w:r>
        <w:rPr>
          <w:rFonts w:ascii="Times New Roman" w:cs="Times New Roman" w:eastAsia="Times New Roman" w:hAnsi="Times New Roman"/>
          <w:sz w:val="20"/>
          <w:szCs w:val="20"/>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shall have the meaning as set forth in Section 14(1).</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w:t>
      </w:r>
      <w:r>
        <w:rPr>
          <w:rFonts w:ascii="Times New Roman" w:cs="Times New Roman" w:eastAsia="Times New Roman" w:hAnsi="Times New Roman"/>
          <w:sz w:val="20"/>
          <w:szCs w:val="20"/>
          <w:color w:val="auto"/>
        </w:rPr>
        <w:t>” shall have the meaning set forth in Section 11(1).</w:t>
      </w:r>
    </w:p>
    <w:p>
      <w:pPr>
        <w:spacing w:after="0" w:line="21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JPSC</w:t>
      </w:r>
      <w:r>
        <w:rPr>
          <w:rFonts w:ascii="Times New Roman" w:cs="Times New Roman" w:eastAsia="Times New Roman" w:hAnsi="Times New Roman"/>
          <w:sz w:val="20"/>
          <w:szCs w:val="20"/>
          <w:color w:val="auto"/>
        </w:rPr>
        <w:t>” shall have the meaning set forth in Section 2 (6).</w:t>
      </w:r>
    </w:p>
    <w:p>
      <w:pPr>
        <w:spacing w:after="0" w:line="21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 Deviations</w:t>
      </w:r>
      <w:r>
        <w:rPr>
          <w:rFonts w:ascii="Times New Roman" w:cs="Times New Roman" w:eastAsia="Times New Roman" w:hAnsi="Times New Roman"/>
          <w:sz w:val="20"/>
          <w:szCs w:val="20"/>
          <w:color w:val="auto"/>
        </w:rPr>
        <w:t>” shall have the meaning set forth in the Commercial Quality Agreement.</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Manufacturing</w:t>
      </w:r>
      <w:r>
        <w:rPr>
          <w:rFonts w:ascii="Times New Roman" w:cs="Times New Roman" w:eastAsia="Times New Roman" w:hAnsi="Times New Roman"/>
          <w:sz w:val="20"/>
          <w:szCs w:val="20"/>
          <w:color w:val="auto"/>
        </w:rPr>
        <w:t>” shall have the meaning set forth in the Commercial Quality Agreement.</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“General </w:t>
      </w:r>
      <w:r>
        <w:rPr>
          <w:rFonts w:ascii="Times New Roman" w:cs="Times New Roman" w:eastAsia="Times New Roman" w:hAnsi="Times New Roman"/>
          <w:sz w:val="20"/>
          <w:szCs w:val="20"/>
          <w:u w:val="single" w:color="auto"/>
          <w:color w:val="auto"/>
        </w:rPr>
        <w:t>Manufacture Invention</w:t>
      </w:r>
      <w:r>
        <w:rPr>
          <w:rFonts w:ascii="Times New Roman" w:cs="Times New Roman" w:eastAsia="Times New Roman" w:hAnsi="Times New Roman"/>
          <w:sz w:val="20"/>
          <w:szCs w:val="20"/>
          <w:color w:val="auto"/>
        </w:rPr>
        <w:t>” shall have the meaning set forth in Section 11(3).</w:t>
      </w:r>
    </w:p>
    <w:p>
      <w:pPr>
        <w:spacing w:after="0" w:line="215" w:lineRule="exact"/>
        <w:rPr>
          <w:rFonts w:ascii="Times New Roman" w:cs="Times New Roman" w:eastAsia="Times New Roman" w:hAnsi="Times New Roman"/>
          <w:sz w:val="20"/>
          <w:szCs w:val="20"/>
          <w:color w:val="auto"/>
        </w:rPr>
      </w:pPr>
    </w:p>
    <w:p>
      <w:pPr>
        <w:ind w:left="460" w:hanging="452"/>
        <w:spacing w:after="0" w:line="267" w:lineRule="auto"/>
        <w:tabs>
          <w:tab w:leader="none" w:pos="460" w:val="left"/>
        </w:tabs>
        <w:numPr>
          <w:ilvl w:val="0"/>
          <w:numId w:val="201"/>
        </w:numPr>
        <w:rPr>
          <w:rFonts w:ascii="Times New Roman" w:cs="Times New Roman" w:eastAsia="Times New Roman" w:hAnsi="Times New Roman"/>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u w:val="single" w:color="auto"/>
          <w:color w:val="auto"/>
        </w:rPr>
        <w:t>Non-Conformance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Non-Conforming</w:t>
      </w:r>
      <w:r>
        <w:rPr>
          <w:rFonts w:ascii="Times New Roman" w:cs="Times New Roman" w:eastAsia="Times New Roman" w:hAnsi="Times New Roman"/>
          <w:sz w:val="20"/>
          <w:szCs w:val="20"/>
          <w:color w:val="auto"/>
        </w:rPr>
        <w:t>” shall mean with respect to a Product or batch of Product failure to conform to the Standard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and having a significant impact with regard to GMP compliance or the Product quality.</w:t>
      </w:r>
    </w:p>
    <w:p>
      <w:pPr>
        <w:spacing w:after="0" w:line="174"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shall mean Ascendis and Vetter International, and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shall mean either thereof.</w:t>
      </w:r>
    </w:p>
    <w:p>
      <w:pPr>
        <w:spacing w:after="0" w:line="229" w:lineRule="exact"/>
        <w:rPr>
          <w:rFonts w:ascii="Times New Roman" w:cs="Times New Roman" w:eastAsia="Times New Roman" w:hAnsi="Times New Roman"/>
          <w:sz w:val="20"/>
          <w:szCs w:val="20"/>
          <w:color w:val="auto"/>
        </w:rPr>
      </w:pPr>
    </w:p>
    <w:p>
      <w:pPr>
        <w:ind w:left="460" w:right="220" w:hanging="452"/>
        <w:spacing w:after="0" w:line="269" w:lineRule="auto"/>
        <w:tabs>
          <w:tab w:leader="none" w:pos="4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Order</w:t>
      </w:r>
      <w:r>
        <w:rPr>
          <w:rFonts w:ascii="Times New Roman" w:cs="Times New Roman" w:eastAsia="Times New Roman" w:hAnsi="Times New Roman"/>
          <w:sz w:val="20"/>
          <w:szCs w:val="20"/>
          <w:color w:val="auto"/>
        </w:rPr>
        <w:t>” shall mean a document issued by Ascendis and sent for confirmation to Vetter International constituting a binding commitment to purchase a specified quantity of Product for delivery on a requested delivery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Pre-Existing IP</w:t>
      </w:r>
      <w:r>
        <w:rPr>
          <w:rFonts w:ascii="Times New Roman" w:cs="Times New Roman" w:eastAsia="Times New Roman" w:hAnsi="Times New Roman"/>
          <w:sz w:val="20"/>
          <w:szCs w:val="20"/>
          <w:color w:val="auto"/>
        </w:rPr>
        <w:t>” shall have the meaning set forth in Section 11(1).</w:t>
      </w:r>
    </w:p>
    <w:p>
      <w:pPr>
        <w:spacing w:after="0" w:line="229" w:lineRule="exact"/>
        <w:rPr>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shall have the meaning set forth in the Commercial Quality Agreement.</w:t>
      </w:r>
    </w:p>
    <w:p>
      <w:pPr>
        <w:spacing w:after="0" w:line="21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xml:space="preserve"> shall have the meaning set forth in Section 16 (1).</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Approvals</w:t>
      </w:r>
      <w:r>
        <w:rPr>
          <w:rFonts w:ascii="Times New Roman" w:cs="Times New Roman" w:eastAsia="Times New Roman" w:hAnsi="Times New Roman"/>
          <w:sz w:val="20"/>
          <w:szCs w:val="20"/>
          <w:color w:val="auto"/>
        </w:rPr>
        <w:t>” shall have the meaning set forth in the Commercial Quality Agreement.</w:t>
      </w:r>
    </w:p>
    <w:p>
      <w:pPr>
        <w:spacing w:after="0" w:line="215" w:lineRule="exact"/>
        <w:rPr>
          <w:rFonts w:ascii="Times New Roman" w:cs="Times New Roman" w:eastAsia="Times New Roman" w:hAnsi="Times New Roman"/>
          <w:sz w:val="20"/>
          <w:szCs w:val="20"/>
          <w:color w:val="auto"/>
        </w:rPr>
      </w:pPr>
    </w:p>
    <w:p>
      <w:pPr>
        <w:ind w:left="460" w:right="220" w:hanging="452"/>
        <w:spacing w:after="0" w:line="254" w:lineRule="auto"/>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CMC Dossier</w:t>
      </w:r>
      <w:r>
        <w:rPr>
          <w:rFonts w:ascii="Times New Roman" w:cs="Times New Roman" w:eastAsia="Times New Roman" w:hAnsi="Times New Roman"/>
          <w:sz w:val="20"/>
          <w:szCs w:val="20"/>
          <w:color w:val="auto"/>
        </w:rPr>
        <w:t>” shall mean the part of the documentation related to CMC (Chemistry, Manufacturing and Controls) information to be submitted to the authorities to support regulatory applications, including for Regulatory Approvals, relevant to the Manufacture of Product.</w:t>
      </w:r>
    </w:p>
    <w:p>
      <w:pPr>
        <w:spacing w:after="0" w:line="174"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Services</w:t>
      </w:r>
      <w:r>
        <w:rPr>
          <w:rFonts w:ascii="Times New Roman" w:cs="Times New Roman" w:eastAsia="Times New Roman" w:hAnsi="Times New Roman"/>
          <w:sz w:val="20"/>
          <w:szCs w:val="20"/>
          <w:color w:val="auto"/>
        </w:rPr>
        <w:t>” shall have the meaning set forth in Section 10 (3).</w:t>
      </w:r>
    </w:p>
    <w:p>
      <w:pPr>
        <w:spacing w:after="0" w:line="21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shall have the meaning defined in Section 8(2)a).</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shall mean any Affiliate and/or any employee, officer, director and trustee/executor of a Party and/or an Affiliate.</w:t>
      </w:r>
    </w:p>
    <w:p>
      <w:pPr>
        <w:spacing w:after="0" w:line="21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Rolling Forecast</w:t>
      </w:r>
      <w:r>
        <w:rPr>
          <w:rFonts w:ascii="Times New Roman" w:cs="Times New Roman" w:eastAsia="Times New Roman" w:hAnsi="Times New Roman"/>
          <w:sz w:val="20"/>
          <w:szCs w:val="20"/>
          <w:color w:val="auto"/>
        </w:rPr>
        <w:t>” shall have the meaning set forth in Section 1.2 of Annex 1.</w:t>
      </w:r>
    </w:p>
    <w:p>
      <w:pPr>
        <w:spacing w:after="0" w:line="21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Rules</w:t>
      </w:r>
      <w:r>
        <w:rPr>
          <w:rFonts w:ascii="Times New Roman" w:cs="Times New Roman" w:eastAsia="Times New Roman" w:hAnsi="Times New Roman"/>
          <w:sz w:val="20"/>
          <w:szCs w:val="20"/>
          <w:color w:val="auto"/>
        </w:rPr>
        <w:t>” shall have the meaning set forth in Section 16 (13).</w:t>
      </w:r>
    </w:p>
    <w:p>
      <w:pPr>
        <w:spacing w:after="0" w:line="215" w:lineRule="exact"/>
        <w:rPr>
          <w:rFonts w:ascii="Times New Roman" w:cs="Times New Roman" w:eastAsia="Times New Roman" w:hAnsi="Times New Roman"/>
          <w:sz w:val="20"/>
          <w:szCs w:val="20"/>
          <w:color w:val="auto"/>
        </w:rPr>
      </w:pPr>
    </w:p>
    <w:p>
      <w:pPr>
        <w:ind w:left="460" w:right="40" w:hanging="452"/>
        <w:spacing w:after="0" w:line="269" w:lineRule="auto"/>
        <w:tabs>
          <w:tab w:leader="none" w:pos="4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Services</w:t>
      </w:r>
      <w:r>
        <w:rPr>
          <w:rFonts w:ascii="Times New Roman" w:cs="Times New Roman" w:eastAsia="Times New Roman" w:hAnsi="Times New Roman"/>
          <w:sz w:val="20"/>
          <w:szCs w:val="20"/>
          <w:color w:val="auto"/>
        </w:rPr>
        <w:t>” shall mean Vetter International’s performance of Manufacture services or other related services for Ascendis subcontracted by Vetter International to Vetter Pharma to be performed by Vetter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5" w:right="439" w:bottom="1440" w:gutter="0" w:footer="0" w:header="0"/>
        </w:sectPr>
      </w:pPr>
    </w:p>
    <w:bookmarkStart w:id="314" w:name="page315"/>
    <w:bookmarkEnd w:id="314"/>
    <w:p>
      <w:pPr>
        <w:jc w:val="center"/>
        <w:ind w:right="40"/>
        <w:spacing w:after="0"/>
        <w:rPr>
          <w:sz w:val="20"/>
          <w:szCs w:val="20"/>
          <w:color w:val="auto"/>
        </w:rPr>
      </w:pPr>
      <w:r>
        <w:rPr>
          <w:rFonts w:ascii="Times New Roman" w:cs="Times New Roman" w:eastAsia="Times New Roman" w:hAnsi="Times New Roman"/>
          <w:sz w:val="20"/>
          <w:szCs w:val="20"/>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hanging="452"/>
        <w:spacing w:after="0"/>
        <w:tabs>
          <w:tab w:leader="none" w:pos="46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SC-Terms</w:t>
      </w:r>
      <w:r>
        <w:rPr>
          <w:rFonts w:ascii="Times New Roman" w:cs="Times New Roman" w:eastAsia="Times New Roman" w:hAnsi="Times New Roman"/>
          <w:sz w:val="20"/>
          <w:szCs w:val="20"/>
          <w:color w:val="auto"/>
        </w:rPr>
        <w:t>” shall mean the terms attached as Annex 1.</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shall mean a subsection of an Article.</w:t>
      </w:r>
    </w:p>
    <w:p>
      <w:pPr>
        <w:spacing w:after="0" w:line="22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SOPs</w:t>
      </w:r>
      <w:r>
        <w:rPr>
          <w:rFonts w:ascii="Times New Roman" w:cs="Times New Roman" w:eastAsia="Times New Roman" w:hAnsi="Times New Roman"/>
          <w:sz w:val="20"/>
          <w:szCs w:val="20"/>
          <w:color w:val="auto"/>
        </w:rPr>
        <w:t>” shall have the meaning set forth in the Commercial Quality Agreement.</w:t>
      </w:r>
    </w:p>
    <w:p>
      <w:pPr>
        <w:spacing w:after="0" w:line="215" w:lineRule="exact"/>
        <w:rPr>
          <w:rFonts w:ascii="Times New Roman" w:cs="Times New Roman" w:eastAsia="Times New Roman" w:hAnsi="Times New Roman"/>
          <w:sz w:val="20"/>
          <w:szCs w:val="20"/>
          <w:color w:val="auto"/>
        </w:rPr>
      </w:pPr>
    </w:p>
    <w:p>
      <w:pPr>
        <w:ind w:left="460" w:right="240" w:hanging="452"/>
        <w:spacing w:after="0" w:line="261" w:lineRule="auto"/>
        <w:tabs>
          <w:tab w:leader="none" w:pos="460" w:val="left"/>
        </w:tabs>
        <w:numPr>
          <w:ilvl w:val="0"/>
          <w:numId w:val="203"/>
        </w:numPr>
        <w:rPr>
          <w:rFonts w:ascii="Times New Roman" w:cs="Times New Roman" w:eastAsia="Times New Roman" w:hAnsi="Times New Roman"/>
          <w:sz w:val="20"/>
          <w:szCs w:val="20"/>
          <w:color w:val="auto"/>
        </w:rPr>
      </w:pPr>
      <w:r>
        <w:rPr>
          <w:rFonts w:ascii="Arial" w:cs="Arial" w:eastAsia="Arial" w:hAnsi="Arial"/>
          <w:sz w:val="18"/>
          <w:szCs w:val="18"/>
          <w:u w:val="single" w:color="auto"/>
          <w:color w:val="363636"/>
        </w:rPr>
        <w:t>"</w:t>
      </w:r>
      <w:r>
        <w:rPr>
          <w:rFonts w:ascii="Times New Roman" w:cs="Times New Roman" w:eastAsia="Times New Roman" w:hAnsi="Times New Roman"/>
          <w:sz w:val="19"/>
          <w:szCs w:val="19"/>
          <w:u w:val="single" w:color="auto"/>
          <w:color w:val="000000"/>
        </w:rPr>
        <w:t>Standard"</w:t>
      </w:r>
      <w:r>
        <w:rPr>
          <w:rFonts w:ascii="Arial" w:cs="Arial" w:eastAsia="Arial" w:hAnsi="Arial"/>
          <w:sz w:val="18"/>
          <w:szCs w:val="18"/>
          <w:color w:val="363636"/>
        </w:rPr>
        <w:t xml:space="preserve"> </w:t>
      </w:r>
      <w:r>
        <w:rPr>
          <w:rFonts w:ascii="Times New Roman" w:cs="Times New Roman" w:eastAsia="Times New Roman" w:hAnsi="Times New Roman"/>
          <w:sz w:val="19"/>
          <w:szCs w:val="19"/>
          <w:color w:val="000000"/>
        </w:rPr>
        <w:t>shall mean, with respect to: (i) the performance of the Manufacturing, meeting the Agreed Specifications, complying with</w:t>
      </w:r>
      <w:r>
        <w:rPr>
          <w:rFonts w:ascii="Arial" w:cs="Arial" w:eastAsia="Arial" w:hAnsi="Arial"/>
          <w:sz w:val="18"/>
          <w:szCs w:val="18"/>
          <w:color w:val="363636"/>
        </w:rPr>
        <w:t xml:space="preserve"> </w:t>
      </w:r>
      <w:r>
        <w:rPr>
          <w:rFonts w:ascii="Times New Roman" w:cs="Times New Roman" w:eastAsia="Times New Roman" w:hAnsi="Times New Roman"/>
          <w:sz w:val="19"/>
          <w:szCs w:val="19"/>
          <w:color w:val="000000"/>
        </w:rPr>
        <w:t>GMP (if and as applicable under the Commercial Quality Agreement), the rules and regulations officially published and promulgated by the FDA and EMA, and applicable SOPs; and (ii) the performance of the Regulatory Services, complying with the rules and regulations officially published and promulgated by the FDA and EMA.</w:t>
      </w:r>
    </w:p>
    <w:p>
      <w:pPr>
        <w:spacing w:after="0" w:line="18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shall have the meaning set forth in Section 14(1).</w:t>
      </w:r>
    </w:p>
    <w:p>
      <w:pPr>
        <w:spacing w:after="0" w:line="22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Territory</w:t>
      </w:r>
      <w:r>
        <w:rPr>
          <w:rFonts w:ascii="Times New Roman" w:cs="Times New Roman" w:eastAsia="Times New Roman" w:hAnsi="Times New Roman"/>
          <w:sz w:val="20"/>
          <w:szCs w:val="20"/>
          <w:color w:val="auto"/>
        </w:rPr>
        <w:t>” shall mean [***] under consideration of Ascendis’ obligations as stipulated in Section 2 (3) in case Ascendis wants to market Product in countries with quality requirements deviating from the Standard.</w:t>
      </w:r>
    </w:p>
    <w:p>
      <w:pPr>
        <w:spacing w:after="0" w:line="15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Vetter Competitor</w:t>
      </w:r>
      <w:r>
        <w:rPr>
          <w:rFonts w:ascii="Times New Roman" w:cs="Times New Roman" w:eastAsia="Times New Roman" w:hAnsi="Times New Roman"/>
          <w:sz w:val="20"/>
          <w:szCs w:val="20"/>
          <w:color w:val="auto"/>
        </w:rPr>
        <w:t>” shall have the meaning set forth in Section 10 (7).</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Vetter International</w:t>
      </w:r>
      <w:r>
        <w:rPr>
          <w:rFonts w:ascii="Times New Roman" w:cs="Times New Roman" w:eastAsia="Times New Roman" w:hAnsi="Times New Roman"/>
          <w:sz w:val="20"/>
          <w:szCs w:val="20"/>
          <w:color w:val="auto"/>
        </w:rPr>
        <w:t>” shall have the meaning set forth first above.</w:t>
      </w:r>
    </w:p>
    <w:p>
      <w:pPr>
        <w:spacing w:after="0" w:line="229"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Vetter Materials</w:t>
      </w:r>
      <w:r>
        <w:rPr>
          <w:rFonts w:ascii="Times New Roman" w:cs="Times New Roman" w:eastAsia="Times New Roman" w:hAnsi="Times New Roman"/>
          <w:sz w:val="20"/>
          <w:szCs w:val="20"/>
          <w:color w:val="auto"/>
        </w:rPr>
        <w:t>” shall have the meaning set forth in the Commercial Quality Agreement.</w:t>
      </w:r>
    </w:p>
    <w:p>
      <w:pPr>
        <w:spacing w:after="0" w:line="225" w:lineRule="exact"/>
        <w:rPr>
          <w:rFonts w:ascii="Times New Roman" w:cs="Times New Roman" w:eastAsia="Times New Roman" w:hAnsi="Times New Roman"/>
          <w:sz w:val="20"/>
          <w:szCs w:val="20"/>
          <w:color w:val="auto"/>
        </w:rPr>
      </w:pPr>
    </w:p>
    <w:p>
      <w:pPr>
        <w:jc w:val="both"/>
        <w:ind w:left="380" w:right="500" w:hanging="372"/>
        <w:spacing w:after="0" w:line="256" w:lineRule="auto"/>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Vetter Pharma</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i w:val="1"/>
          <w:iCs w:val="1"/>
          <w:color w:val="auto"/>
        </w:rPr>
        <w:t>Vetter Pharma-Fertigung GmbH &amp; Co. KG</w:t>
      </w:r>
      <w:r>
        <w:rPr>
          <w:rFonts w:ascii="Times New Roman" w:cs="Times New Roman" w:eastAsia="Times New Roman" w:hAnsi="Times New Roman"/>
          <w:sz w:val="20"/>
          <w:szCs w:val="20"/>
          <w:color w:val="auto"/>
        </w:rPr>
        <w:t xml:space="preserve">, a company duly organized and existing under the laws of </w:t>
      </w:r>
      <w:r>
        <w:rPr>
          <w:rFonts w:ascii="Times New Roman" w:cs="Times New Roman" w:eastAsia="Times New Roman" w:hAnsi="Times New Roman"/>
          <w:sz w:val="20"/>
          <w:szCs w:val="20"/>
          <w:i w:val="1"/>
          <w:iCs w:val="1"/>
          <w:color w:val="auto"/>
        </w:rPr>
        <w:t xml:space="preserve">Germany, </w:t>
      </w:r>
      <w:r>
        <w:rPr>
          <w:rFonts w:ascii="Times New Roman" w:cs="Times New Roman" w:eastAsia="Times New Roman" w:hAnsi="Times New Roman"/>
          <w:sz w:val="20"/>
          <w:szCs w:val="20"/>
          <w:color w:val="auto"/>
        </w:rPr>
        <w:t>having its principal place of business at</w:t>
      </w:r>
      <w:r>
        <w:rPr>
          <w:rFonts w:ascii="Times New Roman" w:cs="Times New Roman" w:eastAsia="Times New Roman" w:hAnsi="Times New Roman"/>
          <w:sz w:val="20"/>
          <w:szCs w:val="20"/>
          <w:i w:val="1"/>
          <w:iCs w:val="1"/>
          <w:color w:val="auto"/>
        </w:rPr>
        <w:t xml:space="preserve"> Schützenstraße 87, 88212 Ravensburg, Germany, </w:t>
      </w:r>
      <w:r>
        <w:rPr>
          <w:rFonts w:ascii="Times New Roman" w:cs="Times New Roman" w:eastAsia="Times New Roman" w:hAnsi="Times New Roman"/>
          <w:sz w:val="20"/>
          <w:szCs w:val="20"/>
          <w:color w:val="auto"/>
        </w:rPr>
        <w:t>the parent company of Vetter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International.</w:t>
      </w:r>
    </w:p>
    <w:p>
      <w:pPr>
        <w:spacing w:after="0" w:line="18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Warehouse</w:t>
      </w:r>
      <w:r>
        <w:rPr>
          <w:rFonts w:ascii="Times New Roman" w:cs="Times New Roman" w:eastAsia="Times New Roman" w:hAnsi="Times New Roman"/>
          <w:sz w:val="20"/>
          <w:szCs w:val="20"/>
          <w:color w:val="auto"/>
        </w:rPr>
        <w:t>” shall mean the warehousing facility of Vetter Pharma located at [***]</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2: MANUFACTURE AND GOVERNANCE</w:t>
      </w:r>
    </w:p>
    <w:p>
      <w:pPr>
        <w:spacing w:after="0" w:line="235" w:lineRule="exact"/>
        <w:rPr>
          <w:sz w:val="20"/>
          <w:szCs w:val="20"/>
          <w:color w:val="auto"/>
        </w:rPr>
      </w:pPr>
    </w:p>
    <w:p>
      <w:pPr>
        <w:ind w:left="400" w:right="200" w:hanging="392"/>
        <w:spacing w:after="0" w:line="246" w:lineRule="auto"/>
        <w:tabs>
          <w:tab w:leader="none" w:pos="4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w:t>
      </w:r>
      <w:r>
        <w:rPr>
          <w:rFonts w:ascii="Times New Roman" w:cs="Times New Roman" w:eastAsia="Times New Roman" w:hAnsi="Times New Roman"/>
          <w:sz w:val="20"/>
          <w:szCs w:val="20"/>
          <w:color w:val="auto"/>
        </w:rPr>
        <w:t>. Vetter International shall supply the Product to Ascendis in accordance with the terms of this Agreement, it being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understood and agreed that the Manufacture of the Product shall be subcontracted by Vetter International to Vetter Pharma and be performed by Vetter Pharma, all as set forth and more fully described in the Commercial Quality Agreement. Upon Ascendis’ reasonable request (e.g. Service that relates to the marketing and release of the Product), subject to Vetter International review, overall capacity and using commercial reasonable efforts, Vetter International shall cause Vetter Pharma to perform additional services (e.g. services referring to ongoing stability, reference materials) to the Services.</w:t>
      </w:r>
    </w:p>
    <w:p>
      <w:pPr>
        <w:spacing w:after="0" w:line="18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Ascendis wishes to use certain batches (e.g. process qualification batches) manufactured [***] for [***], the following shall apply:</w:t>
      </w:r>
    </w:p>
    <w:p>
      <w:pPr>
        <w:spacing w:after="0" w:line="215" w:lineRule="exact"/>
        <w:rPr>
          <w:rFonts w:ascii="Times New Roman" w:cs="Times New Roman" w:eastAsia="Times New Roman" w:hAnsi="Times New Roman"/>
          <w:sz w:val="20"/>
          <w:szCs w:val="20"/>
          <w:color w:val="auto"/>
        </w:rPr>
      </w:pPr>
    </w:p>
    <w:p>
      <w:pPr>
        <w:ind w:left="740" w:hanging="297"/>
        <w:spacing w:after="0"/>
        <w:tabs>
          <w:tab w:leader="none" w:pos="74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w:t>
      </w:r>
    </w:p>
    <w:p>
      <w:pPr>
        <w:spacing w:after="0" w:line="21" w:lineRule="exact"/>
        <w:rPr>
          <w:rFonts w:ascii="Times New Roman" w:cs="Times New Roman" w:eastAsia="Times New Roman" w:hAnsi="Times New Roman"/>
          <w:sz w:val="20"/>
          <w:szCs w:val="20"/>
          <w:color w:val="auto"/>
        </w:rPr>
      </w:pPr>
    </w:p>
    <w:p>
      <w:pPr>
        <w:ind w:left="740" w:hanging="297"/>
        <w:spacing w:after="0"/>
        <w:tabs>
          <w:tab w:leader="none" w:pos="74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0"/>
          <w:szCs w:val="20"/>
          <w:color w:val="auto"/>
        </w:rPr>
      </w:pPr>
    </w:p>
    <w:p>
      <w:pPr>
        <w:ind w:left="380" w:right="1200" w:hanging="372"/>
        <w:spacing w:after="0" w:line="273" w:lineRule="auto"/>
        <w:tabs>
          <w:tab w:leader="none" w:pos="38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Manufacture</w:t>
      </w:r>
      <w:r>
        <w:rPr>
          <w:rFonts w:ascii="Times New Roman" w:cs="Times New Roman" w:eastAsia="Times New Roman" w:hAnsi="Times New Roman"/>
          <w:sz w:val="20"/>
          <w:szCs w:val="20"/>
          <w:color w:val="auto"/>
        </w:rPr>
        <w:t>. Vetter International shall cause Vetter Pharma to Manufacture the Product and provide the respective batch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documentation in accordance with the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20"/>
          <w:szCs w:val="20"/>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 w:right="20" w:hanging="372"/>
        <w:spacing w:after="0" w:line="247" w:lineRule="auto"/>
        <w:tabs>
          <w:tab w:leader="none" w:pos="3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Quality requirements deviating from the Standard. </w:t>
      </w:r>
      <w:r>
        <w:rPr>
          <w:rFonts w:ascii="Times New Roman" w:cs="Times New Roman" w:eastAsia="Times New Roman" w:hAnsi="Times New Roman"/>
          <w:sz w:val="20"/>
          <w:szCs w:val="20"/>
          <w:color w:val="auto"/>
        </w:rPr>
        <w:t>In case Ascendis wants to market Product in Territory countries with quality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deviating from the Standard ([***]), the Parties will have good faith discussions about how to deal with any additional or different country-specific rules and regulations, if any. Ascendis shall [***]. Ascendis shall regularly and in a timely manner inform and keep informed Vetter International and its Affiliates of any such additional or different country rules and regulations applicable to the Product.</w:t>
      </w:r>
    </w:p>
    <w:p>
      <w:pPr>
        <w:spacing w:after="0" w:line="19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Equipment</w:t>
      </w:r>
      <w:r>
        <w:rPr>
          <w:rFonts w:ascii="Times New Roman" w:cs="Times New Roman" w:eastAsia="Times New Roman" w:hAnsi="Times New Roman"/>
          <w:sz w:val="20"/>
          <w:szCs w:val="20"/>
          <w:color w:val="auto"/>
        </w:rPr>
        <w:t>. Vetter International shall cause Vetter Pharma to procure the Equipment as listed in Annex 3 which Equipment shall be</w:t>
      </w:r>
    </w:p>
    <w:p>
      <w:pPr>
        <w:spacing w:after="0" w:line="25" w:lineRule="exact"/>
        <w:rPr>
          <w:rFonts w:ascii="Times New Roman" w:cs="Times New Roman" w:eastAsia="Times New Roman" w:hAnsi="Times New Roman"/>
          <w:sz w:val="20"/>
          <w:szCs w:val="20"/>
          <w:color w:val="auto"/>
        </w:rPr>
      </w:pPr>
    </w:p>
    <w:p>
      <w:pPr>
        <w:ind w:left="380" w:right="160" w:firstLine="2"/>
        <w:spacing w:after="0" w:line="257" w:lineRule="auto"/>
        <w:tabs>
          <w:tab w:leader="none" w:pos="858"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Ascendis. Such Equipment, including Equipment purchased under previous agreements but used in the commercial Manufacture of Product, shall be [***]. Vetter International shall maintain such Equipment [***] and operate the Equipment in accordance with the SOPs. [***] for repairs and replacement, unless [***]. Vetter International shall [***] maintain, and if necessary, repair or replace, all other equipment needed for the manufacture of Product. If additional Ascendis dedicated equipment needs to be purchased, Vetter International shall address the respective costs towards Ascendis and both Parties shall update Annex 3 accordingly.</w:t>
      </w:r>
    </w:p>
    <w:p>
      <w:pPr>
        <w:spacing w:after="0" w:line="194"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Project Management</w:t>
      </w:r>
      <w:r>
        <w:rPr>
          <w:rFonts w:ascii="Times New Roman" w:cs="Times New Roman" w:eastAsia="Times New Roman" w:hAnsi="Times New Roman"/>
          <w:sz w:val="20"/>
          <w:szCs w:val="20"/>
          <w:color w:val="auto"/>
        </w:rPr>
        <w:t>. A joint project steering committee (“JPSC”) shall be formed comprising up to [***] members, including at least</w:t>
      </w:r>
    </w:p>
    <w:p>
      <w:pPr>
        <w:spacing w:after="0" w:line="25" w:lineRule="exact"/>
        <w:rPr>
          <w:rFonts w:ascii="Times New Roman" w:cs="Times New Roman" w:eastAsia="Times New Roman" w:hAnsi="Times New Roman"/>
          <w:sz w:val="20"/>
          <w:szCs w:val="20"/>
          <w:color w:val="auto"/>
        </w:rPr>
      </w:pPr>
    </w:p>
    <w:p>
      <w:pPr>
        <w:ind w:left="380" w:right="40" w:firstLine="2"/>
        <w:spacing w:after="0" w:line="241" w:lineRule="auto"/>
        <w:tabs>
          <w:tab w:leader="none" w:pos="858"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each Party. If possible, meetings of the JPSC shall be aligned with [***]. As needed, the JPSC shall meet [***] to discuss and evaluate the mutual cooperation and in good faith negotiate and decide upon any issues. Meetings may be held as teleconferences, with the intention to have [***] JPSC face-to-face meeting per [***]. Each Party may call for an ad hoc JPSC teleconference as deemed necessary. [***] The members of the JPSC shall attempt to amicably settle and in good faith resolve any dispute in connection with this Agreement and [***].</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3: MATERIALS</w:t>
      </w:r>
    </w:p>
    <w:p>
      <w:pPr>
        <w:spacing w:after="0" w:line="303" w:lineRule="exact"/>
        <w:rPr>
          <w:sz w:val="20"/>
          <w:szCs w:val="20"/>
          <w:color w:val="auto"/>
        </w:rPr>
      </w:pPr>
    </w:p>
    <w:p>
      <w:pPr>
        <w:ind w:left="380" w:hanging="372"/>
        <w:spacing w:after="0" w:line="243" w:lineRule="auto"/>
        <w:tabs>
          <w:tab w:leader="none" w:pos="3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Delivery of Ascendis Materials</w:t>
      </w:r>
      <w:r>
        <w:rPr>
          <w:rFonts w:ascii="Times New Roman" w:cs="Times New Roman" w:eastAsia="Times New Roman" w:hAnsi="Times New Roman"/>
          <w:sz w:val="20"/>
          <w:szCs w:val="20"/>
          <w:color w:val="auto"/>
        </w:rPr>
        <w:t>. Ascendis shall supply and deliver or have delivered to the Warehouse [***] (Incoterms 2010), free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 and at the risk of Ascendis, including with respect to any applicable transport insurance, such quantity of the Ascendis Materials as required to properly undertake the necessary preparations for the Manufacture of the Product and to timely fulfill Purchase Orders, all in accordance with the Commercial Quality Agreement. Such delivery shall include quality certificates for the Ascendis Materials as set forth in the Commercial Quality Agreement, upon which certificates Vetter International and/or its Representatives may fully rely without further investigation. Delivery of Ascendis Materials shall take place according to the timelines specified in the SC Terms. Ascendis may deliver Ascendis Materials (e.g. API) up to [***] earlier than required according to the forecast. If additional freezer capacity is required, both Parties shall enter into good faith discussions regarding the additional procurement and Ascendis shall bear the respective costs.</w:t>
      </w:r>
    </w:p>
    <w:p>
      <w:pPr>
        <w:spacing w:after="0" w:line="199" w:lineRule="exact"/>
        <w:rPr>
          <w:rFonts w:ascii="Times New Roman" w:cs="Times New Roman" w:eastAsia="Times New Roman" w:hAnsi="Times New Roman"/>
          <w:sz w:val="20"/>
          <w:szCs w:val="20"/>
          <w:color w:val="auto"/>
        </w:rPr>
      </w:pPr>
    </w:p>
    <w:p>
      <w:pPr>
        <w:ind w:left="380" w:right="40" w:hanging="372"/>
        <w:spacing w:after="0" w:line="256" w:lineRule="auto"/>
        <w:tabs>
          <w:tab w:leader="none" w:pos="3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Storage. </w:t>
      </w:r>
      <w:r>
        <w:rPr>
          <w:rFonts w:ascii="Times New Roman" w:cs="Times New Roman" w:eastAsia="Times New Roman" w:hAnsi="Times New Roman"/>
          <w:sz w:val="20"/>
          <w:szCs w:val="20"/>
          <w:color w:val="auto"/>
        </w:rPr>
        <w:t>Vetter International shall store Ascendis Materials at Vetter International's Warehouse under conditions as specified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 Quality Agreement, and including such security measures as emergency power supply, temperature alarms, and emergency backup freezer capacity. [***]</w:t>
      </w:r>
    </w:p>
    <w:p>
      <w:pPr>
        <w:spacing w:after="0" w:line="182" w:lineRule="exact"/>
        <w:rPr>
          <w:rFonts w:ascii="Times New Roman" w:cs="Times New Roman" w:eastAsia="Times New Roman" w:hAnsi="Times New Roman"/>
          <w:sz w:val="20"/>
          <w:szCs w:val="20"/>
          <w:color w:val="auto"/>
        </w:rPr>
      </w:pPr>
    </w:p>
    <w:p>
      <w:pPr>
        <w:ind w:left="380" w:right="100" w:hanging="372"/>
        <w:spacing w:after="0" w:line="247" w:lineRule="auto"/>
        <w:tabs>
          <w:tab w:leader="none" w:pos="3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Status</w:t>
      </w:r>
      <w:r>
        <w:rPr>
          <w:rFonts w:ascii="Times New Roman" w:cs="Times New Roman" w:eastAsia="Times New Roman" w:hAnsi="Times New Roman"/>
          <w:sz w:val="20"/>
          <w:szCs w:val="20"/>
          <w:color w:val="auto"/>
        </w:rPr>
        <w:t>. The Ascendis Materials shall at all times remain the property of Ascendis. Ascendis shall be and remain responsible and liable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Ascendis Materials and the quality thereof. Ascendis may, in its sole discretion, provide adequate property insurance for the Ascendis Materials (whether or not included as part of the Product or otherwise), and for all shipment and storage of any thereof, in an amount and on terms satisfactory to Ascendis. [***] In the event that Ascendis chooses to insure Ascendis Materials and Product while in the custody of Vetter International, Vetter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316" w:name="page317"/>
    <w:bookmarkEnd w:id="316"/>
    <w:p>
      <w:pPr>
        <w:jc w:val="center"/>
        <w:ind w:right="40"/>
        <w:spacing w:after="0"/>
        <w:rPr>
          <w:sz w:val="20"/>
          <w:szCs w:val="20"/>
          <w:color w:val="auto"/>
        </w:rPr>
      </w:pPr>
      <w:r>
        <w:rPr>
          <w:rFonts w:ascii="Times New Roman" w:cs="Times New Roman" w:eastAsia="Times New Roman" w:hAnsi="Times New Roman"/>
          <w:sz w:val="20"/>
          <w:szCs w:val="20"/>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agrees to provide Ascendis’ insurance company with adequate information regarding its facilities, procedures, SOP’s etc.</w:t>
      </w:r>
    </w:p>
    <w:p>
      <w:pPr>
        <w:spacing w:after="0" w:line="225" w:lineRule="exact"/>
        <w:rPr>
          <w:sz w:val="20"/>
          <w:szCs w:val="20"/>
          <w:color w:val="auto"/>
        </w:rPr>
      </w:pPr>
    </w:p>
    <w:p>
      <w:pPr>
        <w:ind w:left="380" w:right="140" w:hanging="372"/>
        <w:spacing w:after="0" w:line="258" w:lineRule="auto"/>
        <w:tabs>
          <w:tab w:leader="none" w:pos="38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Ascendis shall provide any and all information with respect to the Ascendis Materials, including, without limitation,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chemical, pharmaceutical and/or biopharmaceutical compositions thereof and, to the extent reasonably known, any impact and interaction thereof on all other materials to be used in the Manufacture of the Product. If the provision of any such information has the effect, including any result of having to take additional security or safety precautions, of increasing the costs in performing obligations under the Commercial Quality Agreement or hereunder, Vetter International shall inform Ascendis thereof. Ascendis shall specifically inform Vetter International if the Ascendis Materials require any special handling or processing. Ascendis shall meet all notice and information requirements set forth herein and in the Commercial Quality Agreement, it being understood and agreed that neither Vetter International nor any of its Representatives shall have any responsibility or liability, including for lack of information or if such information should not be proper for the Manufacture, if the Product has been Manufactured in accordance with the Standard.</w:t>
      </w:r>
    </w:p>
    <w:p>
      <w:pPr>
        <w:spacing w:after="0" w:line="167" w:lineRule="exact"/>
        <w:rPr>
          <w:rFonts w:ascii="Times New Roman" w:cs="Times New Roman" w:eastAsia="Times New Roman" w:hAnsi="Times New Roman"/>
          <w:sz w:val="19"/>
          <w:szCs w:val="19"/>
          <w:color w:val="auto"/>
        </w:rPr>
      </w:pPr>
    </w:p>
    <w:p>
      <w:pPr>
        <w:ind w:left="380" w:hanging="372"/>
        <w:spacing w:after="0" w:line="247" w:lineRule="auto"/>
        <w:tabs>
          <w:tab w:leader="none" w:pos="3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Delay due to Ascendis Materials</w:t>
      </w:r>
      <w:r>
        <w:rPr>
          <w:rFonts w:ascii="Times New Roman" w:cs="Times New Roman" w:eastAsia="Times New Roman" w:hAnsi="Times New Roman"/>
          <w:sz w:val="20"/>
          <w:szCs w:val="20"/>
          <w:color w:val="auto"/>
        </w:rPr>
        <w:t>. In the event of a delay in the Manufacture of the Product arising from inadequate delivery of</w:t>
      </w:r>
      <w:r>
        <w:rPr>
          <w:rFonts w:ascii="Times New Roman" w:cs="Times New Roman" w:eastAsia="Times New Roman" w:hAnsi="Times New Roman"/>
          <w:sz w:val="20"/>
          <w:szCs w:val="20"/>
          <w:i w:val="1"/>
          <w:iCs w:val="1"/>
          <w:color w:val="auto"/>
        </w:rPr>
        <w:t xml:space="preserve"> Ascendis </w:t>
      </w:r>
      <w:r>
        <w:rPr>
          <w:rFonts w:ascii="Times New Roman" w:cs="Times New Roman" w:eastAsia="Times New Roman" w:hAnsi="Times New Roman"/>
          <w:sz w:val="20"/>
          <w:szCs w:val="20"/>
          <w:color w:val="auto"/>
        </w:rPr>
        <w:t>Materials (whether such delay is based on inadequacy of quality, quantity or otherwise) Vetter International may postpone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Delivery Date until such other date that Vetter International may reasonably determine, after good faith consultation of Ascendis, taking into account such factors as Facility capacity, other production commitments and similar business factors, provided, however, that Vetter International shall use commercially reasonable efforts to meet the agreed Delivery Date. [***].</w:t>
      </w:r>
    </w:p>
    <w:p>
      <w:pPr>
        <w:spacing w:after="0" w:line="207" w:lineRule="exact"/>
        <w:rPr>
          <w:rFonts w:ascii="Times New Roman" w:cs="Times New Roman" w:eastAsia="Times New Roman" w:hAnsi="Times New Roman"/>
          <w:sz w:val="20"/>
          <w:szCs w:val="20"/>
          <w:color w:val="auto"/>
        </w:rPr>
      </w:pPr>
    </w:p>
    <w:p>
      <w:pPr>
        <w:ind w:left="380" w:hanging="372"/>
        <w:spacing w:after="0" w:line="246" w:lineRule="auto"/>
        <w:tabs>
          <w:tab w:leader="none" w:pos="3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Delay due to </w:t>
      </w:r>
      <w:r>
        <w:rPr>
          <w:rFonts w:ascii="Times New Roman" w:cs="Times New Roman" w:eastAsia="Times New Roman" w:hAnsi="Times New Roman"/>
          <w:sz w:val="20"/>
          <w:szCs w:val="20"/>
          <w:color w:val="auto"/>
        </w:rPr>
        <w:t>Vetter Materials. In the event of a delay in the Manufacture of the Product arising from inadequate delivery of any Vetter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(whether such delay is based on inadequacy of quality, quantity or otherwise) Vetter International may postpone the Delivery Date if Vetter International can document that delay was not due to insufficient safety stock or negligent causes or negligent inactions by Vetter International, until such other date that Vetter International reasonably determines, after good faith consultation of Ascendis, taking into account such factors as Facility capacity, other production commitments and similar business factors, provided, however, that Vetter International shall use commercially reasonable efforts to meet the agreed Delivery Date.</w:t>
      </w:r>
    </w:p>
    <w:p>
      <w:pPr>
        <w:spacing w:after="0" w:line="19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Testing</w:t>
      </w:r>
      <w:r>
        <w:rPr>
          <w:rFonts w:ascii="Times New Roman" w:cs="Times New Roman" w:eastAsia="Times New Roman" w:hAnsi="Times New Roman"/>
          <w:sz w:val="20"/>
          <w:szCs w:val="20"/>
          <w:color w:val="auto"/>
        </w:rPr>
        <w:t>. All Vetter Materials and all Ascendis Materials shall be tested in accordance with the Commercial Quality Agreement. [***]</w:t>
      </w:r>
    </w:p>
    <w:p>
      <w:pPr>
        <w:spacing w:after="0" w:line="229" w:lineRule="exact"/>
        <w:rPr>
          <w:rFonts w:ascii="Times New Roman" w:cs="Times New Roman" w:eastAsia="Times New Roman" w:hAnsi="Times New Roman"/>
          <w:sz w:val="20"/>
          <w:szCs w:val="20"/>
          <w:color w:val="auto"/>
        </w:rPr>
      </w:pPr>
    </w:p>
    <w:p>
      <w:pPr>
        <w:ind w:left="380" w:right="40" w:hanging="372"/>
        <w:spacing w:after="0" w:line="264" w:lineRule="auto"/>
        <w:tabs>
          <w:tab w:leader="none" w:pos="38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Use</w:t>
      </w:r>
      <w:r>
        <w:rPr>
          <w:rFonts w:ascii="Times New Roman" w:cs="Times New Roman" w:eastAsia="Times New Roman" w:hAnsi="Times New Roman"/>
          <w:sz w:val="19"/>
          <w:szCs w:val="19"/>
          <w:color w:val="auto"/>
        </w:rPr>
        <w:t>. The Ascendis Materials shall be used for the Manufacture of the Product only. Vetter International shall notify Ascendis in writing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any surplus of the Ascendis Materials and any such surplus shall, if not usable for the Manufacture of the Product, be disposed of, returned to Ascendis or otherwise handled, all as reasonably directed by and at the cost and/or expense of Ascendis. Upon written request of Ascendis, Vetter International shall provide Ascendis with copies of a computerized inventory list, generated in accordance with the SOPs in respect of the Ascendis Materials stored at the Facility, all as separately agreed by and between the Parties in writing.</w:t>
      </w:r>
    </w:p>
    <w:p>
      <w:pPr>
        <w:spacing w:after="0" w:line="161" w:lineRule="exact"/>
        <w:rPr>
          <w:rFonts w:ascii="Times New Roman" w:cs="Times New Roman" w:eastAsia="Times New Roman" w:hAnsi="Times New Roman"/>
          <w:sz w:val="19"/>
          <w:szCs w:val="19"/>
          <w:color w:val="auto"/>
        </w:rPr>
      </w:pPr>
    </w:p>
    <w:p>
      <w:pPr>
        <w:ind w:left="380" w:right="200" w:hanging="372"/>
        <w:spacing w:after="0" w:line="273" w:lineRule="auto"/>
        <w:tabs>
          <w:tab w:leader="none" w:pos="3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Vetter Materials</w:t>
      </w:r>
      <w:r>
        <w:rPr>
          <w:rFonts w:ascii="Times New Roman" w:cs="Times New Roman" w:eastAsia="Times New Roman" w:hAnsi="Times New Roman"/>
          <w:sz w:val="20"/>
          <w:szCs w:val="20"/>
          <w:color w:val="auto"/>
        </w:rPr>
        <w:t>. Vetter International shall cause Vetter Pharma to source the Vetter Materials in volumes sufficient and in due time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meet Ascendis’ Rolling Forecast and Purchase Orders (according to Annex 1).</w:t>
      </w: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4: BATCH SIZE AND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17" w:name="page318"/>
    <w:bookmarkEnd w:id="317"/>
    <w:p>
      <w:pPr>
        <w:jc w:val="center"/>
        <w:ind w:right="20"/>
        <w:spacing w:after="0"/>
        <w:rPr>
          <w:sz w:val="20"/>
          <w:szCs w:val="20"/>
          <w:color w:val="auto"/>
        </w:rPr>
      </w:pPr>
      <w:r>
        <w:rPr>
          <w:rFonts w:ascii="Times New Roman" w:cs="Times New Roman" w:eastAsia="Times New Roman" w:hAnsi="Times New Roman"/>
          <w:sz w:val="20"/>
          <w:szCs w:val="20"/>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100" w:hanging="372"/>
        <w:spacing w:after="0" w:line="273" w:lineRule="auto"/>
        <w:tabs>
          <w:tab w:leader="none" w:pos="38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Batch size. </w:t>
      </w:r>
      <w:r>
        <w:rPr>
          <w:rFonts w:ascii="Times New Roman" w:cs="Times New Roman" w:eastAsia="Times New Roman" w:hAnsi="Times New Roman"/>
          <w:sz w:val="20"/>
          <w:szCs w:val="20"/>
          <w:color w:val="auto"/>
        </w:rPr>
        <w:t>Product shall be Manufactured in validated batch sizes. It is expected that the initial process qualification batch will validate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nominal batch size range of [***] cartridges.</w:t>
      </w:r>
    </w:p>
    <w:p>
      <w:pPr>
        <w:spacing w:after="0" w:line="151" w:lineRule="exact"/>
        <w:rPr>
          <w:rFonts w:ascii="Times New Roman" w:cs="Times New Roman" w:eastAsia="Times New Roman" w:hAnsi="Times New Roman"/>
          <w:sz w:val="20"/>
          <w:szCs w:val="20"/>
          <w:color w:val="auto"/>
        </w:rPr>
      </w:pPr>
    </w:p>
    <w:p>
      <w:pPr>
        <w:ind w:left="400" w:right="160" w:hanging="377"/>
        <w:spacing w:after="0" w:line="260" w:lineRule="auto"/>
        <w:tabs>
          <w:tab w:leader="none" w:pos="400"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Yield</w:t>
      </w:r>
      <w:r>
        <w:rPr>
          <w:rFonts w:ascii="Times New Roman" w:cs="Times New Roman" w:eastAsia="Times New Roman" w:hAnsi="Times New Roman"/>
          <w:sz w:val="19"/>
          <w:szCs w:val="19"/>
          <w:color w:val="auto"/>
        </w:rPr>
        <w:t>. The Parties acknowledge that the Manufacturing process will yield a lower number of secondary packed cartridges for Delivery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than the nominal batch size. After the Manufacture of [***] Product batches of each concentration and batch size, the Parties shall evaluate and mutually agree in writing on acceptable yield targets, taking into account normal fixed and flexible losses, including, for example, [***]. Until agreement on such yield provisions has been reached, Ascendis shall pay the full price regardless of the yield, except in case of Vetter International’s [***] (for clarity, the latter as limited by the provisions of Section 6 (7) of this Agreement). Subsequent batches delivered in amounts below the yield targets for the batch shall result in a correspondingly proportionally reduced price. If Manufacturing in larger scale is later validated, the Parties shall mutually agree on acceptable yield targets.</w:t>
      </w: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5: INSPECTION &amp; ACCEPTANCE</w:t>
      </w:r>
    </w:p>
    <w:p>
      <w:pPr>
        <w:spacing w:after="0" w:line="249" w:lineRule="exact"/>
        <w:rPr>
          <w:sz w:val="20"/>
          <w:szCs w:val="20"/>
          <w:color w:val="auto"/>
        </w:rPr>
      </w:pPr>
    </w:p>
    <w:p>
      <w:pPr>
        <w:ind w:left="380" w:right="20" w:hanging="372"/>
        <w:spacing w:after="0" w:line="241" w:lineRule="auto"/>
        <w:tabs>
          <w:tab w:leader="none" w:pos="3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Inspection</w:t>
      </w:r>
      <w:r>
        <w:rPr>
          <w:rFonts w:ascii="Times New Roman" w:cs="Times New Roman" w:eastAsia="Times New Roman" w:hAnsi="Times New Roman"/>
          <w:sz w:val="20"/>
          <w:szCs w:val="20"/>
          <w:color w:val="auto"/>
        </w:rPr>
        <w:t>. Ascendis shall inspect the Product according to the provisions of the Commercial Quality Agreement, and review the batch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documentation without delay, but in no event later than [***] after the Release. If the Product should not pass such inspection and/or the batch documentation should not pass such review, Ascendis shall promptly notify Vetter International in writing. If the Product has been shipped from the Warehouse to Ascendis or a third party designated by Ascendis, Ascendis shall, in accordance with the instructions of Vetter International, either return the rejected batch to the Facility or dispose of the Product.</w:t>
      </w:r>
    </w:p>
    <w:p>
      <w:pPr>
        <w:spacing w:after="0" w:line="199" w:lineRule="exact"/>
        <w:rPr>
          <w:rFonts w:ascii="Times New Roman" w:cs="Times New Roman" w:eastAsia="Times New Roman" w:hAnsi="Times New Roman"/>
          <w:sz w:val="22"/>
          <w:szCs w:val="22"/>
          <w:color w:val="auto"/>
        </w:rPr>
      </w:pPr>
    </w:p>
    <w:p>
      <w:pPr>
        <w:ind w:left="380" w:right="40" w:hanging="372"/>
        <w:spacing w:after="0" w:line="241" w:lineRule="auto"/>
        <w:tabs>
          <w:tab w:leader="none" w:pos="3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Acceptance. </w:t>
      </w:r>
      <w:r>
        <w:rPr>
          <w:rFonts w:ascii="Times New Roman" w:cs="Times New Roman" w:eastAsia="Times New Roman" w:hAnsi="Times New Roman"/>
          <w:sz w:val="20"/>
          <w:szCs w:val="20"/>
          <w:color w:val="auto"/>
        </w:rPr>
        <w:t>Any Product and/or batch documentation not rejected as in the preceding Section described shall be deemed accepted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approved by Ascendis to the extent that either thereof may contain a latent defect. Any Product and/or batch documentation containing a latent defect shall be deemed accepted and approved, unless rejected by written notice to Vetter International within [***]; provided, however, that in case of discovery of a latent defect, [***] that such defect has been caused solely by Vetter International before risk transfer to Ascendis. Ascendis shall notify Vetter International in writing promptly after the discovery of any latent defect. Latent defects include defects which could not, by their nature or by their low relative occurrence, be identified upon initial inspection using GMP statistical sampling techniques.</w:t>
      </w:r>
    </w:p>
    <w:p>
      <w:pPr>
        <w:spacing w:after="0" w:line="20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Investigation, Dispute. </w:t>
      </w:r>
      <w:r>
        <w:rPr>
          <w:rFonts w:ascii="Times New Roman" w:cs="Times New Roman" w:eastAsia="Times New Roman" w:hAnsi="Times New Roman"/>
          <w:sz w:val="20"/>
          <w:szCs w:val="20"/>
          <w:color w:val="auto"/>
        </w:rPr>
        <w:t>Vetter International shall have the right to investigate any alleged Non-conforming Product. If, during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calendar quarter, [***] or more batches are rejected by Ascendis, Vetter International shall notify Ascendis and, upon receipt of such notification by Ascendis, the Parties shall meet to discuss, evaluate and analyze the reasons for and implications of the failure of the Manufacture to meet the Agreed Specifications and the rejection by Ascendis. Pending the same, Vetter International shall have the right to [***]. Vetter International shall perform or have performed such investigation, root cause analysis and any corrective action diligently and expeditiously. Prior to the completion thereof, Ascendis may request in writing the recommencement of Manufacture unless in conflict with GMP, subject to [***]. If the Parties disagree as to final disposition, analysis or corrective action, and, if Vetter International disagrees with Ascendis’ determination, the Parties shall attempt to resolve such disagreement through good faith discussion within the JPSC, failing of which the Parties shall appoint a mutually agreed-upon, independent pharmaceutical laboratory in the European Union to evaluate and determine whether the Product’s Manufacture was in accordance with the Standard as of the Delivery Date. The laboratory’s determination thereof shall be binding upon both Parties as to the facts evaluated, and the laboratory’s charges and related expenses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852170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18" w:name="page319"/>
    <w:bookmarkEnd w:id="318"/>
    <w:p>
      <w:pPr>
        <w:jc w:val="center"/>
        <w:ind w:right="20"/>
        <w:spacing w:after="0"/>
        <w:rPr>
          <w:sz w:val="20"/>
          <w:szCs w:val="20"/>
          <w:color w:val="auto"/>
        </w:rPr>
      </w:pPr>
      <w:r>
        <w:rPr>
          <w:rFonts w:ascii="Times New Roman" w:cs="Times New Roman" w:eastAsia="Times New Roman" w:hAnsi="Times New Roman"/>
          <w:sz w:val="20"/>
          <w:szCs w:val="20"/>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380" w:right="100" w:hanging="372"/>
        <w:spacing w:after="0" w:line="244" w:lineRule="auto"/>
        <w:tabs>
          <w:tab w:leader="none" w:pos="3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Standard</w:t>
      </w:r>
      <w:r>
        <w:rPr>
          <w:rFonts w:ascii="Times New Roman" w:cs="Times New Roman" w:eastAsia="Times New Roman" w:hAnsi="Times New Roman"/>
          <w:sz w:val="20"/>
          <w:szCs w:val="20"/>
          <w:color w:val="auto"/>
        </w:rPr>
        <w:t>. Except for those Deviations of which Ascendis will be notified in writing as set forth in the Commercial Quality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Product made available to Ascendis for delivery in accordance with Article 8 under this Agreement shall have been Manufactured in accordance with the Standard; [***].</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6: NON-CONFORMANCE, LOSSES AND RESUPPLY</w:t>
      </w:r>
    </w:p>
    <w:p>
      <w:pPr>
        <w:spacing w:after="0" w:line="235" w:lineRule="exact"/>
        <w:rPr>
          <w:sz w:val="20"/>
          <w:szCs w:val="20"/>
          <w:color w:val="auto"/>
        </w:rPr>
      </w:pPr>
    </w:p>
    <w:p>
      <w:pPr>
        <w:ind w:left="380" w:hanging="372"/>
        <w:spacing w:after="0" w:line="246" w:lineRule="auto"/>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Primary packaging materials. </w:t>
      </w:r>
      <w:r>
        <w:rPr>
          <w:rFonts w:ascii="Times New Roman" w:cs="Times New Roman" w:eastAsia="Times New Roman" w:hAnsi="Times New Roman"/>
          <w:sz w:val="20"/>
          <w:szCs w:val="20"/>
          <w:color w:val="auto"/>
        </w:rPr>
        <w:t>Other than as set out in the Sections below regarding Non-Conforming Product, neither Vetter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International nor any of its Representatives shall have any responsibility or liability for any materials manufactured or supplied to the Facility by Ascendis or any third party (including Ascendis Materials and Vetter Materials) or any testing or other services performed by any third party or to undertake any testing or to otherwise certify the Vetter Materials other than as set forth in the Commercial Quality Agreement; provided, however, Vetter International shall transfer or cause to transfer to Ascendis any warranties as received in respect of primary packaging Vetter Materials and assist Ascendis to execute any such warranty claim. [***].</w:t>
      </w:r>
    </w:p>
    <w:p>
      <w:pPr>
        <w:spacing w:after="0" w:line="192" w:lineRule="exact"/>
        <w:rPr>
          <w:rFonts w:ascii="Times New Roman" w:cs="Times New Roman" w:eastAsia="Times New Roman" w:hAnsi="Times New Roman"/>
          <w:sz w:val="20"/>
          <w:szCs w:val="20"/>
          <w:color w:val="auto"/>
        </w:rPr>
      </w:pPr>
    </w:p>
    <w:p>
      <w:pPr>
        <w:ind w:left="380" w:right="120" w:hanging="372"/>
        <w:spacing w:after="0" w:line="250" w:lineRule="auto"/>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Vetter International’s responsibility for Non-Conforming Product. </w:t>
      </w:r>
      <w:r>
        <w:rPr>
          <w:rFonts w:ascii="Times New Roman" w:cs="Times New Roman" w:eastAsia="Times New Roman" w:hAnsi="Times New Roman"/>
          <w:sz w:val="20"/>
          <w:szCs w:val="20"/>
          <w:color w:val="auto"/>
        </w:rPr>
        <w:t>If the Parties agree about the Non-Conformance of a Product or it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concluded that Product is Non-Conforming, and the Non-Conformance is caused by [***] by Vetter International or its Representatives, Vetter International shall Manufacture a replacement batch [***]. In such a case Vetter International shall additionally be obliged to [***].</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Ascendis’ or third parties’ responsibility for Non-Conforming Product. </w:t>
      </w:r>
      <w:r>
        <w:rPr>
          <w:rFonts w:ascii="Times New Roman" w:cs="Times New Roman" w:eastAsia="Times New Roman" w:hAnsi="Times New Roman"/>
          <w:sz w:val="20"/>
          <w:szCs w:val="20"/>
          <w:color w:val="auto"/>
        </w:rPr>
        <w:t>If Non-Conforming Product is caused by</w:t>
      </w:r>
    </w:p>
    <w:p>
      <w:pPr>
        <w:spacing w:after="0" w:line="25" w:lineRule="exact"/>
        <w:rPr>
          <w:rFonts w:ascii="Times New Roman" w:cs="Times New Roman" w:eastAsia="Times New Roman" w:hAnsi="Times New Roman"/>
          <w:sz w:val="20"/>
          <w:szCs w:val="20"/>
          <w:color w:val="auto"/>
        </w:rPr>
      </w:pPr>
    </w:p>
    <w:p>
      <w:pPr>
        <w:ind w:left="840" w:hanging="389"/>
        <w:spacing w:after="0"/>
        <w:tabs>
          <w:tab w:leader="none" w:pos="84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w:t>
      </w:r>
    </w:p>
    <w:p>
      <w:pPr>
        <w:ind w:left="840" w:hanging="389"/>
        <w:spacing w:after="0"/>
        <w:tabs>
          <w:tab w:leader="none" w:pos="84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w:t>
      </w:r>
    </w:p>
    <w:p>
      <w:pPr>
        <w:ind w:left="840" w:hanging="389"/>
        <w:spacing w:after="0"/>
        <w:tabs>
          <w:tab w:leader="none" w:pos="84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0"/>
          <w:szCs w:val="20"/>
          <w:color w:val="auto"/>
        </w:rPr>
      </w:pPr>
    </w:p>
    <w:p>
      <w:pPr>
        <w:ind w:left="380" w:right="60" w:hanging="372"/>
        <w:spacing w:after="0" w:line="247" w:lineRule="auto"/>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Notification of Non-Conformance. </w:t>
      </w:r>
      <w:r>
        <w:rPr>
          <w:rFonts w:ascii="Times New Roman" w:cs="Times New Roman" w:eastAsia="Times New Roman" w:hAnsi="Times New Roman"/>
          <w:sz w:val="20"/>
          <w:szCs w:val="20"/>
          <w:color w:val="auto"/>
        </w:rPr>
        <w:t>Non-Conforming Product shall be notified by Ascendis within [***] after the Release of such Non-Conforming Product, otherwise Product shall be deemed accepted, unless Non-Conformance is latent and could not have been found within [***]. Such latent Non-Conformance shall be notified by Ascendis within [***], provided however, that in case of discovery of a latent Non-Conformance, [***] that such Non-Conformance has been caused solely by Vetter International before the risk transfer to Ascendis.</w:t>
      </w:r>
    </w:p>
    <w:p>
      <w:pPr>
        <w:spacing w:after="0" w:line="193" w:lineRule="exact"/>
        <w:rPr>
          <w:rFonts w:ascii="Times New Roman" w:cs="Times New Roman" w:eastAsia="Times New Roman" w:hAnsi="Times New Roman"/>
          <w:sz w:val="20"/>
          <w:szCs w:val="20"/>
          <w:color w:val="auto"/>
        </w:rPr>
      </w:pPr>
    </w:p>
    <w:p>
      <w:pPr>
        <w:jc w:val="both"/>
        <w:ind w:left="380" w:right="40" w:hanging="372"/>
        <w:spacing w:after="0" w:line="250" w:lineRule="auto"/>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Delivery of replacement Products. </w:t>
      </w:r>
      <w:r>
        <w:rPr>
          <w:rFonts w:ascii="Times New Roman" w:cs="Times New Roman" w:eastAsia="Times New Roman" w:hAnsi="Times New Roman"/>
          <w:sz w:val="20"/>
          <w:szCs w:val="20"/>
          <w:color w:val="auto"/>
        </w:rPr>
        <w:t>Vetter International shall, if Ascendis so requests, deliver replacement Product and the corresponding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batch documentation [***], and [***]. Vetter International shall at all times keep Ascendis updated about the progress of the scheduling and the re-Manufacture itself. For the purposes of any replacement, Ascendis shall supply or have supplied, as set forth in Section 3(1), Vetter International with the necessary Ascendis Materials.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API loss during storage. </w:t>
      </w:r>
      <w:r>
        <w:rPr>
          <w:rFonts w:ascii="Times New Roman" w:cs="Times New Roman" w:eastAsia="Times New Roman" w:hAnsi="Times New Roman"/>
          <w:sz w:val="20"/>
          <w:szCs w:val="20"/>
          <w:color w:val="auto"/>
        </w:rPr>
        <w:t>Vetter International and/or any of its Representatives shall [***].</w:t>
      </w:r>
    </w:p>
    <w:p>
      <w:pPr>
        <w:spacing w:after="0" w:line="229" w:lineRule="exact"/>
        <w:rPr>
          <w:rFonts w:ascii="Times New Roman" w:cs="Times New Roman" w:eastAsia="Times New Roman" w:hAnsi="Times New Roman"/>
          <w:sz w:val="20"/>
          <w:szCs w:val="20"/>
          <w:color w:val="auto"/>
        </w:rPr>
      </w:pPr>
    </w:p>
    <w:p>
      <w:pPr>
        <w:ind w:left="380" w:right="220" w:hanging="372"/>
        <w:spacing w:after="0" w:line="256" w:lineRule="auto"/>
        <w:tabs>
          <w:tab w:leader="none" w:pos="3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API loss in conjunction with the Manufacturing of Product batches. </w:t>
      </w:r>
      <w:r>
        <w:rPr>
          <w:rFonts w:ascii="Times New Roman" w:cs="Times New Roman" w:eastAsia="Times New Roman" w:hAnsi="Times New Roman"/>
          <w:sz w:val="20"/>
          <w:szCs w:val="20"/>
          <w:color w:val="auto"/>
        </w:rPr>
        <w:t>For loss of API in conjunction with the Manufacturing of Product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batches, Vetter International shall compensate Ascendis in connection with Non-Conforming Product caused by [***] up to the following liability caps:</w:t>
      </w:r>
    </w:p>
    <w:p>
      <w:pPr>
        <w:spacing w:after="0" w:line="186" w:lineRule="exact"/>
        <w:rPr>
          <w:rFonts w:ascii="Times New Roman" w:cs="Times New Roman" w:eastAsia="Times New Roman" w:hAnsi="Times New Roman"/>
          <w:sz w:val="20"/>
          <w:szCs w:val="20"/>
          <w:color w:val="auto"/>
        </w:rPr>
      </w:pPr>
    </w:p>
    <w:p>
      <w:pPr>
        <w:ind w:left="1060" w:hanging="303"/>
        <w:spacing w:after="0"/>
        <w:tabs>
          <w:tab w:leader="none" w:pos="1060" w:val="left"/>
        </w:tabs>
        <w:numPr>
          <w:ilvl w:val="2"/>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19" w:name="page320"/>
    <w:bookmarkEnd w:id="319"/>
    <w:p>
      <w:pPr>
        <w:jc w:val="center"/>
        <w:ind w:right="400"/>
        <w:spacing w:after="0"/>
        <w:rPr>
          <w:sz w:val="20"/>
          <w:szCs w:val="20"/>
          <w:color w:val="auto"/>
        </w:rPr>
      </w:pPr>
      <w:r>
        <w:rPr>
          <w:rFonts w:ascii="Times New Roman" w:cs="Times New Roman" w:eastAsia="Times New Roman" w:hAnsi="Times New Roman"/>
          <w:sz w:val="20"/>
          <w:szCs w:val="20"/>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right="40" w:firstLine="5"/>
        <w:spacing w:after="0" w:line="479" w:lineRule="auto"/>
        <w:tabs>
          <w:tab w:leader="none" w:pos="1411"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for any API loss occurring in connection with the first [***] Product batches Manufactured under this Agreement: Vetter International’s compensation obligation shall not exceed [***];</w:t>
      </w:r>
    </w:p>
    <w:p>
      <w:pPr>
        <w:ind w:left="1440" w:hanging="315"/>
        <w:spacing w:after="0"/>
        <w:tabs>
          <w:tab w:leader="none" w:pos="144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for any subsequent API loss:</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Vetter International’s compensation obligation shall not exceed [***],</w:t>
      </w:r>
    </w:p>
    <w:p>
      <w:pPr>
        <w:spacing w:after="0" w:line="229" w:lineRule="exact"/>
        <w:rPr>
          <w:sz w:val="20"/>
          <w:szCs w:val="20"/>
          <w:color w:val="auto"/>
        </w:rPr>
      </w:pPr>
    </w:p>
    <w:p>
      <w:pPr>
        <w:ind w:left="380" w:right="200"/>
        <w:spacing w:after="0" w:line="269" w:lineRule="auto"/>
        <w:rPr>
          <w:sz w:val="20"/>
          <w:szCs w:val="20"/>
          <w:color w:val="auto"/>
        </w:rPr>
      </w:pPr>
      <w:r>
        <w:rPr>
          <w:rFonts w:ascii="Times New Roman" w:cs="Times New Roman" w:eastAsia="Times New Roman" w:hAnsi="Times New Roman"/>
          <w:sz w:val="20"/>
          <w:szCs w:val="20"/>
          <w:color w:val="auto"/>
        </w:rPr>
        <w:t>provided however, in both aforementioned cases of [***] aa) and bb) above, the aggregate amount of compensation [***] shall in no event exceed [***] for all API losses under this Agreement, [***].</w:t>
      </w:r>
    </w:p>
    <w:p>
      <w:pPr>
        <w:spacing w:after="0" w:line="173" w:lineRule="exact"/>
        <w:rPr>
          <w:sz w:val="20"/>
          <w:szCs w:val="20"/>
          <w:color w:val="auto"/>
        </w:rPr>
      </w:pPr>
    </w:p>
    <w:p>
      <w:pPr>
        <w:ind w:left="680" w:hanging="303"/>
        <w:spacing w:after="0"/>
        <w:tabs>
          <w:tab w:leader="none" w:pos="68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Vetter International’s [***]</w:t>
      </w:r>
    </w:p>
    <w:p>
      <w:pPr>
        <w:spacing w:after="0" w:line="215" w:lineRule="exact"/>
        <w:rPr>
          <w:rFonts w:ascii="Times New Roman" w:cs="Times New Roman" w:eastAsia="Times New Roman" w:hAnsi="Times New Roman"/>
          <w:sz w:val="20"/>
          <w:szCs w:val="20"/>
          <w:color w:val="auto"/>
        </w:rPr>
      </w:pPr>
    </w:p>
    <w:p>
      <w:pPr>
        <w:ind w:left="1120" w:right="40" w:firstLine="5"/>
        <w:spacing w:after="0" w:line="479" w:lineRule="auto"/>
        <w:tabs>
          <w:tab w:leader="none" w:pos="1411"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for any API loss occurring in connection with the first [***] Product batches Manufactured under this Agreement: Vetter International’s compensation obligation shall not exceed [***]</w:t>
      </w:r>
    </w:p>
    <w:p>
      <w:pPr>
        <w:ind w:left="1440" w:hanging="315"/>
        <w:spacing w:after="0"/>
        <w:tabs>
          <w:tab w:leader="none" w:pos="144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for any subsequent API loss:</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Vetter International’s compensation obligation shall not exceed [***],</w:t>
      </w:r>
    </w:p>
    <w:p>
      <w:pPr>
        <w:spacing w:after="0" w:line="229" w:lineRule="exact"/>
        <w:rPr>
          <w:sz w:val="20"/>
          <w:szCs w:val="20"/>
          <w:color w:val="auto"/>
        </w:rPr>
      </w:pPr>
    </w:p>
    <w:p>
      <w:pPr>
        <w:ind w:left="380" w:right="200"/>
        <w:spacing w:after="0" w:line="269" w:lineRule="auto"/>
        <w:rPr>
          <w:sz w:val="20"/>
          <w:szCs w:val="20"/>
          <w:color w:val="auto"/>
        </w:rPr>
      </w:pPr>
      <w:r>
        <w:rPr>
          <w:rFonts w:ascii="Times New Roman" w:cs="Times New Roman" w:eastAsia="Times New Roman" w:hAnsi="Times New Roman"/>
          <w:sz w:val="20"/>
          <w:szCs w:val="20"/>
          <w:color w:val="auto"/>
        </w:rPr>
        <w:t>provided however, in both aforementioned cases of [***] aa) and bb) above, the aggregate amount of compensation [***] shall in no event exceed [***] for all API losses under this Agreement, [***].</w:t>
      </w:r>
    </w:p>
    <w:p>
      <w:pPr>
        <w:spacing w:after="0" w:line="173" w:lineRule="exact"/>
        <w:rPr>
          <w:sz w:val="20"/>
          <w:szCs w:val="20"/>
          <w:color w:val="auto"/>
        </w:rPr>
      </w:pPr>
    </w:p>
    <w:p>
      <w:pPr>
        <w:ind w:left="80"/>
        <w:spacing w:after="0" w:line="249" w:lineRule="auto"/>
        <w:rPr>
          <w:sz w:val="20"/>
          <w:szCs w:val="20"/>
          <w:color w:val="auto"/>
        </w:rPr>
      </w:pPr>
      <w:r>
        <w:rPr>
          <w:rFonts w:ascii="Times New Roman" w:cs="Times New Roman" w:eastAsia="Times New Roman" w:hAnsi="Times New Roman"/>
          <w:sz w:val="20"/>
          <w:szCs w:val="20"/>
          <w:color w:val="auto"/>
        </w:rPr>
        <w:t>For the avoidance of doubt, any compensation payments to be paid or already paid [***] based on Vetter International’s [***] shall be deducted from further compensation obligations for Costs and Liabilities caused by Vetter International’s and/or any of its Representatives' [***] and vice versa with the effect that Vetter International’s aggregate [***] compensation obligation [***] for Costs and Liabilities caused by [***] shall in no event exceed the aggregate [***] cap as stipulated in this Section for [***].</w:t>
      </w:r>
    </w:p>
    <w:p>
      <w:pPr>
        <w:spacing w:after="0" w:line="193" w:lineRule="exact"/>
        <w:rPr>
          <w:sz w:val="20"/>
          <w:szCs w:val="20"/>
          <w:color w:val="auto"/>
        </w:rPr>
      </w:pPr>
    </w:p>
    <w:p>
      <w:pPr>
        <w:ind w:left="80"/>
        <w:spacing w:after="0" w:line="269" w:lineRule="auto"/>
        <w:rPr>
          <w:sz w:val="20"/>
          <w:szCs w:val="20"/>
          <w:color w:val="auto"/>
        </w:rPr>
      </w:pPr>
      <w:r>
        <w:rPr>
          <w:rFonts w:ascii="Times New Roman" w:cs="Times New Roman" w:eastAsia="Times New Roman" w:hAnsi="Times New Roman"/>
          <w:sz w:val="20"/>
          <w:szCs w:val="20"/>
          <w:color w:val="auto"/>
        </w:rPr>
        <w:t>Also for the avoidance of doubt, compensation for API loss within the limitations of liability agreed herein is [***] in cases where Non-Conforming Product is caused by [***].</w:t>
      </w: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5"/>
          <w:szCs w:val="25"/>
          <w:color w:val="auto"/>
        </w:rPr>
        <w:t>ARTICLE 7: CAPACITY AGREEMENT, FORECAST AND PURCHASE ORDERS</w:t>
      </w:r>
    </w:p>
    <w:p>
      <w:pPr>
        <w:spacing w:after="0" w:line="307"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The Parties agree to the Capacity Agreement attached as Annex 1to this Agreement. Forecast and Purchase Order provisions are governed by the SC-Terms attached as Annex 1.</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5"/>
          <w:szCs w:val="25"/>
          <w:color w:val="auto"/>
        </w:rPr>
        <w:t>ARTICLE 8: RELEASE AND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1010920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535" w:right="359" w:bottom="1440" w:gutter="0" w:footer="0" w:header="0"/>
        </w:sectPr>
      </w:pPr>
    </w:p>
    <w:bookmarkStart w:id="320" w:name="page321"/>
    <w:bookmarkEnd w:id="320"/>
    <w:p>
      <w:pPr>
        <w:jc w:val="center"/>
        <w:spacing w:after="0"/>
        <w:rPr>
          <w:sz w:val="20"/>
          <w:szCs w:val="20"/>
          <w:color w:val="auto"/>
        </w:rPr>
      </w:pPr>
      <w:r>
        <w:rPr>
          <w:rFonts w:ascii="Times New Roman" w:cs="Times New Roman" w:eastAsia="Times New Roman" w:hAnsi="Times New Roman"/>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right="460" w:hanging="452"/>
        <w:spacing w:after="0" w:line="249" w:lineRule="auto"/>
        <w:tabs>
          <w:tab w:leader="none" w:pos="46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Samples for external analysis. </w:t>
      </w:r>
      <w:r>
        <w:rPr>
          <w:rFonts w:ascii="Times New Roman" w:cs="Times New Roman" w:eastAsia="Times New Roman" w:hAnsi="Times New Roman"/>
          <w:sz w:val="20"/>
          <w:szCs w:val="20"/>
          <w:color w:val="auto"/>
        </w:rPr>
        <w:t>No later than [***] calendar days prior to the agreed Delivery Date, Vetter International shall send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samples to third parties for analysis, as designated by Ascendis and further detailed in the Commercial Quality Agreement.</w:t>
      </w:r>
    </w:p>
    <w:p>
      <w:pPr>
        <w:spacing w:after="0" w:line="187"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Release. </w:t>
      </w:r>
      <w:r>
        <w:rPr>
          <w:rFonts w:ascii="Times New Roman" w:cs="Times New Roman" w:eastAsia="Times New Roman" w:hAnsi="Times New Roman"/>
          <w:sz w:val="20"/>
          <w:szCs w:val="20"/>
          <w:color w:val="auto"/>
        </w:rPr>
        <w:t>Product shall be released in two steps:</w:t>
      </w:r>
    </w:p>
    <w:p>
      <w:pPr>
        <w:spacing w:after="0" w:line="196" w:lineRule="exact"/>
        <w:rPr>
          <w:rFonts w:ascii="Times New Roman" w:cs="Times New Roman" w:eastAsia="Times New Roman" w:hAnsi="Times New Roman"/>
          <w:sz w:val="22"/>
          <w:szCs w:val="22"/>
          <w:color w:val="auto"/>
        </w:rPr>
      </w:pPr>
    </w:p>
    <w:p>
      <w:pPr>
        <w:ind w:left="1500" w:right="960" w:hanging="369"/>
        <w:spacing w:after="0" w:line="250" w:lineRule="auto"/>
        <w:tabs>
          <w:tab w:leader="none" w:pos="150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by Vetter Pharma according to the Standard and against the Agreed Specifications, as defined in the Commercial Quality Agreement, and</w:t>
      </w:r>
    </w:p>
    <w:p>
      <w:pPr>
        <w:spacing w:after="0" w:line="1" w:lineRule="exact"/>
        <w:rPr>
          <w:rFonts w:ascii="Times New Roman" w:cs="Times New Roman" w:eastAsia="Times New Roman" w:hAnsi="Times New Roman"/>
          <w:sz w:val="20"/>
          <w:szCs w:val="20"/>
          <w:color w:val="auto"/>
        </w:rPr>
      </w:pPr>
    </w:p>
    <w:p>
      <w:pPr>
        <w:ind w:left="1500" w:right="860" w:hanging="369"/>
        <w:spacing w:after="0" w:line="242" w:lineRule="auto"/>
        <w:tabs>
          <w:tab w:leader="none" w:pos="150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 Release" by Ascendis after (i) review of the Release documentation required to be submitted from Vetter International to Ascendis no later [***] before the Delivery Date as further detailed in the Commercial Quality Agreement, and (ii) review of results from inspections and analyses performed by third parties.</w:t>
      </w:r>
    </w:p>
    <w:p>
      <w:pPr>
        <w:spacing w:after="0" w:line="200"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Both Parties agree to continue their good faith discussions, following the execution of this Agreement, with the intention to update the processes regarding the Release and Final Release (including this Article as well as Sections 5(1).</w:t>
      </w:r>
    </w:p>
    <w:p>
      <w:pPr>
        <w:spacing w:after="0" w:line="182" w:lineRule="exact"/>
        <w:rPr>
          <w:sz w:val="20"/>
          <w:szCs w:val="20"/>
          <w:color w:val="auto"/>
        </w:rPr>
      </w:pPr>
    </w:p>
    <w:p>
      <w:pPr>
        <w:ind w:left="460" w:right="100" w:hanging="452"/>
        <w:spacing w:after="0" w:line="242" w:lineRule="auto"/>
        <w:tabs>
          <w:tab w:leader="none" w:pos="4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Delivery. </w:t>
      </w:r>
      <w:r>
        <w:rPr>
          <w:rFonts w:ascii="Times New Roman" w:cs="Times New Roman" w:eastAsia="Times New Roman" w:hAnsi="Times New Roman"/>
          <w:sz w:val="20"/>
          <w:szCs w:val="20"/>
          <w:color w:val="auto"/>
        </w:rPr>
        <w:t>Product shall be delivered [***] ([***] Incoterms® 2010). Provided Ascendis has met its obligations regarding delivery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Ascendis Materials (in particular delivery in due time and in sufficient amounts as set forth in Article 3), and Vetter International has met its obligations to submit Release documentation in due time, Vetter International shall deliver Released Product on the Delivery Date.</w:t>
      </w:r>
    </w:p>
    <w:p>
      <w:pPr>
        <w:spacing w:after="0" w:line="196" w:lineRule="exact"/>
        <w:rPr>
          <w:rFonts w:ascii="Times New Roman" w:cs="Times New Roman" w:eastAsia="Times New Roman" w:hAnsi="Times New Roman"/>
          <w:sz w:val="22"/>
          <w:szCs w:val="22"/>
          <w:color w:val="auto"/>
        </w:rPr>
      </w:pPr>
    </w:p>
    <w:p>
      <w:pPr>
        <w:ind w:left="460" w:right="120" w:hanging="452"/>
        <w:spacing w:after="0" w:line="242" w:lineRule="auto"/>
        <w:tabs>
          <w:tab w:leader="none" w:pos="4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Storage of Released Product. </w:t>
      </w:r>
      <w:r>
        <w:rPr>
          <w:rFonts w:ascii="Times New Roman" w:cs="Times New Roman" w:eastAsia="Times New Roman" w:hAnsi="Times New Roman"/>
          <w:sz w:val="20"/>
          <w:szCs w:val="20"/>
          <w:color w:val="auto"/>
        </w:rPr>
        <w:t>Unless otherwise agreed between the Parties, if Product is not collected by Ascendis within [***] 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notification of Final Release, Vetter International shall store such Product [***] and in accordance with its SOPs as specified in this Article 8. However, The Parties agree, that storage of Products, starting from the Delivery Date, will be [***], for clarity meaning that [***]. Upon Ascendis’ request Vetter International shall [***] store Released Product for up to [***], in which case, [***].</w:t>
      </w:r>
    </w:p>
    <w:p>
      <w:pPr>
        <w:spacing w:after="0" w:line="196" w:lineRule="exact"/>
        <w:rPr>
          <w:rFonts w:ascii="Times New Roman" w:cs="Times New Roman" w:eastAsia="Times New Roman" w:hAnsi="Times New Roman"/>
          <w:sz w:val="22"/>
          <w:szCs w:val="22"/>
          <w:color w:val="auto"/>
        </w:rPr>
      </w:pPr>
    </w:p>
    <w:p>
      <w:pPr>
        <w:ind w:left="460" w:right="180" w:hanging="452"/>
        <w:spacing w:after="0" w:line="242" w:lineRule="auto"/>
        <w:tabs>
          <w:tab w:leader="none" w:pos="4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Assistance. </w:t>
      </w:r>
      <w:r>
        <w:rPr>
          <w:rFonts w:ascii="Times New Roman" w:cs="Times New Roman" w:eastAsia="Times New Roman" w:hAnsi="Times New Roman"/>
          <w:sz w:val="20"/>
          <w:szCs w:val="20"/>
          <w:color w:val="auto"/>
        </w:rPr>
        <w:t>In amplification of the provisions with respect to [***] ([***] Incoterms® 2010) set forth or referred to above, and not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 thereof, Vetter International shall directly or indirectly through its Representatives, upon request of Ascendis and in any event at [***], assist in (i) [***]; (ii) [***]; (iii) [***]; and/or (iv) [***]. Ascendis shall, upon request of Vetter International, provide information required for taxation or reporting purposes in respect of [***].</w:t>
      </w:r>
    </w:p>
    <w:p>
      <w:pPr>
        <w:spacing w:after="0" w:line="196" w:lineRule="exact"/>
        <w:rPr>
          <w:rFonts w:ascii="Times New Roman" w:cs="Times New Roman" w:eastAsia="Times New Roman" w:hAnsi="Times New Roman"/>
          <w:sz w:val="22"/>
          <w:szCs w:val="22"/>
          <w:color w:val="auto"/>
        </w:rPr>
      </w:pPr>
    </w:p>
    <w:p>
      <w:pPr>
        <w:ind w:left="460" w:hanging="452"/>
        <w:spacing w:after="0" w:line="249" w:lineRule="auto"/>
        <w:tabs>
          <w:tab w:leader="none" w:pos="4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Shipment. </w:t>
      </w:r>
      <w:r>
        <w:rPr>
          <w:rFonts w:ascii="Times New Roman" w:cs="Times New Roman" w:eastAsia="Times New Roman" w:hAnsi="Times New Roman"/>
          <w:sz w:val="20"/>
          <w:szCs w:val="20"/>
          <w:color w:val="auto"/>
        </w:rPr>
        <w:t>Product may only be shipped after Final Release, except under quarantine. Vetter International shall coordinate all shipments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Ascendis' logistics function. [***].</w:t>
      </w:r>
    </w:p>
    <w:p>
      <w:pPr>
        <w:spacing w:after="0" w:line="187" w:lineRule="exact"/>
        <w:rPr>
          <w:rFonts w:ascii="Times New Roman" w:cs="Times New Roman" w:eastAsia="Times New Roman" w:hAnsi="Times New Roman"/>
          <w:sz w:val="22"/>
          <w:szCs w:val="22"/>
          <w:color w:val="auto"/>
        </w:rPr>
      </w:pPr>
    </w:p>
    <w:p>
      <w:pPr>
        <w:ind w:left="460" w:right="180" w:hanging="452"/>
        <w:spacing w:after="0" w:line="249" w:lineRule="auto"/>
        <w:tabs>
          <w:tab w:leader="none" w:pos="4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Quarantine shipment</w:t>
      </w:r>
      <w:r>
        <w:rPr>
          <w:rFonts w:ascii="Times New Roman" w:cs="Times New Roman" w:eastAsia="Times New Roman" w:hAnsi="Times New Roman"/>
          <w:sz w:val="20"/>
          <w:szCs w:val="20"/>
          <w:color w:val="auto"/>
        </w:rPr>
        <w:t>. Product not yet Final Released may be shipped under quarantine upon prior written request of Ascendis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Quarantine shipment shall not imply Ascendis' automatic acceptance of a batch, [***].</w:t>
      </w:r>
    </w:p>
    <w:p>
      <w:pPr>
        <w:spacing w:after="0" w:line="187" w:lineRule="exact"/>
        <w:rPr>
          <w:rFonts w:ascii="Times New Roman" w:cs="Times New Roman" w:eastAsia="Times New Roman" w:hAnsi="Times New Roman"/>
          <w:sz w:val="22"/>
          <w:szCs w:val="22"/>
          <w:color w:val="auto"/>
        </w:rPr>
      </w:pPr>
    </w:p>
    <w:p>
      <w:pPr>
        <w:ind w:left="480" w:right="20" w:hanging="472"/>
        <w:spacing w:after="0" w:line="244" w:lineRule="auto"/>
        <w:tabs>
          <w:tab w:leader="none" w:pos="48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Delay in delivery</w:t>
      </w:r>
      <w:r>
        <w:rPr>
          <w:rFonts w:ascii="Times New Roman" w:cs="Times New Roman" w:eastAsia="Times New Roman" w:hAnsi="Times New Roman"/>
          <w:sz w:val="20"/>
          <w:szCs w:val="20"/>
          <w:color w:val="auto"/>
        </w:rPr>
        <w:t>. Vetter International agrees to inform Ascendis no later than [***] after it has become apparent that the delivery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may be delayed. In such case Vetter International must inform Ascendis of its plan to solve the issues causing a delay, [***] to solve the issues and confirm a new Delivery Date to Ascendis as soon as possible.</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9: PRICES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20" w:right="240" w:hanging="712"/>
        <w:spacing w:after="0" w:line="273" w:lineRule="auto"/>
        <w:tabs>
          <w:tab w:leader="none" w:pos="7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Prices</w:t>
      </w:r>
      <w:r>
        <w:rPr>
          <w:rFonts w:ascii="Times New Roman" w:cs="Times New Roman" w:eastAsia="Times New Roman" w:hAnsi="Times New Roman"/>
          <w:sz w:val="20"/>
          <w:szCs w:val="20"/>
          <w:color w:val="auto"/>
        </w:rPr>
        <w:t>. Ascendis shall pay to Vetter International such prices for the Product as determined in Annex 2, plus any applicable taxes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(e.g. VAT), customs, fees and other duties, if any. [***].</w:t>
      </w:r>
    </w:p>
    <w:p>
      <w:pPr>
        <w:spacing w:after="0" w:line="151" w:lineRule="exact"/>
        <w:rPr>
          <w:rFonts w:ascii="Times New Roman" w:cs="Times New Roman" w:eastAsia="Times New Roman" w:hAnsi="Times New Roman"/>
          <w:sz w:val="20"/>
          <w:szCs w:val="20"/>
          <w:color w:val="auto"/>
        </w:rPr>
      </w:pPr>
    </w:p>
    <w:p>
      <w:pPr>
        <w:ind w:left="760" w:right="160" w:hanging="752"/>
        <w:spacing w:after="0" w:line="256" w:lineRule="auto"/>
        <w:tabs>
          <w:tab w:leader="none" w:pos="7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Price adjustments. </w:t>
      </w:r>
      <w:r>
        <w:rPr>
          <w:rFonts w:ascii="Times New Roman" w:cs="Times New Roman" w:eastAsia="Times New Roman" w:hAnsi="Times New Roman"/>
          <w:sz w:val="20"/>
          <w:szCs w:val="20"/>
          <w:color w:val="auto"/>
        </w:rPr>
        <w:t>Vetter International may reasonably adjust its prices no more than [***], and becoming effective as of the next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as follows, provided Vetter International notified Ascendis in writing about the respective price adjustments no later than [***]:</w:t>
      </w:r>
    </w:p>
    <w:p>
      <w:pPr>
        <w:spacing w:after="0" w:line="172" w:lineRule="exact"/>
        <w:rPr>
          <w:rFonts w:ascii="Times New Roman" w:cs="Times New Roman" w:eastAsia="Times New Roman" w:hAnsi="Times New Roman"/>
          <w:sz w:val="20"/>
          <w:szCs w:val="20"/>
          <w:color w:val="auto"/>
        </w:rPr>
      </w:pPr>
    </w:p>
    <w:p>
      <w:pPr>
        <w:ind w:left="760" w:right="260" w:hanging="752"/>
        <w:spacing w:after="0" w:line="269" w:lineRule="auto"/>
        <w:tabs>
          <w:tab w:leader="none" w:pos="7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reference value shall be calculated by taking into account of [***] of the value provided according to [***] published by the German Statistical Federal Office and [***] published by the U.S. Bureau of Labor Statistics (together the “PPI”) and</w:t>
      </w:r>
    </w:p>
    <w:p>
      <w:pPr>
        <w:spacing w:after="0" w:line="159" w:lineRule="exact"/>
        <w:rPr>
          <w:rFonts w:ascii="Times New Roman" w:cs="Times New Roman" w:eastAsia="Times New Roman" w:hAnsi="Times New Roman"/>
          <w:sz w:val="20"/>
          <w:szCs w:val="20"/>
          <w:color w:val="auto"/>
        </w:rPr>
      </w:pPr>
    </w:p>
    <w:p>
      <w:pPr>
        <w:ind w:left="760" w:right="540" w:hanging="752"/>
        <w:spacing w:after="0" w:line="269" w:lineRule="auto"/>
        <w:tabs>
          <w:tab w:leader="none" w:pos="7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increase or decrease of the PPI [***], Vetter International shall be permitted to [***] and Ascendis shall be entitled to [***].</w:t>
      </w:r>
    </w:p>
    <w:p>
      <w:pPr>
        <w:spacing w:after="0" w:line="155" w:lineRule="exact"/>
        <w:rPr>
          <w:rFonts w:ascii="Times New Roman" w:cs="Times New Roman" w:eastAsia="Times New Roman" w:hAnsi="Times New Roman"/>
          <w:sz w:val="20"/>
          <w:szCs w:val="20"/>
          <w:color w:val="auto"/>
        </w:rPr>
      </w:pPr>
    </w:p>
    <w:p>
      <w:pPr>
        <w:ind w:left="760" w:right="100" w:hanging="752"/>
        <w:spacing w:after="0" w:line="253" w:lineRule="auto"/>
        <w:tabs>
          <w:tab w:leader="none" w:pos="7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Extraordinary price adjustment</w:t>
      </w:r>
      <w:r>
        <w:rPr>
          <w:rFonts w:ascii="Times New Roman" w:cs="Times New Roman" w:eastAsia="Times New Roman" w:hAnsi="Times New Roman"/>
          <w:sz w:val="20"/>
          <w:szCs w:val="20"/>
          <w:color w:val="auto"/>
        </w:rPr>
        <w:t>. Any further events with regard to which Vetter International has a reasonable interest to adjusting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its prices, such as e.g.</w:t>
      </w:r>
    </w:p>
    <w:p>
      <w:pPr>
        <w:ind w:left="1500" w:hanging="743"/>
        <w:spacing w:after="0"/>
        <w:tabs>
          <w:tab w:leader="none" w:pos="15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hanging="743"/>
        <w:spacing w:after="0"/>
        <w:tabs>
          <w:tab w:leader="none" w:pos="15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1500" w:hanging="743"/>
        <w:spacing w:after="0"/>
        <w:tabs>
          <w:tab w:leader="none" w:pos="15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and/or</w:t>
      </w:r>
    </w:p>
    <w:p>
      <w:pPr>
        <w:ind w:left="1500" w:hanging="743"/>
        <w:spacing w:after="0"/>
        <w:tabs>
          <w:tab w:leader="none" w:pos="15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ind w:left="760" w:right="240"/>
        <w:spacing w:after="0" w:line="246" w:lineRule="auto"/>
        <w:rPr>
          <w:sz w:val="20"/>
          <w:szCs w:val="20"/>
          <w:color w:val="auto"/>
        </w:rPr>
      </w:pPr>
      <w:r>
        <w:rPr>
          <w:rFonts w:ascii="Times New Roman" w:cs="Times New Roman" w:eastAsia="Times New Roman" w:hAnsi="Times New Roman"/>
          <w:sz w:val="20"/>
          <w:szCs w:val="20"/>
          <w:color w:val="auto"/>
        </w:rPr>
        <w:t>may be addressed by Vetter International at [***]. Vetter International shall provide Ascendis with reasonable evidence showing such increase and the Parties shall [***].</w:t>
      </w:r>
    </w:p>
    <w:p>
      <w:pPr>
        <w:spacing w:after="0" w:line="205" w:lineRule="exact"/>
        <w:rPr>
          <w:sz w:val="20"/>
          <w:szCs w:val="20"/>
          <w:color w:val="auto"/>
        </w:rPr>
      </w:pPr>
    </w:p>
    <w:p>
      <w:pPr>
        <w:ind w:left="1100" w:hanging="1092"/>
        <w:spacing w:after="0"/>
        <w:tabs>
          <w:tab w:leader="none" w:pos="11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Payments</w:t>
      </w:r>
      <w:r>
        <w:rPr>
          <w:rFonts w:ascii="Times New Roman" w:cs="Times New Roman" w:eastAsia="Times New Roman" w:hAnsi="Times New Roman"/>
          <w:sz w:val="20"/>
          <w:szCs w:val="20"/>
          <w:color w:val="auto"/>
        </w:rPr>
        <w:t>. Without undue delay, Vetter International shall issue an invoice upon [***] or, in case of Product not yet Final</w:t>
      </w:r>
    </w:p>
    <w:p>
      <w:pPr>
        <w:spacing w:after="0" w:line="25" w:lineRule="exact"/>
        <w:rPr>
          <w:rFonts w:ascii="Times New Roman" w:cs="Times New Roman" w:eastAsia="Times New Roman" w:hAnsi="Times New Roman"/>
          <w:sz w:val="20"/>
          <w:szCs w:val="20"/>
          <w:color w:val="auto"/>
        </w:rPr>
      </w:pPr>
    </w:p>
    <w:p>
      <w:pPr>
        <w:ind w:left="760" w:right="4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Released, Vetter International shall be entitled to invoice [***]. Payments shall be made in Euros and due [***] of the invoice date (receipt of readily available funds by Vetter International). If Ascendis pays later than [***] of receipt of the invoice, Vetter International shall be entitled to interest of the invoiced amount of [***] (except when payment is subject to a good-faith resolution of any dispute). Ascendis shall add such interest, accumulated in accordance with this Article as of the time of payment due, to the invoiced amount and include such with the payment by Ascendis.</w:t>
      </w: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5"/>
          <w:szCs w:val="25"/>
          <w:color w:val="auto"/>
        </w:rPr>
        <w:t>ARTICLE 10: APPROVALS, AUDITS, CHANGES AND REGULATORY SERVICES</w:t>
      </w:r>
    </w:p>
    <w:p>
      <w:pPr>
        <w:spacing w:after="0" w:line="249" w:lineRule="exact"/>
        <w:rPr>
          <w:sz w:val="20"/>
          <w:szCs w:val="20"/>
          <w:color w:val="auto"/>
        </w:rPr>
      </w:pPr>
    </w:p>
    <w:p>
      <w:pPr>
        <w:ind w:left="380" w:hanging="372"/>
        <w:spacing w:after="0" w:line="242" w:lineRule="auto"/>
        <w:tabs>
          <w:tab w:leader="none" w:pos="3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Product</w:t>
      </w:r>
      <w:r>
        <w:rPr>
          <w:rFonts w:ascii="Times New Roman" w:cs="Times New Roman" w:eastAsia="Times New Roman" w:hAnsi="Times New Roman"/>
          <w:sz w:val="20"/>
          <w:szCs w:val="20"/>
          <w:color w:val="auto"/>
        </w:rPr>
        <w:t>. Ascendis shall obtain and maintain, at its cost and risk, all Regulatory Approvals for the Manufacture of the Product. Ascendis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distribute or otherwise use the Product without first securing such Regulatory Approvals. Vetter International shall cooperate and make every commercially reasonable effort, [***], in having information and other assistance provided as Ascendis may reasonably request with respect to the Regulatory Approvals.</w:t>
      </w:r>
    </w:p>
    <w:p>
      <w:pPr>
        <w:spacing w:after="0" w:line="210" w:lineRule="exact"/>
        <w:rPr>
          <w:rFonts w:ascii="Times New Roman" w:cs="Times New Roman" w:eastAsia="Times New Roman" w:hAnsi="Times New Roman"/>
          <w:sz w:val="22"/>
          <w:szCs w:val="22"/>
          <w:color w:val="auto"/>
        </w:rPr>
      </w:pPr>
    </w:p>
    <w:p>
      <w:pPr>
        <w:ind w:left="380" w:right="140" w:hanging="372"/>
        <w:spacing w:after="0" w:line="241" w:lineRule="auto"/>
        <w:tabs>
          <w:tab w:leader="none" w:pos="3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Facility</w:t>
      </w:r>
      <w:r>
        <w:rPr>
          <w:rFonts w:ascii="Times New Roman" w:cs="Times New Roman" w:eastAsia="Times New Roman" w:hAnsi="Times New Roman"/>
          <w:sz w:val="20"/>
          <w:szCs w:val="20"/>
          <w:color w:val="auto"/>
        </w:rPr>
        <w:t>. Vetter International shall cause Vetter Pharma to obtain and maintain the necessary manufacturing authorization with respect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the Facility issued by the applicable </w:t>
      </w:r>
      <w:r>
        <w:rPr>
          <w:rFonts w:ascii="Times New Roman" w:cs="Times New Roman" w:eastAsia="Times New Roman" w:hAnsi="Times New Roman"/>
          <w:sz w:val="20"/>
          <w:szCs w:val="20"/>
          <w:i w:val="1"/>
          <w:iCs w:val="1"/>
          <w:color w:val="auto"/>
        </w:rPr>
        <w:t>German</w:t>
      </w:r>
      <w:r>
        <w:rPr>
          <w:rFonts w:ascii="Times New Roman" w:cs="Times New Roman" w:eastAsia="Times New Roman" w:hAnsi="Times New Roman"/>
          <w:sz w:val="20"/>
          <w:szCs w:val="20"/>
          <w:color w:val="auto"/>
        </w:rPr>
        <w:t xml:space="preserve"> health authority in accordance with the </w:t>
      </w:r>
      <w:r>
        <w:rPr>
          <w:rFonts w:ascii="Times New Roman" w:cs="Times New Roman" w:eastAsia="Times New Roman" w:hAnsi="Times New Roman"/>
          <w:sz w:val="20"/>
          <w:szCs w:val="20"/>
          <w:i w:val="1"/>
          <w:iCs w:val="1"/>
          <w:color w:val="auto"/>
        </w:rPr>
        <w:t>German Medical Act (Arzneimittelgesetz)</w:t>
      </w:r>
      <w:r>
        <w:rPr>
          <w:rFonts w:ascii="Times New Roman" w:cs="Times New Roman" w:eastAsia="Times New Roman" w:hAnsi="Times New Roman"/>
          <w:sz w:val="20"/>
          <w:szCs w:val="20"/>
          <w:color w:val="auto"/>
        </w:rPr>
        <w:t xml:space="preserve"> and, upon written request of Ascendis, Vetter International shall make available a copy of such authorization. Ascendis understands and agrees that certain regulatory authorities may still have to approve of the Manufacture of the Product, [***], and that neither Vetter International nor any of its Affiliates warrants to Ascendis any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322" w:name="page323"/>
    <w:bookmarkEnd w:id="322"/>
    <w:p>
      <w:pPr>
        <w:jc w:val="center"/>
        <w:ind w:right="20"/>
        <w:spacing w:after="0"/>
        <w:rPr>
          <w:sz w:val="20"/>
          <w:szCs w:val="20"/>
          <w:color w:val="auto"/>
        </w:rPr>
      </w:pPr>
      <w:r>
        <w:rPr>
          <w:rFonts w:ascii="Times New Roman" w:cs="Times New Roman" w:eastAsia="Times New Roman" w:hAnsi="Times New Roman"/>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right="20" w:hanging="472"/>
        <w:spacing w:after="0" w:line="241" w:lineRule="auto"/>
        <w:tabs>
          <w:tab w:leader="none" w:pos="4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Regulatory Services</w:t>
      </w:r>
      <w:r>
        <w:rPr>
          <w:rFonts w:ascii="Times New Roman" w:cs="Times New Roman" w:eastAsia="Times New Roman" w:hAnsi="Times New Roman"/>
          <w:sz w:val="20"/>
          <w:szCs w:val="20"/>
          <w:color w:val="auto"/>
        </w:rPr>
        <w:t>. Ascendis shall employ Vetter International and/or its Affiliates in preparing such regulatory filings as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Commercial Quality Agreement and this Agreement which are relevant to the Manufacture and provide certain supporting documents if reasonably required, all as agreed upon by the Parties in the Agreed Specifications and [***] (“Regulatory Services”). Prior to delivering Regulatory Services, Vetter International or Vetter Pharma shall, on a case by case basis, inform Ascendis in writing [***]. The Parties agree that Vetter International may employ its Affiliates, in particular Vetter Pharma, for assisting Ascendis with regard to the Regulatory Services.</w:t>
      </w:r>
    </w:p>
    <w:p>
      <w:pPr>
        <w:spacing w:after="0" w:line="211" w:lineRule="exact"/>
        <w:rPr>
          <w:rFonts w:ascii="Times New Roman" w:cs="Times New Roman" w:eastAsia="Times New Roman" w:hAnsi="Times New Roman"/>
          <w:sz w:val="22"/>
          <w:szCs w:val="22"/>
          <w:color w:val="auto"/>
        </w:rPr>
      </w:pPr>
    </w:p>
    <w:p>
      <w:pPr>
        <w:ind w:left="480" w:hanging="472"/>
        <w:spacing w:after="0" w:line="242" w:lineRule="auto"/>
        <w:tabs>
          <w:tab w:leader="none" w:pos="4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Information. </w:t>
      </w:r>
      <w:r>
        <w:rPr>
          <w:rFonts w:ascii="Times New Roman" w:cs="Times New Roman" w:eastAsia="Times New Roman" w:hAnsi="Times New Roman"/>
          <w:sz w:val="20"/>
          <w:szCs w:val="20"/>
          <w:color w:val="auto"/>
        </w:rPr>
        <w:t>If Ascendis requires Vetter International to perform Regulatory Services pertaining to any specific legislation, rules,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regulations and practices or requirements of regulatory authorities and governmental bodies within the Territory (other than the generally applicable regulatory requirements of BfArM, EMA and FDA), Ascendis shall inform Vetter International and Vetter Pharma of the same.</w:t>
      </w:r>
    </w:p>
    <w:p>
      <w:pPr>
        <w:spacing w:after="0" w:line="196" w:lineRule="exact"/>
        <w:rPr>
          <w:rFonts w:ascii="Times New Roman" w:cs="Times New Roman" w:eastAsia="Times New Roman" w:hAnsi="Times New Roman"/>
          <w:sz w:val="22"/>
          <w:szCs w:val="22"/>
          <w:color w:val="auto"/>
        </w:rPr>
      </w:pPr>
    </w:p>
    <w:p>
      <w:pPr>
        <w:ind w:left="480" w:right="100" w:hanging="472"/>
        <w:spacing w:after="0" w:line="241" w:lineRule="auto"/>
        <w:tabs>
          <w:tab w:leader="none" w:pos="4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Contact. </w:t>
      </w:r>
      <w:r>
        <w:rPr>
          <w:rFonts w:ascii="Times New Roman" w:cs="Times New Roman" w:eastAsia="Times New Roman" w:hAnsi="Times New Roman"/>
          <w:sz w:val="20"/>
          <w:szCs w:val="20"/>
          <w:color w:val="auto"/>
        </w:rPr>
        <w:t>Ascendis shall be solely liable for all documentation, submissions and communication with governmental, health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regulatory authorities or agencies, relating to the Product and the Regulatory Approvals. Ascendis shall keep the documentation submitted to such governmental and regulatory bodies updated as required by law, applicable regulation and regulatory practices. Neither Vetter International nor any of its Representatives shall have any right or obligation to communicate with any such governmental, health and regulatory bodies regarding the Product unless required to do so by law, the Commercial Quality Agreement or as otherwise requested by Ascendis in writing.</w:t>
      </w:r>
    </w:p>
    <w:p>
      <w:pPr>
        <w:spacing w:after="0" w:line="211" w:lineRule="exact"/>
        <w:rPr>
          <w:rFonts w:ascii="Times New Roman" w:cs="Times New Roman" w:eastAsia="Times New Roman" w:hAnsi="Times New Roman"/>
          <w:sz w:val="22"/>
          <w:szCs w:val="22"/>
          <w:color w:val="auto"/>
        </w:rPr>
      </w:pPr>
    </w:p>
    <w:p>
      <w:pPr>
        <w:ind w:left="480" w:hanging="472"/>
        <w:spacing w:after="0" w:line="241" w:lineRule="auto"/>
        <w:tabs>
          <w:tab w:leader="none" w:pos="4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Assistance. </w:t>
      </w:r>
      <w:r>
        <w:rPr>
          <w:rFonts w:ascii="Times New Roman" w:cs="Times New Roman" w:eastAsia="Times New Roman" w:hAnsi="Times New Roman"/>
          <w:sz w:val="20"/>
          <w:szCs w:val="20"/>
          <w:color w:val="auto"/>
        </w:rPr>
        <w:t>Any assistance requested by Ascendis and provided by Vetter International or its Affiliates beyond the Regulatory Services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connection with regulatory submissions and Regulatory Approvals for the Products, shall be subject to the Parties' prior written agreement and the costs of the provision of such assistance shall be borne as mutually agreed by the Parties in writing. Any request for such assistance by Ascendis shall include complete instructions and any other information reasonably necessary for Vetter International to evaluate the required assistance and to calculate costs which would be incurred in performing the same in order for the Parties to discuss and agree upon the terms of the provision of such assistance.</w:t>
      </w:r>
    </w:p>
    <w:p>
      <w:pPr>
        <w:spacing w:after="0" w:line="211" w:lineRule="exact"/>
        <w:rPr>
          <w:rFonts w:ascii="Times New Roman" w:cs="Times New Roman" w:eastAsia="Times New Roman" w:hAnsi="Times New Roman"/>
          <w:sz w:val="22"/>
          <w:szCs w:val="22"/>
          <w:color w:val="auto"/>
        </w:rPr>
      </w:pPr>
    </w:p>
    <w:p>
      <w:pPr>
        <w:ind w:left="480" w:right="80" w:hanging="472"/>
        <w:spacing w:after="0" w:line="252" w:lineRule="auto"/>
        <w:tabs>
          <w:tab w:leader="none" w:pos="48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i w:val="1"/>
          <w:iCs w:val="1"/>
          <w:color w:val="auto"/>
        </w:rPr>
        <w:t xml:space="preserve">Audits. </w:t>
      </w:r>
      <w:r>
        <w:rPr>
          <w:rFonts w:ascii="Times New Roman" w:cs="Times New Roman" w:eastAsia="Times New Roman" w:hAnsi="Times New Roman"/>
          <w:sz w:val="19"/>
          <w:szCs w:val="19"/>
          <w:color w:val="auto"/>
        </w:rPr>
        <w:t>Ascendis may conduct routine and for-cause audits according to the provisions in the Commercial Quality Agreement. During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audits Ascendis may be accompanied by potential business and/or licensing partners subject to reasonable prior notice to Vetter International and provided that any such partner prior to participating in such audit is bound to confidentiality by entering into a 3-way confidentiality agreement with Ascendis and Vetter International, except if such partners or any of their affiliates are a) [***] or b)</w:t>
      </w:r>
    </w:p>
    <w:p>
      <w:pPr>
        <w:spacing w:after="0" w:line="2" w:lineRule="exact"/>
        <w:rPr>
          <w:rFonts w:ascii="Times New Roman" w:cs="Times New Roman" w:eastAsia="Times New Roman" w:hAnsi="Times New Roman"/>
          <w:sz w:val="21"/>
          <w:szCs w:val="21"/>
          <w:color w:val="auto"/>
        </w:rPr>
      </w:pPr>
    </w:p>
    <w:p>
      <w:pPr>
        <w:ind w:left="940" w:hanging="468"/>
        <w:spacing w:after="0"/>
        <w:tabs>
          <w:tab w:leader="none" w:pos="94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(“Vetter Competitor”).</w:t>
      </w:r>
    </w:p>
    <w:p>
      <w:pPr>
        <w:spacing w:after="0" w:line="216"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Extended Access to Facility. </w:t>
      </w:r>
      <w:r>
        <w:rPr>
          <w:rFonts w:ascii="Times New Roman" w:cs="Times New Roman" w:eastAsia="Times New Roman" w:hAnsi="Times New Roman"/>
          <w:sz w:val="20"/>
          <w:szCs w:val="20"/>
          <w:color w:val="auto"/>
        </w:rPr>
        <w:t>In case of major and/or critical technical and/or quality related issues, Vetter International shall allow</w:t>
      </w:r>
    </w:p>
    <w:p>
      <w:pPr>
        <w:spacing w:after="0" w:line="2" w:lineRule="exact"/>
        <w:rPr>
          <w:rFonts w:ascii="Times New Roman" w:cs="Times New Roman" w:eastAsia="Times New Roman" w:hAnsi="Times New Roman"/>
          <w:sz w:val="22"/>
          <w:szCs w:val="22"/>
          <w:color w:val="auto"/>
        </w:rPr>
      </w:pPr>
    </w:p>
    <w:p>
      <w:pPr>
        <w:ind w:left="480" w:right="140" w:hanging="8"/>
        <w:spacing w:after="0"/>
        <w:tabs>
          <w:tab w:leader="none" w:pos="958"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Ascendis [***] access to its Facility as necessary to observe Manufacturing and review documents related to the GMP system and Ascendis Product batches; provided, however, Ascendis shall notify Vetter International at least [***] in advance of such request, unless this would conflict with a planned visit by a third party or internal meeting, in which case Vetter International may reasonably postpone such request by Ascendis. Vetter International shall provide the visiting Ascendis [***] with reasonable office space during regular working hours according to the internal procedures of Vetter International. The visiting Ascendis [***] shall comply with any and all confidentiality, security, safety, quality or similar guidelines that apply to persons present in the Facility and that are communicated by Vetter International or Vetter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988695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23" w:name="page324"/>
    <w:bookmarkEnd w:id="323"/>
    <w:p>
      <w:pPr>
        <w:jc w:val="center"/>
        <w:ind w:right="20"/>
        <w:spacing w:after="0"/>
        <w:rPr>
          <w:sz w:val="20"/>
          <w:szCs w:val="20"/>
          <w:color w:val="auto"/>
        </w:rPr>
      </w:pPr>
      <w:r>
        <w:rPr>
          <w:rFonts w:ascii="Times New Roman" w:cs="Times New Roman" w:eastAsia="Times New Roman" w:hAnsi="Times New Roman"/>
          <w:sz w:val="20"/>
          <w:szCs w:val="20"/>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right="540" w:hanging="452"/>
        <w:spacing w:after="0" w:line="244" w:lineRule="auto"/>
        <w:tabs>
          <w:tab w:leader="none" w:pos="46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Costs for audits</w:t>
      </w:r>
      <w:r>
        <w:rPr>
          <w:rFonts w:ascii="Times New Roman" w:cs="Times New Roman" w:eastAsia="Times New Roman" w:hAnsi="Times New Roman"/>
          <w:sz w:val="20"/>
          <w:szCs w:val="20"/>
          <w:color w:val="auto"/>
        </w:rPr>
        <w:t>. Any costs and/or expenses associated with any audits performed by any regulatory authority with respect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Facility, the Manufacture and/or the Product shall be borne by [***], except costs incurred from audits by the </w:t>
      </w:r>
      <w:r>
        <w:rPr>
          <w:rFonts w:ascii="Times New Roman" w:cs="Times New Roman" w:eastAsia="Times New Roman" w:hAnsi="Times New Roman"/>
          <w:sz w:val="20"/>
          <w:szCs w:val="20"/>
          <w:i w:val="1"/>
          <w:iCs w:val="1"/>
          <w:color w:val="auto"/>
        </w:rPr>
        <w:t>German</w:t>
      </w:r>
      <w:r>
        <w:rPr>
          <w:rFonts w:ascii="Times New Roman" w:cs="Times New Roman" w:eastAsia="Times New Roman" w:hAnsi="Times New Roman"/>
          <w:sz w:val="20"/>
          <w:szCs w:val="20"/>
          <w:color w:val="auto"/>
        </w:rPr>
        <w:t xml:space="preserve"> health authorities, FDA and/or EMA not directly related to the Product which shall be borne by [***].</w:t>
      </w:r>
    </w:p>
    <w:p>
      <w:pPr>
        <w:spacing w:after="0" w:line="206" w:lineRule="exact"/>
        <w:rPr>
          <w:rFonts w:ascii="Times New Roman" w:cs="Times New Roman" w:eastAsia="Times New Roman" w:hAnsi="Times New Roman"/>
          <w:sz w:val="22"/>
          <w:szCs w:val="22"/>
          <w:color w:val="auto"/>
        </w:rPr>
      </w:pPr>
    </w:p>
    <w:p>
      <w:pPr>
        <w:ind w:left="460" w:right="100" w:hanging="452"/>
        <w:spacing w:after="0" w:line="242" w:lineRule="auto"/>
        <w:tabs>
          <w:tab w:leader="none" w:pos="46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Post-approval changes. </w:t>
      </w:r>
      <w:r>
        <w:rPr>
          <w:rFonts w:ascii="Times New Roman" w:cs="Times New Roman" w:eastAsia="Times New Roman" w:hAnsi="Times New Roman"/>
          <w:sz w:val="20"/>
          <w:szCs w:val="20"/>
          <w:color w:val="auto"/>
        </w:rPr>
        <w:t>Unless mandated by compulsory regulatory changes, the JPSC shall agree upon significant post-approval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 shall bear the costs for post-approval changes (e.g. [***]) implemented [***] whereas [***] shall compensate [***] for costs of implementing [***] post approval changes (e.g. [***]). If not expressly governed by this Agreement, any impact of other changes related to prices or other terms of this Agreement shall be negotiated in good faith and agreed upon in the JPSC.</w:t>
      </w: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460" w:right="40" w:hanging="452"/>
        <w:spacing w:after="0" w:line="259" w:lineRule="auto"/>
        <w:tabs>
          <w:tab w:leader="none" w:pos="46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i w:val="1"/>
          <w:iCs w:val="1"/>
          <w:color w:val="auto"/>
        </w:rPr>
        <w:t>Change Control</w:t>
      </w:r>
      <w:r>
        <w:rPr>
          <w:rFonts w:ascii="Times New Roman" w:cs="Times New Roman" w:eastAsia="Times New Roman" w:hAnsi="Times New Roman"/>
          <w:sz w:val="19"/>
          <w:szCs w:val="19"/>
          <w:color w:val="auto"/>
        </w:rPr>
        <w:t>. Any and all changes shall be processed in accordance with the change control procedures set forth in the Commercial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Quality Agreement, subject to this Section and the succeeding Section. With respect to any change to be made in accordance with the Commercial Quality Agreement, Vetter International and Ascendis shall also mutually agree on any necessary or desired amendments to this Agreement, including, without limitation, price adjustments and compensation for any additional costs, efforts and/or expenses.</w:t>
      </w:r>
    </w:p>
    <w:p>
      <w:pPr>
        <w:spacing w:after="0" w:line="193" w:lineRule="exact"/>
        <w:rPr>
          <w:rFonts w:ascii="Times New Roman" w:cs="Times New Roman" w:eastAsia="Times New Roman" w:hAnsi="Times New Roman"/>
          <w:sz w:val="21"/>
          <w:szCs w:val="21"/>
          <w:color w:val="auto"/>
        </w:rPr>
      </w:pPr>
    </w:p>
    <w:p>
      <w:pPr>
        <w:ind w:left="460" w:right="120" w:hanging="452"/>
        <w:spacing w:after="0" w:line="241" w:lineRule="auto"/>
        <w:tabs>
          <w:tab w:leader="none" w:pos="46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Changes Dispute. </w:t>
      </w:r>
      <w:r>
        <w:rPr>
          <w:rFonts w:ascii="Times New Roman" w:cs="Times New Roman" w:eastAsia="Times New Roman" w:hAnsi="Times New Roman"/>
          <w:sz w:val="20"/>
          <w:szCs w:val="20"/>
          <w:color w:val="auto"/>
        </w:rPr>
        <w:t>In the event of a dispute regarding a change, Ascendis and Vetter International shall discuss in good faith how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 provided, however, Vetter International shall not be required to cause Vetter Pharma to continue the Manufacture of the Product, which may be [***] if Vetter International and Vetter Pharma [***]. If Vetter International and Vetter Pharma [***] such incorporation or non-incorporation of a change [***], then Vetter International shall cause Vetter Pharma to continue the Manufacture of the Product with the incorporation or the non-incorporation of such change, in which event [***].</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11: INTELLECTUAL PROPERTY</w:t>
      </w:r>
    </w:p>
    <w:p>
      <w:pPr>
        <w:spacing w:after="0" w:line="235" w:lineRule="exact"/>
        <w:rPr>
          <w:sz w:val="20"/>
          <w:szCs w:val="20"/>
          <w:color w:val="auto"/>
        </w:rPr>
      </w:pPr>
    </w:p>
    <w:p>
      <w:pPr>
        <w:ind w:left="380" w:hanging="372"/>
        <w:spacing w:after="0" w:line="244" w:lineRule="auto"/>
        <w:tabs>
          <w:tab w:leader="none" w:pos="40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Pre-Existing</w:t>
      </w:r>
      <w:r>
        <w:rPr>
          <w:rFonts w:ascii="Times New Roman" w:cs="Times New Roman" w:eastAsia="Times New Roman" w:hAnsi="Times New Roman"/>
          <w:sz w:val="20"/>
          <w:szCs w:val="20"/>
          <w:color w:val="auto"/>
        </w:rPr>
        <w:t>. Except as expressly granted under this Agreement, either Party and/or any of its Representatives shall not acquire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right, title or interest in any and all intellectual property meaning (i) inventions (whether or not patentable), patents, trade secrets, copyrights, trademarks, trade names and domain names, rights in designs, rights in computer software, database rights, rights in confidential information (including know-how) and any other intellectual property rights, in each case whether registered or unregistered, and (ii) all applications (or rights to apply) for, and renewals or extensions of, any of the rights described in the foregoing section, which exist now, or which come to exist in the future, in any part of the world (individually and collectively, “</w:t>
      </w:r>
      <w:r>
        <w:rPr>
          <w:rFonts w:ascii="Times New Roman" w:cs="Times New Roman" w:eastAsia="Times New Roman" w:hAnsi="Times New Roman"/>
          <w:sz w:val="20"/>
          <w:szCs w:val="20"/>
          <w:u w:val="single" w:color="auto"/>
          <w:color w:val="auto"/>
        </w:rPr>
        <w:t>IP</w:t>
      </w:r>
      <w:r>
        <w:rPr>
          <w:rFonts w:ascii="Times New Roman" w:cs="Times New Roman" w:eastAsia="Times New Roman" w:hAnsi="Times New Roman"/>
          <w:sz w:val="20"/>
          <w:szCs w:val="20"/>
          <w:color w:val="auto"/>
        </w:rPr>
        <w:t>”) of the other Party and/or any of its Representatives. Any right, title or interest in and to such IP (i) existing prior to the Effective Date and/or (ii) that is developed by or for, or otherwise comes to be owned or controlled by a Party or any of its Affiliates, separately from and independently of any activities performed under this Agreement (respectively, “</w:t>
      </w:r>
      <w:r>
        <w:rPr>
          <w:rFonts w:ascii="Times New Roman" w:cs="Times New Roman" w:eastAsia="Times New Roman" w:hAnsi="Times New Roman"/>
          <w:sz w:val="20"/>
          <w:szCs w:val="20"/>
          <w:u w:val="single" w:color="auto"/>
          <w:color w:val="auto"/>
        </w:rPr>
        <w:t>Pre-Existing IP</w:t>
      </w:r>
      <w:r>
        <w:rPr>
          <w:rFonts w:ascii="Times New Roman" w:cs="Times New Roman" w:eastAsia="Times New Roman" w:hAnsi="Times New Roman"/>
          <w:sz w:val="20"/>
          <w:szCs w:val="20"/>
          <w:color w:val="auto"/>
        </w:rPr>
        <w:t>”) shall not in any way be affected by this Agreement.</w:t>
      </w:r>
    </w:p>
    <w:p>
      <w:pPr>
        <w:spacing w:after="0" w:line="217"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All [***] hereunder (“Developments”) that (i) [***], and (ii) [***] (“</w:t>
      </w: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IP</w:t>
      </w:r>
      <w:r>
        <w:rPr>
          <w:rFonts w:ascii="Times New Roman" w:cs="Times New Roman" w:eastAsia="Times New Roman" w:hAnsi="Times New Roman"/>
          <w:sz w:val="20"/>
          <w:szCs w:val="20"/>
          <w:color w:val="auto"/>
        </w:rPr>
        <w:t>”) shall be [***].</w:t>
      </w:r>
    </w:p>
    <w:p>
      <w:pPr>
        <w:spacing w:after="0" w:line="233" w:lineRule="exact"/>
        <w:rPr>
          <w:rFonts w:ascii="Times New Roman" w:cs="Times New Roman" w:eastAsia="Times New Roman" w:hAnsi="Times New Roman"/>
          <w:sz w:val="22"/>
          <w:szCs w:val="22"/>
          <w:color w:val="auto"/>
        </w:rPr>
      </w:pPr>
    </w:p>
    <w:p>
      <w:pPr>
        <w:ind w:left="380" w:right="60" w:hanging="372"/>
        <w:spacing w:after="0" w:line="245" w:lineRule="auto"/>
        <w:tabs>
          <w:tab w:leader="none" w:pos="3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 Any [***] that are generally applicable to the development or Manufacture of [***] (“General </w:t>
      </w:r>
      <w:r>
        <w:rPr>
          <w:rFonts w:ascii="Times New Roman" w:cs="Times New Roman" w:eastAsia="Times New Roman" w:hAnsi="Times New Roman"/>
          <w:sz w:val="20"/>
          <w:szCs w:val="20"/>
          <w:u w:val="single" w:color="auto"/>
          <w:color w:val="auto"/>
        </w:rPr>
        <w:t>Manufacture Invention</w:t>
      </w:r>
      <w:r>
        <w:rPr>
          <w:rFonts w:ascii="Times New Roman" w:cs="Times New Roman" w:eastAsia="Times New Roman" w:hAnsi="Times New Roman"/>
          <w:sz w:val="20"/>
          <w:szCs w:val="20"/>
          <w:color w:val="auto"/>
        </w:rPr>
        <w:t>”), shall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24" w:name="page325"/>
    <w:bookmarkEnd w:id="324"/>
    <w:p>
      <w:pPr>
        <w:jc w:val="center"/>
        <w:ind w:right="-11"/>
        <w:spacing w:after="0"/>
        <w:rPr>
          <w:sz w:val="20"/>
          <w:szCs w:val="20"/>
          <w:color w:val="auto"/>
        </w:rPr>
      </w:pPr>
      <w:r>
        <w:rPr>
          <w:rFonts w:ascii="Times New Roman" w:cs="Times New Roman" w:eastAsia="Times New Roman" w:hAnsi="Times New Roman"/>
          <w:sz w:val="20"/>
          <w:szCs w:val="20"/>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2" w:right="120" w:hanging="372"/>
        <w:spacing w:after="0" w:line="241" w:lineRule="auto"/>
        <w:tabs>
          <w:tab w:leader="none" w:pos="37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Licenses for Ascendis</w:t>
      </w:r>
      <w:r>
        <w:rPr>
          <w:rFonts w:ascii="Times New Roman" w:cs="Times New Roman" w:eastAsia="Times New Roman" w:hAnsi="Times New Roman"/>
          <w:sz w:val="20"/>
          <w:szCs w:val="20"/>
          <w:color w:val="auto"/>
        </w:rPr>
        <w:t>. Vetter International and/or any of its Affiliates hereby grants Ascendis and/or its Affiliates a [***] solely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extent [***] necessary for</w:t>
      </w:r>
    </w:p>
    <w:p>
      <w:pPr>
        <w:ind w:left="1252" w:hanging="758"/>
        <w:spacing w:after="0"/>
        <w:tabs>
          <w:tab w:leader="none" w:pos="1252"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and/or</w:t>
      </w:r>
    </w:p>
    <w:p>
      <w:pPr>
        <w:ind w:left="1032" w:hanging="523"/>
        <w:spacing w:after="0"/>
        <w:tabs>
          <w:tab w:leader="none" w:pos="1032" w:val="left"/>
        </w:tabs>
        <w:numPr>
          <w:ilvl w:val="2"/>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20"/>
          <w:szCs w:val="20"/>
          <w:color w:val="auto"/>
        </w:rPr>
        <w:t>Vetter International confirms that, as of the signature date to this Agreement, [***]. [***].</w:t>
      </w:r>
    </w:p>
    <w:p>
      <w:pPr>
        <w:spacing w:after="0" w:line="239" w:lineRule="exact"/>
        <w:rPr>
          <w:sz w:val="20"/>
          <w:szCs w:val="20"/>
          <w:color w:val="auto"/>
        </w:rPr>
      </w:pPr>
    </w:p>
    <w:p>
      <w:pPr>
        <w:ind w:left="372" w:hanging="372"/>
        <w:spacing w:after="0" w:line="241" w:lineRule="auto"/>
        <w:tabs>
          <w:tab w:leader="none" w:pos="37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Licenses for Vetter</w:t>
      </w:r>
      <w:r>
        <w:rPr>
          <w:rFonts w:ascii="Times New Roman" w:cs="Times New Roman" w:eastAsia="Times New Roman" w:hAnsi="Times New Roman"/>
          <w:sz w:val="20"/>
          <w:szCs w:val="20"/>
          <w:color w:val="auto"/>
        </w:rPr>
        <w:t>. Ascendis hereby grants to Vetter International (and/or any of its Affiliates, as may be reasonably required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the provisions hereof) a [***], but only to the extent needed for, and solely for the purpose of, Vetter International’s and/or its Affiliates’ use thereof in the performance of their respective duties and obligations under this Agreement. Only to the limited extent as may be necessary to enable Vetter International to [***], Ascendis shall grant Vetter International and/or any of its Affiliates a [***]; but only to the extent such can be generally applied within due course of Vetter International and its Affiliate’s business, including for other customers, without disclosing Ascendis Confidential Information.</w:t>
      </w:r>
    </w:p>
    <w:p>
      <w:pPr>
        <w:spacing w:after="0" w:line="224" w:lineRule="exact"/>
        <w:rPr>
          <w:rFonts w:ascii="Times New Roman" w:cs="Times New Roman" w:eastAsia="Times New Roman" w:hAnsi="Times New Roman"/>
          <w:sz w:val="22"/>
          <w:szCs w:val="22"/>
          <w:color w:val="auto"/>
        </w:rPr>
      </w:pPr>
    </w:p>
    <w:p>
      <w:pPr>
        <w:ind w:left="452" w:right="320" w:hanging="452"/>
        <w:spacing w:after="0" w:line="249" w:lineRule="auto"/>
        <w:tabs>
          <w:tab w:leader="none" w:pos="45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Tech Transfer. </w:t>
      </w:r>
      <w:r>
        <w:rPr>
          <w:rFonts w:ascii="Times New Roman" w:cs="Times New Roman" w:eastAsia="Times New Roman" w:hAnsi="Times New Roman"/>
          <w:sz w:val="20"/>
          <w:szCs w:val="20"/>
          <w:color w:val="auto"/>
        </w:rPr>
        <w:t>Notwithstanding any anything to the contrary in this Agreement, Ascendis shall [***]; provided, however, that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process shall [***]:</w:t>
      </w:r>
    </w:p>
    <w:p>
      <w:pPr>
        <w:spacing w:after="0" w:line="42" w:lineRule="exact"/>
        <w:rPr>
          <w:rFonts w:ascii="Times New Roman" w:cs="Times New Roman" w:eastAsia="Times New Roman" w:hAnsi="Times New Roman"/>
          <w:sz w:val="22"/>
          <w:szCs w:val="22"/>
          <w:color w:val="auto"/>
        </w:rPr>
      </w:pPr>
    </w:p>
    <w:p>
      <w:pPr>
        <w:ind w:left="1872" w:hanging="749"/>
        <w:spacing w:after="0"/>
        <w:tabs>
          <w:tab w:leader="none" w:pos="1872"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and</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ind w:left="452" w:right="260"/>
        <w:spacing w:after="0" w:line="269" w:lineRule="auto"/>
        <w:rPr>
          <w:sz w:val="20"/>
          <w:szCs w:val="20"/>
          <w:color w:val="auto"/>
        </w:rPr>
      </w:pPr>
      <w:r>
        <w:rPr>
          <w:rFonts w:ascii="Times New Roman" w:cs="Times New Roman" w:eastAsia="Times New Roman" w:hAnsi="Times New Roman"/>
          <w:sz w:val="20"/>
          <w:szCs w:val="20"/>
          <w:color w:val="auto"/>
        </w:rPr>
        <w:t>In order to [***], [***] may [***] if and to the extent granted in this Agreement, [***], [***](“Target Specifications”), which [***] may include e.g.:</w:t>
      </w:r>
    </w:p>
    <w:p>
      <w:pPr>
        <w:spacing w:after="0" w:line="24" w:lineRule="exact"/>
        <w:rPr>
          <w:sz w:val="20"/>
          <w:szCs w:val="20"/>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592" w:hanging="469"/>
        <w:spacing w:after="0"/>
        <w:tabs>
          <w:tab w:leader="none" w:pos="159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and</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391" w:lineRule="exact"/>
        <w:rPr>
          <w:sz w:val="20"/>
          <w:szCs w:val="20"/>
          <w:color w:val="auto"/>
        </w:rPr>
      </w:pPr>
    </w:p>
    <w:p>
      <w:pPr>
        <w:ind w:left="452" w:right="300"/>
        <w:spacing w:after="0" w:line="269" w:lineRule="auto"/>
        <w:rPr>
          <w:sz w:val="20"/>
          <w:szCs w:val="20"/>
          <w:color w:val="auto"/>
        </w:rPr>
      </w:pPr>
      <w:r>
        <w:rPr>
          <w:rFonts w:ascii="Times New Roman" w:cs="Times New Roman" w:eastAsia="Times New Roman" w:hAnsi="Times New Roman"/>
          <w:sz w:val="20"/>
          <w:szCs w:val="20"/>
          <w:color w:val="auto"/>
        </w:rPr>
        <w:t>However, and for clarity, [***], except if and to the extent required for health authorities or regulatory authorities, or as required by applicable law regarding:</w:t>
      </w:r>
    </w:p>
    <w:p>
      <w:pPr>
        <w:spacing w:after="0" w:line="24" w:lineRule="exact"/>
        <w:rPr>
          <w:sz w:val="20"/>
          <w:szCs w:val="20"/>
          <w:color w:val="auto"/>
        </w:rPr>
      </w:pPr>
    </w:p>
    <w:p>
      <w:pPr>
        <w:ind w:left="1872" w:hanging="749"/>
        <w:spacing w:after="0"/>
        <w:tabs>
          <w:tab w:leader="none" w:pos="18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or</w:t>
      </w:r>
    </w:p>
    <w:p>
      <w:pPr>
        <w:spacing w:after="0" w:line="80" w:lineRule="exact"/>
        <w:rPr>
          <w:rFonts w:ascii="Times New Roman" w:cs="Times New Roman" w:eastAsia="Times New Roman" w:hAnsi="Times New Roman"/>
          <w:sz w:val="18"/>
          <w:szCs w:val="18"/>
          <w:color w:val="auto"/>
        </w:rPr>
      </w:pPr>
    </w:p>
    <w:p>
      <w:pPr>
        <w:ind w:left="1872" w:hanging="749"/>
        <w:spacing w:after="0"/>
        <w:tabs>
          <w:tab w:leader="none" w:pos="187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31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20"/>
          <w:szCs w:val="20"/>
          <w:color w:val="auto"/>
        </w:rPr>
        <w:t>In no event [***] if [***] and/or if their use or if any [***] provided [***] results in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1004570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35" w:right="399" w:bottom="1440" w:gutter="0" w:footer="0" w:header="0"/>
        </w:sectPr>
      </w:pPr>
    </w:p>
    <w:bookmarkStart w:id="325" w:name="page326"/>
    <w:bookmarkEnd w:id="325"/>
    <w:p>
      <w:pPr>
        <w:jc w:val="center"/>
        <w:ind w:right="40"/>
        <w:spacing w:after="0"/>
        <w:rPr>
          <w:sz w:val="20"/>
          <w:szCs w:val="20"/>
          <w:color w:val="auto"/>
        </w:rPr>
      </w:pPr>
      <w:r>
        <w:rPr>
          <w:rFonts w:ascii="Times New Roman" w:cs="Times New Roman" w:eastAsia="Times New Roman" w:hAnsi="Times New Roman"/>
          <w:sz w:val="20"/>
          <w:szCs w:val="20"/>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right="40" w:hanging="372"/>
        <w:spacing w:after="0" w:line="244" w:lineRule="auto"/>
        <w:tabs>
          <w:tab w:leader="none" w:pos="3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Infringement</w:t>
      </w:r>
      <w:r>
        <w:rPr>
          <w:rFonts w:ascii="Times New Roman" w:cs="Times New Roman" w:eastAsia="Times New Roman" w:hAnsi="Times New Roman"/>
          <w:sz w:val="20"/>
          <w:szCs w:val="20"/>
          <w:color w:val="auto"/>
        </w:rPr>
        <w:t>. [***] shall [***] of any third party claim that the Ascendis Materials, any Information of Ascendis, other matter 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by Ascendis, or the use [***] of any thereof, infringes any IP of any third party. [***] shall [***] of any third party under the patent or intellectual property laws of the </w:t>
      </w:r>
      <w:r>
        <w:rPr>
          <w:rFonts w:ascii="Times New Roman" w:cs="Times New Roman" w:eastAsia="Times New Roman" w:hAnsi="Times New Roman"/>
          <w:sz w:val="20"/>
          <w:szCs w:val="20"/>
          <w:i w:val="1"/>
          <w:iCs w:val="1"/>
          <w:color w:val="auto"/>
        </w:rPr>
        <w:t>United States of America</w:t>
      </w:r>
      <w:r>
        <w:rPr>
          <w:rFonts w:ascii="Times New Roman" w:cs="Times New Roman" w:eastAsia="Times New Roman" w:hAnsi="Times New Roman"/>
          <w:sz w:val="20"/>
          <w:szCs w:val="20"/>
          <w:color w:val="auto"/>
        </w:rPr>
        <w:t xml:space="preserve"> and/or the </w:t>
      </w:r>
      <w:r>
        <w:rPr>
          <w:rFonts w:ascii="Times New Roman" w:cs="Times New Roman" w:eastAsia="Times New Roman" w:hAnsi="Times New Roman"/>
          <w:sz w:val="20"/>
          <w:szCs w:val="20"/>
          <w:i w:val="1"/>
          <w:iCs w:val="1"/>
          <w:color w:val="auto"/>
        </w:rPr>
        <w:t>European Union</w:t>
      </w:r>
      <w:r>
        <w:rPr>
          <w:rFonts w:ascii="Times New Roman" w:cs="Times New Roman" w:eastAsia="Times New Roman" w:hAnsi="Times New Roman"/>
          <w:sz w:val="20"/>
          <w:szCs w:val="20"/>
          <w:color w:val="auto"/>
        </w:rPr>
        <w:t xml:space="preserve"> or any member state thereof [***].</w:t>
      </w:r>
    </w:p>
    <w:p>
      <w:pPr>
        <w:spacing w:after="0" w:line="200" w:lineRule="exact"/>
        <w:rPr>
          <w:sz w:val="20"/>
          <w:szCs w:val="20"/>
          <w:color w:val="auto"/>
        </w:rPr>
      </w:pPr>
    </w:p>
    <w:p>
      <w:pPr>
        <w:spacing w:after="0" w:line="213" w:lineRule="exact"/>
        <w:rPr>
          <w:sz w:val="20"/>
          <w:szCs w:val="20"/>
          <w:color w:val="auto"/>
        </w:rPr>
      </w:pPr>
    </w:p>
    <w:p>
      <w:pPr>
        <w:ind w:left="760"/>
        <w:spacing w:after="0"/>
        <w:tabs>
          <w:tab w:leader="none" w:pos="8300" w:val="left"/>
        </w:tabs>
        <w:rPr>
          <w:sz w:val="20"/>
          <w:szCs w:val="20"/>
          <w:color w:val="auto"/>
        </w:rPr>
      </w:pPr>
      <w:r>
        <w:rPr>
          <w:rFonts w:ascii="Times New Roman" w:cs="Times New Roman" w:eastAsia="Times New Roman" w:hAnsi="Times New Roman"/>
          <w:sz w:val="25"/>
          <w:szCs w:val="25"/>
          <w:color w:val="auto"/>
        </w:rPr>
        <w:t>ARTICLE 12: LIABILITY, INDEMNIFICATION, INSURANCE AND</w:t>
        <w:tab/>
        <w:t>RECALL</w:t>
      </w:r>
    </w:p>
    <w:p>
      <w:pPr>
        <w:spacing w:after="0" w:line="249" w:lineRule="exact"/>
        <w:rPr>
          <w:sz w:val="20"/>
          <w:szCs w:val="20"/>
          <w:color w:val="auto"/>
        </w:rPr>
      </w:pPr>
    </w:p>
    <w:p>
      <w:pPr>
        <w:ind w:left="480" w:right="120" w:hanging="472"/>
        <w:spacing w:after="0" w:line="249" w:lineRule="auto"/>
        <w:tabs>
          <w:tab w:leader="none" w:pos="4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Liability. </w:t>
      </w:r>
      <w:r>
        <w:rPr>
          <w:rFonts w:ascii="Times New Roman" w:cs="Times New Roman" w:eastAsia="Times New Roman" w:hAnsi="Times New Roman"/>
          <w:sz w:val="20"/>
          <w:szCs w:val="20"/>
          <w:color w:val="auto"/>
        </w:rPr>
        <w:t>Except as expressly set forth in this Agreement, Vetter International and/or any of its Representatives [***] which liability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as follows:</w:t>
      </w:r>
    </w:p>
    <w:p>
      <w:pPr>
        <w:spacing w:after="0" w:line="19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w:t>
      </w:r>
    </w:p>
    <w:p>
      <w:pPr>
        <w:spacing w:after="0" w:line="3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Vetter International’s aggregate liability [***].</w:t>
      </w:r>
    </w:p>
    <w:p>
      <w:pPr>
        <w:spacing w:after="0" w:line="229" w:lineRule="exact"/>
        <w:rPr>
          <w:sz w:val="20"/>
          <w:szCs w:val="20"/>
          <w:color w:val="auto"/>
        </w:rPr>
      </w:pPr>
    </w:p>
    <w:p>
      <w:pPr>
        <w:ind w:left="760" w:hanging="378"/>
        <w:spacing w:after="0"/>
        <w:tabs>
          <w:tab w:leader="none" w:pos="76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w:t>
      </w:r>
    </w:p>
    <w:p>
      <w:pPr>
        <w:spacing w:after="0" w:line="3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Vetter International’s aggregate liability [***].</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For clarity, aforementioned liability caps [***].</w:t>
      </w:r>
    </w:p>
    <w:p>
      <w:pPr>
        <w:spacing w:after="0" w:line="22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For the avoidance of doubt, any compensation payments to be paid or already paid [***] based on [***] under this Section shall be deducted from further compensation obligations for Costs and Liabilities [***] with the effect that Vetter International’s aggregate [***] compensation obligation [***] for Costs and Liabilities [***] shall in no event exceed the aggregate [***] cap as stipulated in this Section [***].</w:t>
      </w:r>
    </w:p>
    <w:p>
      <w:pPr>
        <w:spacing w:after="0" w:line="170" w:lineRule="exact"/>
        <w:rPr>
          <w:sz w:val="20"/>
          <w:szCs w:val="20"/>
          <w:color w:val="auto"/>
        </w:rPr>
      </w:pPr>
    </w:p>
    <w:p>
      <w:pPr>
        <w:ind w:left="460" w:right="140"/>
        <w:spacing w:after="0" w:line="249" w:lineRule="auto"/>
        <w:rPr>
          <w:sz w:val="20"/>
          <w:szCs w:val="20"/>
          <w:color w:val="auto"/>
        </w:rPr>
      </w:pPr>
      <w:r>
        <w:rPr>
          <w:rFonts w:ascii="Times New Roman" w:cs="Times New Roman" w:eastAsia="Times New Roman" w:hAnsi="Times New Roman"/>
          <w:sz w:val="20"/>
          <w:szCs w:val="20"/>
          <w:color w:val="auto"/>
        </w:rPr>
        <w:t>Vetter International and/or any of its Representatives [***] as long as each follows the standard manufacturing, storage and other practices used in the German pharmaceutical contract manufacturing industry in performing its respective obligations which means, among other things, that each may rely on the correctness and completeness of the Agreed Specifications, the Information of Ascendis and/or any other information or direction by or on behalf of Ascendis, [***].</w:t>
      </w:r>
    </w:p>
    <w:p>
      <w:pPr>
        <w:spacing w:after="0" w:line="203" w:lineRule="exact"/>
        <w:rPr>
          <w:sz w:val="20"/>
          <w:szCs w:val="20"/>
          <w:color w:val="auto"/>
        </w:rPr>
      </w:pPr>
    </w:p>
    <w:p>
      <w:pPr>
        <w:ind w:left="480" w:hanging="472"/>
        <w:spacing w:after="0"/>
        <w:tabs>
          <w:tab w:leader="none" w:pos="4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w:t>
      </w:r>
    </w:p>
    <w:p>
      <w:pPr>
        <w:spacing w:after="0" w:line="219" w:lineRule="exact"/>
        <w:rPr>
          <w:rFonts w:ascii="Times New Roman" w:cs="Times New Roman" w:eastAsia="Times New Roman" w:hAnsi="Times New Roman"/>
          <w:sz w:val="22"/>
          <w:szCs w:val="22"/>
          <w:color w:val="auto"/>
        </w:rPr>
      </w:pPr>
    </w:p>
    <w:p>
      <w:pPr>
        <w:ind w:left="480" w:right="240" w:hanging="472"/>
        <w:spacing w:after="0" w:line="244" w:lineRule="auto"/>
        <w:tabs>
          <w:tab w:leader="none" w:pos="4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Procedure</w:t>
      </w:r>
      <w:r>
        <w:rPr>
          <w:rFonts w:ascii="Times New Roman" w:cs="Times New Roman" w:eastAsia="Times New Roman" w:hAnsi="Times New Roman"/>
          <w:sz w:val="20"/>
          <w:szCs w:val="20"/>
          <w:color w:val="auto"/>
        </w:rPr>
        <w:t>. Each Party shall promptly notify the other Party in writing of any claim, suit or other action brought or threatened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with or under this Agreement and shall provide reasonable cooperation in the defense of any thereof. Each Party shall not settle or otherwise resolve any such claim, suit or other action without prior written consent of the other Party.</w:t>
      </w:r>
    </w:p>
    <w:p>
      <w:pPr>
        <w:spacing w:after="0" w:line="206" w:lineRule="exact"/>
        <w:rPr>
          <w:rFonts w:ascii="Times New Roman" w:cs="Times New Roman" w:eastAsia="Times New Roman" w:hAnsi="Times New Roman"/>
          <w:sz w:val="22"/>
          <w:szCs w:val="22"/>
          <w:color w:val="auto"/>
        </w:rPr>
      </w:pPr>
    </w:p>
    <w:p>
      <w:pPr>
        <w:ind w:left="480" w:hanging="472"/>
        <w:spacing w:after="0" w:line="241" w:lineRule="auto"/>
        <w:tabs>
          <w:tab w:leader="none" w:pos="4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Insurance. </w:t>
      </w:r>
      <w:r>
        <w:rPr>
          <w:rFonts w:ascii="Times New Roman" w:cs="Times New Roman" w:eastAsia="Times New Roman" w:hAnsi="Times New Roman"/>
          <w:sz w:val="20"/>
          <w:szCs w:val="20"/>
          <w:color w:val="auto"/>
        </w:rPr>
        <w:t>Ascendis shall self-insure or maintain product liability insurance coverage with a reputable international insurance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of in the aggregate of [***] per each calendar year during the Term. Vetter International shall maintain and shall cause Vetter Pharma to maintain product liability insurance coverage (to the extent commercially reasonable and practicable and if otherwise, Vetter International shall remain responsible and liable for such coverage herein set forth) with a reputable insurance company, in the aggregate of [***] per each calendar year during the Term, with [***]. Upon request of the other Party, each Party shall provide reasonable documentation and certificates to confirm that such insurance coverage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26" w:name="page327"/>
    <w:bookmarkEnd w:id="326"/>
    <w:p>
      <w:pPr>
        <w:jc w:val="center"/>
        <w:ind w:right="20"/>
        <w:spacing w:after="0"/>
        <w:rPr>
          <w:sz w:val="20"/>
          <w:szCs w:val="20"/>
          <w:color w:val="auto"/>
        </w:rPr>
      </w:pPr>
      <w:r>
        <w:rPr>
          <w:rFonts w:ascii="Times New Roman" w:cs="Times New Roman" w:eastAsia="Times New Roman" w:hAnsi="Times New Roman"/>
          <w:sz w:val="20"/>
          <w:szCs w:val="20"/>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hanging="472"/>
        <w:spacing w:after="0" w:line="244" w:lineRule="auto"/>
        <w:tabs>
          <w:tab w:leader="none" w:pos="4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Recall Costs. </w:t>
      </w:r>
      <w:r>
        <w:rPr>
          <w:rFonts w:ascii="Times New Roman" w:cs="Times New Roman" w:eastAsia="Times New Roman" w:hAnsi="Times New Roman"/>
          <w:sz w:val="20"/>
          <w:szCs w:val="20"/>
          <w:color w:val="auto"/>
        </w:rPr>
        <w:t>If any Product is recalled and such recall (for clarity, which must not be initiated without order of a Regulatory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the potential risk of receiving such an order from a Regulatory Authority) has solely been caused by [***] shall be liable to compensate [***] direct costs of recall, which liability is limited as follows:</w:t>
      </w:r>
    </w:p>
    <w:p>
      <w:pPr>
        <w:spacing w:after="0" w:line="183" w:lineRule="exact"/>
        <w:rPr>
          <w:rFonts w:ascii="Times New Roman" w:cs="Times New Roman" w:eastAsia="Times New Roman" w:hAnsi="Times New Roman"/>
          <w:sz w:val="22"/>
          <w:szCs w:val="22"/>
          <w:color w:val="auto"/>
        </w:rPr>
      </w:pPr>
    </w:p>
    <w:p>
      <w:pPr>
        <w:ind w:left="840" w:hanging="368"/>
        <w:spacing w:after="0"/>
        <w:tabs>
          <w:tab w:leader="none" w:pos="84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w:t>
      </w:r>
    </w:p>
    <w:p>
      <w:pPr>
        <w:spacing w:after="0" w:line="3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Vetter International’s liability is limited to a maximum of [***] in aggregate per recall,</w:t>
      </w:r>
    </w:p>
    <w:p>
      <w:pPr>
        <w:spacing w:after="0" w:line="229" w:lineRule="exact"/>
        <w:rPr>
          <w:sz w:val="20"/>
          <w:szCs w:val="20"/>
          <w:color w:val="auto"/>
        </w:rPr>
      </w:pPr>
    </w:p>
    <w:p>
      <w:pPr>
        <w:ind w:left="840" w:hanging="368"/>
        <w:spacing w:after="0"/>
        <w:tabs>
          <w:tab w:leader="none" w:pos="84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w:t>
      </w:r>
    </w:p>
    <w:p>
      <w:pPr>
        <w:spacing w:after="0" w:line="3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Vetter International’s liability is limited to a maximum of [***] in aggregate per recall.</w:t>
      </w:r>
    </w:p>
    <w:p>
      <w:pPr>
        <w:spacing w:after="0" w:line="229" w:lineRule="exact"/>
        <w:rPr>
          <w:sz w:val="20"/>
          <w:szCs w:val="20"/>
          <w:color w:val="auto"/>
        </w:rPr>
      </w:pPr>
    </w:p>
    <w:p>
      <w:pPr>
        <w:ind w:left="460" w:right="260"/>
        <w:spacing w:after="0" w:line="269" w:lineRule="auto"/>
        <w:rPr>
          <w:sz w:val="20"/>
          <w:szCs w:val="20"/>
          <w:color w:val="auto"/>
        </w:rPr>
      </w:pPr>
      <w:r>
        <w:rPr>
          <w:rFonts w:ascii="Times New Roman" w:cs="Times New Roman" w:eastAsia="Times New Roman" w:hAnsi="Times New Roman"/>
          <w:sz w:val="20"/>
          <w:szCs w:val="20"/>
          <w:color w:val="auto"/>
        </w:rPr>
        <w:t>For clarity, aforementioned liability caps shall not apply in case of [***]. Any loss of API caused in connection with a recall shall be compensated in accordance with the provisions in Section 6 (7) above.</w:t>
      </w:r>
    </w:p>
    <w:p>
      <w:pPr>
        <w:spacing w:after="0" w:line="186" w:lineRule="exact"/>
        <w:rPr>
          <w:sz w:val="20"/>
          <w:szCs w:val="20"/>
          <w:color w:val="auto"/>
        </w:rPr>
      </w:pPr>
    </w:p>
    <w:p>
      <w:pPr>
        <w:ind w:left="480" w:right="440" w:hanging="472"/>
        <w:spacing w:after="0" w:line="242" w:lineRule="auto"/>
        <w:tabs>
          <w:tab w:leader="none" w:pos="4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For clarity, Vetter International and/or any of its Representatives shall have no warranty obligation (in German </w:t>
      </w:r>
      <w:r>
        <w:rPr>
          <w:rFonts w:ascii="Times New Roman" w:cs="Times New Roman" w:eastAsia="Times New Roman" w:hAnsi="Times New Roman"/>
          <w:sz w:val="20"/>
          <w:szCs w:val="20"/>
          <w:i w:val="1"/>
          <w:iCs w:val="1"/>
          <w:color w:val="auto"/>
        </w:rPr>
        <w:t>Gewährleistungsverpflichtung</w:t>
      </w:r>
      <w:r>
        <w:rPr>
          <w:rFonts w:ascii="Times New Roman" w:cs="Times New Roman" w:eastAsia="Times New Roman" w:hAnsi="Times New Roman"/>
          <w:sz w:val="20"/>
          <w:szCs w:val="20"/>
          <w:color w:val="auto"/>
        </w:rPr>
        <w:t>), responsibility or liability to Ascendis (or any third party on behalf of Ascendis) for any loss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Ascendis Materials, Product liability, recall or otherwise beyond what is expressly stipulated in this Agreement.</w:t>
      </w: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13: LIMITATIONS</w:t>
      </w:r>
    </w:p>
    <w:p>
      <w:pPr>
        <w:spacing w:after="0" w:line="235" w:lineRule="exact"/>
        <w:rPr>
          <w:sz w:val="20"/>
          <w:szCs w:val="20"/>
          <w:color w:val="auto"/>
        </w:rPr>
      </w:pPr>
    </w:p>
    <w:p>
      <w:pPr>
        <w:ind w:left="380" w:right="20" w:hanging="372"/>
        <w:spacing w:after="0" w:line="246" w:lineRule="auto"/>
        <w:tabs>
          <w:tab w:leader="none" w:pos="40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Special Damages</w:t>
      </w:r>
      <w:r>
        <w:rPr>
          <w:rFonts w:ascii="Times New Roman" w:cs="Times New Roman" w:eastAsia="Times New Roman" w:hAnsi="Times New Roman"/>
          <w:sz w:val="20"/>
          <w:szCs w:val="20"/>
          <w:color w:val="auto"/>
        </w:rPr>
        <w:t>. Notwithstanding anything to the contrary contained in this Agreement, neither Party nor any of its Representatives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responsible or liable to the other Party and/or any of its Representatives for any reason whatsoever (even upon the occurrence of a tort with respect to the Product or otherwise) for loss of profits (except any profits contained in the prices to which Vetter International may be entitled for completion of its contractual obligations), loss of good will, loss of business or special, incidental, indirect, exemplary or consequential damages, except if any of the foregoing arises out of [***] a breach of the confidentiality provisions contained in Article 16 of this Agreement and in any case subject to the liability limitation as stipulated in [***].</w:t>
      </w:r>
    </w:p>
    <w:p>
      <w:pPr>
        <w:spacing w:after="0" w:line="192" w:lineRule="exact"/>
        <w:rPr>
          <w:rFonts w:ascii="Times New Roman" w:cs="Times New Roman" w:eastAsia="Times New Roman" w:hAnsi="Times New Roman"/>
          <w:sz w:val="20"/>
          <w:szCs w:val="20"/>
          <w:color w:val="auto"/>
        </w:rPr>
      </w:pPr>
    </w:p>
    <w:p>
      <w:pPr>
        <w:ind w:left="380" w:right="160" w:hanging="372"/>
        <w:spacing w:after="0" w:line="247" w:lineRule="auto"/>
        <w:tabs>
          <w:tab w:leader="none" w:pos="40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Warranty</w:t>
      </w:r>
      <w:r>
        <w:rPr>
          <w:rFonts w:ascii="Times New Roman" w:cs="Times New Roman" w:eastAsia="Times New Roman" w:hAnsi="Times New Roman"/>
          <w:sz w:val="20"/>
          <w:szCs w:val="20"/>
          <w:color w:val="auto"/>
        </w:rPr>
        <w:t>. Except as in this Agreement expressly set forth, Ascendis agrees that neither Vetter International nor any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Representatives makes or has made any other representation, warranty, covenant or agreement (whether express or implied). Any representation, warranty, covenant or agreement set forth in this Agreement is exclusive and in lieu of any other warranties, written or oral, direct, implied or statutory, including, but not limited to, express or implied warranties for merchantability, quality or fitness for a particular purpose.</w:t>
      </w:r>
    </w:p>
    <w:p>
      <w:pPr>
        <w:spacing w:after="0" w:line="193" w:lineRule="exact"/>
        <w:rPr>
          <w:rFonts w:ascii="Times New Roman" w:cs="Times New Roman" w:eastAsia="Times New Roman" w:hAnsi="Times New Roman"/>
          <w:sz w:val="20"/>
          <w:szCs w:val="20"/>
          <w:color w:val="auto"/>
        </w:rPr>
      </w:pPr>
    </w:p>
    <w:p>
      <w:pPr>
        <w:ind w:left="380" w:right="260" w:hanging="372"/>
        <w:spacing w:after="0" w:line="247" w:lineRule="auto"/>
        <w:tabs>
          <w:tab w:leader="none" w:pos="3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Liability</w:t>
      </w:r>
      <w:r>
        <w:rPr>
          <w:rFonts w:ascii="Times New Roman" w:cs="Times New Roman" w:eastAsia="Times New Roman" w:hAnsi="Times New Roman"/>
          <w:sz w:val="20"/>
          <w:szCs w:val="20"/>
          <w:color w:val="auto"/>
        </w:rPr>
        <w:t>. Notwithstanding anything to the contrary contained in this Agreement, it is expressly agreed by and between the Parties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no Representative of Vetter International shall assume any responsibility or liability, but Vetter International shall be responsible and liable for the performance of any of its Representatives to the same extent as if Vetter International had performed or failed to perform, all as contemplated or required hereunder, and any claim made under this Agreement (for clarity, specifically including the Commercial Quality Agreement) shall exclusively be made against Vetter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27" w:name="page328"/>
    <w:bookmarkEnd w:id="327"/>
    <w:p>
      <w:pPr>
        <w:jc w:val="center"/>
        <w:ind w:right="20"/>
        <w:spacing w:after="0"/>
        <w:rPr>
          <w:sz w:val="20"/>
          <w:szCs w:val="20"/>
          <w:color w:val="auto"/>
        </w:rPr>
      </w:pPr>
      <w:r>
        <w:rPr>
          <w:rFonts w:ascii="Times New Roman" w:cs="Times New Roman" w:eastAsia="Times New Roman" w:hAnsi="Times New Roman"/>
          <w:sz w:val="20"/>
          <w:szCs w:val="20"/>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right="80" w:hanging="372"/>
        <w:spacing w:after="0" w:line="254" w:lineRule="auto"/>
        <w:tabs>
          <w:tab w:leader="none" w:pos="38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Vetter International shall have no liability related to any services performed by third party service providers, other than a Vetter International Affiliate, the ones stated in Section 17(7)(a), those approved according to Annex 8 of the Commercial Quality Agreement, or Ascendis, as set forth in Section 6(1).</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14: TERM AND TERMINATION</w:t>
      </w:r>
    </w:p>
    <w:p>
      <w:pPr>
        <w:spacing w:after="0" w:line="249" w:lineRule="exact"/>
        <w:rPr>
          <w:sz w:val="20"/>
          <w:szCs w:val="20"/>
          <w:color w:val="auto"/>
        </w:rPr>
      </w:pPr>
    </w:p>
    <w:p>
      <w:pPr>
        <w:ind w:left="400" w:hanging="392"/>
        <w:spacing w:after="0" w:line="241" w:lineRule="auto"/>
        <w:tabs>
          <w:tab w:leader="none" w:pos="40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Term</w:t>
      </w:r>
      <w:r>
        <w:rPr>
          <w:rFonts w:ascii="Times New Roman" w:cs="Times New Roman" w:eastAsia="Times New Roman" w:hAnsi="Times New Roman"/>
          <w:sz w:val="20"/>
          <w:szCs w:val="20"/>
          <w:color w:val="auto"/>
        </w:rPr>
        <w:t>. This Agreement shall be in full force and effect for an initial term of five (5) years, commencing as of the Effective Date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Upon the expiration of the Initial Term and any subsequent term, this Agreement shall automatically be renewed for subsequent terms of two (2) years each (Initial Term and any subsequent term collectively,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For clarity, any rights or obligations accrued prior to the expiration of the Term or termination of this Agreement (respectively, the “Completion Date”) shall not prejudice or preclude any remedies either Party may have under this Agreement.</w:t>
      </w:r>
    </w:p>
    <w:p>
      <w:pPr>
        <w:spacing w:after="0" w:line="212" w:lineRule="exact"/>
        <w:rPr>
          <w:rFonts w:ascii="Times New Roman" w:cs="Times New Roman" w:eastAsia="Times New Roman" w:hAnsi="Times New Roman"/>
          <w:sz w:val="22"/>
          <w:szCs w:val="22"/>
          <w:color w:val="auto"/>
        </w:rPr>
      </w:pPr>
    </w:p>
    <w:p>
      <w:pPr>
        <w:ind w:left="380" w:right="80" w:hanging="372"/>
        <w:spacing w:after="0" w:line="249" w:lineRule="auto"/>
        <w:tabs>
          <w:tab w:leader="none" w:pos="3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Neither Party may terminate this Agreement without cause, except Ascendis may terminate this Agreement without cause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two years’ written notice and with (earliest) effect from expiry of the Initial Term.</w:t>
      </w:r>
    </w:p>
    <w:p>
      <w:pPr>
        <w:spacing w:after="0" w:line="214" w:lineRule="exact"/>
        <w:rPr>
          <w:rFonts w:ascii="Times New Roman" w:cs="Times New Roman" w:eastAsia="Times New Roman" w:hAnsi="Times New Roman"/>
          <w:sz w:val="22"/>
          <w:szCs w:val="22"/>
          <w:color w:val="auto"/>
        </w:rPr>
      </w:pPr>
    </w:p>
    <w:p>
      <w:pPr>
        <w:ind w:left="380" w:right="680" w:hanging="372"/>
        <w:spacing w:after="0" w:line="244" w:lineRule="auto"/>
        <w:tabs>
          <w:tab w:leader="none" w:pos="3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Termination for cause. </w:t>
      </w:r>
      <w:r>
        <w:rPr>
          <w:rFonts w:ascii="Times New Roman" w:cs="Times New Roman" w:eastAsia="Times New Roman" w:hAnsi="Times New Roman"/>
          <w:sz w:val="20"/>
          <w:szCs w:val="20"/>
          <w:color w:val="auto"/>
        </w:rPr>
        <w:t>Each Party (as applicable) shall have the right to terminate this Agreement (with immediate effect or,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after the expiration of an applicable time period) upon prior written notice if the other Party is in major default in the fulfillment of any material obligation under this Agreement. The term “major default” shall include, but not be limited to</w:t>
      </w:r>
    </w:p>
    <w:p>
      <w:pPr>
        <w:spacing w:after="0" w:line="183" w:lineRule="exact"/>
        <w:rPr>
          <w:rFonts w:ascii="Times New Roman" w:cs="Times New Roman" w:eastAsia="Times New Roman" w:hAnsi="Times New Roman"/>
          <w:sz w:val="22"/>
          <w:szCs w:val="22"/>
          <w:color w:val="auto"/>
        </w:rPr>
      </w:pPr>
    </w:p>
    <w:p>
      <w:pPr>
        <w:ind w:left="620" w:hanging="238"/>
        <w:spacing w:after="0"/>
        <w:tabs>
          <w:tab w:leader="none" w:pos="62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other Party makes a general assignment (novation) for the benefit of its creditors and not in accordance with Section 17(7), or</w:t>
      </w:r>
    </w:p>
    <w:p>
      <w:pPr>
        <w:spacing w:after="0" w:line="21" w:lineRule="exact"/>
        <w:rPr>
          <w:rFonts w:ascii="Times New Roman" w:cs="Times New Roman" w:eastAsia="Times New Roman" w:hAnsi="Times New Roman"/>
          <w:sz w:val="20"/>
          <w:szCs w:val="20"/>
          <w:color w:val="auto"/>
        </w:rPr>
      </w:pPr>
    </w:p>
    <w:p>
      <w:pPr>
        <w:ind w:left="380" w:right="40" w:firstLine="2"/>
        <w:spacing w:after="0" w:line="239" w:lineRule="auto"/>
        <w:tabs>
          <w:tab w:leader="none" w:pos="671"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proceedings are commenced in any court of competent jurisdiction by or against such Party (by any third party but not by the other Party) seeking (a) relief in respect of such Party under any law relating to bankruptcy, insolvency, reorganization, winding up or composition or adjustment of debt, wherein any such proceedings continue undismissed, or an order with respect to any of the foregoing is entered and continues unabated, for a period of more than ninety (90) calendar days; or (b) the appointment of a receiver or trustee of any significant part of the property, of a Party.</w:t>
      </w:r>
    </w:p>
    <w:p>
      <w:pPr>
        <w:spacing w:after="0" w:line="2" w:lineRule="exact"/>
        <w:rPr>
          <w:rFonts w:ascii="Times New Roman" w:cs="Times New Roman" w:eastAsia="Times New Roman" w:hAnsi="Times New Roman"/>
          <w:sz w:val="20"/>
          <w:szCs w:val="20"/>
          <w:color w:val="auto"/>
        </w:rPr>
      </w:pPr>
    </w:p>
    <w:p>
      <w:pPr>
        <w:ind w:left="380" w:right="220" w:firstLine="2"/>
        <w:spacing w:after="0" w:line="241" w:lineRule="auto"/>
        <w:tabs>
          <w:tab w:leader="none" w:pos="726"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other default which can be cured, the failure to commence to remedy the default during a period of ninety (90) calendar days after the giving of written notice specifying such default; and (iii) the failure to self-insure or provide for or maintain product liability insurance as required under this Agreement, or pay any insurance premiums when due; (iv)failure to establish mutual agreement in accordance with Section 10(12) within forty five (45) calendar days.</w:t>
      </w:r>
    </w:p>
    <w:p>
      <w:pPr>
        <w:spacing w:after="0" w:line="197" w:lineRule="exact"/>
        <w:rPr>
          <w:rFonts w:ascii="Times New Roman" w:cs="Times New Roman" w:eastAsia="Times New Roman" w:hAnsi="Times New Roman"/>
          <w:sz w:val="20"/>
          <w:szCs w:val="20"/>
          <w:color w:val="auto"/>
        </w:rPr>
      </w:pPr>
    </w:p>
    <w:p>
      <w:pPr>
        <w:ind w:left="380" w:right="20" w:hanging="372"/>
        <w:spacing w:after="0" w:line="247" w:lineRule="auto"/>
        <w:tabs>
          <w:tab w:leader="none" w:pos="3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Specific termination right for cause by Ascendis. </w:t>
      </w:r>
      <w:r>
        <w:rPr>
          <w:rFonts w:ascii="Times New Roman" w:cs="Times New Roman" w:eastAsia="Times New Roman" w:hAnsi="Times New Roman"/>
          <w:sz w:val="20"/>
          <w:szCs w:val="20"/>
          <w:color w:val="auto"/>
        </w:rPr>
        <w:t>Ascendis shall have a specific termination right for cause (with immediate effect)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case Vetter International and/or Vetter Pharma [***] are being taken over by a competitor of Ascendis (for clarity, meaning [***]), or if such change of control would create a conflict of interest that is reasonably expected to materially impact the business of Ascendis due to certain past or present lawsuits with such third party, [***] (any such third party in an “Unqualified Acquirer”).</w:t>
      </w:r>
    </w:p>
    <w:p>
      <w:pPr>
        <w:spacing w:after="0" w:line="217" w:lineRule="exact"/>
        <w:rPr>
          <w:rFonts w:ascii="Times New Roman" w:cs="Times New Roman" w:eastAsia="Times New Roman" w:hAnsi="Times New Roman"/>
          <w:sz w:val="22"/>
          <w:szCs w:val="22"/>
          <w:color w:val="auto"/>
        </w:rPr>
      </w:pPr>
    </w:p>
    <w:p>
      <w:pPr>
        <w:ind w:left="380" w:right="240" w:hanging="372"/>
        <w:spacing w:after="0" w:line="249" w:lineRule="auto"/>
        <w:tabs>
          <w:tab w:leader="none" w:pos="3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Specific termination right for cause by Vetter International. </w:t>
      </w:r>
      <w:r>
        <w:rPr>
          <w:rFonts w:ascii="Times New Roman" w:cs="Times New Roman" w:eastAsia="Times New Roman" w:hAnsi="Times New Roman"/>
          <w:sz w:val="20"/>
          <w:szCs w:val="20"/>
          <w:color w:val="auto"/>
        </w:rPr>
        <w:t>Vetter International shall have a specific termination right for cause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immediate effect) in case:</w:t>
      </w:r>
    </w:p>
    <w:p>
      <w:pPr>
        <w:spacing w:after="0" w:line="191" w:lineRule="exact"/>
        <w:rPr>
          <w:rFonts w:ascii="Times New Roman" w:cs="Times New Roman" w:eastAsia="Times New Roman" w:hAnsi="Times New Roman"/>
          <w:sz w:val="22"/>
          <w:szCs w:val="22"/>
          <w:color w:val="auto"/>
        </w:rPr>
      </w:pPr>
    </w:p>
    <w:p>
      <w:pPr>
        <w:ind w:left="620" w:hanging="238"/>
        <w:spacing w:after="0"/>
        <w:tabs>
          <w:tab w:leader="none" w:pos="62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Ascendis is the subject of a change of control by a third party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28" w:name="page329"/>
    <w:bookmarkEnd w:id="328"/>
    <w:p>
      <w:pPr>
        <w:jc w:val="center"/>
        <w:ind w:right="40"/>
        <w:spacing w:after="0"/>
        <w:rPr>
          <w:sz w:val="20"/>
          <w:szCs w:val="20"/>
          <w:color w:val="auto"/>
        </w:rPr>
      </w:pPr>
      <w:r>
        <w:rPr>
          <w:rFonts w:ascii="Times New Roman" w:cs="Times New Roman" w:eastAsia="Times New Roman" w:hAnsi="Times New Roman"/>
          <w:sz w:val="20"/>
          <w:szCs w:val="20"/>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20" w:hanging="275"/>
        <w:spacing w:after="0"/>
        <w:tabs>
          <w:tab w:leader="none" w:pos="1020" w:val="left"/>
        </w:tabs>
        <w:numPr>
          <w:ilvl w:val="2"/>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direct Vetter International competitor [***],</w:t>
      </w:r>
    </w:p>
    <w:p>
      <w:pPr>
        <w:spacing w:after="0" w:line="21" w:lineRule="exact"/>
        <w:rPr>
          <w:rFonts w:ascii="Times New Roman" w:cs="Times New Roman" w:eastAsia="Times New Roman" w:hAnsi="Times New Roman"/>
          <w:sz w:val="20"/>
          <w:szCs w:val="20"/>
          <w:color w:val="auto"/>
        </w:rPr>
      </w:pPr>
    </w:p>
    <w:p>
      <w:pPr>
        <w:ind w:left="1020" w:hanging="278"/>
        <w:spacing w:after="0"/>
        <w:tabs>
          <w:tab w:leader="none" w:pos="1020" w:val="left"/>
        </w:tabs>
        <w:numPr>
          <w:ilvl w:val="2"/>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if such change of control would materially impact the business of Vetter International due to [***];</w:t>
      </w:r>
    </w:p>
    <w:p>
      <w:pPr>
        <w:ind w:left="380" w:right="840" w:firstLine="15"/>
        <w:spacing w:after="0" w:line="271" w:lineRule="auto"/>
        <w:tabs>
          <w:tab w:leader="none" w:pos="696"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Vetter International can show Ascendis beyond doubt, by providing reasonable evidence and documentation, that [***]; or (iii) Vetter International can show Ascendis beyond doubt, by providing reasonable evidence and documentation, that [***].</w:t>
      </w:r>
    </w:p>
    <w:p>
      <w:pPr>
        <w:spacing w:after="0" w:line="186" w:lineRule="exact"/>
        <w:rPr>
          <w:rFonts w:ascii="Times New Roman" w:cs="Times New Roman" w:eastAsia="Times New Roman" w:hAnsi="Times New Roman"/>
          <w:sz w:val="19"/>
          <w:szCs w:val="19"/>
          <w:color w:val="auto"/>
        </w:rPr>
      </w:pPr>
    </w:p>
    <w:p>
      <w:pPr>
        <w:jc w:val="both"/>
        <w:ind w:left="380" w:right="180" w:hanging="372"/>
        <w:spacing w:after="0" w:line="242" w:lineRule="auto"/>
        <w:tabs>
          <w:tab w:leader="none" w:pos="3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each case set forth in Section 14(4) and 14(5): provided that, in the case of (i), a Party may exercise such termination right [***] or [***], and; provided [***], and such termination shall be effective only if the Parties fail to reach an agreement on how to continue the project following such [***] period.</w:t>
      </w:r>
    </w:p>
    <w:p>
      <w:pPr>
        <w:spacing w:after="0" w:line="19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Consequences</w:t>
      </w:r>
      <w:r>
        <w:rPr>
          <w:rFonts w:ascii="Times New Roman" w:cs="Times New Roman" w:eastAsia="Times New Roman" w:hAnsi="Times New Roman"/>
          <w:sz w:val="20"/>
          <w:szCs w:val="20"/>
          <w:color w:val="auto"/>
        </w:rPr>
        <w:t>. Upon the Completion Date, Vetter International shall, in its sole discretion, sell to Ascendis and Ascendis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at the prices herein provided, any Product for which Purchase Orders have been or are required to be placed in accordance with the SC-Terms on or prior to the Completion Date and, at the purchase prices thereof, all Vetter Materials and other materials ordered as contemplated in or permitted under this Agreement. Ascendis shall be responsible and liable to Vetter International for any amounts related to, based upon or arising out of such termination, including for an orderly cessation of the Manufacture and any related activities, as well as such other amounts accruing prior to the Completion Date; provided, however, it is agreed and understood by Vetter International that any and all expenditures scheduled under the Manufacture not actually made due to such termination shall be deducted from any of the foregoing amounts. Upon the Completion Date, Vetter International shall arrange for delivery to Ascendis, or destruction, of any Ascendis Materials at the Facility, [***]. Upon the Completion Date, Vetter International shall make available, as is and where is, to Ascendis [***]. Vetter International shall have returned to Ascendis all documentation (including copies thereof) constituting Confidential Information of Ascendis and/or any of its Affiliates including all documents and report created by Vetter International or any of its Affiliates during the performance of the Service that are determined to be Confidential Information of Ascendis; provided, however, notwithstanding the foregoing, Vetter International or any of its Affiliates may retain such limited quantity of the Product, the Ascendis Materials (all thereof sufficient for [***]) and such documentation as may be necessary for proper record keeping in satisfaction of legal requirements. Upon the Completion Date, Ascendis shall return to Vetter International any and all documentation (including copies thereof) provided to Ascendis and constituting Confidential Information of Vetter International and/or any of its Affiliates; provided, however, Ascendis may retain such limited number thereof as may be necessary for proper record keeping in satisfaction of legal requirements.</w:t>
      </w:r>
    </w:p>
    <w:p>
      <w:pPr>
        <w:spacing w:after="0" w:line="19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Survival. </w:t>
      </w:r>
      <w:r>
        <w:rPr>
          <w:rFonts w:ascii="Times New Roman" w:cs="Times New Roman" w:eastAsia="Times New Roman" w:hAnsi="Times New Roman"/>
          <w:sz w:val="20"/>
          <w:szCs w:val="20"/>
          <w:color w:val="auto"/>
        </w:rPr>
        <w:t>[***] shall survive the Completion Date.</w:t>
      </w: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5"/>
          <w:szCs w:val="25"/>
          <w:color w:val="auto"/>
        </w:rPr>
        <w:t>ARTICLE 15: ANTI-BRIBERY AND DATA PROTECTION</w:t>
      </w:r>
    </w:p>
    <w:p>
      <w:pPr>
        <w:spacing w:after="0" w:line="235" w:lineRule="exact"/>
        <w:rPr>
          <w:sz w:val="20"/>
          <w:szCs w:val="20"/>
          <w:color w:val="auto"/>
        </w:rPr>
      </w:pPr>
    </w:p>
    <w:p>
      <w:pPr>
        <w:ind w:left="380" w:right="20" w:hanging="372"/>
        <w:spacing w:after="0" w:line="241" w:lineRule="auto"/>
        <w:tabs>
          <w:tab w:leader="none" w:pos="3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Anti-Bribery. </w:t>
      </w:r>
      <w:r>
        <w:rPr>
          <w:rFonts w:ascii="Times New Roman" w:cs="Times New Roman" w:eastAsia="Times New Roman" w:hAnsi="Times New Roman"/>
          <w:sz w:val="20"/>
          <w:szCs w:val="20"/>
          <w:color w:val="auto"/>
        </w:rPr>
        <w:t>The Parties shall comply at all times with all applicable laws and regulations in particular with such combating bribery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corruption (“Anti-Bribery Laws”). The Parties hereby represent and warrant that they have not offered to pay, paid, or accepted, and undertake that they will not offer, pay, or accept, any bribes (including any improper gifts or entertainment) to or by any person (including, in particular, any government or public official of any jurisdiction) to secure or retain a business advantage for the benefit of Vetter International and/or Ascendis under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29" w:name="page330"/>
    <w:bookmarkEnd w:id="329"/>
    <w:p>
      <w:pPr>
        <w:jc w:val="center"/>
        <w:ind w:right="40"/>
        <w:spacing w:after="0"/>
        <w:rPr>
          <w:sz w:val="20"/>
          <w:szCs w:val="20"/>
          <w:color w:val="auto"/>
        </w:rPr>
      </w:pPr>
      <w:r>
        <w:rPr>
          <w:rFonts w:ascii="Times New Roman" w:cs="Times New Roman" w:eastAsia="Times New Roman" w:hAnsi="Times New Roman"/>
          <w:sz w:val="20"/>
          <w:szCs w:val="20"/>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380" w:right="360" w:hanging="372"/>
        <w:spacing w:after="0" w:line="242" w:lineRule="auto"/>
        <w:tabs>
          <w:tab w:leader="none" w:pos="3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Policies and Procedures. </w:t>
      </w:r>
      <w:r>
        <w:rPr>
          <w:rFonts w:ascii="Times New Roman" w:cs="Times New Roman" w:eastAsia="Times New Roman" w:hAnsi="Times New Roman"/>
          <w:sz w:val="20"/>
          <w:szCs w:val="20"/>
          <w:color w:val="auto"/>
        </w:rPr>
        <w:t>The Parties shall take appropriate steps, in particular maintain and effectively enforce internal policies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procedures, to ensure that the Parties’ Representatives, agents, or any other person acting on behalf of the Parties will not breach any Anti-Bribery Laws. The Parties shall be responsible for any breach of Anti-Bribery Laws by its Representatives, agents, or any other person acting on behalf of the Parties under or in connection with this Agreement.</w:t>
      </w:r>
    </w:p>
    <w:p>
      <w:pPr>
        <w:spacing w:after="0" w:line="187"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Party represents and warrants to notify the other Party without delay, if in connection with this Agreement</w:t>
      </w:r>
    </w:p>
    <w:p>
      <w:pPr>
        <w:spacing w:after="0" w:line="21" w:lineRule="exact"/>
        <w:rPr>
          <w:rFonts w:ascii="Times New Roman" w:cs="Times New Roman" w:eastAsia="Times New Roman" w:hAnsi="Times New Roman"/>
          <w:sz w:val="22"/>
          <w:szCs w:val="22"/>
          <w:color w:val="auto"/>
        </w:rPr>
      </w:pPr>
    </w:p>
    <w:p>
      <w:pPr>
        <w:ind w:left="1480" w:right="280" w:hanging="754"/>
        <w:spacing w:after="0" w:line="239" w:lineRule="auto"/>
        <w:tabs>
          <w:tab w:leader="none" w:pos="1480"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Party discovers a violation of applicable anticorruption and antitrust laws which are relevant for the performance of this Agreement; or</w:t>
      </w:r>
    </w:p>
    <w:p>
      <w:pPr>
        <w:ind w:left="1020" w:hanging="278"/>
        <w:spacing w:after="0"/>
        <w:tabs>
          <w:tab w:leader="none" w:pos="1020" w:val="left"/>
        </w:tabs>
        <w:numPr>
          <w:ilvl w:val="2"/>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against one Party have been initiated by public authorities.</w:t>
      </w:r>
    </w:p>
    <w:p>
      <w:pPr>
        <w:spacing w:after="0" w:line="230"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Data Protection. </w:t>
      </w:r>
      <w:r>
        <w:rPr>
          <w:rFonts w:ascii="Times New Roman" w:cs="Times New Roman" w:eastAsia="Times New Roman" w:hAnsi="Times New Roman"/>
          <w:sz w:val="20"/>
          <w:szCs w:val="20"/>
          <w:color w:val="auto"/>
        </w:rPr>
        <w:t>Each Party shall comply with all applicable laws, statutes, regulations relating to personal data protection.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ARTICLE 16: CONFIDENTIALITY</w:t>
      </w:r>
    </w:p>
    <w:p>
      <w:pPr>
        <w:spacing w:after="0" w:line="320" w:lineRule="exact"/>
        <w:rPr>
          <w:sz w:val="20"/>
          <w:szCs w:val="20"/>
          <w:color w:val="auto"/>
        </w:rPr>
      </w:pPr>
    </w:p>
    <w:p>
      <w:pPr>
        <w:ind w:left="400" w:right="80" w:hanging="392"/>
        <w:spacing w:after="0" w:line="245" w:lineRule="auto"/>
        <w:tabs>
          <w:tab w:leader="none" w:pos="4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confidentiality provisions of this Article shall govern Confidential Information (as defined below) disclosed in connection with this Agreement in every respect.</w:t>
      </w:r>
    </w:p>
    <w:p>
      <w:pPr>
        <w:spacing w:after="0" w:line="208" w:lineRule="exact"/>
        <w:rPr>
          <w:rFonts w:ascii="Times New Roman" w:cs="Times New Roman" w:eastAsia="Times New Roman" w:hAnsi="Times New Roman"/>
          <w:sz w:val="22"/>
          <w:szCs w:val="22"/>
          <w:color w:val="auto"/>
        </w:rPr>
      </w:pPr>
    </w:p>
    <w:p>
      <w:pPr>
        <w:ind w:left="380" w:right="80" w:hanging="372"/>
        <w:spacing w:after="0"/>
        <w:tabs>
          <w:tab w:leader="none" w:pos="38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"Confidential Information" means any proprietary information, samples, technical data, trade secrets or know-how, including, but not limited to, research and product plans, products, services, lists of collaborators and corporate partners, markets, developments, inventions, processes, including manufacturing processes and procedures and processes as may be embodied or evidenced in formulae, manufacturing data, specifications and other related documents, patents and patented designs, copyrights, trademarks, industrial design, improvements, discoveries, ideas, devices, writings, any intellectual property and proprietary information relating to a product, as well as that directly derived or resulting from any of the foregoing, and/or any information or matter that a reasonable business person would or should deem confidential or proprietary, formulas, technology, marketing, finances or other business information disclosed by either Party (the “Discloser”) (either directly or indirectly in writing, orally or otherwise also during the presence at premises of a Party) to the other Party (the “Recipient”) whether or not labeled “Confidential” after the Effective Date.</w:t>
      </w:r>
    </w:p>
    <w:p>
      <w:pPr>
        <w:spacing w:after="0" w:line="215" w:lineRule="exact"/>
        <w:rPr>
          <w:rFonts w:ascii="Times New Roman" w:cs="Times New Roman" w:eastAsia="Times New Roman" w:hAnsi="Times New Roman"/>
          <w:sz w:val="22"/>
          <w:szCs w:val="22"/>
          <w:color w:val="auto"/>
        </w:rPr>
      </w:pPr>
    </w:p>
    <w:p>
      <w:pPr>
        <w:ind w:left="400" w:hanging="392"/>
        <w:spacing w:after="0"/>
        <w:tabs>
          <w:tab w:leader="none" w:pos="4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Party agrees to maintain in confidence, to the same extent that it maintains its own Confidential Information secret, all Confidential Information of another Party. Except with Discloser’s prior written consent, Recipient will not, during or subsequent to the term of this Agreement, use Confidential Information for any purpose whatsoever other than for the performance of this Agreement or disclose Confidential Information to any third party other than Representatives who have a need to know in order to perform the Services provided that the Recipient procures that any of such Representatives receiving Confidential Information shall be subject to and bound in writing by confidentiality obligations substantially similar to the terms set forth in this Agreement. The agreement(s) defining such obligations and binding the Representatives of the Recipient shall be provided to the Discloser by the Recipient upon request. Recipient agrees that Confidential Information shall remain the sole property of Discloser. Recipient further agrees to take all reasonable precautions to prevent any unauthorized disclosure of Confidential Information. Notwithstanding the above, Recipient's obligation under this Article 16 relating to Confidential Information shall not apply to information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30" w:name="page331"/>
    <w:bookmarkEnd w:id="330"/>
    <w:p>
      <w:pPr>
        <w:jc w:val="center"/>
        <w:ind w:right="40"/>
        <w:spacing w:after="0"/>
        <w:rPr>
          <w:sz w:val="20"/>
          <w:szCs w:val="20"/>
          <w:color w:val="auto"/>
        </w:rPr>
      </w:pPr>
      <w:r>
        <w:rPr>
          <w:rFonts w:ascii="Times New Roman" w:cs="Times New Roman" w:eastAsia="Times New Roman" w:hAnsi="Times New Roman"/>
          <w:sz w:val="20"/>
          <w:szCs w:val="20"/>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500" w:hanging="369"/>
        <w:spacing w:after="0"/>
        <w:tabs>
          <w:tab w:leader="none" w:pos="1500"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known to Recipient at the time of disclosure to Recipient by Discloser as evidenced by written records of Recipient,</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become publicly known and made generally available through no wrongful act of Recipient,</w:t>
      </w:r>
    </w:p>
    <w:p>
      <w:pPr>
        <w:ind w:left="1500" w:hanging="369"/>
        <w:spacing w:after="0"/>
        <w:tabs>
          <w:tab w:leader="none" w:pos="1500"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received by Recipient without restriction on disclosure from a third party or</w:t>
      </w:r>
    </w:p>
    <w:p>
      <w:pPr>
        <w:ind w:left="1500" w:right="780" w:hanging="369"/>
        <w:spacing w:after="0" w:line="246" w:lineRule="auto"/>
        <w:tabs>
          <w:tab w:leader="none" w:pos="1500"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independently developed by or on behalf of the Recipient other than under this Agreement and without the aid, application or use of Discloser’s Confidential Information as evidenced by written documentation.</w:t>
      </w:r>
    </w:p>
    <w:p>
      <w:pPr>
        <w:spacing w:after="0" w:line="208" w:lineRule="exact"/>
        <w:rPr>
          <w:rFonts w:ascii="Times New Roman" w:cs="Times New Roman" w:eastAsia="Times New Roman" w:hAnsi="Times New Roman"/>
          <w:sz w:val="20"/>
          <w:szCs w:val="20"/>
          <w:color w:val="auto"/>
        </w:rPr>
      </w:pPr>
    </w:p>
    <w:p>
      <w:pPr>
        <w:ind w:left="400" w:right="160" w:hanging="392"/>
        <w:spacing w:after="0" w:line="251" w:lineRule="auto"/>
        <w:tabs>
          <w:tab w:leader="none" w:pos="40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 provision in this Agreement to the contrary, the Recipient may disclose Confidential Information of the Discloser to the extent Recipient is required to do so by any governmental or regulatory authority or court. In such event, the Recipient shall promptly notify the Discloser when such requirement to disclose has arisen, and cooperate with Discloser so as to enable Discloser to:</w:t>
      </w:r>
    </w:p>
    <w:p>
      <w:pPr>
        <w:ind w:left="400" w:right="20" w:hanging="3"/>
        <w:spacing w:after="0" w:line="246" w:lineRule="auto"/>
        <w:tabs>
          <w:tab w:leader="none" w:pos="636"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an appropriate protective order; (ii) make the confidential nature of the Confidential Information known to such governmental or regulatory authority or court; and (iii) make any applicable claim of confidentiality in respect of the Confidential Information.</w:t>
      </w:r>
    </w:p>
    <w:p>
      <w:pPr>
        <w:spacing w:after="0" w:line="208" w:lineRule="exact"/>
        <w:rPr>
          <w:rFonts w:ascii="Times New Roman" w:cs="Times New Roman" w:eastAsia="Times New Roman" w:hAnsi="Times New Roman"/>
          <w:sz w:val="20"/>
          <w:szCs w:val="20"/>
          <w:color w:val="auto"/>
        </w:rPr>
      </w:pPr>
    </w:p>
    <w:p>
      <w:pPr>
        <w:ind w:left="400" w:right="120" w:hanging="392"/>
        <w:spacing w:after="0" w:line="242" w:lineRule="auto"/>
        <w:tabs>
          <w:tab w:leader="none" w:pos="4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termination of this Agreement (irrespective of the reason therefore), or upon Discloser's earlier request, Recipient will deliver on request to Discloser all of Discloser's property, including in particular that relating to Confidential Information, which is in Recipient's possession or control.</w:t>
      </w:r>
    </w:p>
    <w:p>
      <w:pPr>
        <w:spacing w:after="0" w:line="212" w:lineRule="exact"/>
        <w:rPr>
          <w:rFonts w:ascii="Times New Roman" w:cs="Times New Roman" w:eastAsia="Times New Roman" w:hAnsi="Times New Roman"/>
          <w:sz w:val="22"/>
          <w:szCs w:val="22"/>
          <w:color w:val="auto"/>
        </w:rPr>
      </w:pPr>
    </w:p>
    <w:p>
      <w:pPr>
        <w:ind w:left="400" w:right="140" w:hanging="392"/>
        <w:spacing w:after="0" w:line="241" w:lineRule="auto"/>
        <w:tabs>
          <w:tab w:leader="none" w:pos="4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Party acknowledges and agrees that Confidential Information may be stored on each Party’s customary electronic data processing system and transmitted (sent and received) by each Party to another Party’s designated electronic mail address without encryption or other protective measures, unless otherwise agreed in writing. Any electronic mail address received by each Party from another Party shall be deemed a designated address unless otherwise indicated.</w:t>
      </w:r>
    </w:p>
    <w:p>
      <w:pPr>
        <w:spacing w:after="0" w:line="200" w:lineRule="exact"/>
        <w:rPr>
          <w:rFonts w:ascii="Times New Roman" w:cs="Times New Roman" w:eastAsia="Times New Roman" w:hAnsi="Times New Roman"/>
          <w:sz w:val="22"/>
          <w:szCs w:val="22"/>
          <w:color w:val="auto"/>
        </w:rPr>
      </w:pPr>
    </w:p>
    <w:p>
      <w:pPr>
        <w:ind w:left="400" w:right="40" w:hanging="392"/>
        <w:spacing w:after="0"/>
        <w:tabs>
          <w:tab w:leader="none" w:pos="4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Party shall make no tangible copies or reproductions of Confidential Information of another Party unless reasonably required for the performance of this Agreement. Each Party shall ensure that any notices or marks referring to confidentiality or to proprietary rights as may be found on Confidential Information are reproduced on any and all such copies or reproductions made as hereunder permitted. Each Party agrees that it will, at the reasonable written request of another Party, destroy or otherwise dispose of all tangible records, reproductions or copies containing Confidential Information of such other Party; provided, however, that one (1) copy may be retained and stored for legal purposes. Digital backup files automatically generated by each Party’s customary electronic data processing system shall not be deemed to constitute a retained copy, provided, however that no such backup files may be stored for a period exceeding [***].</w:t>
      </w:r>
    </w:p>
    <w:p>
      <w:pPr>
        <w:spacing w:after="0" w:line="216" w:lineRule="exact"/>
        <w:rPr>
          <w:rFonts w:ascii="Times New Roman" w:cs="Times New Roman" w:eastAsia="Times New Roman" w:hAnsi="Times New Roman"/>
          <w:sz w:val="22"/>
          <w:szCs w:val="22"/>
          <w:color w:val="auto"/>
        </w:rPr>
      </w:pPr>
    </w:p>
    <w:p>
      <w:pPr>
        <w:ind w:left="380" w:right="80" w:hanging="372"/>
        <w:spacing w:after="0" w:line="241" w:lineRule="auto"/>
        <w:tabs>
          <w:tab w:leader="none" w:pos="3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as otherwise required by law (including securities laws and regulations), neither Party will make any public announcement or press release regarding the existence or terms of this Agreement or such that mentions the other Party without the prior written consent of the other Party and the content of any such public announcement or press release shall be mutually agreed by the Parties in writing. It is specifically agreed [***].</w:t>
      </w:r>
    </w:p>
    <w:p>
      <w:pPr>
        <w:spacing w:after="0" w:line="200" w:lineRule="exact"/>
        <w:rPr>
          <w:rFonts w:ascii="Times New Roman" w:cs="Times New Roman" w:eastAsia="Times New Roman" w:hAnsi="Times New Roman"/>
          <w:sz w:val="22"/>
          <w:szCs w:val="22"/>
          <w:color w:val="auto"/>
        </w:rPr>
      </w:pPr>
    </w:p>
    <w:p>
      <w:pPr>
        <w:ind w:left="380" w:right="100" w:hanging="372"/>
        <w:spacing w:after="0" w:line="270" w:lineRule="auto"/>
        <w:tabs>
          <w:tab w:leader="none" w:pos="38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Party agrees to indemnify, defend and hold the other Party and/or any of its Representatives harmless from and against any and all Costs and Liabilities resulting from or arising out of breach by it and/or any of its Representatives of the provisions of this Article 16.</w:t>
      </w:r>
    </w:p>
    <w:p>
      <w:pPr>
        <w:spacing w:after="0" w:line="171" w:lineRule="exact"/>
        <w:rPr>
          <w:rFonts w:ascii="Times New Roman" w:cs="Times New Roman" w:eastAsia="Times New Roman" w:hAnsi="Times New Roman"/>
          <w:sz w:val="21"/>
          <w:szCs w:val="21"/>
          <w:color w:val="auto"/>
        </w:rPr>
      </w:pPr>
    </w:p>
    <w:p>
      <w:pPr>
        <w:ind w:left="380" w:hanging="372"/>
        <w:spacing w:after="0" w:line="245" w:lineRule="auto"/>
        <w:tabs>
          <w:tab w:leader="none" w:pos="3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obligations of Recipient under this Article 16 shall survive the Completion Date and shall remain in effect for a period of [***] from the Completion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31" w:name="page332"/>
    <w:bookmarkEnd w:id="331"/>
    <w:p>
      <w:pPr>
        <w:jc w:val="center"/>
        <w:ind w:right="20"/>
        <w:spacing w:after="0"/>
        <w:rPr>
          <w:sz w:val="20"/>
          <w:szCs w:val="20"/>
          <w:color w:val="auto"/>
        </w:rPr>
      </w:pPr>
      <w:r>
        <w:rPr>
          <w:rFonts w:ascii="Times New Roman" w:cs="Times New Roman" w:eastAsia="Times New Roman" w:hAnsi="Times New Roman"/>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5"/>
          <w:szCs w:val="25"/>
          <w:color w:val="auto"/>
        </w:rPr>
        <w:t>ARTICLE 17: MISCELLANEOUS</w:t>
      </w:r>
    </w:p>
    <w:p>
      <w:pPr>
        <w:spacing w:after="0" w:line="249" w:lineRule="exact"/>
        <w:rPr>
          <w:sz w:val="20"/>
          <w:szCs w:val="20"/>
          <w:color w:val="auto"/>
        </w:rPr>
      </w:pPr>
    </w:p>
    <w:p>
      <w:pPr>
        <w:ind w:left="380" w:hanging="372"/>
        <w:spacing w:after="0"/>
        <w:tabs>
          <w:tab w:leader="none" w:pos="3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Force Majeure</w:t>
      </w:r>
      <w:r>
        <w:rPr>
          <w:rFonts w:ascii="Times New Roman" w:cs="Times New Roman" w:eastAsia="Times New Roman" w:hAnsi="Times New Roman"/>
          <w:sz w:val="20"/>
          <w:szCs w:val="20"/>
          <w:color w:val="auto"/>
        </w:rPr>
        <w:t>. No Party shall be responsible or liable to the other Party and/or any of its Representatives, and no default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deemed to have occurred, for failure or delay in performing any obligations or for other non-performance if such failure, delay or other non-performance is caused by or arises from any strike, stoppage of labor, lockout or any other labor trouble, shortage of energy or raw material or any significantly prolonged inability to obtain materials or shipping space, due to the material default or significant delay by any supplier or sub-contractor or other events due to internalization of operations and services typically and customarily provided by a third party, fire, flood, lightning, fog, storm, unusual weather conditions, explosion, accident, earthquake, volcanic ash, epidemics, act of God, any public enemy, sabotage, invasion, war (declared or undeclared), riot, embargo, governmental or administrative act or restraint, prohibition on import or export of the Product or materials incorporated therein or parts thereof, or any matter or cause that is unavoidable by or beyond the reasonable control of the affected Party (each, an event of “</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A Party shall be under no obligation to settle a strike, labor stoppage, lockout, or any other labor trouble by entering into any agreement to settle any thereof and until any such matter is settled to the satisfaction of the affected Party, such matter shall continue to be deemed Force Majeure. Any and all of the foregoing shall also apply to a Party to the extent that an Affiliate of such Party is performing or providing any service (including under Section 1(6) referred to) or work in connection with the obligations of a Party. A Party claiming Force Majeure shall promptly notify the other Party specifying the cause and probable duration of the failure, delay or other non-performance. Neither Vetter International nor any of its Representatives shall be under any obligation to fulfill any Purchase Order which has been, or should have been scheduled to be performed during a time period of Force Majeure; provided, however, a Party so affected shall undertake every reasonable effort to fulfill its contractual obligations to the extent reasonably possible under the circumstances.</w:t>
      </w:r>
    </w:p>
    <w:p>
      <w:pPr>
        <w:spacing w:after="0" w:line="211" w:lineRule="exact"/>
        <w:rPr>
          <w:rFonts w:ascii="Times New Roman" w:cs="Times New Roman" w:eastAsia="Times New Roman" w:hAnsi="Times New Roman"/>
          <w:sz w:val="22"/>
          <w:szCs w:val="22"/>
          <w:color w:val="auto"/>
        </w:rPr>
      </w:pPr>
    </w:p>
    <w:p>
      <w:pPr>
        <w:ind w:left="380" w:right="20" w:hanging="372"/>
        <w:spacing w:after="0" w:line="249" w:lineRule="auto"/>
        <w:tabs>
          <w:tab w:leader="none" w:pos="3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United Nations</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United Nations Convention on Contracts for the International Sale of Goods </w:t>
      </w:r>
      <w:r>
        <w:rPr>
          <w:rFonts w:ascii="Times New Roman" w:cs="Times New Roman" w:eastAsia="Times New Roman" w:hAnsi="Times New Roman"/>
          <w:sz w:val="20"/>
          <w:szCs w:val="20"/>
          <w:color w:val="auto"/>
        </w:rPr>
        <w:t>shall have no application to, and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of no force and effect with respect to, the matters set forth or contemplated in this Agreement.</w:t>
      </w:r>
    </w:p>
    <w:p>
      <w:pPr>
        <w:spacing w:after="0" w:line="200" w:lineRule="exact"/>
        <w:rPr>
          <w:rFonts w:ascii="Times New Roman" w:cs="Times New Roman" w:eastAsia="Times New Roman" w:hAnsi="Times New Roman"/>
          <w:sz w:val="22"/>
          <w:szCs w:val="22"/>
          <w:color w:val="auto"/>
        </w:rPr>
      </w:pPr>
    </w:p>
    <w:p>
      <w:pPr>
        <w:ind w:left="380" w:right="220" w:hanging="372"/>
        <w:spacing w:after="0" w:line="242" w:lineRule="auto"/>
        <w:tabs>
          <w:tab w:leader="none" w:pos="3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Entire Agreement</w:t>
      </w:r>
      <w:r>
        <w:rPr>
          <w:rFonts w:ascii="Times New Roman" w:cs="Times New Roman" w:eastAsia="Times New Roman" w:hAnsi="Times New Roman"/>
          <w:sz w:val="20"/>
          <w:szCs w:val="20"/>
          <w:color w:val="auto"/>
        </w:rPr>
        <w:t>. This Agreement constitutes the entire agreement with respect to the matters set forth or contemplated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and supersedes in any and all respects any prior communication, proposal, quotation, negotiation, conversation, discussion and agreement concerning the matters set forth or contemplated in this Agreement, and any terms and conditions thereof shall be null and void.</w:t>
      </w:r>
    </w:p>
    <w:p>
      <w:pPr>
        <w:spacing w:after="0" w:line="210" w:lineRule="exact"/>
        <w:rPr>
          <w:rFonts w:ascii="Times New Roman" w:cs="Times New Roman" w:eastAsia="Times New Roman" w:hAnsi="Times New Roman"/>
          <w:sz w:val="22"/>
          <w:szCs w:val="22"/>
          <w:color w:val="auto"/>
        </w:rPr>
      </w:pPr>
    </w:p>
    <w:p>
      <w:pPr>
        <w:ind w:left="380" w:right="460" w:hanging="372"/>
        <w:spacing w:after="0" w:line="242" w:lineRule="auto"/>
        <w:tabs>
          <w:tab w:leader="none" w:pos="3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 xml:space="preserve">Conflict. </w:t>
      </w:r>
      <w:r>
        <w:rPr>
          <w:rFonts w:ascii="Times New Roman" w:cs="Times New Roman" w:eastAsia="Times New Roman" w:hAnsi="Times New Roman"/>
          <w:sz w:val="20"/>
          <w:szCs w:val="20"/>
          <w:color w:val="auto"/>
        </w:rPr>
        <w:t>In the event of any conflict between any provision of the Commercial Quality Agreement and the other provisions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the provisions of the Commercial Quality Agreement shall exclusively govern and control any and all technical, pharmaceutical and/or quality related matters of the Manufacture, whereas the other provisions of this Agreement shall exclusively govern and control any other matters.</w:t>
      </w:r>
    </w:p>
    <w:p>
      <w:pPr>
        <w:spacing w:after="0" w:line="210" w:lineRule="exact"/>
        <w:rPr>
          <w:rFonts w:ascii="Times New Roman" w:cs="Times New Roman" w:eastAsia="Times New Roman" w:hAnsi="Times New Roman"/>
          <w:sz w:val="22"/>
          <w:szCs w:val="22"/>
          <w:color w:val="auto"/>
        </w:rPr>
      </w:pPr>
    </w:p>
    <w:p>
      <w:pPr>
        <w:ind w:left="380" w:right="40" w:hanging="372"/>
        <w:spacing w:after="0" w:line="241" w:lineRule="auto"/>
        <w:tabs>
          <w:tab w:leader="none" w:pos="3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Any provision of this Agreement held void, invalid or unenforceable shall be replaced by a mutually agreed provision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effective, valid and enforceable and in compliance with the lawful purposes and intentions as contained in or determinable under this Agreement. Any matter not initially considered shall be resolved by incorporating such reasonable provision in order to complete this Agreement which approaches to the maximum extent such lawful purposes and intentions. The effectiveness, validity and enforceability of this Agreement shall remain independent of any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332" w:name="page333"/>
    <w:bookmarkEnd w:id="332"/>
    <w:p>
      <w:pPr>
        <w:jc w:val="center"/>
        <w:ind w:right="20"/>
        <w:spacing w:after="0"/>
        <w:rPr>
          <w:sz w:val="20"/>
          <w:szCs w:val="20"/>
          <w:color w:val="auto"/>
        </w:rPr>
      </w:pPr>
      <w:r>
        <w:rPr>
          <w:rFonts w:ascii="Times New Roman" w:cs="Times New Roman" w:eastAsia="Times New Roman" w:hAnsi="Times New Roman"/>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right="500"/>
        <w:spacing w:after="0" w:line="269" w:lineRule="auto"/>
        <w:rPr>
          <w:sz w:val="20"/>
          <w:szCs w:val="20"/>
          <w:color w:val="auto"/>
        </w:rPr>
      </w:pPr>
      <w:r>
        <w:rPr>
          <w:rFonts w:ascii="Times New Roman" w:cs="Times New Roman" w:eastAsia="Times New Roman" w:hAnsi="Times New Roman"/>
          <w:sz w:val="20"/>
          <w:szCs w:val="20"/>
          <w:color w:val="auto"/>
        </w:rPr>
        <w:t>which might be or has become void, invalid or unenforceable except if any replacement thereof is not possible and this Agreement would then not have been entered into.</w:t>
      </w:r>
    </w:p>
    <w:p>
      <w:pPr>
        <w:spacing w:after="0" w:line="182" w:lineRule="exact"/>
        <w:rPr>
          <w:sz w:val="20"/>
          <w:szCs w:val="20"/>
          <w:color w:val="auto"/>
        </w:rPr>
      </w:pPr>
    </w:p>
    <w:p>
      <w:pPr>
        <w:ind w:left="380" w:right="120" w:hanging="372"/>
        <w:spacing w:after="0" w:line="244" w:lineRule="auto"/>
        <w:tabs>
          <w:tab w:leader="none" w:pos="42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Any amendment or modification of the provisions in this Agreement contained, specifically including this Section,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take effect only by a written document signed and duly executed. The Appendices may be amended from time to time separately and independently of the Commercial Quality Agreement.</w:t>
      </w:r>
    </w:p>
    <w:p>
      <w:pPr>
        <w:spacing w:after="0" w:line="206" w:lineRule="exact"/>
        <w:rPr>
          <w:rFonts w:ascii="Times New Roman" w:cs="Times New Roman" w:eastAsia="Times New Roman" w:hAnsi="Times New Roman"/>
          <w:sz w:val="22"/>
          <w:szCs w:val="22"/>
          <w:color w:val="auto"/>
        </w:rPr>
      </w:pPr>
    </w:p>
    <w:p>
      <w:pPr>
        <w:ind w:left="380" w:right="280" w:hanging="372"/>
        <w:spacing w:after="0" w:line="241" w:lineRule="auto"/>
        <w:tabs>
          <w:tab w:leader="none" w:pos="3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Neither this Agreement nor any right or obligation hereunder of each Party shall be assignable or transferable, except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herein provided, without the prior written consent of the other Party; provided, however,</w:t>
      </w:r>
    </w:p>
    <w:p>
      <w:pPr>
        <w:ind w:left="380" w:firstLine="2"/>
        <w:spacing w:after="0" w:line="239" w:lineRule="auto"/>
        <w:tabs>
          <w:tab w:leader="none" w:pos="583"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Vetter International may cause internal logistic and warehousing operations to be performed by an independent subcontractor (currently [***]) and Vetter International shall be and remain responsible and liable for any performance of or failure to perform by such contractor.</w:t>
      </w:r>
    </w:p>
    <w:p>
      <w:pPr>
        <w:spacing w:after="0" w:line="1" w:lineRule="exact"/>
        <w:rPr>
          <w:rFonts w:ascii="Times New Roman" w:cs="Times New Roman" w:eastAsia="Times New Roman" w:hAnsi="Times New Roman"/>
          <w:sz w:val="20"/>
          <w:szCs w:val="20"/>
          <w:color w:val="auto"/>
        </w:rPr>
      </w:pPr>
    </w:p>
    <w:p>
      <w:pPr>
        <w:ind w:left="380" w:right="600" w:firstLine="2"/>
        <w:spacing w:after="0" w:line="239" w:lineRule="auto"/>
        <w:tabs>
          <w:tab w:leader="none" w:pos="594"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Ascendis may assign its business related to the Product to [***] and Ascendis may assign this Agreement and its rights and obligations hereunder, to a successor in connection with a merger, consolidation or the sale of all or substantially all of Ascendis’ business to which the Agreement relates; provided, however, that (i) [***] and (y) [***].</w:t>
      </w:r>
    </w:p>
    <w:p>
      <w:pPr>
        <w:spacing w:after="0" w:line="1" w:lineRule="exact"/>
        <w:rPr>
          <w:rFonts w:ascii="Times New Roman" w:cs="Times New Roman" w:eastAsia="Times New Roman" w:hAnsi="Times New Roman"/>
          <w:sz w:val="20"/>
          <w:szCs w:val="20"/>
          <w:color w:val="auto"/>
        </w:rPr>
      </w:pPr>
    </w:p>
    <w:p>
      <w:pPr>
        <w:ind w:left="380" w:right="60" w:firstLine="2"/>
        <w:spacing w:after="0"/>
        <w:tabs>
          <w:tab w:leader="none" w:pos="583"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may assign or transfer any such rights (and, for the avoidance of doubt, to grant of security interests in the same) to any of its Affiliates, or to lenders, shareholders, investors or financial underwriters, so long as such assignment or transfer does not impair or materially diminish the assigning Party`s ability to perform its obligations under this Agreement, provided, however, that the assigning Party shall not be relieved, by action of such assignment or transfer of rights, of any of its obligations hereunder, and the assignee shall, in addition to the assignor, assume confidentiality obligations to the same extent as set forth in this Agreement and accepted by the assignor.</w:t>
      </w:r>
    </w:p>
    <w:p>
      <w:pPr>
        <w:spacing w:after="0" w:line="214" w:lineRule="exact"/>
        <w:rPr>
          <w:rFonts w:ascii="Times New Roman" w:cs="Times New Roman" w:eastAsia="Times New Roman" w:hAnsi="Times New Roman"/>
          <w:sz w:val="20"/>
          <w:szCs w:val="20"/>
          <w:color w:val="auto"/>
        </w:rPr>
      </w:pPr>
    </w:p>
    <w:p>
      <w:pPr>
        <w:ind w:left="380" w:right="60" w:hanging="372"/>
        <w:spacing w:after="0" w:line="241" w:lineRule="auto"/>
        <w:tabs>
          <w:tab w:leader="none" w:pos="38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Legal Notices and other communication</w:t>
      </w:r>
      <w:r>
        <w:rPr>
          <w:rFonts w:ascii="Times New Roman" w:cs="Times New Roman" w:eastAsia="Times New Roman" w:hAnsi="Times New Roman"/>
          <w:sz w:val="20"/>
          <w:szCs w:val="20"/>
          <w:color w:val="auto"/>
        </w:rPr>
        <w:t>. Any and all legal notices, requests, demands and other communication hereunder shall be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English (and any and all costs and/or expenses associated with necessary translation shall be borne by the incurring Party), be addressed as follows, or to such other address or fax number as each Party may specify in a notice pursuant to this Section, and be deemed duly given upon receipt if and when such receipt is on a Business Day and during normal business hours of the recipient or otherwise on the then-succeeding Business Day, and if mailed by registered or certified mail, return receipt requested (and for greater certainty, be deemed unduly given if delivered by email):</w:t>
      </w:r>
    </w:p>
    <w:p>
      <w:pPr>
        <w:sectPr>
          <w:pgSz w:w="11900" w:h="16838" w:orient="portrait"/>
          <w:cols w:equalWidth="0" w:num="1">
            <w:col w:w="11220"/>
          </w:cols>
          <w:pgMar w:left="320" w:top="535" w:right="359" w:bottom="1440" w:gutter="0" w:footer="0" w:header="0"/>
        </w:sectPr>
      </w:pP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If to Ascendis: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Ascendis Pharma A/S</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Attn.: Legal Counsel</w:t>
      </w:r>
    </w:p>
    <w:p>
      <w:pPr>
        <w:ind w:left="640"/>
        <w:spacing w:after="0"/>
        <w:rPr>
          <w:sz w:val="20"/>
          <w:szCs w:val="20"/>
          <w:color w:val="auto"/>
        </w:rPr>
      </w:pPr>
      <w:r>
        <w:rPr>
          <w:rFonts w:ascii="Times New Roman" w:cs="Times New Roman" w:eastAsia="Times New Roman" w:hAnsi="Times New Roman"/>
          <w:sz w:val="20"/>
          <w:szCs w:val="20"/>
          <w:color w:val="auto"/>
        </w:rPr>
        <w:t>Tuborg Boulevard 12</w:t>
      </w:r>
    </w:p>
    <w:p>
      <w:pPr>
        <w:ind w:left="640"/>
        <w:spacing w:after="0"/>
        <w:rPr>
          <w:sz w:val="20"/>
          <w:szCs w:val="20"/>
          <w:color w:val="auto"/>
        </w:rPr>
      </w:pPr>
      <w:r>
        <w:rPr>
          <w:rFonts w:ascii="Times New Roman" w:cs="Times New Roman" w:eastAsia="Times New Roman" w:hAnsi="Times New Roman"/>
          <w:sz w:val="19"/>
          <w:szCs w:val="19"/>
          <w:color w:val="auto"/>
        </w:rPr>
        <w:t>D-2900 Hellerup, Denmark</w:t>
      </w:r>
    </w:p>
    <w:p>
      <w:pPr>
        <w:spacing w:after="0" w:line="200" w:lineRule="exact"/>
        <w:rPr>
          <w:sz w:val="20"/>
          <w:szCs w:val="20"/>
          <w:color w:val="auto"/>
        </w:rPr>
      </w:pPr>
    </w:p>
    <w:p>
      <w:pPr>
        <w:sectPr>
          <w:pgSz w:w="11900" w:h="16838" w:orient="portrait"/>
          <w:cols w:equalWidth="0" w:num="2">
            <w:col w:w="1640" w:space="720"/>
            <w:col w:w="8860"/>
          </w:cols>
          <w:pgMar w:left="320" w:top="535" w:right="359" w:bottom="1440" w:gutter="0" w:footer="0" w:header="0"/>
          <w:type w:val="continuous"/>
        </w:sectPr>
      </w:pPr>
    </w:p>
    <w:p>
      <w:pPr>
        <w:spacing w:after="0" w:line="1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9"/>
          <w:szCs w:val="19"/>
          <w:color w:val="auto"/>
        </w:rPr>
        <w:t>If to Vetter International: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Vetter Pharma International GmbH</w:t>
      </w:r>
    </w:p>
    <w:p>
      <w:pPr>
        <w:spacing w:after="0" w:line="33" w:lineRule="exact"/>
        <w:rPr>
          <w:sz w:val="20"/>
          <w:szCs w:val="20"/>
          <w:color w:val="auto"/>
        </w:rPr>
      </w:pPr>
    </w:p>
    <w:p>
      <w:pPr>
        <w:sectPr>
          <w:pgSz w:w="11900" w:h="16838" w:orient="portrait"/>
          <w:cols w:equalWidth="0" w:num="2">
            <w:col w:w="2380" w:space="380"/>
            <w:col w:w="8460"/>
          </w:cols>
          <w:pgMar w:left="320" w:top="535" w:right="35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20"/>
          <w:szCs w:val="20"/>
          <w:color w:val="auto"/>
        </w:rPr>
        <w:t>Attn. Managing Director</w:t>
      </w:r>
    </w:p>
    <w:p>
      <w:pPr>
        <w:ind w:left="2340"/>
        <w:spacing w:after="0"/>
        <w:rPr>
          <w:sz w:val="20"/>
          <w:szCs w:val="20"/>
          <w:color w:val="auto"/>
        </w:rPr>
      </w:pPr>
      <w:r>
        <w:rPr>
          <w:rFonts w:ascii="Times New Roman" w:cs="Times New Roman" w:eastAsia="Times New Roman" w:hAnsi="Times New Roman"/>
          <w:sz w:val="20"/>
          <w:szCs w:val="20"/>
          <w:color w:val="auto"/>
        </w:rPr>
        <w:t>Eywiesenstraße 5,</w:t>
      </w:r>
    </w:p>
    <w:p>
      <w:pPr>
        <w:ind w:left="2340"/>
        <w:spacing w:after="0"/>
        <w:rPr>
          <w:sz w:val="20"/>
          <w:szCs w:val="20"/>
          <w:color w:val="auto"/>
        </w:rPr>
      </w:pPr>
      <w:r>
        <w:rPr>
          <w:rFonts w:ascii="Times New Roman" w:cs="Times New Roman" w:eastAsia="Times New Roman" w:hAnsi="Times New Roman"/>
          <w:sz w:val="20"/>
          <w:szCs w:val="20"/>
          <w:color w:val="auto"/>
        </w:rPr>
        <w:t>D-88212 Ravensburg, Germany</w:t>
      </w:r>
    </w:p>
    <w:p>
      <w:pPr>
        <w:spacing w:after="0" w:line="2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With copy to:</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Vetter Pharma-Fertigung GmbH &amp; Co. KG</w:t>
      </w:r>
    </w:p>
    <w:p>
      <w:pPr>
        <w:spacing w:after="0" w:line="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Attn. Head of Legal Department</w:t>
      </w:r>
    </w:p>
    <w:p>
      <w:pPr>
        <w:ind w:left="2780"/>
        <w:spacing w:after="0"/>
        <w:rPr>
          <w:sz w:val="20"/>
          <w:szCs w:val="20"/>
          <w:color w:val="auto"/>
        </w:rPr>
      </w:pPr>
      <w:r>
        <w:rPr>
          <w:rFonts w:ascii="Times New Roman" w:cs="Times New Roman" w:eastAsia="Times New Roman" w:hAnsi="Times New Roman"/>
          <w:sz w:val="20"/>
          <w:szCs w:val="20"/>
          <w:color w:val="auto"/>
        </w:rPr>
        <w:t>Schützenstraße 87,</w:t>
      </w:r>
    </w:p>
    <w:p>
      <w:pPr>
        <w:ind w:left="2780"/>
        <w:spacing w:after="0"/>
        <w:rPr>
          <w:sz w:val="20"/>
          <w:szCs w:val="20"/>
          <w:color w:val="auto"/>
        </w:rPr>
      </w:pPr>
      <w:r>
        <w:rPr>
          <w:rFonts w:ascii="Times New Roman" w:cs="Times New Roman" w:eastAsia="Times New Roman" w:hAnsi="Times New Roman"/>
          <w:sz w:val="20"/>
          <w:szCs w:val="20"/>
          <w:color w:val="auto"/>
        </w:rPr>
        <w:t>D-88212 Ravensburg,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type w:val="continuous"/>
        </w:sectPr>
      </w:pPr>
    </w:p>
    <w:bookmarkStart w:id="333" w:name="page334"/>
    <w:bookmarkEnd w:id="333"/>
    <w:p>
      <w:pPr>
        <w:jc w:val="center"/>
        <w:ind w:right="-11"/>
        <w:spacing w:after="0"/>
        <w:rPr>
          <w:sz w:val="20"/>
          <w:szCs w:val="20"/>
          <w:color w:val="auto"/>
        </w:rPr>
      </w:pPr>
      <w:r>
        <w:rPr>
          <w:rFonts w:ascii="Times New Roman" w:cs="Times New Roman" w:eastAsia="Times New Roman" w:hAnsi="Times New Roman"/>
          <w:sz w:val="20"/>
          <w:szCs w:val="20"/>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20"/>
          <w:szCs w:val="20"/>
          <w:color w:val="auto"/>
        </w:rPr>
        <w:t>The Parties agree that documents such as forecasts, Purchase Orders, changes orders, etc. may be submitted by e-mail.</w:t>
      </w:r>
    </w:p>
    <w:p>
      <w:pPr>
        <w:spacing w:after="0" w:line="158" w:lineRule="exact"/>
        <w:rPr>
          <w:sz w:val="20"/>
          <w:szCs w:val="20"/>
          <w:color w:val="auto"/>
        </w:rPr>
      </w:pPr>
    </w:p>
    <w:p>
      <w:pPr>
        <w:ind w:left="372" w:right="120" w:hanging="372"/>
        <w:spacing w:after="0" w:line="241" w:lineRule="auto"/>
        <w:tabs>
          <w:tab w:leader="none" w:pos="37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The headlines of the Articles and the Sections are for convenience of reference only and shall not affect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interpretation of this Agreement. Any understanding or interpretation of any legal term contained or referred to in this Agreement shall solely be defined and interpreted in accordance with the laws of [***], irrespective of any other meanings or interpretations under any other source or body of law as may be found applicable to this Agreement by any court that may claim or assess jurisdiction under any conflict-of-laws provisions or otherwise, any of which other meanings or interpretations shall have no application to and be of no force and effect with respect to the matters herein set forth, referred to or contemplated</w:t>
      </w:r>
      <w:r>
        <w:rPr>
          <w:rFonts w:ascii="Times New Roman" w:cs="Times New Roman" w:eastAsia="Times New Roman" w:hAnsi="Times New Roman"/>
          <w:sz w:val="20"/>
          <w:szCs w:val="20"/>
          <w:i w:val="1"/>
          <w:iCs w:val="1"/>
          <w:color w:val="auto"/>
        </w:rPr>
        <w:t>.</w:t>
      </w:r>
    </w:p>
    <w:p>
      <w:pPr>
        <w:spacing w:after="0" w:line="215" w:lineRule="exact"/>
        <w:rPr>
          <w:rFonts w:ascii="Times New Roman" w:cs="Times New Roman" w:eastAsia="Times New Roman" w:hAnsi="Times New Roman"/>
          <w:sz w:val="22"/>
          <w:szCs w:val="22"/>
          <w:color w:val="auto"/>
        </w:rPr>
      </w:pPr>
    </w:p>
    <w:p>
      <w:pPr>
        <w:ind w:left="372" w:hanging="372"/>
        <w:spacing w:after="0" w:line="234" w:lineRule="exact"/>
        <w:tabs>
          <w:tab w:leader="none" w:pos="37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Execution. This Agreement and any amendments thereto, may be executed in counterparts, each of which shall be deemed an original but all of which together shall constitute one and the same instrument. Execution may be carried out conventionally (by handwritten ink signature of all counterparts) or electronically (with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signature by all Parties using the DocuSign® electronic signature system). Documents executed conventionally may be exchanged by (i) physical delivery of signed originals or (ii) electronic transmission of scanned or other images of the same, with physical delivery of the signed originals to follow; the Parties intend such transmitted images to have the same meaning, validity and enforceability as original documents bearing a handwritten signature, and a Party receiving a document so signed may rely upon it as if the original had been received. Documents executed electronically shall be deemed fully executed and legally binding upon all Parties' completion of the DocuSign® protocol, and the Parties hereby acknowledge their intent to be so bound.</w:t>
      </w:r>
    </w:p>
    <w:p>
      <w:pPr>
        <w:spacing w:after="0" w:line="216" w:lineRule="exact"/>
        <w:rPr>
          <w:rFonts w:ascii="Times New Roman" w:cs="Times New Roman" w:eastAsia="Times New Roman" w:hAnsi="Times New Roman"/>
          <w:sz w:val="22"/>
          <w:szCs w:val="22"/>
          <w:color w:val="auto"/>
        </w:rPr>
      </w:pPr>
    </w:p>
    <w:p>
      <w:pPr>
        <w:ind w:left="372" w:hanging="372"/>
        <w:spacing w:after="0" w:line="241" w:lineRule="auto"/>
        <w:tabs>
          <w:tab w:leader="none" w:pos="42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Independent Parties</w:t>
      </w:r>
      <w:r>
        <w:rPr>
          <w:rFonts w:ascii="Times New Roman" w:cs="Times New Roman" w:eastAsia="Times New Roman" w:hAnsi="Times New Roman"/>
          <w:sz w:val="20"/>
          <w:szCs w:val="20"/>
          <w:color w:val="auto"/>
        </w:rPr>
        <w:t>. Each Party and any of its Affiliates are independent parties and nothing in this Agreement is intended or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deemed to create a partnership, a joint venture or a relationship of an agent with its client or an employer with its employee. No Party or any of its Affiliates shall have authority to make any statements, press releases, representations or commitments of any kind, or take any action which shall be binding on the other Party and/or any of its Affiliates, except as may be expressly authorized in writing which authorization shall not be unreasonably withheld.</w:t>
      </w:r>
    </w:p>
    <w:p>
      <w:pPr>
        <w:spacing w:after="0" w:line="199" w:lineRule="exact"/>
        <w:rPr>
          <w:rFonts w:ascii="Times New Roman" w:cs="Times New Roman" w:eastAsia="Times New Roman" w:hAnsi="Times New Roman"/>
          <w:sz w:val="22"/>
          <w:szCs w:val="22"/>
          <w:color w:val="auto"/>
        </w:rPr>
      </w:pPr>
    </w:p>
    <w:p>
      <w:pPr>
        <w:ind w:left="372" w:right="20" w:hanging="372"/>
        <w:spacing w:after="0" w:line="241" w:lineRule="auto"/>
        <w:tabs>
          <w:tab w:leader="none" w:pos="42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Timely Performance</w:t>
      </w:r>
      <w:r>
        <w:rPr>
          <w:rFonts w:ascii="Times New Roman" w:cs="Times New Roman" w:eastAsia="Times New Roman" w:hAnsi="Times New Roman"/>
          <w:sz w:val="20"/>
          <w:szCs w:val="20"/>
          <w:color w:val="auto"/>
        </w:rPr>
        <w:t>. Any failure by either Party to request performance or non-performance by the other Party and/or any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 or to claim a breach of this Agreement shall neither be construed as a waiver of any right under this Agreement nor affect any subsequent failure to request performance or non-performance or claim a breach, nor affect the effectiveness, validity and enforceability of this Agreement or any part thereof nor prejudice or preclude such Party with respect to any subsequent action. Any request for performance or non-performance by either Party and/or any of its Affiliates or claim of a breach of this Agreement, including breach of this Section, shall be effective, valid and enforceable only if such request or claim is reduced to writing.</w:t>
      </w:r>
    </w:p>
    <w:p>
      <w:pPr>
        <w:spacing w:after="0" w:line="197" w:lineRule="exact"/>
        <w:rPr>
          <w:rFonts w:ascii="Times New Roman" w:cs="Times New Roman" w:eastAsia="Times New Roman" w:hAnsi="Times New Roman"/>
          <w:sz w:val="22"/>
          <w:szCs w:val="22"/>
          <w:color w:val="auto"/>
        </w:rPr>
      </w:pPr>
    </w:p>
    <w:p>
      <w:pPr>
        <w:ind w:left="372" w:hanging="372"/>
        <w:spacing w:after="0" w:line="241" w:lineRule="auto"/>
        <w:tabs>
          <w:tab w:leader="none" w:pos="42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Dispute Resolution, Governing Law</w:t>
      </w:r>
      <w:r>
        <w:rPr>
          <w:rFonts w:ascii="Times New Roman" w:cs="Times New Roman" w:eastAsia="Times New Roman" w:hAnsi="Times New Roman"/>
          <w:sz w:val="20"/>
          <w:szCs w:val="20"/>
          <w:color w:val="auto"/>
        </w:rPr>
        <w:t>. The Parties shall attempt to amicably settle and in good faith resolve any dispute in connection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this Agreement, by negotiations between designated representatives prior to resorting to any court action. If no amicable settlement and good faith resolution thereof has been achieved within [***], such dispute may be brought by written notice to the executive management representatives who shall use reasonable endeavors to amicably settle and in good faith resolve such dispute within [***] of receipt of said notice. If such settlement fails, either Party may, at its sole discretion, refer any dispute, controversy or claim arising out of or in connection with this Agreement to Arbitration under [***]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978535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535" w:right="399" w:bottom="1440" w:gutter="0" w:footer="0" w:header="0"/>
        </w:sectPr>
      </w:pPr>
    </w:p>
    <w:bookmarkStart w:id="334" w:name="page335"/>
    <w:bookmarkEnd w:id="334"/>
    <w:p>
      <w:pPr>
        <w:jc w:val="center"/>
        <w:ind w:right="320"/>
        <w:spacing w:after="0"/>
        <w:rPr>
          <w:sz w:val="20"/>
          <w:szCs w:val="20"/>
          <w:color w:val="auto"/>
        </w:rPr>
      </w:pPr>
      <w:r>
        <w:rPr>
          <w:rFonts w:ascii="Times New Roman" w:cs="Times New Roman" w:eastAsia="Times New Roman" w:hAnsi="Times New Roman"/>
          <w:sz w:val="20"/>
          <w:szCs w:val="20"/>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9"/>
          <w:szCs w:val="19"/>
          <w:color w:val="auto"/>
        </w:rPr>
        <w:t>All disputes, controversies or claims arising out of or in connection with the present Agreement shall be finally settled in accordance with the Rules by [***] appointed in accordance with the Rules. The seat of arbitration shall be [***]. The language to be used in the arbitral proceedings shall be English. Annexes to any procedural document may also be provided in the German language.</w:t>
      </w:r>
    </w:p>
    <w:p>
      <w:pPr>
        <w:spacing w:after="0" w:line="1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This Agreement including the Commercial Quality Agreement and all Annexes and Appendices thereto shall be governed by, construed and interpreted, and all disputes, controversies or claims arising under or in connection with this Agreement shall be resolved in accordance with the substantive law of [***] without recourse to any conflict of laws rules. The arbitral tribunal shall have the authority to order production of documents only in accordance and within the limits of [***] as current on the date of this Agreement.</w:t>
      </w:r>
    </w:p>
    <w:p>
      <w:pPr>
        <w:spacing w:after="0" w:line="17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Any decision or arbitral award delivered in the arbitration shall be reasoned and in writing, and shall be final and binding on the Parties and enforceable in any competent court of law. The Parties undertake to comply promptly with any award without delay and shall be deemed to have waived their right to any form of recourse insofar as such waiver can validly be made. The existence and content of the arbitral proceedings and any rulings or award shall be kept confidential by the Parties and members of the arbitral tribunal except to the extent that disclosure may be required of a Party to fulfil a legal duty, protect or pursue a legal right, or enforce an award before a state court or other judicial authority. Notwithstanding, before making such information public, the interested Party shall notify the other(s), in writing, and shall afford them a reasonable opportunity to protect their interests if they deem it necessary.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losing Party shall bear the costs of the arbitration, pro rata, if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i w:val="1"/>
          <w:iCs w:val="1"/>
          <w:color w:val="auto"/>
        </w:rPr>
        <w:t>(Page remainder left blank intentionally, immediately followed by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1144270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00" w:top="535" w:right="439" w:bottom="1440" w:gutter="0" w:footer="0" w:header="0"/>
        </w:sectPr>
      </w:pPr>
    </w:p>
    <w:bookmarkStart w:id="335" w:name="page336"/>
    <w:bookmarkEnd w:id="335"/>
    <w:p>
      <w:pPr>
        <w:jc w:val="center"/>
        <w:ind w:right="40"/>
        <w:spacing w:after="0"/>
        <w:rPr>
          <w:sz w:val="20"/>
          <w:szCs w:val="20"/>
          <w:color w:val="auto"/>
        </w:rPr>
      </w:pPr>
      <w:r>
        <w:rPr>
          <w:rFonts w:ascii="Times New Roman" w:cs="Times New Roman" w:eastAsia="Times New Roman" w:hAnsi="Times New Roman"/>
          <w:sz w:val="20"/>
          <w:szCs w:val="20"/>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duly authorized representatives of each Party have executed this Agreement on the days and year at the places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written.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ASCENDIS PHARMA A/S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_</w:t>
      </w:r>
      <w:r>
        <w:rPr>
          <w:rFonts w:ascii="Times New Roman" w:cs="Times New Roman" w:eastAsia="Times New Roman" w:hAnsi="Times New Roman"/>
          <w:sz w:val="20"/>
          <w:szCs w:val="20"/>
          <w:u w:val="single" w:color="auto"/>
          <w:color w:val="auto"/>
        </w:rPr>
        <w:t>Hellerup, Denmark</w:t>
      </w:r>
      <w:r>
        <w:rPr>
          <w:rFonts w:ascii="Times New Roman" w:cs="Times New Roman" w:eastAsia="Times New Roman" w:hAnsi="Times New Roman"/>
          <w:sz w:val="20"/>
          <w:szCs w:val="20"/>
          <w:i w:val="1"/>
          <w:iCs w:val="1"/>
          <w:color w:val="auto"/>
        </w:rPr>
        <w:t>______ (place)</w:t>
      </w:r>
      <w:r>
        <w:rPr>
          <w:rFonts w:ascii="Times New Roman" w:cs="Times New Roman" w:eastAsia="Times New Roman" w:hAnsi="Times New Roman"/>
          <w:sz w:val="20"/>
          <w:szCs w:val="20"/>
          <w:color w:val="auto"/>
        </w:rPr>
        <w:t>, dated this __</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_____ day of ____</w:t>
      </w:r>
      <w:r>
        <w:rPr>
          <w:rFonts w:ascii="Times New Roman" w:cs="Times New Roman" w:eastAsia="Times New Roman" w:hAnsi="Times New Roman"/>
          <w:sz w:val="20"/>
          <w:szCs w:val="20"/>
          <w:u w:val="single" w:color="auto"/>
          <w:color w:val="auto"/>
        </w:rPr>
        <w:t>December</w:t>
      </w:r>
      <w:r>
        <w:rPr>
          <w:rFonts w:ascii="Times New Roman" w:cs="Times New Roman" w:eastAsia="Times New Roman" w:hAnsi="Times New Roman"/>
          <w:sz w:val="20"/>
          <w:szCs w:val="20"/>
          <w:color w:val="auto"/>
        </w:rPr>
        <w:t>________</w:t>
      </w:r>
      <w:r>
        <w:rPr>
          <w:rFonts w:ascii="Times New Roman" w:cs="Times New Roman" w:eastAsia="Times New Roman" w:hAnsi="Times New Roman"/>
          <w:sz w:val="20"/>
          <w:szCs w:val="20"/>
          <w:i w:val="1"/>
          <w:iCs w:val="1"/>
          <w:color w:val="auto"/>
        </w:rPr>
        <w:t xml:space="preserve"> (month)</w:t>
      </w:r>
      <w:r>
        <w:rPr>
          <w:rFonts w:ascii="Times New Roman" w:cs="Times New Roman" w:eastAsia="Times New Roman" w:hAnsi="Times New Roman"/>
          <w:sz w:val="20"/>
          <w:szCs w:val="20"/>
          <w:color w:val="auto"/>
        </w:rPr>
        <w:t>,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(signed)___</w:t>
      </w:r>
      <w:r>
        <w:rPr>
          <w:rFonts w:ascii="Times New Roman" w:cs="Times New Roman" w:eastAsia="Times New Roman" w:hAnsi="Times New Roman"/>
          <w:sz w:val="20"/>
          <w:szCs w:val="20"/>
          <w:u w:val="single" w:color="auto"/>
          <w:color w:val="auto"/>
        </w:rPr>
        <w:t>/s/Michael Wolff Jensen</w:t>
      </w:r>
      <w:r>
        <w:rPr>
          <w:rFonts w:ascii="Times New Roman" w:cs="Times New Roman" w:eastAsia="Times New Roman" w:hAnsi="Times New Roman"/>
          <w:sz w:val="20"/>
          <w:szCs w:val="20"/>
          <w:i w:val="1"/>
          <w:iCs w:val="1"/>
          <w:color w:val="auto"/>
        </w:rPr>
        <w:t>_____________________</w:t>
      </w:r>
    </w:p>
    <w:p>
      <w:pPr>
        <w:spacing w:after="0" w:line="200" w:lineRule="exact"/>
        <w:rPr>
          <w:sz w:val="20"/>
          <w:szCs w:val="20"/>
          <w:color w:val="auto"/>
        </w:rPr>
      </w:pPr>
    </w:p>
    <w:p>
      <w:pPr>
        <w:spacing w:after="0" w:line="2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___</w:t>
      </w:r>
      <w:r>
        <w:rPr>
          <w:rFonts w:ascii="Times New Roman" w:cs="Times New Roman" w:eastAsia="Times New Roman" w:hAnsi="Times New Roman"/>
          <w:sz w:val="20"/>
          <w:szCs w:val="20"/>
          <w:u w:val="single" w:color="auto"/>
          <w:color w:val="auto"/>
        </w:rPr>
        <w:t>Michael Wolff Jensen</w:t>
      </w:r>
      <w:r>
        <w:rPr>
          <w:rFonts w:ascii="Times New Roman" w:cs="Times New Roman" w:eastAsia="Times New Roman" w:hAnsi="Times New Roman"/>
          <w:sz w:val="20"/>
          <w:szCs w:val="20"/>
          <w:color w:val="auto"/>
        </w:rPr>
        <w:t xml:space="preserve"> ______________________</w:t>
      </w:r>
    </w:p>
    <w:p>
      <w:pPr>
        <w:spacing w:after="0" w:line="200" w:lineRule="exact"/>
        <w:rPr>
          <w:sz w:val="20"/>
          <w:szCs w:val="20"/>
          <w:color w:val="auto"/>
        </w:rPr>
      </w:pPr>
    </w:p>
    <w:p>
      <w:pPr>
        <w:spacing w:after="0" w:line="259" w:lineRule="exact"/>
        <w:rPr>
          <w:sz w:val="20"/>
          <w:szCs w:val="20"/>
          <w:color w:val="auto"/>
        </w:rPr>
      </w:pPr>
    </w:p>
    <w:p>
      <w:pPr>
        <w:spacing w:after="0"/>
        <w:tabs>
          <w:tab w:leader="none" w:pos="780" w:val="left"/>
          <w:tab w:leader="none" w:pos="2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___Chief Legal Officer</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-10795</wp:posOffset>
            </wp:positionV>
            <wp:extent cx="111633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VETTER PHARMA INTERNATIONAL GMBH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Ravensburg, Germany</w:t>
      </w:r>
      <w:r>
        <w:rPr>
          <w:rFonts w:ascii="Times New Roman" w:cs="Times New Roman" w:eastAsia="Times New Roman" w:hAnsi="Times New Roman"/>
          <w:sz w:val="20"/>
          <w:szCs w:val="20"/>
          <w:color w:val="auto"/>
        </w:rPr>
        <w:t>, dated this __</w:t>
      </w:r>
      <w:r>
        <w:rPr>
          <w:rFonts w:ascii="Times New Roman" w:cs="Times New Roman" w:eastAsia="Times New Roman" w:hAnsi="Times New Roman"/>
          <w:sz w:val="20"/>
          <w:szCs w:val="20"/>
          <w:u w:val="single" w:color="auto"/>
          <w:color w:val="auto"/>
        </w:rPr>
        <w:t>15th</w:t>
      </w:r>
      <w:r>
        <w:rPr>
          <w:rFonts w:ascii="Times New Roman" w:cs="Times New Roman" w:eastAsia="Times New Roman" w:hAnsi="Times New Roman"/>
          <w:sz w:val="20"/>
          <w:szCs w:val="20"/>
          <w:color w:val="auto"/>
        </w:rPr>
        <w:t>_____ day of ____</w:t>
      </w:r>
      <w:r>
        <w:rPr>
          <w:rFonts w:ascii="Times New Roman" w:cs="Times New Roman" w:eastAsia="Times New Roman" w:hAnsi="Times New Roman"/>
          <w:sz w:val="20"/>
          <w:szCs w:val="20"/>
          <w:u w:val="single" w:color="auto"/>
          <w:color w:val="auto"/>
        </w:rPr>
        <w:t>December</w:t>
      </w:r>
      <w:r>
        <w:rPr>
          <w:rFonts w:ascii="Times New Roman" w:cs="Times New Roman" w:eastAsia="Times New Roman" w:hAnsi="Times New Roman"/>
          <w:sz w:val="20"/>
          <w:szCs w:val="20"/>
          <w:color w:val="auto"/>
        </w:rPr>
        <w:t>______</w:t>
      </w:r>
      <w:r>
        <w:rPr>
          <w:rFonts w:ascii="Times New Roman" w:cs="Times New Roman" w:eastAsia="Times New Roman" w:hAnsi="Times New Roman"/>
          <w:sz w:val="20"/>
          <w:szCs w:val="20"/>
          <w:i w:val="1"/>
          <w:iCs w:val="1"/>
          <w:color w:val="auto"/>
        </w:rPr>
        <w:t xml:space="preserve"> (month)</w:t>
      </w:r>
      <w:r>
        <w:rPr>
          <w:rFonts w:ascii="Times New Roman" w:cs="Times New Roman" w:eastAsia="Times New Roman" w:hAnsi="Times New Roman"/>
          <w:sz w:val="20"/>
          <w:szCs w:val="20"/>
          <w:color w:val="auto"/>
        </w:rPr>
        <w:t>, 2022</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gridSpan w:val="7"/>
          </w:tcPr>
          <w:p>
            <w:pPr>
              <w:spacing w:after="0"/>
              <w:rPr>
                <w:sz w:val="20"/>
                <w:szCs w:val="20"/>
                <w:color w:val="auto"/>
              </w:rPr>
            </w:pPr>
            <w:r>
              <w:rPr>
                <w:rFonts w:ascii="Times New Roman" w:cs="Times New Roman" w:eastAsia="Times New Roman" w:hAnsi="Times New Roman"/>
                <w:sz w:val="20"/>
                <w:szCs w:val="20"/>
                <w:i w:val="1"/>
                <w:iCs w:val="1"/>
                <w:color w:val="auto"/>
              </w:rPr>
              <w:t>(signed)__</w:t>
            </w:r>
            <w:r>
              <w:rPr>
                <w:rFonts w:ascii="Times New Roman" w:cs="Times New Roman" w:eastAsia="Times New Roman" w:hAnsi="Times New Roman"/>
                <w:sz w:val="20"/>
                <w:szCs w:val="20"/>
                <w:color w:val="auto"/>
              </w:rPr>
              <w:t>/s/Christine Fuerst</w:t>
            </w:r>
            <w:r>
              <w:rPr>
                <w:rFonts w:ascii="Times New Roman" w:cs="Times New Roman" w:eastAsia="Times New Roman" w:hAnsi="Times New Roman"/>
                <w:sz w:val="20"/>
                <w:szCs w:val="20"/>
                <w:i w:val="1"/>
                <w:iCs w:val="1"/>
                <w:color w:val="auto"/>
              </w:rPr>
              <w:t>____________</w:t>
            </w:r>
          </w:p>
        </w:tc>
        <w:tc>
          <w:tcPr>
            <w:tcW w:w="2920" w:type="dxa"/>
            <w:vAlign w:val="bottom"/>
            <w:gridSpan w:val="6"/>
          </w:tcPr>
          <w:p>
            <w:pPr>
              <w:ind w:left="160"/>
              <w:spacing w:after="0"/>
              <w:rPr>
                <w:sz w:val="20"/>
                <w:szCs w:val="20"/>
                <w:color w:val="auto"/>
              </w:rPr>
            </w:pPr>
            <w:r>
              <w:rPr>
                <w:rFonts w:ascii="Times New Roman" w:cs="Times New Roman" w:eastAsia="Times New Roman" w:hAnsi="Times New Roman"/>
                <w:sz w:val="20"/>
                <w:szCs w:val="20"/>
                <w:i w:val="1"/>
                <w:iCs w:val="1"/>
                <w:color w:val="auto"/>
              </w:rPr>
              <w:t>(signed)___</w:t>
            </w:r>
            <w:r>
              <w:rPr>
                <w:rFonts w:ascii="Times New Roman" w:cs="Times New Roman" w:eastAsia="Times New Roman" w:hAnsi="Times New Roman"/>
                <w:sz w:val="20"/>
                <w:szCs w:val="20"/>
                <w:color w:val="auto"/>
              </w:rPr>
              <w:t>/s/Nicolai Lehmann</w:t>
            </w: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i w:val="1"/>
                <w:iCs w:val="1"/>
                <w:color w:val="auto"/>
              </w:rPr>
              <w:t>_____</w:t>
            </w:r>
          </w:p>
        </w:tc>
        <w:tc>
          <w:tcPr>
            <w:tcW w:w="32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66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4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___Christine Fuerst_____________</w:t>
            </w:r>
          </w:p>
        </w:tc>
        <w:tc>
          <w:tcPr>
            <w:tcW w:w="7440" w:type="dxa"/>
            <w:vAlign w:val="bottom"/>
            <w:gridSpan w:val="10"/>
          </w:tcPr>
          <w:p>
            <w:pPr>
              <w:ind w:left="560"/>
              <w:spacing w:after="0"/>
              <w:rPr>
                <w:sz w:val="20"/>
                <w:szCs w:val="20"/>
                <w:color w:val="auto"/>
              </w:rPr>
            </w:pPr>
            <w:r>
              <w:rPr>
                <w:rFonts w:ascii="Times New Roman" w:cs="Times New Roman" w:eastAsia="Times New Roman" w:hAnsi="Times New Roman"/>
                <w:sz w:val="20"/>
                <w:szCs w:val="20"/>
                <w:color w:val="auto"/>
              </w:rPr>
              <w:t>Name:   ______Nicolai Lehmann  _______</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66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0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auto"/>
              </w:rPr>
              <w:t>sen Director, Key Account Management Europe  Title:</w:t>
            </w:r>
          </w:p>
        </w:tc>
        <w:tc>
          <w:tcPr>
            <w:tcW w:w="58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_______Key Account Manager____</w:t>
            </w:r>
          </w:p>
        </w:tc>
      </w:tr>
      <w:tr>
        <w:trPr>
          <w:trHeight w:val="1391"/>
        </w:trPr>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36" w:name="page337"/>
    <w:bookmarkEnd w:id="336"/>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1: SC-TERMS AND CAPACITY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LONG RANGE FORECAST AND OTHER SUPPLY CHAIN TERMS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(Certain capitalized terms used herein but not defined in this Annex 1 are defined in the Agreement.)</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0" w:type="dxa"/>
            <w:vAlign w:val="bottom"/>
            <w:tcBorders>
              <w:top w:val="single" w:sz="8" w:color="auto"/>
              <w:left w:val="single" w:sz="8" w:color="auto"/>
              <w:right w:val="single" w:sz="8" w:color="auto"/>
            </w:tcBorders>
          </w:tcPr>
          <w:p>
            <w:pPr>
              <w:jc w:val="right"/>
              <w:ind w:right="561"/>
              <w:spacing w:after="0" w:line="224" w:lineRule="exact"/>
              <w:rPr>
                <w:sz w:val="20"/>
                <w:szCs w:val="20"/>
                <w:color w:val="auto"/>
              </w:rPr>
            </w:pPr>
            <w:r>
              <w:rPr>
                <w:rFonts w:ascii="Times New Roman" w:cs="Times New Roman" w:eastAsia="Times New Roman" w:hAnsi="Times New Roman"/>
                <w:sz w:val="20"/>
                <w:szCs w:val="20"/>
                <w:color w:val="auto"/>
              </w:rPr>
              <w:t>1</w:t>
            </w:r>
          </w:p>
        </w:tc>
        <w:tc>
          <w:tcPr>
            <w:tcW w:w="290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LONG RANGE FORECAST</w:t>
            </w:r>
          </w:p>
        </w:tc>
        <w:tc>
          <w:tcPr>
            <w:tcW w:w="74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(1)ASCENDIS has initially provided to Vetter International their aggregate non-</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CAPACITY AGREEMENT</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binding, unless agreed otherwise as set forth in Section 1 (2) below, Product</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requirements for a [***] period, see Attachment 1 and 2 to this Annex 1 (“Initial Long</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Range Forecast”) and shall thereafter, on or before [***] during the Term, provide a</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successive update Long Range Forecast thereof (each update, the “Updated Long Range</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Forecast”; and the Initial Long Range Forecast and any Updated Long Range Forecast</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hereinafter the “Long Range Forecast”). The Long Range Forecast shall show the [***]</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(each, the “Annual Demand”) for a period of [***].</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 The [***] of any Long Range Forecast as set forth in this Annex 1 shall be binding</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to ASCENDIS and shall be considered a rolling ASCENDIS capacity reservation</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commitment for each [***] period, which [***] (hereinafter the “ASCENDIS</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Commitment”). [***] of any Long Range Forecast shall be non-binding and for</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ASCENDIS and Vetter International planning purposes only, provided however, it is</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agreed and understood by ASCENDIS that [***]. In [***] of every Long Range</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Forecast or Updated Long Range Forecast the forecast is non-binding (Fig. 2</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Attachment 1).</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(3) The aggregate Product quantities set forth in all Long Range Forecast’s for the</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is, unless otherwise specified, assumed to have an average batch size of [***],</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solely for procurement estimation and capacity reservation purposes of packaging</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materials.</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capacity agreement is separated in two phases, Long Range Forecasts submitted [***]</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(Pre-Launch Phase) and Long Range Forecasts submitted [***] (Post-Launch Phase)</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Post-Launch Phase rolling capacity commitments</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 [***].</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Additional batches can be requested by ASCENDIS as set forth in Section 6(4) and 6(5)</w:t>
            </w:r>
          </w:p>
        </w:tc>
      </w:tr>
      <w:tr>
        <w:trPr>
          <w:trHeight w:val="249"/>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of this Annex 1.</w:t>
            </w:r>
          </w:p>
        </w:tc>
      </w:tr>
      <w:tr>
        <w:trPr>
          <w:trHeight w:val="2515"/>
        </w:trPr>
        <w:tc>
          <w:tcPr>
            <w:tcW w:w="8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24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(ii)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-141605</wp:posOffset>
            </wp:positionV>
            <wp:extent cx="7134225" cy="48304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9">
                      <a:extLst>
                        <a:ext uri="{28A0092B-C50C-407E-A947-70E740481C1C}"/>
                      </a:extLst>
                    </a:blip>
                    <a:srcRect/>
                    <a:stretch>
                      <a:fillRect/>
                    </a:stretch>
                  </pic:blipFill>
                  <pic:spPr bwMode="auto">
                    <a:xfrm>
                      <a:off x="0" y="0"/>
                      <a:ext cx="7134225" cy="4830445"/>
                    </a:xfrm>
                    <a:prstGeom prst="rect">
                      <a:avLst/>
                    </a:prstGeom>
                    <a:noFill/>
                  </pic:spPr>
                </pic:pic>
              </a:graphicData>
            </a:graphic>
          </wp:anchor>
        </w:drawing>
      </w:r>
    </w:p>
    <w:p>
      <w:pPr>
        <w:spacing w:after="0" w:line="20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From [***], conditions as described above (Post-Launch Phase) will come into effect.</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Pre-Launch Phase capacity commitments:</w:t>
      </w:r>
    </w:p>
    <w:p>
      <w:pPr>
        <w:spacing w:after="0" w:line="22" w:lineRule="exact"/>
        <w:rPr>
          <w:sz w:val="20"/>
          <w:szCs w:val="20"/>
          <w:color w:val="auto"/>
        </w:rPr>
      </w:pPr>
    </w:p>
    <w:p>
      <w:pPr>
        <w:ind w:left="2760" w:right="160"/>
        <w:spacing w:after="0" w:line="246" w:lineRule="auto"/>
        <w:rPr>
          <w:sz w:val="20"/>
          <w:szCs w:val="20"/>
          <w:color w:val="auto"/>
        </w:rPr>
      </w:pPr>
      <w:r>
        <w:rPr>
          <w:rFonts w:ascii="Times New Roman" w:cs="Times New Roman" w:eastAsia="Times New Roman" w:hAnsi="Times New Roman"/>
          <w:sz w:val="20"/>
          <w:szCs w:val="20"/>
          <w:color w:val="auto"/>
        </w:rPr>
        <w:t>Market authorization for ASCENDIS’s first Product is to be expected in [***]. For the timeframe [***], ASCENDIS will have following flexibility (in batches)</w:t>
      </w:r>
    </w:p>
    <w:p>
      <w:pPr>
        <w:spacing w:after="0" w:line="195" w:lineRule="exact"/>
        <w:rPr>
          <w:sz w:val="20"/>
          <w:szCs w:val="20"/>
          <w:color w:val="auto"/>
        </w:rPr>
      </w:pPr>
    </w:p>
    <w:p>
      <w:pPr>
        <w:ind w:left="3240" w:hanging="247"/>
        <w:spacing w:after="0"/>
        <w:tabs>
          <w:tab w:leader="none" w:pos="32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Maximum [***] Minimum [***]</w:t>
      </w:r>
    </w:p>
    <w:p>
      <w:pPr>
        <w:spacing w:after="0" w:line="21" w:lineRule="exact"/>
        <w:rPr>
          <w:rFonts w:ascii="Times New Roman" w:cs="Times New Roman" w:eastAsia="Times New Roman" w:hAnsi="Times New Roman"/>
          <w:sz w:val="18"/>
          <w:szCs w:val="18"/>
          <w:color w:val="auto"/>
        </w:rPr>
      </w:pPr>
    </w:p>
    <w:p>
      <w:pPr>
        <w:ind w:left="3240" w:hanging="247"/>
        <w:spacing w:after="0"/>
        <w:tabs>
          <w:tab w:leader="none" w:pos="32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Maximum [***] Minimum [***]</w:t>
      </w:r>
    </w:p>
    <w:p>
      <w:pPr>
        <w:ind w:left="3240" w:hanging="247"/>
        <w:spacing w:after="0"/>
        <w:tabs>
          <w:tab w:leader="none" w:pos="32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Maximum [***] Minimum [***]</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First [***] of the Initial Long Range Forecast (in batches:</w:t>
      </w:r>
    </w:p>
    <w:p>
      <w:pPr>
        <w:spacing w:after="0" w:line="22" w:lineRule="exact"/>
        <w:rPr>
          <w:sz w:val="20"/>
          <w:szCs w:val="20"/>
          <w:color w:val="auto"/>
        </w:rPr>
      </w:pPr>
    </w:p>
    <w:p>
      <w:pPr>
        <w:ind w:left="4580" w:right="2260" w:hanging="1587"/>
        <w:spacing w:after="0" w:line="252" w:lineRule="auto"/>
        <w:tabs>
          <w:tab w:leader="none" w:pos="4221"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Maximum number of batches [***] Minimum number of batches [***]</w:t>
      </w:r>
    </w:p>
    <w:p>
      <w:pPr>
        <w:ind w:left="4580" w:right="2260" w:hanging="1587"/>
        <w:spacing w:after="0" w:line="252" w:lineRule="auto"/>
        <w:tabs>
          <w:tab w:leader="none" w:pos="4221"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Maximum number of batches [***] Minimum number of batches [***]</w:t>
      </w:r>
    </w:p>
    <w:p>
      <w:pPr>
        <w:ind w:left="4580" w:right="2260" w:hanging="1577"/>
        <w:spacing w:after="0" w:line="271" w:lineRule="auto"/>
        <w:tabs>
          <w:tab w:leader="none" w:pos="4221"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Maximum number of batches [***] Minimum number of batches [***]</w:t>
      </w:r>
    </w:p>
    <w:p>
      <w:pPr>
        <w:spacing w:after="0" w:line="173" w:lineRule="exact"/>
        <w:rPr>
          <w:sz w:val="20"/>
          <w:szCs w:val="20"/>
          <w:color w:val="auto"/>
        </w:rPr>
      </w:pPr>
    </w:p>
    <w:p>
      <w:pPr>
        <w:jc w:val="both"/>
        <w:ind w:left="2760"/>
        <w:spacing w:after="0" w:line="254" w:lineRule="auto"/>
        <w:rPr>
          <w:sz w:val="20"/>
          <w:szCs w:val="20"/>
          <w:color w:val="auto"/>
        </w:rPr>
      </w:pPr>
      <w:r>
        <w:rPr>
          <w:rFonts w:ascii="Times New Roman" w:cs="Times New Roman" w:eastAsia="Times New Roman" w:hAnsi="Times New Roman"/>
          <w:sz w:val="20"/>
          <w:szCs w:val="20"/>
          <w:color w:val="auto"/>
        </w:rPr>
        <w:t>For illustration purposes, Fig.1 and Fig.2 is attached to this Annex 1. It is agreed by the Parties that any such Maximum number of batches and Minimum number of batches per Annual Demand shall apply to the [***] period and that [***].</w:t>
      </w:r>
    </w:p>
    <w:p>
      <w:pPr>
        <w:spacing w:after="0" w:line="188" w:lineRule="exact"/>
        <w:rPr>
          <w:sz w:val="20"/>
          <w:szCs w:val="20"/>
          <w:color w:val="auto"/>
        </w:rPr>
      </w:pPr>
    </w:p>
    <w:p>
      <w:pPr>
        <w:jc w:val="both"/>
        <w:ind w:left="2760" w:hanging="8"/>
        <w:spacing w:after="0" w:line="249" w:lineRule="auto"/>
        <w:tabs>
          <w:tab w:leader="none" w:pos="304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Vetter International accepts the ASCENDIS Initial Long Range Forecast and hereby commits itself to reserve capacity at the Facility, in an equivalent of the Annual Demand set forth in each of the first [***] of the so accepted Initial Long Range Forecast provided in Attachment 1 and 2 to this Annex 1.</w:t>
      </w:r>
    </w:p>
    <w:p>
      <w:pPr>
        <w:spacing w:after="0" w:line="193" w:lineRule="exact"/>
        <w:rPr>
          <w:rFonts w:ascii="Times New Roman" w:cs="Times New Roman" w:eastAsia="Times New Roman" w:hAnsi="Times New Roman"/>
          <w:sz w:val="20"/>
          <w:szCs w:val="20"/>
          <w:color w:val="auto"/>
        </w:rPr>
      </w:pPr>
    </w:p>
    <w:p>
      <w:pPr>
        <w:jc w:val="both"/>
        <w:ind w:left="2760" w:hanging="8"/>
        <w:spacing w:after="0" w:line="266" w:lineRule="auto"/>
        <w:tabs>
          <w:tab w:leader="none" w:pos="309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regard to any Updated Long Range Forecast, Vetter International shall inform ASCENDIS in [***] of each Calendar Year (during the Parties’ regular business review meeting), if Vetter International is able to provide the capacity requested by ASCENDIS in Calendar Year 3 of any Updated Long Range Forecast, and upon positive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633730</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338" w:name="page339"/>
    <w:bookmarkEnd w:id="338"/>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spacing w:after="0"/>
              <w:rPr>
                <w:sz w:val="19"/>
                <w:szCs w:val="19"/>
                <w:color w:val="auto"/>
              </w:rPr>
            </w:pPr>
          </w:p>
        </w:tc>
        <w:tc>
          <w:tcPr>
            <w:tcW w:w="74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confirmation, Vetter International commits itself to reserve capacity in an equivalent of</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Annual Demand set forth in such newly added third Calendar Year and such</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reservation commitment becomes part of the Vetter Commitment.</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Vetter International shall confirm the updated forecast before the [***]. If not confirmed</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updated forecast is deemed accepted by Vetter International with regards to delivery</w:t>
            </w:r>
          </w:p>
        </w:tc>
      </w:tr>
      <w:tr>
        <w:trPr>
          <w:trHeight w:val="249"/>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dates, quantities and without any penalties for Ascendis.</w:t>
            </w:r>
          </w:p>
        </w:tc>
      </w:tr>
      <w:tr>
        <w:trPr>
          <w:trHeight w:val="433"/>
        </w:trPr>
        <w:tc>
          <w:tcPr>
            <w:tcW w:w="88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LONG RANGE FORECAST,</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 The Parties shall discuss during the business review meeting the total ASCENDIS</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Annual Demand of Product quantities in batches for each of the following [***] and</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Vetter International will, in return, indicate to ASCENDIS the current capacity status of</w:t>
            </w:r>
          </w:p>
        </w:tc>
      </w:tr>
      <w:tr>
        <w:trPr>
          <w:trHeight w:val="258"/>
        </w:trPr>
        <w:tc>
          <w:tcPr>
            <w:tcW w:w="880" w:type="dxa"/>
            <w:vAlign w:val="bottom"/>
            <w:tcBorders>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being a non-binding information.</w:t>
            </w:r>
          </w:p>
        </w:tc>
      </w:tr>
      <w:tr>
        <w:trPr>
          <w:trHeight w:val="430"/>
        </w:trPr>
        <w:tc>
          <w:tcPr>
            <w:tcW w:w="880" w:type="dxa"/>
            <w:vAlign w:val="bottom"/>
            <w:tcBorders>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 Major demand changes (increase/decrease) shall [***]. If the number of batches of</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Product for each Calendar Year set forth in any updated Long Range Forecast exceed</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allotted capacity of the cleanroom and/or production line to be used for the</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Manufacture, or require the procurement of additional Equipment, dedicated to the</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Manufacture of the Product of ASCENDIS, Vetter International shall inform</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ASCENDIS thereof. In such event, each of the Parties shall reasonably determine and</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agree upon with the other Party, if and to the extent necessary to achieve the increased</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capacities required by the Long Range Forecast, (i) the organization and timelines of the</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transfer of the Manufacture of the Product to a different cleanroom and/or production</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line (ii) the supply of additional Equipment; and/or (iii) any other changes necessary to</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achieve the increased capacities set forth in, and as required by, the Long Range</w:t>
            </w:r>
          </w:p>
        </w:tc>
      </w:tr>
      <w:tr>
        <w:trPr>
          <w:trHeight w:val="252"/>
        </w:trPr>
        <w:tc>
          <w:tcPr>
            <w:tcW w:w="88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Forecast [***].</w:t>
            </w:r>
          </w:p>
        </w:tc>
      </w:tr>
      <w:tr>
        <w:trPr>
          <w:trHeight w:val="430"/>
        </w:trPr>
        <w:tc>
          <w:tcPr>
            <w:tcW w:w="88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3</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MONTHLY ROLLING</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 For each Product to be Manufactured, ASCENDIS shall provide Vetter</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FORECAST</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International, [***], with a [***] Monthly Rolling Forecast of the number of batches of</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Product that ASCENDIS intends to order from Vetter International. Such number of</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batches as requested to be delivered on the Delivery Date within a certain calendar</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month during such [***] period (the “Initial Monthly Rolling Forecast”, and each of the</w:t>
            </w:r>
          </w:p>
        </w:tc>
      </w:tr>
      <w:tr>
        <w:trPr>
          <w:trHeight w:val="252"/>
        </w:trPr>
        <w:tc>
          <w:tcPr>
            <w:tcW w:w="88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monthly revised forecasts, on a rolling basis, as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8020" w:type="dxa"/>
            <w:vAlign w:val="bottom"/>
            <w:tcBorders>
              <w:top w:val="single" w:sz="8" w:color="auto"/>
            </w:tcBorders>
          </w:tcPr>
          <w:p>
            <w:pPr>
              <w:ind w:left="660"/>
              <w:spacing w:after="0" w:line="224" w:lineRule="exact"/>
              <w:rPr>
                <w:sz w:val="20"/>
                <w:szCs w:val="20"/>
                <w:color w:val="auto"/>
              </w:rPr>
            </w:pPr>
            <w:r>
              <w:rPr>
                <w:rFonts w:ascii="Times New Roman" w:cs="Times New Roman" w:eastAsia="Times New Roman" w:hAnsi="Times New Roman"/>
                <w:sz w:val="20"/>
                <w:szCs w:val="20"/>
                <w:color w:val="auto"/>
              </w:rPr>
              <w:t>Initial Monthly Rolling Forecast updates, hereinafter referred to as a “Monthly Rolling</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Forecast”).</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 The Monthly Rolling Forecast shall show the anticipated demand of ASCENDIS for</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Product, indicated per each Product variant for information (different Product</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concentrations), requested to be delivered on the Delivery Date in each calendar month,</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beginning on the first (1st) day of the month then-following the month of its submittal</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and receipt by Vetter International, and ending on the last day of the twenty fourth</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(24th) calendar month thereafter. Example: [***]. Each Monthly Rolling Forecast must</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therefore include: (i) requested Product quantities (“Product variant”) in batch</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quantities; together with (ii) requested delivery month and the dates desired for such</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Product quantity.</w:t>
            </w:r>
          </w:p>
        </w:tc>
      </w:tr>
      <w:tr>
        <w:trPr>
          <w:trHeight w:val="459"/>
        </w:trPr>
        <w:tc>
          <w:tcPr>
            <w:tcW w:w="880" w:type="dxa"/>
            <w:vAlign w:val="bottom"/>
            <w:tcBorders>
              <w:left w:val="single" w:sz="8" w:color="auto"/>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 Requested Product number of batches shall be [***]. [***].</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 Each Monthly Rolling Forecast shall be [***] and shall [***].  In case the Product</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Quantities in number of batches in any Monthly Rolling Forecast do not comply with</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requirements set forth in this Annex 1, [***]. A decrease in the Monthly Rolling</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Forecast [***]. In case the Product quantities in the Monthly Rolling Forecast exceed</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Maximum Quantity, [***]. Any disputes and/or discrepancies with regards to the</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Monthly Rolling Forecast shall be discussed by the parties in accordance with this</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 of the Annex 1.</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If the Forecast is within the defined Semi-Binding boarders, Vetter International shall</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confirm the updated rolling forecast within the same month, otherwise in the first week</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of the upcoming month. If not confirmed the updated forecast is deemed accepted by</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Vetter International with regards to delivery dates, quantities and without any penalties</w:t>
            </w:r>
          </w:p>
        </w:tc>
      </w:tr>
      <w:tr>
        <w:trPr>
          <w:trHeight w:val="249"/>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8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0"/>
                <w:szCs w:val="20"/>
                <w:color w:val="auto"/>
              </w:rPr>
              <w:t>for Ascendis</w:t>
            </w:r>
          </w:p>
        </w:tc>
      </w:tr>
      <w:tr>
        <w:trPr>
          <w:trHeight w:val="433"/>
        </w:trPr>
        <w:tc>
          <w:tcPr>
            <w:tcW w:w="88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4</w:t>
            </w:r>
          </w:p>
        </w:tc>
        <w:tc>
          <w:tcPr>
            <w:tcW w:w="2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BINDING PERIOD</w:t>
            </w: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Product quantities in number of batches set forth in any Monthly Rolling Forecast</w:t>
            </w:r>
          </w:p>
        </w:tc>
      </w:tr>
      <w:tr>
        <w:trPr>
          <w:trHeight w:val="230"/>
        </w:trPr>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in [***] (“Binding Period”) shall constitute a firm and binding commitment of</w:t>
            </w:r>
          </w:p>
        </w:tc>
      </w:tr>
      <w:tr>
        <w:trPr>
          <w:trHeight w:val="258"/>
        </w:trPr>
        <w:tc>
          <w:tcPr>
            <w:tcW w:w="8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ASCENDIS, and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-4683760</wp:posOffset>
            </wp:positionV>
            <wp:extent cx="7132320" cy="498919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2">
                      <a:extLst>
                        <a:ext uri="{28A0092B-C50C-407E-A947-70E740481C1C}"/>
                      </a:extLst>
                    </a:blip>
                    <a:srcRect/>
                    <a:stretch>
                      <a:fillRect/>
                    </a:stretch>
                  </pic:blipFill>
                  <pic:spPr bwMode="auto">
                    <a:xfrm>
                      <a:off x="0" y="0"/>
                      <a:ext cx="7132320" cy="4989195"/>
                    </a:xfrm>
                    <a:prstGeom prst="rect">
                      <a:avLst/>
                    </a:prstGeom>
                    <a:noFill/>
                  </pic:spPr>
                </pic:pic>
              </a:graphicData>
            </a:graphic>
          </wp:anchor>
        </w:drawing>
      </w:r>
    </w:p>
    <w:p>
      <w:pPr>
        <w:spacing w:after="0" w:line="194" w:lineRule="exact"/>
        <w:rPr>
          <w:sz w:val="20"/>
          <w:szCs w:val="20"/>
          <w:color w:val="auto"/>
        </w:rPr>
      </w:pPr>
    </w:p>
    <w:p>
      <w:pPr>
        <w:ind w:left="960" w:hanging="841"/>
        <w:spacing w:after="0"/>
        <w:tabs>
          <w:tab w:leader="none" w:pos="96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Semi-Binding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243" w:lineRule="exact"/>
        <w:rPr>
          <w:sz w:val="20"/>
          <w:szCs w:val="20"/>
          <w:color w:val="auto"/>
        </w:rPr>
      </w:pPr>
    </w:p>
    <w:p>
      <w:pPr>
        <w:jc w:val="both"/>
        <w:ind w:left="3880" w:right="420" w:hanging="8"/>
        <w:spacing w:after="0" w:line="254" w:lineRule="auto"/>
        <w:tabs>
          <w:tab w:leader="none" w:pos="416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quantities in number batches set forth in any Monthly Rolling Forecast in [***] of each Monthly Rolling Forecast (“Flexible Period”) shall be deemed binding, as herein below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-459105</wp:posOffset>
            </wp:positionV>
            <wp:extent cx="7134225" cy="541972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4">
                      <a:extLst>
                        <a:ext uri="{28A0092B-C50C-407E-A947-70E740481C1C}"/>
                      </a:extLst>
                    </a:blip>
                    <a:srcRect/>
                    <a:stretch>
                      <a:fillRect/>
                    </a:stretch>
                  </pic:blipFill>
                  <pic:spPr bwMode="auto">
                    <a:xfrm>
                      <a:off x="0" y="0"/>
                      <a:ext cx="7134225" cy="5419725"/>
                    </a:xfrm>
                    <a:prstGeom prst="rect">
                      <a:avLst/>
                    </a:prstGeom>
                    <a:noFill/>
                  </pic:spPr>
                </pic:pic>
              </a:graphicData>
            </a:graphic>
          </wp:anchor>
        </w:drawing>
      </w:r>
    </w:p>
    <w:p>
      <w:pPr>
        <w:spacing w:after="0" w:line="168" w:lineRule="exact"/>
        <w:rPr>
          <w:sz w:val="20"/>
          <w:szCs w:val="20"/>
          <w:color w:val="auto"/>
        </w:rPr>
      </w:pPr>
    </w:p>
    <w:p>
      <w:pPr>
        <w:ind w:left="3880" w:right="440"/>
        <w:spacing w:after="0" w:line="254" w:lineRule="auto"/>
        <w:rPr>
          <w:sz w:val="20"/>
          <w:szCs w:val="20"/>
          <w:color w:val="auto"/>
        </w:rPr>
      </w:pPr>
      <w:r>
        <w:rPr>
          <w:rFonts w:ascii="Times New Roman" w:cs="Times New Roman" w:eastAsia="Times New Roman" w:hAnsi="Times New Roman"/>
          <w:sz w:val="20"/>
          <w:szCs w:val="20"/>
          <w:color w:val="auto"/>
        </w:rPr>
        <w:t>Monthly Rolling Forecasts of [***] shall determine the Product quantities in number of batches in the Flexible Period that are fixed as a [***] part of the Annual Reference Quantity (each a “[***]”):</w:t>
      </w:r>
    </w:p>
    <w:p>
      <w:pPr>
        <w:spacing w:after="0" w:line="188" w:lineRule="exact"/>
        <w:rPr>
          <w:sz w:val="20"/>
          <w:szCs w:val="20"/>
          <w:color w:val="auto"/>
        </w:rPr>
      </w:pPr>
    </w:p>
    <w:p>
      <w:pPr>
        <w:ind w:left="3880" w:right="420" w:hanging="8"/>
        <w:spacing w:after="0" w:line="250" w:lineRule="auto"/>
        <w:tabs>
          <w:tab w:leader="none" w:pos="3999"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quantities in number batches provided by ASCENDIS in the Monthly Rolling Forecast for [***] shall [***]</w:t>
      </w:r>
    </w:p>
    <w:p>
      <w:pPr>
        <w:spacing w:after="0" w:line="1" w:lineRule="exact"/>
        <w:rPr>
          <w:rFonts w:ascii="Times New Roman" w:cs="Times New Roman" w:eastAsia="Times New Roman" w:hAnsi="Times New Roman"/>
          <w:sz w:val="20"/>
          <w:szCs w:val="20"/>
          <w:color w:val="auto"/>
        </w:rPr>
      </w:pPr>
    </w:p>
    <w:p>
      <w:pPr>
        <w:ind w:left="3880" w:right="420" w:hanging="8"/>
        <w:spacing w:after="0" w:line="239" w:lineRule="auto"/>
        <w:tabs>
          <w:tab w:leader="none" w:pos="3999"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quantities in number batches provided by ASCENDIS in the Monthly Rolling Forecast for [***] shall [***]</w:t>
      </w:r>
    </w:p>
    <w:p>
      <w:pPr>
        <w:ind w:left="3880" w:right="420" w:hanging="8"/>
        <w:spacing w:after="0" w:line="239" w:lineRule="auto"/>
        <w:tabs>
          <w:tab w:leader="none" w:pos="3999"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quantities in number batches provided by ASCENDIS in the Monthly Rolling Forecast for [***] shall [***]</w:t>
      </w:r>
    </w:p>
    <w:p>
      <w:pPr>
        <w:ind w:left="3880" w:right="10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Product quantities set forth in all Monthly Rolling Forecasts for a Calendar Year have to comply with and meet the Annual Demand of [***], the applicable ASCENDIS Commitment as may be adjusted [***].</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The “Annual Reference Quantity” for a Calendar Year shall mean the sum of the</w:t>
            </w:r>
          </w:p>
        </w:tc>
      </w:tr>
      <w:tr>
        <w:trPr>
          <w:trHeight w:val="230"/>
        </w:trPr>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aggregated Product quantities in number of batches provided by ASCENDIS in [***].</w:t>
            </w:r>
          </w:p>
        </w:tc>
      </w:tr>
      <w:tr>
        <w:trPr>
          <w:trHeight w:val="258"/>
        </w:trPr>
        <w:tc>
          <w:tcPr>
            <w:tcW w:w="8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Parties have added [***] accordingly.</w:t>
            </w:r>
          </w:p>
        </w:tc>
      </w:tr>
      <w:tr>
        <w:trPr>
          <w:trHeight w:val="430"/>
        </w:trPr>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In case of discrepancy between the Monthly Rolling Forecast and the Long Range</w:t>
            </w:r>
          </w:p>
        </w:tc>
      </w:tr>
      <w:tr>
        <w:trPr>
          <w:trHeight w:val="258"/>
        </w:trPr>
        <w:tc>
          <w:tcPr>
            <w:tcW w:w="8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Forecast, [***] shall apply.</w:t>
            </w:r>
          </w:p>
        </w:tc>
      </w:tr>
      <w:tr>
        <w:trPr>
          <w:trHeight w:val="459"/>
        </w:trPr>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4"/>
              </w:rPr>
              <w:t>(3)</w:t>
            </w:r>
          </w:p>
        </w:tc>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8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p>
        </w:tc>
      </w:tr>
      <w:tr>
        <w:trPr>
          <w:trHeight w:val="413"/>
        </w:trPr>
        <w:tc>
          <w:tcPr>
            <w:tcW w:w="880" w:type="dxa"/>
            <w:vAlign w:val="bottom"/>
            <w:tcBorders>
              <w:left w:val="single" w:sz="8" w:color="auto"/>
              <w:right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4"/>
              </w:rPr>
              <w:t>(1)</w:t>
            </w:r>
          </w:p>
        </w:tc>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Together with each monthly update of the Monthly Rolling Forecast, Purchase</w:t>
            </w:r>
          </w:p>
        </w:tc>
      </w:tr>
      <w:tr>
        <w:trPr>
          <w:trHeight w:val="229"/>
        </w:trPr>
        <w:tc>
          <w:tcPr>
            <w:tcW w:w="880" w:type="dxa"/>
            <w:vAlign w:val="bottom"/>
            <w:tcBorders>
              <w:left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6</w:t>
            </w:r>
          </w:p>
        </w:tc>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PURCHASE ORDERS,</w:t>
            </w: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Orders shall be issued by ASCENDIS, which Purchase Orders shall correspond to the</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ADDITIONAL QUANTITY,</w:t>
            </w: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quantities set forth for the Binding Period of the then-current Monthly Rolling Forecast.</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OMITTED PURCHASE</w:t>
            </w: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ASCENDIS shall therefore place (i) initially, Purchase Orders covering [***]; and (ii)</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ORDERS</w:t>
            </w: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thereafter, Purchase Orders for [***] of the updated Binding Period.</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4"/>
              </w:rPr>
              <w:t>(2)</w:t>
            </w:r>
          </w:p>
        </w:tc>
        <w:tc>
          <w:tcPr>
            <w:tcW w:w="7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requested Delivery Date indicated in the Purchase Order shall be no earlier than</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76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after receipt of the Purchase Order by Vetter International.</w:t>
            </w: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spacing w:after="0"/>
              <w:rPr>
                <w:sz w:val="19"/>
                <w:szCs w:val="19"/>
                <w:color w:val="auto"/>
              </w:rPr>
            </w:pPr>
          </w:p>
        </w:tc>
        <w:tc>
          <w:tcPr>
            <w:tcW w:w="74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(3) Vetter International shall respond (by facsimile, any other written or electronic form)</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to every Purchase Order placed for the Binding Period within [***], and shall confirm</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Product quantities which meet the requirements of this Annex 1, and shall provide the</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Confirmed Delivery Date for the Product so ordered by ASCENDIS. If Vetter</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International has not responded [***] the orders are deemed accepted by Vetter</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International with regards to delivery dates, quantities and without any penalties for</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Ascendis</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(4) Subject to the Facility’s manufacturing and equipment capacities and other supply</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commitments, the urgency of the supply needs of ASCENDIS, the Parties may mutually</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agree that additional quantities of Product may be available in excess of the ASCENDIS</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Commitment during (x) the Binding Period and/or (y) the Flexible Period and/or (ii) the</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Maximum Quantity (such quantities, to the extent so in excess, collectively “Additional</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Quantity”), and as such, ASCENDIS (1) may place a Purchase Order for the Additional</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Quantity within the Binding Period; or (2) adjust the Flexible Period of the Monthly</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Rolling Forecast in accordance with the terms of the Agreement. Vetter shall [***] to</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accommodate ASCENDIS’s request for Additional Quantity.</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(5) In no event [***] shall acceptance to deliver Additional Quantities set forth in an</w:t>
            </w: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individual Purchase Order for such Additional Quantity (i) [***]; or (ii) [***].</w:t>
            </w:r>
          </w:p>
        </w:tc>
      </w:tr>
      <w:tr>
        <w:trPr>
          <w:trHeight w:val="430"/>
        </w:trPr>
        <w:tc>
          <w:tcPr>
            <w:tcW w:w="88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(6) If, in any given calendar month within the Binding Period, ASCENDIS does not</w:t>
            </w: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place a Purchase Order in accordance with the then-current Monthly Rolling Forecast</w:t>
            </w: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related to the Minimum Quantities of the ASCENDIS Commitment in number of</w:t>
            </w:r>
          </w:p>
        </w:tc>
      </w:tr>
      <w:tr>
        <w:trPr>
          <w:trHeight w:val="269"/>
        </w:trPr>
        <w:tc>
          <w:tcPr>
            <w:tcW w:w="880" w:type="dxa"/>
            <w:vAlign w:val="bottom"/>
            <w:tcBorders>
              <w:left w:val="single" w:sz="8" w:color="auto"/>
              <w:bottom w:val="single" w:sz="8" w:color="auto"/>
              <w:right w:val="single" w:sz="8" w:color="auto"/>
            </w:tcBorders>
          </w:tcPr>
          <w:p>
            <w:pPr>
              <w:spacing w:after="0"/>
              <w:rPr>
                <w:sz w:val="23"/>
                <w:szCs w:val="23"/>
                <w:color w:val="auto"/>
              </w:rPr>
            </w:pPr>
          </w:p>
        </w:tc>
        <w:tc>
          <w:tcPr>
            <w:tcW w:w="2900" w:type="dxa"/>
            <w:vAlign w:val="bottom"/>
            <w:tcBorders>
              <w:bottom w:val="single" w:sz="8" w:color="auto"/>
              <w:right w:val="single" w:sz="8" w:color="auto"/>
            </w:tcBorders>
          </w:tcPr>
          <w:p>
            <w:pPr>
              <w:spacing w:after="0"/>
              <w:rPr>
                <w:sz w:val="23"/>
                <w:szCs w:val="23"/>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batches, [***].</w:t>
            </w:r>
          </w:p>
        </w:tc>
      </w:tr>
      <w:tr>
        <w:trPr>
          <w:trHeight w:val="183"/>
        </w:trPr>
        <w:tc>
          <w:tcPr>
            <w:tcW w:w="880" w:type="dxa"/>
            <w:vAlign w:val="bottom"/>
            <w:tcBorders>
              <w:right w:val="single" w:sz="8" w:color="auto"/>
            </w:tcBorders>
          </w:tcPr>
          <w:p>
            <w:pPr>
              <w:jc w:val="right"/>
              <w:ind w:right="561"/>
              <w:spacing w:after="0" w:line="184" w:lineRule="exact"/>
              <w:rPr>
                <w:sz w:val="20"/>
                <w:szCs w:val="20"/>
                <w:color w:val="auto"/>
              </w:rPr>
            </w:pPr>
            <w:r>
              <w:rPr>
                <w:rFonts w:ascii="Times New Roman" w:cs="Times New Roman" w:eastAsia="Times New Roman" w:hAnsi="Times New Roman"/>
                <w:sz w:val="20"/>
                <w:szCs w:val="20"/>
                <w:color w:val="auto"/>
              </w:rPr>
              <w:t>7</w:t>
            </w:r>
          </w:p>
        </w:tc>
        <w:tc>
          <w:tcPr>
            <w:tcW w:w="29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20"/>
                <w:szCs w:val="20"/>
                <w:color w:val="auto"/>
              </w:rPr>
              <w:t>REPLACEMENT PRODUCT</w:t>
            </w:r>
          </w:p>
        </w:tc>
        <w:tc>
          <w:tcPr>
            <w:tcW w:w="7460" w:type="dxa"/>
            <w:vAlign w:val="bottom"/>
            <w:tcBorders>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20"/>
                <w:szCs w:val="20"/>
                <w:color w:val="auto"/>
              </w:rPr>
              <w:t>If for any reason ASCENDIS is not in a position to order sufficient quantities of Product in</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order to comply with its Minimum Quantities in number of batches as set forth in this</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Agreement or wishes to cancel a slot within the Binding Period, [***]. [***]. The parties</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shall agree in good faith any amendments to the Agreement that are necessary as result of</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ASCENDIS exercising such right. Vetter International accepts the switch between the</w:t>
            </w:r>
          </w:p>
        </w:tc>
      </w:tr>
      <w:tr>
        <w:trPr>
          <w:trHeight w:val="252"/>
        </w:trPr>
        <w:tc>
          <w:tcPr>
            <w:tcW w:w="88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presentation [***] before the requested and confirmed delivery date [***].</w:t>
            </w:r>
          </w:p>
        </w:tc>
      </w:tr>
      <w:tr>
        <w:trPr>
          <w:trHeight w:val="223"/>
        </w:trPr>
        <w:tc>
          <w:tcPr>
            <w:tcW w:w="880" w:type="dxa"/>
            <w:vAlign w:val="bottom"/>
            <w:tcBorders>
              <w:bottom w:val="single" w:sz="8" w:color="auto"/>
              <w:right w:val="single" w:sz="8" w:color="auto"/>
            </w:tcBorders>
          </w:tcPr>
          <w:p>
            <w:pPr>
              <w:spacing w:after="0"/>
              <w:rPr>
                <w:sz w:val="19"/>
                <w:szCs w:val="19"/>
                <w:color w:val="auto"/>
              </w:rPr>
            </w:pPr>
          </w:p>
        </w:tc>
        <w:tc>
          <w:tcPr>
            <w:tcW w:w="2900" w:type="dxa"/>
            <w:vAlign w:val="bottom"/>
            <w:tcBorders>
              <w:bottom w:val="single" w:sz="8" w:color="auto"/>
              <w:right w:val="single" w:sz="8" w:color="auto"/>
            </w:tcBorders>
          </w:tcPr>
          <w:p>
            <w:pPr>
              <w:spacing w:after="0"/>
              <w:rPr>
                <w:sz w:val="19"/>
                <w:szCs w:val="19"/>
                <w:color w:val="auto"/>
              </w:rPr>
            </w:pPr>
          </w:p>
        </w:tc>
        <w:tc>
          <w:tcPr>
            <w:tcW w:w="74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746125</wp:posOffset>
            </wp:positionH>
            <wp:positionV relativeFrom="page">
              <wp:posOffset>1072515</wp:posOffset>
            </wp:positionV>
            <wp:extent cx="12700" cy="453898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7">
                      <a:extLst>
                        <a:ext uri="{28A0092B-C50C-407E-A947-70E740481C1C}"/>
                      </a:extLst>
                    </a:blip>
                    <a:srcRect/>
                    <a:stretch>
                      <a:fillRect/>
                    </a:stretch>
                  </pic:blipFill>
                  <pic:spPr bwMode="auto">
                    <a:xfrm>
                      <a:off x="0" y="0"/>
                      <a:ext cx="12700" cy="453898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1072515</wp:posOffset>
            </wp:positionV>
            <wp:extent cx="12700" cy="453898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8">
                      <a:extLst>
                        <a:ext uri="{28A0092B-C50C-407E-A947-70E740481C1C}"/>
                      </a:extLst>
                    </a:blip>
                    <a:srcRect/>
                    <a:stretch>
                      <a:fillRect/>
                    </a:stretch>
                  </pic:blipFill>
                  <pic:spPr bwMode="auto">
                    <a:xfrm>
                      <a:off x="0" y="0"/>
                      <a:ext cx="12700" cy="45389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880" w:type="dxa"/>
            <w:vAlign w:val="bottom"/>
            <w:tcBorders>
              <w:top w:val="single" w:sz="8" w:color="auto"/>
            </w:tcBorders>
          </w:tcPr>
          <w:p>
            <w:pPr>
              <w:jc w:val="right"/>
              <w:ind w:right="561"/>
              <w:spacing w:after="0" w:line="224" w:lineRule="exact"/>
              <w:rPr>
                <w:sz w:val="20"/>
                <w:szCs w:val="20"/>
                <w:color w:val="auto"/>
              </w:rPr>
            </w:pPr>
            <w:r>
              <w:rPr>
                <w:rFonts w:ascii="Times New Roman" w:cs="Times New Roman" w:eastAsia="Times New Roman" w:hAnsi="Times New Roman"/>
                <w:sz w:val="20"/>
                <w:szCs w:val="20"/>
                <w:color w:val="auto"/>
              </w:rPr>
              <w:t>8</w:t>
            </w:r>
          </w:p>
        </w:tc>
        <w:tc>
          <w:tcPr>
            <w:tcW w:w="2820" w:type="dxa"/>
            <w:vAlign w:val="bottom"/>
            <w:tcBorders>
              <w:top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ANNUAL RECONCILIATION</w:t>
            </w:r>
          </w:p>
        </w:tc>
        <w:tc>
          <w:tcPr>
            <w:tcW w:w="7540" w:type="dxa"/>
            <w:vAlign w:val="bottom"/>
            <w:tcBorders>
              <w:top w:val="single" w:sz="8" w:color="auto"/>
            </w:tcBorders>
          </w:tcPr>
          <w:p>
            <w:pPr>
              <w:ind w:left="180"/>
              <w:spacing w:after="0" w:line="224" w:lineRule="exact"/>
              <w:rPr>
                <w:sz w:val="20"/>
                <w:szCs w:val="20"/>
                <w:color w:val="auto"/>
              </w:rPr>
            </w:pPr>
            <w:r>
              <w:rPr>
                <w:rFonts w:ascii="Times New Roman" w:cs="Times New Roman" w:eastAsia="Times New Roman" w:hAnsi="Times New Roman"/>
                <w:sz w:val="20"/>
                <w:szCs w:val="20"/>
                <w:color w:val="auto"/>
              </w:rPr>
              <w:t>(1) Until [***] of each Calendar Year, the Parties shall jointly review the Product</w:t>
            </w:r>
          </w:p>
        </w:tc>
      </w:tr>
      <w:tr>
        <w:trPr>
          <w:trHeight w:val="229"/>
        </w:trPr>
        <w:tc>
          <w:tcPr>
            <w:tcW w:w="88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CAPACITY</w:t>
            </w:r>
          </w:p>
        </w:tc>
        <w:tc>
          <w:tcPr>
            <w:tcW w:w="7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quantities which have been delivered during such Calendar Year for which ASCENDIS</w:t>
            </w:r>
          </w:p>
        </w:tc>
      </w:tr>
      <w:tr>
        <w:trPr>
          <w:trHeight w:val="229"/>
        </w:trPr>
        <w:tc>
          <w:tcPr>
            <w:tcW w:w="88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COMPENSATION</w:t>
            </w:r>
          </w:p>
        </w:tc>
        <w:tc>
          <w:tcPr>
            <w:tcW w:w="7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has actually provided Purchase Orders and/or paid for in accordance with this Annex 1</w:t>
            </w:r>
          </w:p>
        </w:tc>
      </w:tr>
      <w:tr>
        <w:trPr>
          <w:trHeight w:val="258"/>
        </w:trPr>
        <w:tc>
          <w:tcPr>
            <w:tcW w:w="8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7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(“Annually Ordered Quantity”).</w:t>
            </w:r>
          </w:p>
        </w:tc>
      </w:tr>
      <w:tr>
        <w:trPr>
          <w:trHeight w:val="430"/>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 in the event that any such review reveals that [***] (i) [***] and/or (ii) [***], then</w:t>
            </w:r>
          </w:p>
        </w:tc>
      </w:tr>
      <w:tr>
        <w:trPr>
          <w:trHeight w:val="258"/>
        </w:trPr>
        <w:tc>
          <w:tcPr>
            <w:tcW w:w="8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7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(each,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-1031875</wp:posOffset>
            </wp:positionV>
            <wp:extent cx="8890" cy="58635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9">
                      <a:extLst>
                        <a:ext uri="{28A0092B-C50C-407E-A947-70E740481C1C}"/>
                      </a:extLst>
                    </a:blip>
                    <a:srcRect/>
                    <a:stretch>
                      <a:fillRect/>
                    </a:stretch>
                  </pic:blipFill>
                  <pic:spPr bwMode="auto">
                    <a:xfrm>
                      <a:off x="0" y="0"/>
                      <a:ext cx="8890" cy="586359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-1031875</wp:posOffset>
            </wp:positionV>
            <wp:extent cx="8255" cy="5863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0">
                      <a:extLst>
                        <a:ext uri="{28A0092B-C50C-407E-A947-70E740481C1C}"/>
                      </a:extLst>
                    </a:blip>
                    <a:srcRect/>
                    <a:stretch>
                      <a:fillRect/>
                    </a:stretch>
                  </pic:blipFill>
                  <pic:spPr bwMode="auto">
                    <a:xfrm>
                      <a:off x="0" y="0"/>
                      <a:ext cx="8255" cy="5863590"/>
                    </a:xfrm>
                    <a:prstGeom prst="rect">
                      <a:avLst/>
                    </a:prstGeom>
                    <a:noFill/>
                  </pic:spPr>
                </pic:pic>
              </a:graphicData>
            </a:graphic>
          </wp:anchor>
        </w:drawing>
      </w:r>
    </w:p>
    <w:p>
      <w:pPr>
        <w:spacing w:after="0" w:line="18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multiplied by</w:t>
      </w:r>
    </w:p>
    <w:p>
      <w:pPr>
        <w:spacing w:after="0" w:line="21" w:lineRule="exact"/>
        <w:rPr>
          <w:sz w:val="20"/>
          <w:szCs w:val="20"/>
          <w:color w:val="auto"/>
        </w:rPr>
      </w:pPr>
    </w:p>
    <w:p>
      <w:pPr>
        <w:ind w:left="4380" w:hanging="470"/>
        <w:spacing w:after="0"/>
        <w:tabs>
          <w:tab w:leader="none" w:pos="43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or</w:t>
      </w:r>
    </w:p>
    <w:p>
      <w:pPr>
        <w:ind w:left="4380" w:hanging="470"/>
        <w:spacing w:after="0"/>
        <w:tabs>
          <w:tab w:leader="none" w:pos="43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(ii) [***].</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Unless [***]</w:t>
      </w:r>
    </w:p>
    <w:p>
      <w:pPr>
        <w:spacing w:after="0" w:line="229" w:lineRule="exact"/>
        <w:rPr>
          <w:sz w:val="20"/>
          <w:szCs w:val="20"/>
          <w:color w:val="auto"/>
        </w:rPr>
      </w:pPr>
    </w:p>
    <w:p>
      <w:pPr>
        <w:ind w:left="3880" w:right="200" w:firstLine="41"/>
        <w:spacing w:after="0" w:line="269" w:lineRule="auto"/>
        <w:tabs>
          <w:tab w:leader="none" w:pos="421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support of Section 8(2) of this Annex 1 above, the following formula shall apply, to calculate [***]:</w:t>
      </w:r>
    </w:p>
    <w:p>
      <w:pPr>
        <w:spacing w:after="0" w:line="173" w:lineRule="exact"/>
        <w:rPr>
          <w:sz w:val="20"/>
          <w:szCs w:val="20"/>
          <w:color w:val="auto"/>
        </w:rPr>
      </w:pPr>
    </w:p>
    <w:p>
      <w:pPr>
        <w:jc w:val="center"/>
        <w:ind w:left="3740"/>
        <w:spacing w:after="0"/>
        <w:rPr>
          <w:sz w:val="20"/>
          <w:szCs w:val="20"/>
          <w:color w:val="auto"/>
        </w:rPr>
      </w:pPr>
      <w:r>
        <w:rPr>
          <w:rFonts w:ascii="Times New Roman" w:cs="Times New Roman" w:eastAsia="Times New Roman" w:hAnsi="Times New Roman"/>
          <w:sz w:val="20"/>
          <w:szCs w:val="20"/>
          <w:color w:val="auto"/>
        </w:rPr>
        <w:t>Average Weighted Batch Price means [***].</w:t>
      </w:r>
    </w:p>
    <w:p>
      <w:pPr>
        <w:spacing w:after="0" w:line="229" w:lineRule="exact"/>
        <w:rPr>
          <w:sz w:val="20"/>
          <w:szCs w:val="20"/>
          <w:color w:val="auto"/>
        </w:rPr>
      </w:pPr>
    </w:p>
    <w:p>
      <w:pPr>
        <w:ind w:left="4800" w:hanging="455"/>
        <w:spacing w:after="0"/>
        <w:tabs>
          <w:tab w:leader="none" w:pos="48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18"/>
          <w:szCs w:val="18"/>
          <w:color w:val="auto"/>
        </w:rPr>
      </w:pPr>
    </w:p>
    <w:p>
      <w:pPr>
        <w:ind w:left="4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and/or</w:t>
      </w:r>
    </w:p>
    <w:p>
      <w:pPr>
        <w:ind w:left="4800" w:hanging="455"/>
        <w:spacing w:after="0"/>
        <w:tabs>
          <w:tab w:leader="none" w:pos="48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and/or [***]</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5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and/or</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tcPr>
          <w:p>
            <w:pPr>
              <w:jc w:val="right"/>
              <w:ind w:right="5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7"/>
        </w:trPr>
        <w:tc>
          <w:tcPr>
            <w:tcW w:w="8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and</w:t>
            </w:r>
          </w:p>
        </w:tc>
        <w:tc>
          <w:tcPr>
            <w:tcW w:w="6520" w:type="dxa"/>
            <w:vAlign w:val="bottom"/>
            <w:vMerge w:val="restart"/>
          </w:tcPr>
          <w:p>
            <w:pPr>
              <w:jc w:val="right"/>
              <w:ind w:right="59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(4) Unless specified otherwise in the Agreement, ASCENDIS shall [***]. However,</w:t>
            </w: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6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75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9</w:t>
            </w:r>
          </w:p>
        </w:tc>
        <w:tc>
          <w:tcPr>
            <w:tcW w:w="28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FREEDOM OF FILLING DAY</w:t>
            </w: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Based on the information provided in the Monthly Rolling Forecast, Vetter International</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2820" w:type="dxa"/>
            <w:vAlign w:val="bottom"/>
          </w:tcPr>
          <w:p>
            <w:pPr>
              <w:spacing w:after="0"/>
              <w:rPr>
                <w:sz w:val="19"/>
                <w:szCs w:val="19"/>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shall schedule the Manufacture and confirm Delivery Dates, in accordance with Section</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820" w:type="dxa"/>
            <w:vAlign w:val="bottom"/>
          </w:tcPr>
          <w:p>
            <w:pPr>
              <w:spacing w:after="0"/>
              <w:rPr>
                <w:sz w:val="19"/>
                <w:szCs w:val="19"/>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6(3) of this Annex 1. Filling days shall be communicated to ASCENDIS. Vetter</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right w:val="single" w:sz="8" w:color="auto"/>
            </w:tcBorders>
          </w:tcPr>
          <w:p>
            <w:pPr>
              <w:spacing w:after="0"/>
              <w:rPr>
                <w:sz w:val="19"/>
                <w:szCs w:val="19"/>
                <w:color w:val="auto"/>
              </w:rPr>
            </w:pPr>
          </w:p>
        </w:tc>
        <w:tc>
          <w:tcPr>
            <w:tcW w:w="2820" w:type="dxa"/>
            <w:vAlign w:val="bottom"/>
          </w:tcPr>
          <w:p>
            <w:pPr>
              <w:spacing w:after="0"/>
              <w:rPr>
                <w:sz w:val="19"/>
                <w:szCs w:val="19"/>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International shall always try to prioritize Purchase Orders with critical shelf life and</w:t>
            </w:r>
          </w:p>
        </w:tc>
        <w:tc>
          <w:tcPr>
            <w:tcW w:w="0" w:type="dxa"/>
            <w:vAlign w:val="bottom"/>
          </w:tcPr>
          <w:p>
            <w:pPr>
              <w:spacing w:after="0"/>
              <w:rPr>
                <w:sz w:val="1"/>
                <w:szCs w:val="1"/>
                <w:color w:val="auto"/>
              </w:rPr>
            </w:pPr>
          </w:p>
        </w:tc>
      </w:tr>
      <w:tr>
        <w:trPr>
          <w:trHeight w:val="258"/>
        </w:trPr>
        <w:tc>
          <w:tcPr>
            <w:tcW w:w="880" w:type="dxa"/>
            <w:vAlign w:val="bottom"/>
            <w:tcBorders>
              <w:left w:val="single" w:sz="8" w:color="auto"/>
              <w:right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6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10</w:t>
            </w:r>
          </w:p>
        </w:tc>
        <w:tc>
          <w:tcPr>
            <w:tcW w:w="2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BATCH SIZE</w:t>
            </w:r>
          </w:p>
        </w:tc>
        <w:tc>
          <w:tcPr>
            <w:tcW w:w="10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spacing w:after="0"/>
              <w:rPr>
                <w:sz w:val="19"/>
                <w:szCs w:val="19"/>
                <w:color w:val="auto"/>
              </w:rPr>
            </w:pPr>
          </w:p>
        </w:tc>
        <w:tc>
          <w:tcPr>
            <w:tcW w:w="7460" w:type="dxa"/>
            <w:vAlign w:val="bottom"/>
            <w:tcBorders>
              <w:top w:val="single" w:sz="8" w:color="auto"/>
              <w:righ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The Monthly Rolling Forecast model used under this Agreement is designed for</w:t>
            </w:r>
          </w:p>
        </w:tc>
      </w:tr>
      <w:tr>
        <w:trPr>
          <w:trHeight w:val="249"/>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ordering and forecasting within the validated range of the Product batches.</w:t>
            </w:r>
          </w:p>
        </w:tc>
      </w:tr>
      <w:tr>
        <w:trPr>
          <w:trHeight w:val="433"/>
        </w:trPr>
        <w:tc>
          <w:tcPr>
            <w:tcW w:w="880" w:type="dxa"/>
            <w:vAlign w:val="bottom"/>
            <w:tcBorders>
              <w:right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11</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INVENTORY, SAFETY</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 Based on the monthly Monthly Rolling Forecast (and, to the extent commercially</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STOCK</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practicable, on such revised or updated Monthly Rolling Forecasts), [***] (for clarity,</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Vetter International shall maintain a stock of Sourced Materials (“Inventory”) in</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quantities sufficient for the Manufacture of (i) the quantities of Product set forth for all</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calendar months of the Binding Period; plus (ii) [***] of the Annual Demand (as set</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forth in the current Vetter International accepted Long Range Forecast). The Inventory</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shall be discussed during the business review meeting. If it has been determined by the</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business review meeting additional Inventory is required [***]. Any such additional</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Inventory shall [***].(2) If, and to the extent that, Sourced Materials procured by Vetter</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International in accordance with this Annex 1 should become obsolete or unfit for the</w:t>
            </w:r>
          </w:p>
        </w:tc>
      </w:tr>
      <w:tr>
        <w:trPr>
          <w:trHeight w:val="230"/>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Manufacture of Products, due to (i) [***]; (ii) [***]; (iii) [***]; (iv) [***]; (v) [***]</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and/or (vi) expiry or termination of this Agreement (not attributed to [***]), and [***],</w:t>
            </w:r>
          </w:p>
        </w:tc>
      </w:tr>
      <w:tr>
        <w:trPr>
          <w:trHeight w:val="252"/>
        </w:trPr>
        <w:tc>
          <w:tcPr>
            <w:tcW w:w="88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spacing w:after="0"/>
              <w:rPr>
                <w:sz w:val="21"/>
                <w:szCs w:val="21"/>
                <w:color w:val="auto"/>
              </w:rPr>
            </w:pP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 will use [***] to mitigate the costs (e.g. [***]).</w:t>
            </w:r>
          </w:p>
        </w:tc>
      </w:tr>
      <w:tr>
        <w:trPr>
          <w:trHeight w:val="200"/>
        </w:trPr>
        <w:tc>
          <w:tcPr>
            <w:tcW w:w="880" w:type="dxa"/>
            <w:vAlign w:val="bottom"/>
            <w:tcBorders>
              <w:right w:val="single" w:sz="8" w:color="auto"/>
            </w:tcBorders>
          </w:tcPr>
          <w:p>
            <w:pPr>
              <w:jc w:val="right"/>
              <w:ind w:right="461"/>
              <w:spacing w:after="0" w:line="200" w:lineRule="exact"/>
              <w:rPr>
                <w:sz w:val="20"/>
                <w:szCs w:val="20"/>
                <w:color w:val="auto"/>
              </w:rPr>
            </w:pPr>
            <w:r>
              <w:rPr>
                <w:rFonts w:ascii="Times New Roman" w:cs="Times New Roman" w:eastAsia="Times New Roman" w:hAnsi="Times New Roman"/>
                <w:sz w:val="20"/>
                <w:szCs w:val="20"/>
                <w:color w:val="auto"/>
              </w:rPr>
              <w:t>12</w:t>
            </w:r>
          </w:p>
        </w:tc>
        <w:tc>
          <w:tcPr>
            <w:tcW w:w="290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If a late delivery without having a safety stock results in the loss of a filling slot, it will be</w:t>
            </w:r>
          </w:p>
        </w:tc>
      </w:tr>
      <w:tr>
        <w:trPr>
          <w:trHeight w:val="229"/>
        </w:trPr>
        <w:tc>
          <w:tcPr>
            <w:tcW w:w="880" w:type="dxa"/>
            <w:vAlign w:val="bottom"/>
            <w:tcBorders>
              <w:right w:val="single" w:sz="8" w:color="auto"/>
            </w:tcBorders>
          </w:tcPr>
          <w:p>
            <w:pPr>
              <w:spacing w:after="0"/>
              <w:rPr>
                <w:sz w:val="19"/>
                <w:szCs w:val="19"/>
                <w:color w:val="auto"/>
              </w:rPr>
            </w:pP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LATE DELIVERTY ASCENDIS</w:t>
            </w:r>
          </w:p>
        </w:tc>
        <w:tc>
          <w:tcPr>
            <w:tcW w:w="7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considered as [***], or [***] hereunder, and shall be subject to [***].</w:t>
            </w:r>
          </w:p>
        </w:tc>
      </w:tr>
      <w:tr>
        <w:trPr>
          <w:trHeight w:val="252"/>
        </w:trPr>
        <w:tc>
          <w:tcPr>
            <w:tcW w:w="880" w:type="dxa"/>
            <w:vAlign w:val="bottom"/>
            <w:tcBorders>
              <w:bottom w:val="single" w:sz="8" w:color="auto"/>
              <w:right w:val="single" w:sz="8" w:color="auto"/>
            </w:tcBorders>
          </w:tcPr>
          <w:p>
            <w:pPr>
              <w:spacing w:after="0"/>
              <w:rPr>
                <w:sz w:val="21"/>
                <w:szCs w:val="21"/>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MATERIALS</w:t>
            </w:r>
          </w:p>
        </w:tc>
        <w:tc>
          <w:tcPr>
            <w:tcW w:w="7460" w:type="dxa"/>
            <w:vAlign w:val="bottom"/>
            <w:tcBorders>
              <w:bottom w:val="single" w:sz="8" w:color="auto"/>
              <w:right w:val="single" w:sz="8" w:color="auto"/>
            </w:tcBorders>
          </w:tcPr>
          <w:p>
            <w:pPr>
              <w:spacing w:after="0"/>
              <w:rPr>
                <w:sz w:val="21"/>
                <w:szCs w:val="21"/>
                <w:color w:val="auto"/>
              </w:rPr>
            </w:pPr>
          </w:p>
        </w:tc>
      </w:tr>
      <w:tr>
        <w:trPr>
          <w:trHeight w:val="200"/>
        </w:trPr>
        <w:tc>
          <w:tcPr>
            <w:tcW w:w="880" w:type="dxa"/>
            <w:vAlign w:val="bottom"/>
            <w:tcBorders>
              <w:right w:val="single" w:sz="8" w:color="auto"/>
            </w:tcBorders>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746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revision of this Annex 1 shall require an amendment of Agreement, as provided in</w:t>
            </w:r>
          </w:p>
        </w:tc>
      </w:tr>
      <w:tr>
        <w:trPr>
          <w:trHeight w:val="252"/>
        </w:trPr>
        <w:tc>
          <w:tcPr>
            <w:tcW w:w="880" w:type="dxa"/>
            <w:vAlign w:val="bottom"/>
            <w:tcBorders>
              <w:bottom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13</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REVISION</w:t>
            </w:r>
          </w:p>
        </w:tc>
        <w:tc>
          <w:tcPr>
            <w:tcW w:w="7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and subject to Section 18(6) of the Agreement.</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1 Initial Long Range Forecast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 xml:space="preserve">Attachment 2: </w:t>
      </w:r>
      <w:r>
        <w:rPr>
          <w:rFonts w:ascii="Times New Roman" w:cs="Times New Roman" w:eastAsia="Times New Roman" w:hAnsi="Times New Roman"/>
          <w:sz w:val="19"/>
          <w:szCs w:val="19"/>
          <w:color w:val="auto"/>
        </w:rPr>
        <w:t>Detailed tolerances and visualized overview for the Pre-Launch Phase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Fig. 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Fig.3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5" w:name="page346"/>
    <w:bookmarkEnd w:id="345"/>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2: PRICES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5"/>
          <w:szCs w:val="25"/>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6" w:name="page347"/>
    <w:bookmarkEnd w:id="346"/>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3: EQUIPMENT</w:t>
      </w: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color w:val="auto"/>
        </w:rPr>
        <w:t>Equipment at Vetter owned by Ascendis Pharma: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2284730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7" w:name="page348"/>
    <w:bookmarkEnd w:id="347"/>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ANNEX 4: COMMERCIAL QUALITY AGREEMENT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1595755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4.25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line="269" w:lineRule="auto"/>
        <w:rPr>
          <w:sz w:val="20"/>
          <w:szCs w:val="20"/>
          <w:color w:val="auto"/>
        </w:rPr>
      </w:pPr>
      <w:r>
        <w:rPr>
          <w:rFonts w:ascii="Times New Roman" w:cs="Times New Roman" w:eastAsia="Times New Roman" w:hAnsi="Times New Roman"/>
          <w:sz w:val="20"/>
          <w:szCs w:val="20"/>
          <w:color w:val="auto"/>
        </w:rPr>
        <w:t>CERTAIN IDENTIFIED CONFIDENTIAL INFORMATION HAS BEEN REDACTED FROM THIS EXHIBIT BECAUSE IT IS (I) CUSTOMARILY AND ACTUALLY TREATED AS PRIVATE OR CONFIDENTIAL AND (II) NOT MATERIAL.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CONFIDENTIAL PORTIONS OF THIS EXHIBIT ARE DESIGNATED BY [***].</w:t>
      </w:r>
    </w:p>
    <w:p>
      <w:pPr>
        <w:spacing w:after="0" w:line="225"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0"/>
          <w:szCs w:val="20"/>
          <w:b w:val="1"/>
          <w:bCs w:val="1"/>
          <w:color w:val="auto"/>
        </w:rPr>
        <w:t xml:space="preserve">THIS AMENDMENT NUMBER 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of the Supply Agreement effective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2022 (such agreement,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between Ascendis Pharma A/S, a company duly organized and existing under the laws of Denmark, having its principal offices located at Tuborg Boulevard 12, 2900 Hellerup, Denmark (“Ascendis”), and Vetter Pharma International GmbH, a company duly organized and existing under the laws of Germany, having its principal offices located at Eywiesenstraße 5, 88212 Ravensburg, Germany (“Vetter”), with Ascendis and Vetter hereinafter individually also referred to as a “Party” and collectively as the “Parties”,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WITNESSETH: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accordance with Article 17 (6) (</w:t>
      </w: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the Parties wish to amend the Agreement on the terms set forth herein;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in consideration of the premises and of the mutual covenants and agreements set forth above and below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and in the Agreement, subject to the terms and conditions hereof, each Party as follows: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1:AMENDMENTS</w:t>
      </w:r>
    </w:p>
    <w:p>
      <w:pPr>
        <w:spacing w:after="0" w:line="228" w:lineRule="exact"/>
        <w:rPr>
          <w:sz w:val="20"/>
          <w:szCs w:val="20"/>
          <w:color w:val="auto"/>
        </w:rPr>
      </w:pPr>
    </w:p>
    <w:p>
      <w:pPr>
        <w:ind w:left="760" w:right="220" w:hanging="378"/>
        <w:spacing w:after="0" w:line="228" w:lineRule="auto"/>
        <w:tabs>
          <w:tab w:leader="none" w:pos="7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2024 Annex 2 of the Agreement shall be deemed null and void and shall be replaced by the attached Exhibit (Annex 2).</w:t>
      </w:r>
    </w:p>
    <w:p>
      <w:pPr>
        <w:spacing w:after="0" w:line="19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as of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2024, Section 9 (6) shall be deemed null and void and shall be replaced by the following:</w:t>
      </w:r>
    </w:p>
    <w:p>
      <w:pPr>
        <w:spacing w:after="0" w:line="157" w:lineRule="exact"/>
        <w:rPr>
          <w:sz w:val="20"/>
          <w:szCs w:val="20"/>
          <w:color w:val="auto"/>
        </w:rPr>
      </w:pPr>
    </w:p>
    <w:p>
      <w:pPr>
        <w:ind w:left="380" w:right="60"/>
        <w:spacing w:after="0" w:line="236" w:lineRule="exact"/>
        <w:rPr>
          <w:sz w:val="20"/>
          <w:szCs w:val="20"/>
          <w:color w:val="auto"/>
        </w:rPr>
      </w:pPr>
      <w:r>
        <w:rPr>
          <w:rFonts w:ascii="Times New Roman" w:cs="Times New Roman" w:eastAsia="Times New Roman" w:hAnsi="Times New Roman"/>
          <w:sz w:val="20"/>
          <w:szCs w:val="20"/>
          <w:i w:val="1"/>
          <w:iCs w:val="1"/>
          <w:color w:val="auto"/>
        </w:rPr>
        <w:t>“Payments. Without undue delay, Vetter International shall issue an invoice upon [***] or, in case of Product not yet Final Released, Vetter International shall be entitled to invoice [***]. Payments shall be made in Euros and due [***] of the invoice date (receipt of readily available funds by Vetter International) [***]. After such time period the payments shall be made [***] and due [***] of the invoice date. If Ascendis pays later than [***] of receipt of the invoice, Vetter International shall be entitled to interest of the invoiced amount of [***] (except when payment is subject to a good</w:t>
      </w:r>
      <w:r>
        <w:rPr>
          <w:rFonts w:ascii="MS PGothic" w:cs="MS PGothic" w:eastAsia="MS PGothic" w:hAnsi="MS PGothic"/>
          <w:sz w:val="20"/>
          <w:szCs w:val="20"/>
          <w:i w:val="1"/>
          <w:iCs w:val="1"/>
          <w:color w:val="auto"/>
        </w:rPr>
        <w:t>‑</w:t>
      </w:r>
      <w:r>
        <w:rPr>
          <w:rFonts w:ascii="Times New Roman" w:cs="Times New Roman" w:eastAsia="Times New Roman" w:hAnsi="Times New Roman"/>
          <w:sz w:val="20"/>
          <w:szCs w:val="20"/>
          <w:i w:val="1"/>
          <w:iCs w:val="1"/>
          <w:color w:val="auto"/>
        </w:rPr>
        <w:t>faith resolution of any dispute). Ascendis shall add such interest, accumulated in accordance with this Article as of the time of payment due, to the invoiced amount and include such with the payment by Ascendis.”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2:MISCELLANEOUS</w:t>
      </w:r>
    </w:p>
    <w:p>
      <w:pPr>
        <w:spacing w:after="0" w:line="216" w:lineRule="exact"/>
        <w:rPr>
          <w:sz w:val="20"/>
          <w:szCs w:val="20"/>
          <w:color w:val="auto"/>
        </w:rPr>
      </w:pPr>
    </w:p>
    <w:p>
      <w:pPr>
        <w:ind w:left="760" w:right="80" w:hanging="378"/>
        <w:spacing w:after="0" w:line="249" w:lineRule="auto"/>
        <w:tabs>
          <w:tab w:leader="none" w:pos="76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not defined herein shall have the same meanings as specified in the Agreement, unless the context otherwise requires. A reference herein to an Article is to an Article of the Agreement, unless the context otherwise requires. Each reference to the term Agreement, in the Agreement, shall be deemed to be a reference to the Agreement as amended or supplemented by this Amendment, unless the context otherwise requires.</w:t>
      </w:r>
    </w:p>
    <w:p>
      <w:pPr>
        <w:spacing w:after="0" w:line="179" w:lineRule="exact"/>
        <w:rPr>
          <w:rFonts w:ascii="Times New Roman" w:cs="Times New Roman" w:eastAsia="Times New Roman" w:hAnsi="Times New Roman"/>
          <w:sz w:val="20"/>
          <w:szCs w:val="20"/>
          <w:color w:val="auto"/>
        </w:rPr>
      </w:pPr>
    </w:p>
    <w:p>
      <w:pPr>
        <w:ind w:left="760" w:right="100" w:hanging="378"/>
        <w:spacing w:after="0" w:line="269" w:lineRule="auto"/>
        <w:tabs>
          <w:tab w:leader="none" w:pos="76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modified by this Amendment, any and all terms and conditions of the Agreement shall remain in full force and effect and shall be applicable to this Amendment.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9" w:name="page350"/>
    <w:bookmarkEnd w:id="349"/>
    <w:p>
      <w:pPr>
        <w:jc w:val="center"/>
        <w:ind w:right="-159"/>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avoidance of doubt, anything which is not covered in this Amendment, shall be subject to the provisions of the Agreement.</w:t>
      </w:r>
    </w:p>
    <w:p>
      <w:pPr>
        <w:spacing w:after="0" w:line="216" w:lineRule="exact"/>
        <w:rPr>
          <w:sz w:val="20"/>
          <w:szCs w:val="20"/>
          <w:color w:val="auto"/>
        </w:rPr>
      </w:pPr>
    </w:p>
    <w:p>
      <w:pPr>
        <w:ind w:left="760" w:right="20" w:hanging="378"/>
        <w:spacing w:after="0" w:line="254" w:lineRule="auto"/>
        <w:tabs>
          <w:tab w:leader="none" w:pos="7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(including [***]) together with this Amendment, constitutes the entire agreement between the Parties with respect to Production of the Product by Vetter and supersedes in all respects all prior proposals, negotiations, conversations, discussions and agreements between the Parties in respect thereof.</w:t>
      </w:r>
    </w:p>
    <w:p>
      <w:pPr>
        <w:spacing w:after="0" w:line="170"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16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xml:space="preserve">) and Article 17 (12) </w:t>
      </w:r>
      <w:r>
        <w:rPr>
          <w:rFonts w:ascii="Times New Roman" w:cs="Times New Roman" w:eastAsia="Times New Roman" w:hAnsi="Times New Roman"/>
          <w:sz w:val="20"/>
          <w:szCs w:val="20"/>
          <w:i w:val="1"/>
          <w:iCs w:val="1"/>
          <w:color w:val="auto"/>
        </w:rPr>
        <w:t>(Dispute Resolution, Governing Law)</w:t>
      </w:r>
      <w:r>
        <w:rPr>
          <w:rFonts w:ascii="Times New Roman" w:cs="Times New Roman" w:eastAsia="Times New Roman" w:hAnsi="Times New Roman"/>
          <w:sz w:val="20"/>
          <w:szCs w:val="20"/>
          <w:color w:val="auto"/>
        </w:rPr>
        <w:t xml:space="preserve"> shall be deemed incorporated into this Amendment by this reference, save that any reference in any such Article to “</w:t>
      </w:r>
      <w:r>
        <w:rPr>
          <w:rFonts w:ascii="Times New Roman" w:cs="Times New Roman" w:eastAsia="Times New Roman" w:hAnsi="Times New Roman"/>
          <w:sz w:val="20"/>
          <w:szCs w:val="20"/>
          <w:i w:val="1"/>
          <w:iCs w:val="1"/>
          <w:color w:val="auto"/>
        </w:rPr>
        <w:t>this Agreement</w:t>
      </w:r>
      <w:r>
        <w:rPr>
          <w:rFonts w:ascii="Times New Roman" w:cs="Times New Roman" w:eastAsia="Times New Roman" w:hAnsi="Times New Roman"/>
          <w:sz w:val="20"/>
          <w:szCs w:val="20"/>
          <w:color w:val="auto"/>
        </w:rPr>
        <w:t>” shall be deemed to be a reference to this Amendment.</w:t>
      </w:r>
    </w:p>
    <w:p>
      <w:pPr>
        <w:spacing w:after="0" w:line="1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Page remainder left blank intentionally, immediately followed by the signatures page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—CONFIDENTIAL—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|US-DOCS\156379683.3||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5" w:right="499" w:bottom="1440" w:gutter="0" w:footer="0" w:header="0"/>
        </w:sectPr>
      </w:pPr>
    </w:p>
    <w:bookmarkStart w:id="350" w:name="page351"/>
    <w:bookmarkEnd w:id="350"/>
    <w:p>
      <w:pPr>
        <w:jc w:val="center"/>
        <w:ind w:right="-419"/>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1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duly authorized representatives of each of the Parties have on the days and year at the places below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this Amendment to be effective on the respective dates as set forth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ASCENDIS PHARMA A/S</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399"/>
        </w:trPr>
        <w:tc>
          <w:tcPr>
            <w:tcW w:w="31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Hellerup, Denmark, dated April</w:t>
            </w: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(month) 08</w:t>
            </w:r>
          </w:p>
        </w:tc>
        <w:tc>
          <w:tcPr>
            <w:tcW w:w="2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(day), 2024</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6"/>
        </w:trPr>
        <w:tc>
          <w:tcPr>
            <w:tcW w:w="31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(signed) /s/Michael Wolff Jensen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5"/>
        </w:trPr>
        <w:tc>
          <w:tcPr>
            <w:tcW w:w="23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Name: Michael Wolff Jensen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5"/>
        </w:trPr>
        <w:tc>
          <w:tcPr>
            <w:tcW w:w="31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Title: EVP &amp; Chief Legal Officer</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904"/>
        </w:trPr>
        <w:tc>
          <w:tcPr>
            <w:tcW w:w="436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VETTER PHARMA INTERNATIONAL GMBH</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9"/>
        </w:trPr>
        <w:tc>
          <w:tcPr>
            <w:tcW w:w="318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Ravensburg, Germany, dated April</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(month) 08   (day), 2024</w:t>
            </w:r>
          </w:p>
        </w:tc>
      </w:tr>
      <w:tr>
        <w:trPr>
          <w:trHeight w:val="20"/>
        </w:trPr>
        <w:tc>
          <w:tcPr>
            <w:tcW w:w="1980" w:type="dxa"/>
            <w:vAlign w:val="bottom"/>
            <w:gridSpan w:val="4"/>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6"/>
        </w:trPr>
        <w:tc>
          <w:tcPr>
            <w:tcW w:w="2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(signed) /s/Christine Fuerst</w:t>
            </w:r>
          </w:p>
        </w:tc>
        <w:tc>
          <w:tcPr>
            <w:tcW w:w="400" w:type="dxa"/>
            <w:vAlign w:val="bottom"/>
          </w:tcPr>
          <w:p>
            <w:pPr>
              <w:spacing w:after="0"/>
              <w:rPr>
                <w:sz w:val="24"/>
                <w:szCs w:val="24"/>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(signed) /s/Nicolai Lehmann</w:t>
            </w:r>
          </w:p>
        </w:tc>
      </w:tr>
      <w:tr>
        <w:trPr>
          <w:trHeight w:val="20"/>
        </w:trPr>
        <w:tc>
          <w:tcPr>
            <w:tcW w:w="700" w:type="dxa"/>
            <w:vAlign w:val="bottom"/>
            <w:gridSpan w:val="3"/>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5"/>
        </w:trPr>
        <w:tc>
          <w:tcPr>
            <w:tcW w:w="23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Name: Christine Fuerst</w:t>
            </w:r>
          </w:p>
        </w:tc>
        <w:tc>
          <w:tcPr>
            <w:tcW w:w="198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Name: Nicolai Lehmann</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426"/>
        </w:trPr>
        <w:tc>
          <w:tcPr>
            <w:tcW w:w="436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Title: Sr. Director Key Account Management Europe</w:t>
            </w:r>
          </w:p>
        </w:tc>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Key Account Manager</w:t>
            </w: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—CONFIDENTIAL—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|US-DOCS\156379683.3||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765" w:right="759" w:bottom="1440" w:gutter="0" w:footer="0" w:header="0"/>
        </w:sectPr>
      </w:pPr>
    </w:p>
    <w:bookmarkStart w:id="351" w:name="page352"/>
    <w:bookmarkEnd w:id="351"/>
    <w:p>
      <w:pPr>
        <w:ind w:left="558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2: PRICES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20"/>
          <w:szCs w:val="20"/>
          <w:color w:val="auto"/>
        </w:rPr>
        <w:t>—CONFIDENTIAL—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|US-DOCS\156379683.3||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8"/>
          <w:szCs w:val="18"/>
          <w:b w:val="1"/>
          <w:bCs w:val="1"/>
          <w:color w:val="auto"/>
        </w:rPr>
        <w:t>Exhibit 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354330</wp:posOffset>
            </wp:positionV>
            <wp:extent cx="1474470" cy="4972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1">
                      <a:extLst>
                        <a:ext uri="{28A0092B-C50C-407E-A947-70E740481C1C}"/>
                      </a:extLst>
                    </a:blip>
                    <a:srcRect/>
                    <a:stretch>
                      <a:fillRect/>
                    </a:stretch>
                  </pic:blipFill>
                  <pic:spPr bwMode="auto">
                    <a:xfrm>
                      <a:off x="0" y="0"/>
                      <a:ext cx="14744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WARRANT CERTIFICATE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(non-negotiable instrument)</w:t>
      </w:r>
    </w:p>
    <w:p>
      <w:pPr>
        <w:spacing w:after="0" w:line="200" w:lineRule="exact"/>
        <w:rPr>
          <w:sz w:val="20"/>
          <w:szCs w:val="20"/>
          <w:color w:val="auto"/>
        </w:rPr>
      </w:pPr>
    </w:p>
    <w:p>
      <w:pPr>
        <w:spacing w:after="0" w:line="299"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Ascendis Pharma A/S (cvr.no. 2991 8791), with its principal business address at Tuborg Boulevard 12, DK-2900 Hellerup, Denmark (hereinafter referred to as “Ascendis Pharma”), has on 09/12/2021 issued this Warrant Certificate to</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NAME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0"/>
          <w:szCs w:val="20"/>
          <w:color w:val="auto"/>
        </w:rPr>
        <w:t>(hereinafter referred to as the “Warrantholder”)</w:t>
      </w:r>
    </w:p>
    <w:p>
      <w:pPr>
        <w:spacing w:after="0" w:line="135" w:lineRule="exact"/>
        <w:rPr>
          <w:sz w:val="20"/>
          <w:szCs w:val="20"/>
          <w:color w:val="auto"/>
        </w:rPr>
      </w:pPr>
    </w:p>
    <w:p>
      <w:pPr>
        <w:jc w:val="both"/>
        <w:ind w:right="100" w:firstLine="55"/>
        <w:spacing w:after="0" w:line="241" w:lineRule="auto"/>
        <w:rPr>
          <w:sz w:val="20"/>
          <w:szCs w:val="20"/>
          <w:color w:val="auto"/>
        </w:rPr>
      </w:pPr>
      <w:r>
        <w:rPr>
          <w:rFonts w:ascii="Arial" w:cs="Arial" w:eastAsia="Arial" w:hAnsi="Arial"/>
          <w:sz w:val="20"/>
          <w:szCs w:val="20"/>
          <w:color w:val="auto"/>
        </w:rPr>
        <w:t>whereby the Warrantholder without payment has received and accepted allocation of 1,636 warrants, which confer the right to subscribe [number] ordinary shares in Ascendis Pharma at a subscription price of US$ [price] per ordinary share with a nominal value of DKK 1.</w:t>
      </w:r>
    </w:p>
    <w:p>
      <w:pPr>
        <w:spacing w:after="0" w:line="90" w:lineRule="exact"/>
        <w:rPr>
          <w:sz w:val="20"/>
          <w:szCs w:val="20"/>
          <w:color w:val="auto"/>
        </w:rPr>
      </w:pPr>
    </w:p>
    <w:p>
      <w:pPr>
        <w:ind w:right="660" w:firstLine="55"/>
        <w:spacing w:after="0" w:line="257" w:lineRule="auto"/>
        <w:rPr>
          <w:sz w:val="20"/>
          <w:szCs w:val="20"/>
          <w:color w:val="auto"/>
        </w:rPr>
      </w:pPr>
      <w:r>
        <w:rPr>
          <w:rFonts w:ascii="Arial" w:cs="Arial" w:eastAsia="Arial" w:hAnsi="Arial"/>
          <w:sz w:val="20"/>
          <w:szCs w:val="20"/>
          <w:color w:val="auto"/>
        </w:rPr>
        <w:t>The other terms applying to the warrants have been set forth in Ascendis Pharma’s articles of association clause 4a with appendix 1a, which can be found under "Documents" in the USD Portal.</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20"/>
          <w:szCs w:val="20"/>
          <w:color w:val="auto"/>
        </w:rPr>
        <w:t>Hellerup, xx/xx/202x</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Albert Cha</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Albert Cha,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1249680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91"/>
        </w:trPr>
        <w:tc>
          <w:tcPr>
            <w:tcW w:w="20" w:type="dxa"/>
            <w:vAlign w:val="bottom"/>
          </w:tcPr>
          <w:p>
            <w:pPr>
              <w:spacing w:after="0"/>
              <w:rPr>
                <w:sz w:val="16"/>
                <w:szCs w:val="16"/>
                <w:color w:val="auto"/>
              </w:rPr>
            </w:pPr>
          </w:p>
        </w:tc>
        <w:tc>
          <w:tcPr>
            <w:tcW w:w="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Ascendis</w:t>
            </w:r>
          </w:p>
        </w:tc>
        <w:tc>
          <w:tcPr>
            <w:tcW w:w="8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Pharma GmbH</w:t>
            </w: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GmbH</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Inc.</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Inc.</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USA</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Ophthalmology Division A/S</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Division A/S</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Bone Diseases A/S</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Growth Disorders A/S</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Oncology Division A/S</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Europe A/S</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UK, Limited</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Iberia S.L.</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France SASU</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Italia SRL</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Sverige AB</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34"/>
        </w:trPr>
        <w:tc>
          <w:tcPr>
            <w:tcW w:w="2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Switzerland GmbH</w:t>
            </w:r>
          </w:p>
        </w:tc>
        <w:tc>
          <w:tcPr>
            <w:tcW w:w="1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184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008EB0"/>
        </w:rPr>
        <w:t>Contents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1</w:t>
            </w:r>
          </w:p>
        </w:tc>
        <w:tc>
          <w:tcPr>
            <w:tcW w:w="7780" w:type="dxa"/>
            <w:vAlign w:val="bottom"/>
          </w:tcPr>
          <w:p>
            <w:pPr>
              <w:ind w:left="500"/>
              <w:spacing w:after="0"/>
              <w:rPr>
                <w:sz w:val="20"/>
                <w:szCs w:val="20"/>
                <w:color w:val="auto"/>
              </w:rPr>
            </w:pPr>
            <w:r>
              <w:rPr>
                <w:rFonts w:ascii="Arial" w:cs="Arial" w:eastAsia="Arial" w:hAnsi="Arial"/>
                <w:sz w:val="18"/>
                <w:szCs w:val="18"/>
                <w:color w:val="auto"/>
              </w:rPr>
              <w:t>Purpose</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2</w:t>
            </w:r>
          </w:p>
        </w:tc>
        <w:tc>
          <w:tcPr>
            <w:tcW w:w="7780" w:type="dxa"/>
            <w:vAlign w:val="bottom"/>
          </w:tcPr>
          <w:p>
            <w:pPr>
              <w:ind w:left="500"/>
              <w:spacing w:after="0"/>
              <w:rPr>
                <w:sz w:val="20"/>
                <w:szCs w:val="20"/>
                <w:color w:val="auto"/>
              </w:rPr>
            </w:pPr>
            <w:r>
              <w:rPr>
                <w:rFonts w:ascii="Arial" w:cs="Arial" w:eastAsia="Arial" w:hAnsi="Arial"/>
                <w:sz w:val="18"/>
                <w:szCs w:val="18"/>
                <w:color w:val="auto"/>
              </w:rPr>
              <w:t>Scope &amp; Definitions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3</w:t>
            </w:r>
          </w:p>
        </w:tc>
        <w:tc>
          <w:tcPr>
            <w:tcW w:w="7780" w:type="dxa"/>
            <w:vAlign w:val="bottom"/>
          </w:tcPr>
          <w:p>
            <w:pPr>
              <w:ind w:left="500"/>
              <w:spacing w:after="0"/>
              <w:rPr>
                <w:sz w:val="20"/>
                <w:szCs w:val="20"/>
                <w:color w:val="auto"/>
              </w:rPr>
            </w:pPr>
            <w:r>
              <w:rPr>
                <w:rFonts w:ascii="Arial" w:cs="Arial" w:eastAsia="Arial" w:hAnsi="Arial"/>
                <w:sz w:val="18"/>
                <w:szCs w:val="18"/>
                <w:color w:val="auto"/>
              </w:rPr>
              <w:t>Applicability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4</w:t>
            </w:r>
          </w:p>
        </w:tc>
        <w:tc>
          <w:tcPr>
            <w:tcW w:w="7780" w:type="dxa"/>
            <w:vAlign w:val="bottom"/>
          </w:tcPr>
          <w:p>
            <w:pPr>
              <w:ind w:left="500"/>
              <w:spacing w:after="0"/>
              <w:rPr>
                <w:sz w:val="20"/>
                <w:szCs w:val="20"/>
                <w:color w:val="auto"/>
              </w:rPr>
            </w:pPr>
            <w:r>
              <w:rPr>
                <w:rFonts w:ascii="Arial" w:cs="Arial" w:eastAsia="Arial" w:hAnsi="Arial"/>
                <w:sz w:val="18"/>
                <w:szCs w:val="18"/>
                <w:color w:val="auto"/>
              </w:rPr>
              <w:t>Explanation of “Insider Trading”</w:t>
            </w:r>
          </w:p>
        </w:tc>
        <w:tc>
          <w:tcPr>
            <w:tcW w:w="2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82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7780" w:type="dxa"/>
            <w:vAlign w:val="bottom"/>
          </w:tcPr>
          <w:p>
            <w:pPr>
              <w:ind w:left="500"/>
              <w:spacing w:after="0"/>
              <w:rPr>
                <w:sz w:val="20"/>
                <w:szCs w:val="20"/>
                <w:color w:val="auto"/>
              </w:rPr>
            </w:pPr>
            <w:r>
              <w:rPr>
                <w:rFonts w:ascii="Arial" w:cs="Arial" w:eastAsia="Arial" w:hAnsi="Arial"/>
                <w:sz w:val="18"/>
                <w:szCs w:val="18"/>
                <w:color w:val="auto"/>
              </w:rPr>
              <w:t>What is Insider Trading?</w:t>
            </w:r>
          </w:p>
        </w:tc>
        <w:tc>
          <w:tcPr>
            <w:tcW w:w="2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82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7780" w:type="dxa"/>
            <w:vAlign w:val="bottom"/>
          </w:tcPr>
          <w:p>
            <w:pPr>
              <w:ind w:left="500"/>
              <w:spacing w:after="0"/>
              <w:rPr>
                <w:sz w:val="20"/>
                <w:szCs w:val="20"/>
                <w:color w:val="auto"/>
              </w:rPr>
            </w:pPr>
            <w:r>
              <w:rPr>
                <w:rFonts w:ascii="Arial" w:cs="Arial" w:eastAsia="Arial" w:hAnsi="Arial"/>
                <w:sz w:val="18"/>
                <w:szCs w:val="18"/>
                <w:color w:val="auto"/>
              </w:rPr>
              <w:t>What information is “material”?</w:t>
            </w:r>
          </w:p>
        </w:tc>
        <w:tc>
          <w:tcPr>
            <w:tcW w:w="2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82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7780" w:type="dxa"/>
            <w:vAlign w:val="bottom"/>
          </w:tcPr>
          <w:p>
            <w:pPr>
              <w:ind w:left="500"/>
              <w:spacing w:after="0"/>
              <w:rPr>
                <w:sz w:val="20"/>
                <w:szCs w:val="20"/>
                <w:color w:val="auto"/>
              </w:rPr>
            </w:pPr>
            <w:r>
              <w:rPr>
                <w:rFonts w:ascii="Arial" w:cs="Arial" w:eastAsia="Arial" w:hAnsi="Arial"/>
                <w:sz w:val="18"/>
                <w:szCs w:val="18"/>
                <w:color w:val="auto"/>
              </w:rPr>
              <w:t>What is “non-public”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2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7780" w:type="dxa"/>
            <w:vAlign w:val="bottom"/>
          </w:tcPr>
          <w:p>
            <w:pPr>
              <w:ind w:left="500"/>
              <w:spacing w:after="0"/>
              <w:rPr>
                <w:sz w:val="20"/>
                <w:szCs w:val="20"/>
                <w:color w:val="auto"/>
              </w:rPr>
            </w:pPr>
            <w:r>
              <w:rPr>
                <w:rFonts w:ascii="Arial" w:cs="Arial" w:eastAsia="Arial" w:hAnsi="Arial"/>
                <w:sz w:val="18"/>
                <w:szCs w:val="18"/>
                <w:color w:val="auto"/>
              </w:rPr>
              <w:t>Who is an Insider?</w:t>
            </w:r>
          </w:p>
        </w:tc>
        <w:tc>
          <w:tcPr>
            <w:tcW w:w="2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5</w:t>
            </w:r>
          </w:p>
        </w:tc>
        <w:tc>
          <w:tcPr>
            <w:tcW w:w="7780" w:type="dxa"/>
            <w:vAlign w:val="bottom"/>
          </w:tcPr>
          <w:p>
            <w:pPr>
              <w:ind w:left="500"/>
              <w:spacing w:after="0"/>
              <w:rPr>
                <w:sz w:val="20"/>
                <w:szCs w:val="20"/>
                <w:color w:val="auto"/>
              </w:rPr>
            </w:pPr>
            <w:r>
              <w:rPr>
                <w:rFonts w:ascii="Arial" w:cs="Arial" w:eastAsia="Arial" w:hAnsi="Arial"/>
                <w:sz w:val="18"/>
                <w:szCs w:val="18"/>
                <w:color w:val="auto"/>
              </w:rPr>
              <w:t>Procedures</w:t>
            </w:r>
          </w:p>
        </w:tc>
        <w:tc>
          <w:tcPr>
            <w:tcW w:w="2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2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7780" w:type="dxa"/>
            <w:vAlign w:val="bottom"/>
          </w:tcPr>
          <w:p>
            <w:pPr>
              <w:ind w:left="500"/>
              <w:spacing w:after="0"/>
              <w:rPr>
                <w:sz w:val="20"/>
                <w:szCs w:val="20"/>
                <w:color w:val="auto"/>
              </w:rPr>
            </w:pPr>
            <w:r>
              <w:rPr>
                <w:rFonts w:ascii="Arial" w:cs="Arial" w:eastAsia="Arial" w:hAnsi="Arial"/>
                <w:sz w:val="18"/>
                <w:szCs w:val="18"/>
                <w:color w:val="auto"/>
              </w:rPr>
              <w:t>Supporting requirements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20" w:type="dxa"/>
            <w:vAlign w:val="bottom"/>
          </w:tcPr>
          <w:p>
            <w:pPr>
              <w:jc w:val="right"/>
              <w:ind w:right="390"/>
              <w:spacing w:after="0"/>
              <w:rPr>
                <w:sz w:val="20"/>
                <w:szCs w:val="20"/>
                <w:color w:val="auto"/>
              </w:rPr>
            </w:pPr>
            <w:r>
              <w:rPr>
                <w:rFonts w:ascii="Arial" w:cs="Arial" w:eastAsia="Arial" w:hAnsi="Arial"/>
                <w:sz w:val="18"/>
                <w:szCs w:val="18"/>
                <w:color w:val="auto"/>
              </w:rPr>
              <w:t>5.2</w:t>
            </w:r>
          </w:p>
        </w:tc>
        <w:tc>
          <w:tcPr>
            <w:tcW w:w="7780" w:type="dxa"/>
            <w:vAlign w:val="bottom"/>
          </w:tcPr>
          <w:p>
            <w:pPr>
              <w:ind w:left="500"/>
              <w:spacing w:after="0"/>
              <w:rPr>
                <w:sz w:val="20"/>
                <w:szCs w:val="20"/>
                <w:color w:val="auto"/>
              </w:rPr>
            </w:pPr>
            <w:r>
              <w:rPr>
                <w:rFonts w:ascii="Arial" w:cs="Arial" w:eastAsia="Arial" w:hAnsi="Arial"/>
                <w:sz w:val="18"/>
                <w:szCs w:val="18"/>
                <w:color w:val="auto"/>
              </w:rPr>
              <w:t>Prohibition against Insider Trading</w:t>
            </w:r>
          </w:p>
        </w:tc>
        <w:tc>
          <w:tcPr>
            <w:tcW w:w="2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6</w:t>
            </w:r>
          </w:p>
        </w:tc>
        <w:tc>
          <w:tcPr>
            <w:tcW w:w="7780" w:type="dxa"/>
            <w:vAlign w:val="bottom"/>
          </w:tcPr>
          <w:p>
            <w:pPr>
              <w:ind w:left="500"/>
              <w:spacing w:after="0"/>
              <w:rPr>
                <w:sz w:val="20"/>
                <w:szCs w:val="20"/>
                <w:color w:val="auto"/>
              </w:rPr>
            </w:pPr>
            <w:r>
              <w:rPr>
                <w:rFonts w:ascii="Arial" w:cs="Arial" w:eastAsia="Arial" w:hAnsi="Arial"/>
                <w:sz w:val="18"/>
                <w:szCs w:val="18"/>
                <w:color w:val="auto"/>
              </w:rPr>
              <w:t>Rule 10b5-1 Trading Plans</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7</w:t>
            </w:r>
          </w:p>
        </w:tc>
        <w:tc>
          <w:tcPr>
            <w:tcW w:w="7780" w:type="dxa"/>
            <w:vAlign w:val="bottom"/>
          </w:tcPr>
          <w:p>
            <w:pPr>
              <w:ind w:left="500"/>
              <w:spacing w:after="0"/>
              <w:rPr>
                <w:sz w:val="20"/>
                <w:szCs w:val="20"/>
                <w:color w:val="auto"/>
              </w:rPr>
            </w:pPr>
            <w:r>
              <w:rPr>
                <w:rFonts w:ascii="Arial" w:cs="Arial" w:eastAsia="Arial" w:hAnsi="Arial"/>
                <w:sz w:val="18"/>
                <w:szCs w:val="18"/>
                <w:color w:val="auto"/>
              </w:rPr>
              <w:t>Interpretation, Amendment, and Implementation of this Policy</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677"/>
        </w:trPr>
        <w:tc>
          <w:tcPr>
            <w:tcW w:w="82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5" w:name="page356"/>
    <w:bookmarkEnd w:id="3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0" w:hanging="472"/>
        <w:spacing w:after="0"/>
        <w:tabs>
          <w:tab w:leader="none" w:pos="480" w:val="left"/>
        </w:tabs>
        <w:numPr>
          <w:ilvl w:val="0"/>
          <w:numId w:val="259"/>
        </w:numPr>
        <w:rPr>
          <w:rFonts w:ascii="Arial" w:cs="Arial" w:eastAsia="Arial" w:hAnsi="Arial"/>
          <w:sz w:val="22"/>
          <w:szCs w:val="22"/>
          <w:color w:val="008EB0"/>
        </w:rPr>
      </w:pPr>
      <w:r>
        <w:rPr>
          <w:rFonts w:ascii="Arial" w:cs="Arial" w:eastAsia="Arial" w:hAnsi="Arial"/>
          <w:sz w:val="22"/>
          <w:szCs w:val="22"/>
          <w:color w:val="008EB0"/>
        </w:rPr>
        <w:t>Purpose</w:t>
      </w:r>
    </w:p>
    <w:p>
      <w:pPr>
        <w:spacing w:after="0" w:line="30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Insider Trading is illegal for all individuals independent of their country of residence, and individuals outside of the US may be prosecuted for violation of the Insider Trading rules.</w:t>
      </w:r>
    </w:p>
    <w:p>
      <w:pPr>
        <w:spacing w:after="0" w:line="14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“Insider Trading” occurs when any person purchases or sells a security (e.g., Company ordinary shares or American Depositary Shares (ADS) representing ordinary shares) while in possession of “material non-public information” relating to the security. Please see Section 3 below for more information on what constitutes information that is both “material” and “non-public.”</w:t>
      </w:r>
    </w:p>
    <w:p>
      <w:pPr>
        <w:spacing w:after="0" w:line="155"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color w:val="auto"/>
        </w:rPr>
        <w:t>Compliance with this Policy is crucial to abide the laws and regulations, as well as preserve the reputation and integrity of Ascendis Pharma (the “</w:t>
      </w:r>
      <w:r>
        <w:rPr>
          <w:rFonts w:ascii="Arial" w:cs="Arial" w:eastAsia="Arial" w:hAnsi="Arial"/>
          <w:sz w:val="18"/>
          <w:szCs w:val="18"/>
          <w:b w:val="1"/>
          <w:bCs w:val="1"/>
          <w:color w:val="auto"/>
        </w:rPr>
        <w:t>Company</w:t>
      </w:r>
      <w:r>
        <w:rPr>
          <w:rFonts w:ascii="Arial" w:cs="Arial" w:eastAsia="Arial" w:hAnsi="Arial"/>
          <w:sz w:val="18"/>
          <w:szCs w:val="18"/>
          <w:color w:val="auto"/>
        </w:rPr>
        <w:t>”) and to protect individuals against violating Insider Trading rules and risking criminal charges.</w:t>
      </w:r>
    </w:p>
    <w:p>
      <w:pPr>
        <w:spacing w:after="0" w:line="12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purpose of this Insider Trading Compliance Policy (the “</w:t>
      </w:r>
      <w:r>
        <w:rPr>
          <w:rFonts w:ascii="Arial" w:cs="Arial" w:eastAsia="Arial" w:hAnsi="Arial"/>
          <w:sz w:val="18"/>
          <w:szCs w:val="18"/>
          <w:b w:val="1"/>
          <w:bCs w:val="1"/>
          <w:color w:val="auto"/>
        </w:rPr>
        <w:t>Policy</w:t>
      </w:r>
      <w:r>
        <w:rPr>
          <w:rFonts w:ascii="Arial" w:cs="Arial" w:eastAsia="Arial" w:hAnsi="Arial"/>
          <w:sz w:val="18"/>
          <w:szCs w:val="18"/>
          <w:color w:val="auto"/>
        </w:rPr>
        <w:t>”) is to outline your responsibilities to avoid insider trading and implement certain procedures to help you avoid even the appearance of insider trading.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Violation of the Policy by Ascendis Pharma Individuals may cause disciplinary actions, including potentially termination of employment.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Further, violations may be reported to relevant law enforcement authorities.</w:t>
      </w:r>
    </w:p>
    <w:p>
      <w:pPr>
        <w:spacing w:after="0" w:line="186" w:lineRule="exact"/>
        <w:rPr>
          <w:sz w:val="20"/>
          <w:szCs w:val="20"/>
          <w:color w:val="auto"/>
        </w:rPr>
      </w:pPr>
    </w:p>
    <w:p>
      <w:pPr>
        <w:ind w:left="480" w:hanging="472"/>
        <w:spacing w:after="0"/>
        <w:tabs>
          <w:tab w:leader="none" w:pos="480" w:val="left"/>
        </w:tabs>
        <w:numPr>
          <w:ilvl w:val="0"/>
          <w:numId w:val="260"/>
        </w:numPr>
        <w:rPr>
          <w:rFonts w:ascii="Arial" w:cs="Arial" w:eastAsia="Arial" w:hAnsi="Arial"/>
          <w:sz w:val="22"/>
          <w:szCs w:val="22"/>
          <w:color w:val="008EB0"/>
        </w:rPr>
      </w:pPr>
      <w:r>
        <w:rPr>
          <w:rFonts w:ascii="Arial" w:cs="Arial" w:eastAsia="Arial" w:hAnsi="Arial"/>
          <w:sz w:val="22"/>
          <w:szCs w:val="22"/>
          <w:color w:val="008EB0"/>
        </w:rPr>
        <w:t>Scope &amp; Definitions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Certain definitions used in this Policy:</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020" w:type="dxa"/>
            <w:vAlign w:val="bottom"/>
            <w:tcBorders>
              <w:top w:val="single" w:sz="8" w:color="008EB0"/>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Ascendis Pharma:</w:t>
            </w:r>
          </w:p>
        </w:tc>
        <w:tc>
          <w:tcPr>
            <w:tcW w:w="8220" w:type="dxa"/>
            <w:vAlign w:val="bottom"/>
            <w:tcBorders>
              <w:top w:val="single" w:sz="8" w:color="008EB0"/>
              <w:right w:val="single" w:sz="8" w:color="008EB0"/>
            </w:tcBorders>
            <w:gridSpan w:val="2"/>
          </w:tcPr>
          <w:p>
            <w:pPr>
              <w:ind w:left="20"/>
              <w:spacing w:after="0"/>
              <w:rPr>
                <w:sz w:val="20"/>
                <w:szCs w:val="20"/>
                <w:color w:val="auto"/>
              </w:rPr>
            </w:pPr>
            <w:r>
              <w:rPr>
                <w:rFonts w:ascii="Arial" w:cs="Arial" w:eastAsia="Arial" w:hAnsi="Arial"/>
                <w:sz w:val="18"/>
                <w:szCs w:val="18"/>
                <w:color w:val="auto"/>
              </w:rPr>
              <w:t>Ascendis Pharma A/S and subsidiaries of Ascendis Pharma A/S.</w:t>
            </w:r>
          </w:p>
        </w:tc>
      </w:tr>
      <w:tr>
        <w:trPr>
          <w:trHeight w:val="222"/>
        </w:trPr>
        <w:tc>
          <w:tcPr>
            <w:tcW w:w="3020" w:type="dxa"/>
            <w:vAlign w:val="bottom"/>
            <w:tcBorders>
              <w:left w:val="single" w:sz="8" w:color="008EB0"/>
              <w:bottom w:val="single" w:sz="8" w:color="008EB0"/>
              <w:right w:val="single" w:sz="8" w:color="008EB0"/>
            </w:tcBorders>
          </w:tcPr>
          <w:p>
            <w:pPr>
              <w:spacing w:after="0"/>
              <w:rPr>
                <w:sz w:val="19"/>
                <w:szCs w:val="19"/>
                <w:color w:val="auto"/>
              </w:rPr>
            </w:pPr>
          </w:p>
        </w:tc>
        <w:tc>
          <w:tcPr>
            <w:tcW w:w="8220" w:type="dxa"/>
            <w:vAlign w:val="bottom"/>
            <w:tcBorders>
              <w:bottom w:val="single" w:sz="8" w:color="008EB0"/>
              <w:right w:val="single" w:sz="8" w:color="008EB0"/>
            </w:tcBorders>
            <w:gridSpan w:val="2"/>
          </w:tcPr>
          <w:p>
            <w:pPr>
              <w:spacing w:after="0"/>
              <w:rPr>
                <w:sz w:val="19"/>
                <w:szCs w:val="19"/>
                <w:color w:val="auto"/>
              </w:rPr>
            </w:pPr>
          </w:p>
        </w:tc>
      </w:tr>
      <w:tr>
        <w:trPr>
          <w:trHeight w:val="221"/>
        </w:trPr>
        <w:tc>
          <w:tcPr>
            <w:tcW w:w="3020" w:type="dxa"/>
            <w:vAlign w:val="bottom"/>
            <w:tcBorders>
              <w:right w:val="single" w:sz="8" w:color="008EB0"/>
            </w:tcBorders>
          </w:tcPr>
          <w:p>
            <w:pPr>
              <w:ind w:left="80"/>
              <w:spacing w:after="0"/>
              <w:rPr>
                <w:sz w:val="20"/>
                <w:szCs w:val="20"/>
                <w:color w:val="auto"/>
              </w:rPr>
            </w:pPr>
            <w:r>
              <w:rPr>
                <w:rFonts w:ascii="Arial" w:cs="Arial" w:eastAsia="Arial" w:hAnsi="Arial"/>
                <w:sz w:val="18"/>
                <w:szCs w:val="18"/>
                <w:color w:val="auto"/>
              </w:rPr>
              <w:t>Ascendis Pharma Individuals:</w:t>
            </w:r>
          </w:p>
        </w:tc>
        <w:tc>
          <w:tcPr>
            <w:tcW w:w="8220" w:type="dxa"/>
            <w:vAlign w:val="bottom"/>
            <w:tcBorders>
              <w:right w:val="single" w:sz="8" w:color="008EB0"/>
            </w:tcBorders>
            <w:gridSpan w:val="2"/>
          </w:tcPr>
          <w:p>
            <w:pPr>
              <w:ind w:left="20"/>
              <w:spacing w:after="0"/>
              <w:rPr>
                <w:sz w:val="20"/>
                <w:szCs w:val="20"/>
                <w:color w:val="auto"/>
              </w:rPr>
            </w:pPr>
            <w:r>
              <w:rPr>
                <w:rFonts w:ascii="Arial" w:cs="Arial" w:eastAsia="Arial" w:hAnsi="Arial"/>
                <w:sz w:val="18"/>
                <w:szCs w:val="18"/>
                <w:color w:val="auto"/>
              </w:rPr>
              <w:t>All officers, board members, employees and Eligible Consultants of Ascendis Pharma and its</w:t>
            </w:r>
          </w:p>
        </w:tc>
      </w:tr>
      <w:tr>
        <w:trPr>
          <w:trHeight w:val="239"/>
        </w:trPr>
        <w:tc>
          <w:tcPr>
            <w:tcW w:w="3020" w:type="dxa"/>
            <w:vAlign w:val="bottom"/>
            <w:tcBorders>
              <w:right w:val="single" w:sz="8" w:color="008EB0"/>
            </w:tcBorders>
          </w:tcPr>
          <w:p>
            <w:pPr>
              <w:spacing w:after="0"/>
              <w:rPr>
                <w:sz w:val="20"/>
                <w:szCs w:val="20"/>
                <w:color w:val="auto"/>
              </w:rPr>
            </w:pPr>
          </w:p>
        </w:tc>
        <w:tc>
          <w:tcPr>
            <w:tcW w:w="8220" w:type="dxa"/>
            <w:vAlign w:val="bottom"/>
            <w:tcBorders>
              <w:right w:val="single" w:sz="8" w:color="008EB0"/>
            </w:tcBorders>
            <w:gridSpan w:val="2"/>
          </w:tcPr>
          <w:p>
            <w:pPr>
              <w:ind w:left="20"/>
              <w:spacing w:after="0"/>
              <w:rPr>
                <w:sz w:val="20"/>
                <w:szCs w:val="20"/>
                <w:color w:val="auto"/>
              </w:rPr>
            </w:pPr>
            <w:r>
              <w:rPr>
                <w:rFonts w:ascii="Arial" w:cs="Arial" w:eastAsia="Arial" w:hAnsi="Arial"/>
                <w:sz w:val="18"/>
                <w:szCs w:val="18"/>
                <w:color w:val="auto"/>
              </w:rPr>
              <w:t>subsidiaries.</w:t>
            </w:r>
          </w:p>
        </w:tc>
      </w:tr>
      <w:tr>
        <w:trPr>
          <w:trHeight w:val="23"/>
        </w:trPr>
        <w:tc>
          <w:tcPr>
            <w:tcW w:w="3020" w:type="dxa"/>
            <w:vAlign w:val="bottom"/>
            <w:tcBorders>
              <w:bottom w:val="single" w:sz="8" w:color="008EB0"/>
              <w:right w:val="single" w:sz="8" w:color="008EB0"/>
            </w:tcBorders>
          </w:tcPr>
          <w:p>
            <w:pPr>
              <w:spacing w:after="0"/>
              <w:rPr>
                <w:sz w:val="2"/>
                <w:szCs w:val="2"/>
                <w:color w:val="auto"/>
              </w:rPr>
            </w:pPr>
          </w:p>
        </w:tc>
        <w:tc>
          <w:tcPr>
            <w:tcW w:w="8220" w:type="dxa"/>
            <w:vAlign w:val="bottom"/>
            <w:tcBorders>
              <w:bottom w:val="single" w:sz="8" w:color="008EB0"/>
              <w:right w:val="single" w:sz="8" w:color="008EB0"/>
            </w:tcBorders>
            <w:gridSpan w:val="2"/>
          </w:tcPr>
          <w:p>
            <w:pPr>
              <w:spacing w:after="0"/>
              <w:rPr>
                <w:sz w:val="2"/>
                <w:szCs w:val="2"/>
                <w:color w:val="auto"/>
              </w:rPr>
            </w:pPr>
          </w:p>
        </w:tc>
      </w:tr>
      <w:tr>
        <w:trPr>
          <w:trHeight w:val="218"/>
        </w:trPr>
        <w:tc>
          <w:tcPr>
            <w:tcW w:w="3020" w:type="dxa"/>
            <w:vAlign w:val="bottom"/>
            <w:tcBorders>
              <w:right w:val="single" w:sz="8" w:color="008EB0"/>
            </w:tcBorders>
          </w:tcPr>
          <w:p>
            <w:pPr>
              <w:ind w:left="80"/>
              <w:spacing w:after="0"/>
              <w:rPr>
                <w:sz w:val="20"/>
                <w:szCs w:val="20"/>
                <w:color w:val="auto"/>
              </w:rPr>
            </w:pPr>
            <w:r>
              <w:rPr>
                <w:rFonts w:ascii="Arial" w:cs="Arial" w:eastAsia="Arial" w:hAnsi="Arial"/>
                <w:sz w:val="18"/>
                <w:szCs w:val="18"/>
                <w:color w:val="auto"/>
              </w:rPr>
              <w:t>Eligible Consultants:</w:t>
            </w:r>
          </w:p>
        </w:tc>
        <w:tc>
          <w:tcPr>
            <w:tcW w:w="8220" w:type="dxa"/>
            <w:vAlign w:val="bottom"/>
            <w:tcBorders>
              <w:right w:val="single" w:sz="8" w:color="008EB0"/>
            </w:tcBorders>
            <w:gridSpan w:val="2"/>
          </w:tcPr>
          <w:p>
            <w:pPr>
              <w:ind w:left="20"/>
              <w:spacing w:after="0"/>
              <w:rPr>
                <w:sz w:val="20"/>
                <w:szCs w:val="20"/>
                <w:color w:val="auto"/>
              </w:rPr>
            </w:pPr>
            <w:r>
              <w:rPr>
                <w:rFonts w:ascii="Arial" w:cs="Arial" w:eastAsia="Arial" w:hAnsi="Arial"/>
                <w:sz w:val="18"/>
                <w:szCs w:val="18"/>
                <w:color w:val="auto"/>
              </w:rPr>
              <w:t>Consultants who have been i) assigned an @ascendispharma.com e-mail address, ii) granted access</w:t>
            </w:r>
          </w:p>
        </w:tc>
      </w:tr>
      <w:tr>
        <w:trPr>
          <w:trHeight w:val="203"/>
        </w:trPr>
        <w:tc>
          <w:tcPr>
            <w:tcW w:w="3020" w:type="dxa"/>
            <w:vAlign w:val="bottom"/>
            <w:tcBorders>
              <w:right w:val="single" w:sz="8" w:color="008EB0"/>
            </w:tcBorders>
          </w:tcPr>
          <w:p>
            <w:pPr>
              <w:spacing w:after="0"/>
              <w:rPr>
                <w:sz w:val="17"/>
                <w:szCs w:val="17"/>
                <w:color w:val="auto"/>
              </w:rPr>
            </w:pPr>
          </w:p>
        </w:tc>
        <w:tc>
          <w:tcPr>
            <w:tcW w:w="8220" w:type="dxa"/>
            <w:vAlign w:val="bottom"/>
            <w:tcBorders>
              <w:right w:val="single" w:sz="8" w:color="008EB0"/>
            </w:tcBorders>
            <w:gridSpan w:val="2"/>
          </w:tcPr>
          <w:p>
            <w:pPr>
              <w:ind w:left="20"/>
              <w:spacing w:after="0" w:line="202" w:lineRule="exact"/>
              <w:rPr>
                <w:sz w:val="20"/>
                <w:szCs w:val="20"/>
                <w:color w:val="auto"/>
              </w:rPr>
            </w:pPr>
            <w:r>
              <w:rPr>
                <w:rFonts w:ascii="Arial" w:cs="Arial" w:eastAsia="Arial" w:hAnsi="Arial"/>
                <w:sz w:val="18"/>
                <w:szCs w:val="18"/>
                <w:color w:val="auto"/>
              </w:rPr>
              <w:t>to the Ascendis Pharma intranet, or iii) granted a card allowing unaccompanied access to the</w:t>
            </w:r>
          </w:p>
        </w:tc>
      </w:tr>
      <w:tr>
        <w:trPr>
          <w:trHeight w:val="203"/>
        </w:trPr>
        <w:tc>
          <w:tcPr>
            <w:tcW w:w="3020" w:type="dxa"/>
            <w:vAlign w:val="bottom"/>
            <w:tcBorders>
              <w:right w:val="single" w:sz="8" w:color="008EB0"/>
            </w:tcBorders>
          </w:tcPr>
          <w:p>
            <w:pPr>
              <w:spacing w:after="0"/>
              <w:rPr>
                <w:sz w:val="17"/>
                <w:szCs w:val="17"/>
                <w:color w:val="auto"/>
              </w:rPr>
            </w:pPr>
          </w:p>
        </w:tc>
        <w:tc>
          <w:tcPr>
            <w:tcW w:w="8220" w:type="dxa"/>
            <w:vAlign w:val="bottom"/>
            <w:tcBorders>
              <w:right w:val="single" w:sz="8" w:color="008EB0"/>
            </w:tcBorders>
            <w:gridSpan w:val="2"/>
          </w:tcPr>
          <w:p>
            <w:pPr>
              <w:ind w:left="20"/>
              <w:spacing w:after="0" w:line="202" w:lineRule="exact"/>
              <w:rPr>
                <w:sz w:val="20"/>
                <w:szCs w:val="20"/>
                <w:color w:val="auto"/>
              </w:rPr>
            </w:pPr>
            <w:r>
              <w:rPr>
                <w:rFonts w:ascii="Arial" w:cs="Arial" w:eastAsia="Arial" w:hAnsi="Arial"/>
                <w:sz w:val="18"/>
                <w:szCs w:val="18"/>
                <w:color w:val="auto"/>
              </w:rPr>
              <w:t>premises of Ascendis Pharma, whether appointed directly by Ascendis Pharma or through their</w:t>
            </w:r>
          </w:p>
        </w:tc>
      </w:tr>
      <w:tr>
        <w:trPr>
          <w:trHeight w:val="203"/>
        </w:trPr>
        <w:tc>
          <w:tcPr>
            <w:tcW w:w="3020" w:type="dxa"/>
            <w:vAlign w:val="bottom"/>
            <w:tcBorders>
              <w:right w:val="single" w:sz="8" w:color="008EB0"/>
            </w:tcBorders>
          </w:tcPr>
          <w:p>
            <w:pPr>
              <w:spacing w:after="0"/>
              <w:rPr>
                <w:sz w:val="17"/>
                <w:szCs w:val="17"/>
                <w:color w:val="auto"/>
              </w:rPr>
            </w:pPr>
          </w:p>
        </w:tc>
        <w:tc>
          <w:tcPr>
            <w:tcW w:w="8220" w:type="dxa"/>
            <w:vAlign w:val="bottom"/>
            <w:tcBorders>
              <w:right w:val="single" w:sz="8" w:color="008EB0"/>
            </w:tcBorders>
            <w:gridSpan w:val="2"/>
          </w:tcPr>
          <w:p>
            <w:pPr>
              <w:ind w:left="20"/>
              <w:spacing w:after="0" w:line="202" w:lineRule="exact"/>
              <w:rPr>
                <w:sz w:val="20"/>
                <w:szCs w:val="20"/>
                <w:color w:val="auto"/>
              </w:rPr>
            </w:pPr>
            <w:r>
              <w:rPr>
                <w:rFonts w:ascii="Arial" w:cs="Arial" w:eastAsia="Arial" w:hAnsi="Arial"/>
                <w:sz w:val="18"/>
                <w:szCs w:val="18"/>
                <w:color w:val="auto"/>
              </w:rPr>
              <w:t>employment with consultancy service providers retained by Ascendis Pharma, or iv) identified by</w:t>
            </w:r>
          </w:p>
        </w:tc>
      </w:tr>
      <w:tr>
        <w:trPr>
          <w:trHeight w:val="239"/>
        </w:trPr>
        <w:tc>
          <w:tcPr>
            <w:tcW w:w="3020" w:type="dxa"/>
            <w:vAlign w:val="bottom"/>
            <w:tcBorders>
              <w:right w:val="single" w:sz="8" w:color="008EB0"/>
            </w:tcBorders>
          </w:tcPr>
          <w:p>
            <w:pPr>
              <w:spacing w:after="0"/>
              <w:rPr>
                <w:sz w:val="20"/>
                <w:szCs w:val="20"/>
                <w:color w:val="auto"/>
              </w:rPr>
            </w:pPr>
          </w:p>
        </w:tc>
        <w:tc>
          <w:tcPr>
            <w:tcW w:w="8220" w:type="dxa"/>
            <w:vAlign w:val="bottom"/>
            <w:tcBorders>
              <w:right w:val="single" w:sz="8" w:color="008EB0"/>
            </w:tcBorders>
            <w:gridSpan w:val="2"/>
          </w:tcPr>
          <w:p>
            <w:pPr>
              <w:ind w:left="20"/>
              <w:spacing w:after="0"/>
              <w:rPr>
                <w:sz w:val="20"/>
                <w:szCs w:val="20"/>
                <w:color w:val="auto"/>
              </w:rPr>
            </w:pPr>
            <w:r>
              <w:rPr>
                <w:rFonts w:ascii="Arial" w:cs="Arial" w:eastAsia="Arial" w:hAnsi="Arial"/>
                <w:sz w:val="18"/>
                <w:szCs w:val="18"/>
                <w:color w:val="auto"/>
              </w:rPr>
              <w:t>Ascendis Pharma’s Chief Legal Officer.</w:t>
            </w:r>
          </w:p>
        </w:tc>
      </w:tr>
      <w:tr>
        <w:trPr>
          <w:trHeight w:val="225"/>
        </w:trPr>
        <w:tc>
          <w:tcPr>
            <w:tcW w:w="3020" w:type="dxa"/>
            <w:vAlign w:val="bottom"/>
            <w:tcBorders>
              <w:bottom w:val="single" w:sz="8" w:color="008EB0"/>
              <w:right w:val="single" w:sz="8" w:color="008EB0"/>
            </w:tcBorders>
          </w:tcPr>
          <w:p>
            <w:pPr>
              <w:spacing w:after="0"/>
              <w:rPr>
                <w:sz w:val="19"/>
                <w:szCs w:val="19"/>
                <w:color w:val="auto"/>
              </w:rPr>
            </w:pPr>
          </w:p>
        </w:tc>
        <w:tc>
          <w:tcPr>
            <w:tcW w:w="8220" w:type="dxa"/>
            <w:vAlign w:val="bottom"/>
            <w:tcBorders>
              <w:bottom w:val="single" w:sz="8" w:color="008EB0"/>
              <w:right w:val="single" w:sz="8" w:color="008EB0"/>
            </w:tcBorders>
            <w:gridSpan w:val="2"/>
          </w:tcPr>
          <w:p>
            <w:pPr>
              <w:spacing w:after="0"/>
              <w:rPr>
                <w:sz w:val="19"/>
                <w:szCs w:val="19"/>
                <w:color w:val="auto"/>
              </w:rPr>
            </w:pPr>
          </w:p>
        </w:tc>
      </w:tr>
      <w:tr>
        <w:trPr>
          <w:trHeight w:val="254"/>
        </w:trPr>
        <w:tc>
          <w:tcPr>
            <w:tcW w:w="3020" w:type="dxa"/>
            <w:vAlign w:val="bottom"/>
            <w:tcBorders>
              <w:right w:val="single" w:sz="8" w:color="008EB0"/>
            </w:tcBorders>
          </w:tcPr>
          <w:p>
            <w:pPr>
              <w:ind w:left="80"/>
              <w:spacing w:after="0"/>
              <w:rPr>
                <w:sz w:val="20"/>
                <w:szCs w:val="20"/>
                <w:color w:val="auto"/>
              </w:rPr>
            </w:pPr>
            <w:r>
              <w:rPr>
                <w:rFonts w:ascii="Arial" w:cs="Arial" w:eastAsia="Arial" w:hAnsi="Arial"/>
                <w:sz w:val="18"/>
                <w:szCs w:val="18"/>
                <w:color w:val="auto"/>
              </w:rPr>
              <w:t>Event-Specific Blackout:</w:t>
            </w:r>
          </w:p>
        </w:tc>
        <w:tc>
          <w:tcPr>
            <w:tcW w:w="8220" w:type="dxa"/>
            <w:vAlign w:val="bottom"/>
            <w:tcBorders>
              <w:right w:val="single" w:sz="8" w:color="008EB0"/>
            </w:tcBorders>
            <w:gridSpan w:val="2"/>
          </w:tcPr>
          <w:p>
            <w:pPr>
              <w:ind w:left="20"/>
              <w:spacing w:after="0"/>
              <w:rPr>
                <w:sz w:val="20"/>
                <w:szCs w:val="20"/>
                <w:color w:val="auto"/>
              </w:rPr>
            </w:pPr>
            <w:r>
              <w:rPr>
                <w:rFonts w:ascii="Arial" w:cs="Arial" w:eastAsia="Arial" w:hAnsi="Arial"/>
                <w:sz w:val="18"/>
                <w:szCs w:val="18"/>
                <w:color w:val="auto"/>
              </w:rPr>
              <w:t>Please refer to section 5.2 of this Policy.</w:t>
            </w:r>
          </w:p>
        </w:tc>
      </w:tr>
      <w:tr>
        <w:trPr>
          <w:trHeight w:val="225"/>
        </w:trPr>
        <w:tc>
          <w:tcPr>
            <w:tcW w:w="3020" w:type="dxa"/>
            <w:vAlign w:val="bottom"/>
            <w:tcBorders>
              <w:bottom w:val="single" w:sz="8" w:color="008EB0"/>
              <w:right w:val="single" w:sz="8" w:color="008EB0"/>
            </w:tcBorders>
          </w:tcPr>
          <w:p>
            <w:pPr>
              <w:spacing w:after="0"/>
              <w:rPr>
                <w:sz w:val="19"/>
                <w:szCs w:val="19"/>
                <w:color w:val="auto"/>
              </w:rPr>
            </w:pPr>
          </w:p>
        </w:tc>
        <w:tc>
          <w:tcPr>
            <w:tcW w:w="540" w:type="dxa"/>
            <w:vAlign w:val="bottom"/>
            <w:tcBorders>
              <w:bottom w:val="single" w:sz="8" w:color="008EB0"/>
            </w:tcBorders>
          </w:tcPr>
          <w:p>
            <w:pPr>
              <w:spacing w:after="0"/>
              <w:rPr>
                <w:sz w:val="19"/>
                <w:szCs w:val="19"/>
                <w:color w:val="auto"/>
              </w:rPr>
            </w:pPr>
          </w:p>
        </w:tc>
        <w:tc>
          <w:tcPr>
            <w:tcW w:w="7680" w:type="dxa"/>
            <w:vAlign w:val="bottom"/>
            <w:tcBorders>
              <w:bottom w:val="single" w:sz="8" w:color="008EB0"/>
              <w:right w:val="single" w:sz="8" w:color="008EB0"/>
            </w:tcBorders>
          </w:tcPr>
          <w:p>
            <w:pPr>
              <w:spacing w:after="0"/>
              <w:rPr>
                <w:sz w:val="19"/>
                <w:szCs w:val="19"/>
                <w:color w:val="auto"/>
              </w:rPr>
            </w:pPr>
          </w:p>
        </w:tc>
      </w:tr>
      <w:tr>
        <w:trPr>
          <w:trHeight w:val="218"/>
        </w:trPr>
        <w:tc>
          <w:tcPr>
            <w:tcW w:w="3020" w:type="dxa"/>
            <w:vAlign w:val="bottom"/>
            <w:tcBorders>
              <w:right w:val="single" w:sz="8" w:color="008EB0"/>
            </w:tcBorders>
          </w:tcPr>
          <w:p>
            <w:pPr>
              <w:ind w:left="80"/>
              <w:spacing w:after="0"/>
              <w:rPr>
                <w:sz w:val="20"/>
                <w:szCs w:val="20"/>
                <w:color w:val="auto"/>
              </w:rPr>
            </w:pPr>
            <w:r>
              <w:rPr>
                <w:rFonts w:ascii="Arial" w:cs="Arial" w:eastAsia="Arial" w:hAnsi="Arial"/>
                <w:sz w:val="18"/>
                <w:szCs w:val="18"/>
                <w:color w:val="auto"/>
              </w:rPr>
              <w:t>Excluded Transactions:</w:t>
            </w:r>
          </w:p>
        </w:tc>
        <w:tc>
          <w:tcPr>
            <w:tcW w:w="540" w:type="dxa"/>
            <w:vAlign w:val="bottom"/>
          </w:tcPr>
          <w:p>
            <w:pPr>
              <w:ind w:left="300"/>
              <w:spacing w:after="0"/>
              <w:rPr>
                <w:sz w:val="20"/>
                <w:szCs w:val="20"/>
                <w:color w:val="auto"/>
              </w:rPr>
            </w:pPr>
            <w:r>
              <w:rPr>
                <w:rFonts w:ascii="Arial" w:cs="Arial" w:eastAsia="Arial" w:hAnsi="Arial"/>
                <w:sz w:val="18"/>
                <w:szCs w:val="18"/>
                <w:color w:val="auto"/>
              </w:rPr>
              <w:t>i)</w:t>
            </w:r>
          </w:p>
        </w:tc>
        <w:tc>
          <w:tcPr>
            <w:tcW w:w="7680" w:type="dxa"/>
            <w:vAlign w:val="bottom"/>
            <w:tcBorders>
              <w:right w:val="single" w:sz="8" w:color="008EB0"/>
            </w:tcBorders>
          </w:tcPr>
          <w:p>
            <w:pPr>
              <w:ind w:left="160"/>
              <w:spacing w:after="0"/>
              <w:rPr>
                <w:sz w:val="20"/>
                <w:szCs w:val="20"/>
                <w:color w:val="auto"/>
              </w:rPr>
            </w:pPr>
            <w:r>
              <w:rPr>
                <w:rFonts w:ascii="Arial" w:cs="Arial" w:eastAsia="Arial" w:hAnsi="Arial"/>
                <w:sz w:val="18"/>
                <w:szCs w:val="18"/>
                <w:color w:val="auto"/>
              </w:rPr>
              <w:t>entering into a deposit arrangement with a depositary for purposes of receiving ADSs from</w:t>
            </w:r>
          </w:p>
        </w:tc>
      </w:tr>
      <w:tr>
        <w:trPr>
          <w:trHeight w:val="203"/>
        </w:trPr>
        <w:tc>
          <w:tcPr>
            <w:tcW w:w="3020" w:type="dxa"/>
            <w:vAlign w:val="bottom"/>
            <w:tcBorders>
              <w:right w:val="single" w:sz="8" w:color="008EB0"/>
            </w:tcBorders>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right w:val="single" w:sz="8" w:color="008EB0"/>
            </w:tcBorders>
          </w:tcPr>
          <w:p>
            <w:pPr>
              <w:ind w:left="300"/>
              <w:spacing w:after="0" w:line="202" w:lineRule="exact"/>
              <w:rPr>
                <w:sz w:val="20"/>
                <w:szCs w:val="20"/>
                <w:color w:val="auto"/>
              </w:rPr>
            </w:pPr>
            <w:r>
              <w:rPr>
                <w:rFonts w:ascii="Arial" w:cs="Arial" w:eastAsia="Arial" w:hAnsi="Arial"/>
                <w:sz w:val="18"/>
                <w:szCs w:val="18"/>
                <w:color w:val="auto"/>
              </w:rPr>
              <w:t>the depositary in respect of ordinary shares or warrants or other equity awards exercisable</w:t>
            </w:r>
          </w:p>
        </w:tc>
      </w:tr>
      <w:tr>
        <w:trPr>
          <w:trHeight w:val="203"/>
        </w:trPr>
        <w:tc>
          <w:tcPr>
            <w:tcW w:w="3020" w:type="dxa"/>
            <w:vAlign w:val="bottom"/>
            <w:tcBorders>
              <w:right w:val="single" w:sz="8" w:color="008EB0"/>
            </w:tcBorders>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right w:val="single" w:sz="8" w:color="008EB0"/>
            </w:tcBorders>
          </w:tcPr>
          <w:p>
            <w:pPr>
              <w:ind w:left="300"/>
              <w:spacing w:after="0" w:line="202" w:lineRule="exact"/>
              <w:rPr>
                <w:sz w:val="20"/>
                <w:szCs w:val="20"/>
                <w:color w:val="auto"/>
              </w:rPr>
            </w:pPr>
            <w:r>
              <w:rPr>
                <w:rFonts w:ascii="Arial" w:cs="Arial" w:eastAsia="Arial" w:hAnsi="Arial"/>
                <w:sz w:val="18"/>
                <w:szCs w:val="18"/>
                <w:color w:val="auto"/>
              </w:rPr>
              <w:t>for ordinary shares,</w:t>
            </w:r>
          </w:p>
        </w:tc>
      </w:tr>
      <w:tr>
        <w:trPr>
          <w:trHeight w:val="203"/>
        </w:trPr>
        <w:tc>
          <w:tcPr>
            <w:tcW w:w="3020" w:type="dxa"/>
            <w:vAlign w:val="bottom"/>
            <w:tcBorders>
              <w:right w:val="single" w:sz="8" w:color="008EB0"/>
            </w:tcBorders>
          </w:tcPr>
          <w:p>
            <w:pPr>
              <w:spacing w:after="0"/>
              <w:rPr>
                <w:sz w:val="17"/>
                <w:szCs w:val="17"/>
                <w:color w:val="auto"/>
              </w:rPr>
            </w:pPr>
          </w:p>
        </w:tc>
        <w:tc>
          <w:tcPr>
            <w:tcW w:w="8220" w:type="dxa"/>
            <w:vAlign w:val="bottom"/>
            <w:tcBorders>
              <w:right w:val="single" w:sz="8" w:color="008EB0"/>
            </w:tcBorders>
            <w:gridSpan w:val="2"/>
          </w:tcPr>
          <w:p>
            <w:pPr>
              <w:ind w:left="300"/>
              <w:spacing w:after="0" w:line="202" w:lineRule="exact"/>
              <w:rPr>
                <w:sz w:val="20"/>
                <w:szCs w:val="20"/>
                <w:color w:val="auto"/>
              </w:rPr>
            </w:pPr>
            <w:r>
              <w:rPr>
                <w:rFonts w:ascii="Arial" w:cs="Arial" w:eastAsia="Arial" w:hAnsi="Arial"/>
                <w:sz w:val="18"/>
                <w:szCs w:val="18"/>
                <w:color w:val="auto"/>
              </w:rPr>
              <w:t>ii)   exercises of warrants or other equity awards, or the surrender of shares to Ascendis Pharma</w:t>
            </w:r>
          </w:p>
        </w:tc>
      </w:tr>
      <w:tr>
        <w:trPr>
          <w:trHeight w:val="203"/>
        </w:trPr>
        <w:tc>
          <w:tcPr>
            <w:tcW w:w="3020" w:type="dxa"/>
            <w:vAlign w:val="bottom"/>
            <w:tcBorders>
              <w:right w:val="single" w:sz="8" w:color="008EB0"/>
            </w:tcBorders>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right w:val="single" w:sz="8" w:color="008EB0"/>
            </w:tcBorders>
          </w:tcPr>
          <w:p>
            <w:pPr>
              <w:ind w:left="300"/>
              <w:spacing w:after="0" w:line="202" w:lineRule="exact"/>
              <w:rPr>
                <w:sz w:val="20"/>
                <w:szCs w:val="20"/>
                <w:color w:val="auto"/>
              </w:rPr>
            </w:pPr>
            <w:r>
              <w:rPr>
                <w:rFonts w:ascii="Arial" w:cs="Arial" w:eastAsia="Arial" w:hAnsi="Arial"/>
                <w:sz w:val="18"/>
                <w:szCs w:val="18"/>
                <w:color w:val="auto"/>
              </w:rPr>
              <w:t>in payment of the exercise price or in satisfaction of any tax withholding obligations or</w:t>
            </w:r>
          </w:p>
        </w:tc>
      </w:tr>
      <w:tr>
        <w:trPr>
          <w:trHeight w:val="239"/>
        </w:trPr>
        <w:tc>
          <w:tcPr>
            <w:tcW w:w="3020" w:type="dxa"/>
            <w:vAlign w:val="bottom"/>
            <w:tcBorders>
              <w:right w:val="single" w:sz="8" w:color="008EB0"/>
            </w:tcBorders>
          </w:tcPr>
          <w:p>
            <w:pPr>
              <w:spacing w:after="0"/>
              <w:rPr>
                <w:sz w:val="20"/>
                <w:szCs w:val="20"/>
                <w:color w:val="auto"/>
              </w:rPr>
            </w:pPr>
          </w:p>
        </w:tc>
        <w:tc>
          <w:tcPr>
            <w:tcW w:w="540" w:type="dxa"/>
            <w:vAlign w:val="bottom"/>
          </w:tcPr>
          <w:p>
            <w:pPr>
              <w:spacing w:after="0"/>
              <w:rPr>
                <w:sz w:val="20"/>
                <w:szCs w:val="20"/>
                <w:color w:val="auto"/>
              </w:rPr>
            </w:pPr>
          </w:p>
        </w:tc>
        <w:tc>
          <w:tcPr>
            <w:tcW w:w="7680" w:type="dxa"/>
            <w:vAlign w:val="bottom"/>
            <w:tcBorders>
              <w:right w:val="single" w:sz="8" w:color="008EB0"/>
            </w:tcBorders>
          </w:tcPr>
          <w:p>
            <w:pPr>
              <w:ind w:left="300"/>
              <w:spacing w:after="0"/>
              <w:rPr>
                <w:sz w:val="20"/>
                <w:szCs w:val="20"/>
                <w:color w:val="auto"/>
              </w:rPr>
            </w:pPr>
            <w:r>
              <w:rPr>
                <w:rFonts w:ascii="Arial" w:cs="Arial" w:eastAsia="Arial" w:hAnsi="Arial"/>
                <w:sz w:val="18"/>
                <w:szCs w:val="18"/>
                <w:color w:val="auto"/>
              </w:rPr>
              <w:t>vesting of</w:t>
            </w:r>
          </w:p>
        </w:tc>
      </w:tr>
      <w:tr>
        <w:trPr>
          <w:trHeight w:val="23"/>
        </w:trPr>
        <w:tc>
          <w:tcPr>
            <w:tcW w:w="3020" w:type="dxa"/>
            <w:vAlign w:val="bottom"/>
            <w:tcBorders>
              <w:bottom w:val="single" w:sz="8" w:color="008EB0"/>
              <w:right w:val="single" w:sz="8" w:color="008EB0"/>
            </w:tcBorders>
          </w:tcPr>
          <w:p>
            <w:pPr>
              <w:spacing w:after="0"/>
              <w:rPr>
                <w:sz w:val="2"/>
                <w:szCs w:val="2"/>
                <w:color w:val="auto"/>
              </w:rPr>
            </w:pPr>
          </w:p>
        </w:tc>
        <w:tc>
          <w:tcPr>
            <w:tcW w:w="540" w:type="dxa"/>
            <w:vAlign w:val="bottom"/>
            <w:tcBorders>
              <w:bottom w:val="single" w:sz="8" w:color="008EB0"/>
            </w:tcBorders>
          </w:tcPr>
          <w:p>
            <w:pPr>
              <w:spacing w:after="0"/>
              <w:rPr>
                <w:sz w:val="2"/>
                <w:szCs w:val="2"/>
                <w:color w:val="auto"/>
              </w:rPr>
            </w:pPr>
          </w:p>
        </w:tc>
        <w:tc>
          <w:tcPr>
            <w:tcW w:w="7680" w:type="dxa"/>
            <w:vAlign w:val="bottom"/>
            <w:tcBorders>
              <w:bottom w:val="single" w:sz="8" w:color="008EB0"/>
              <w:right w:val="single" w:sz="8" w:color="008EB0"/>
            </w:tcBorders>
          </w:tcPr>
          <w:p>
            <w:pPr>
              <w:spacing w:after="0"/>
              <w:rPr>
                <w:sz w:val="2"/>
                <w:szCs w:val="2"/>
                <w:color w:val="auto"/>
              </w:rPr>
            </w:pPr>
          </w:p>
        </w:tc>
      </w:tr>
      <w:tr>
        <w:trPr>
          <w:trHeight w:val="547"/>
        </w:trPr>
        <w:tc>
          <w:tcPr>
            <w:tcW w:w="3020" w:type="dxa"/>
            <w:vAlign w:val="bottom"/>
          </w:tcPr>
          <w:p>
            <w:pPr>
              <w:ind w:left="380"/>
              <w:spacing w:after="0"/>
              <w:rPr>
                <w:sz w:val="20"/>
                <w:szCs w:val="20"/>
                <w:color w:val="auto"/>
              </w:rPr>
            </w:pPr>
            <w:r>
              <w:rPr>
                <w:rFonts w:ascii="Arial" w:cs="Arial" w:eastAsia="Arial" w:hAnsi="Arial"/>
                <w:sz w:val="17"/>
                <w:szCs w:val="17"/>
                <w:color w:val="auto"/>
              </w:rPr>
              <w:t>2</w:t>
            </w:r>
          </w:p>
        </w:tc>
        <w:tc>
          <w:tcPr>
            <w:tcW w:w="54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831"/>
        </w:trPr>
        <w:tc>
          <w:tcPr>
            <w:tcW w:w="3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0" w:type="dxa"/>
            <w:vAlign w:val="bottom"/>
            <w:tcBorders>
              <w:top w:val="single" w:sz="8" w:color="008EB0"/>
              <w:left w:val="single" w:sz="8" w:color="008EB0"/>
              <w:right w:val="single" w:sz="8" w:color="008EB0"/>
            </w:tcBorders>
          </w:tcPr>
          <w:p>
            <w:pPr>
              <w:spacing w:after="0"/>
              <w:rPr>
                <w:sz w:val="20"/>
                <w:szCs w:val="20"/>
                <w:color w:val="auto"/>
              </w:rPr>
            </w:pPr>
          </w:p>
        </w:tc>
        <w:tc>
          <w:tcPr>
            <w:tcW w:w="8240" w:type="dxa"/>
            <w:vAlign w:val="bottom"/>
            <w:tcBorders>
              <w:top w:val="single" w:sz="8" w:color="008EB0"/>
              <w:right w:val="single" w:sz="8" w:color="008EB0"/>
            </w:tcBorders>
          </w:tcPr>
          <w:p>
            <w:pPr>
              <w:ind w:left="860"/>
              <w:spacing w:after="0"/>
              <w:rPr>
                <w:sz w:val="20"/>
                <w:szCs w:val="20"/>
                <w:color w:val="auto"/>
              </w:rPr>
            </w:pPr>
            <w:r>
              <w:rPr>
                <w:rFonts w:ascii="Arial" w:cs="Arial" w:eastAsia="Arial" w:hAnsi="Arial"/>
                <w:sz w:val="18"/>
                <w:szCs w:val="18"/>
                <w:color w:val="auto"/>
              </w:rPr>
              <w:t>equity-based awards that do not involve a market sale of Ascendis Pharma’s securities,</w:t>
            </w:r>
          </w:p>
        </w:tc>
      </w:tr>
      <w:tr>
        <w:trPr>
          <w:trHeight w:val="203"/>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320"/>
              <w:spacing w:after="0" w:line="202" w:lineRule="exact"/>
              <w:rPr>
                <w:sz w:val="20"/>
                <w:szCs w:val="20"/>
                <w:color w:val="auto"/>
              </w:rPr>
            </w:pPr>
            <w:r>
              <w:rPr>
                <w:rFonts w:ascii="Arial" w:cs="Arial" w:eastAsia="Arial" w:hAnsi="Arial"/>
                <w:sz w:val="18"/>
                <w:szCs w:val="18"/>
                <w:color w:val="auto"/>
              </w:rPr>
              <w:t>iii)   purchases of Ascendis Pharma’s securities from Ascendis Pharma or sales of Ascendis</w:t>
            </w:r>
          </w:p>
        </w:tc>
      </w:tr>
      <w:tr>
        <w:trPr>
          <w:trHeight w:val="203"/>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860"/>
              <w:spacing w:after="0" w:line="202" w:lineRule="exact"/>
              <w:rPr>
                <w:sz w:val="20"/>
                <w:szCs w:val="20"/>
                <w:color w:val="auto"/>
              </w:rPr>
            </w:pPr>
            <w:r>
              <w:rPr>
                <w:rFonts w:ascii="Arial" w:cs="Arial" w:eastAsia="Arial" w:hAnsi="Arial"/>
                <w:sz w:val="18"/>
                <w:szCs w:val="18"/>
                <w:color w:val="auto"/>
              </w:rPr>
              <w:t>Pharma’s securities to Ascendis Pharma,</w:t>
            </w:r>
          </w:p>
        </w:tc>
      </w:tr>
      <w:tr>
        <w:trPr>
          <w:trHeight w:val="203"/>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320"/>
              <w:spacing w:after="0" w:line="202" w:lineRule="exact"/>
              <w:rPr>
                <w:sz w:val="20"/>
                <w:szCs w:val="20"/>
                <w:color w:val="auto"/>
              </w:rPr>
            </w:pPr>
            <w:r>
              <w:rPr>
                <w:rFonts w:ascii="Arial" w:cs="Arial" w:eastAsia="Arial" w:hAnsi="Arial"/>
                <w:sz w:val="18"/>
                <w:szCs w:val="18"/>
                <w:color w:val="auto"/>
              </w:rPr>
              <w:t>iv)   a plan adopted to comply with the Exchange Act Rule 10b5-1 (“</w:t>
            </w:r>
            <w:r>
              <w:rPr>
                <w:rFonts w:ascii="Arial" w:cs="Arial" w:eastAsia="Arial" w:hAnsi="Arial"/>
                <w:sz w:val="18"/>
                <w:szCs w:val="18"/>
                <w:b w:val="1"/>
                <w:bCs w:val="1"/>
                <w:color w:val="auto"/>
              </w:rPr>
              <w:t>Rule 10b5-1</w:t>
            </w:r>
            <w:r>
              <w:rPr>
                <w:rFonts w:ascii="Arial" w:cs="Arial" w:eastAsia="Arial" w:hAnsi="Arial"/>
                <w:sz w:val="18"/>
                <w:szCs w:val="18"/>
                <w:color w:val="auto"/>
              </w:rPr>
              <w:t>”), and</w:t>
            </w:r>
          </w:p>
        </w:tc>
      </w:tr>
      <w:tr>
        <w:trPr>
          <w:trHeight w:val="203"/>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320"/>
              <w:spacing w:after="0" w:line="202" w:lineRule="exact"/>
              <w:rPr>
                <w:sz w:val="20"/>
                <w:szCs w:val="20"/>
                <w:color w:val="auto"/>
              </w:rPr>
            </w:pPr>
            <w:r>
              <w:rPr>
                <w:rFonts w:ascii="Arial" w:cs="Arial" w:eastAsia="Arial" w:hAnsi="Arial"/>
                <w:sz w:val="18"/>
                <w:szCs w:val="18"/>
                <w:color w:val="auto"/>
              </w:rPr>
              <w:t>v)   Sell-to-cover-tax transactions that are enforced automatically upon vesting of equity awards,</w:t>
            </w:r>
          </w:p>
        </w:tc>
      </w:tr>
      <w:tr>
        <w:trPr>
          <w:trHeight w:val="203"/>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860"/>
              <w:spacing w:after="0" w:line="202" w:lineRule="exact"/>
              <w:rPr>
                <w:sz w:val="20"/>
                <w:szCs w:val="20"/>
                <w:color w:val="auto"/>
              </w:rPr>
            </w:pPr>
            <w:r>
              <w:rPr>
                <w:rFonts w:ascii="Arial" w:cs="Arial" w:eastAsia="Arial" w:hAnsi="Arial"/>
                <w:sz w:val="18"/>
                <w:szCs w:val="18"/>
                <w:color w:val="auto"/>
              </w:rPr>
              <w:t>when this is governed by the relevant equity plan rules and necessary in order to comply</w:t>
            </w:r>
          </w:p>
        </w:tc>
      </w:tr>
      <w:tr>
        <w:trPr>
          <w:trHeight w:val="239"/>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860"/>
              <w:spacing w:after="0"/>
              <w:rPr>
                <w:sz w:val="20"/>
                <w:szCs w:val="20"/>
                <w:color w:val="auto"/>
              </w:rPr>
            </w:pPr>
            <w:r>
              <w:rPr>
                <w:rFonts w:ascii="Arial" w:cs="Arial" w:eastAsia="Arial" w:hAnsi="Arial"/>
                <w:sz w:val="18"/>
                <w:szCs w:val="18"/>
                <w:color w:val="auto"/>
              </w:rPr>
              <w:t>with tax withholding requirements.</w:t>
            </w:r>
          </w:p>
        </w:tc>
      </w:tr>
      <w:tr>
        <w:trPr>
          <w:trHeight w:val="222"/>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21"/>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Insider:</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Ascendis Pharma Individuals and anyone else within Ascendis Pharma, or its subsidiaries, who has</w:t>
            </w:r>
          </w:p>
        </w:tc>
      </w:tr>
      <w:tr>
        <w:trPr>
          <w:trHeight w:val="239"/>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material, non-public information about Ascendis Pharma and its activities..</w:t>
            </w:r>
          </w:p>
        </w:tc>
      </w:tr>
      <w:tr>
        <w:trPr>
          <w:trHeight w:val="225"/>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18"/>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Insider Trading:</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Refers to the purchase or sale of a security by a person who is in possession of “material,” “non-</w:t>
            </w:r>
          </w:p>
        </w:tc>
      </w:tr>
      <w:tr>
        <w:trPr>
          <w:trHeight w:val="239"/>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public” information relating to the security, see further explanation in section 4</w:t>
            </w:r>
          </w:p>
        </w:tc>
      </w:tr>
      <w:tr>
        <w:trPr>
          <w:trHeight w:val="225"/>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54"/>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SEC:</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The U.S. Securities and Exchange Commission.</w:t>
            </w:r>
          </w:p>
        </w:tc>
      </w:tr>
      <w:tr>
        <w:trPr>
          <w:trHeight w:val="23"/>
        </w:trPr>
        <w:tc>
          <w:tcPr>
            <w:tcW w:w="3000" w:type="dxa"/>
            <w:vAlign w:val="bottom"/>
            <w:tcBorders>
              <w:left w:val="single" w:sz="8" w:color="008EB0"/>
              <w:bottom w:val="single" w:sz="8" w:color="008EB0"/>
              <w:right w:val="single" w:sz="8" w:color="008EB0"/>
            </w:tcBorders>
          </w:tcPr>
          <w:p>
            <w:pPr>
              <w:spacing w:after="0"/>
              <w:rPr>
                <w:sz w:val="2"/>
                <w:szCs w:val="2"/>
                <w:color w:val="auto"/>
              </w:rPr>
            </w:pPr>
          </w:p>
        </w:tc>
        <w:tc>
          <w:tcPr>
            <w:tcW w:w="8240" w:type="dxa"/>
            <w:vAlign w:val="bottom"/>
            <w:tcBorders>
              <w:bottom w:val="single" w:sz="8" w:color="008EB0"/>
              <w:right w:val="single" w:sz="8" w:color="008EB0"/>
            </w:tcBorders>
          </w:tcPr>
          <w:p>
            <w:pPr>
              <w:spacing w:after="0"/>
              <w:rPr>
                <w:sz w:val="2"/>
                <w:szCs w:val="2"/>
                <w:color w:val="auto"/>
              </w:rPr>
            </w:pPr>
          </w:p>
        </w:tc>
      </w:tr>
      <w:tr>
        <w:trPr>
          <w:trHeight w:val="218"/>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Securities:</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Includes ordinary shares,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ordinary shares, stocks,</w:t>
            </w:r>
          </w:p>
        </w:tc>
      </w:tr>
      <w:tr>
        <w:trPr>
          <w:trHeight w:val="203"/>
        </w:trPr>
        <w:tc>
          <w:tcPr>
            <w:tcW w:w="3000" w:type="dxa"/>
            <w:vAlign w:val="bottom"/>
            <w:tcBorders>
              <w:left w:val="single" w:sz="8" w:color="008EB0"/>
              <w:right w:val="single" w:sz="8" w:color="008EB0"/>
            </w:tcBorders>
          </w:tcPr>
          <w:p>
            <w:pPr>
              <w:spacing w:after="0"/>
              <w:rPr>
                <w:sz w:val="17"/>
                <w:szCs w:val="17"/>
                <w:color w:val="auto"/>
              </w:rPr>
            </w:pPr>
          </w:p>
        </w:tc>
        <w:tc>
          <w:tcPr>
            <w:tcW w:w="8240" w:type="dxa"/>
            <w:vAlign w:val="bottom"/>
            <w:tcBorders>
              <w:right w:val="single" w:sz="8" w:color="008EB0"/>
            </w:tcBorders>
          </w:tcPr>
          <w:p>
            <w:pPr>
              <w:ind w:left="40"/>
              <w:spacing w:after="0" w:line="202" w:lineRule="exact"/>
              <w:rPr>
                <w:sz w:val="20"/>
                <w:szCs w:val="20"/>
                <w:color w:val="auto"/>
              </w:rPr>
            </w:pPr>
            <w:r>
              <w:rPr>
                <w:rFonts w:ascii="Arial" w:cs="Arial" w:eastAsia="Arial" w:hAnsi="Arial"/>
                <w:sz w:val="18"/>
                <w:szCs w:val="18"/>
                <w:color w:val="auto"/>
              </w:rPr>
              <w:t>bonds, notes, debentures, options, warrants, equity and other convertible securities, as well as</w:t>
            </w:r>
          </w:p>
        </w:tc>
      </w:tr>
      <w:tr>
        <w:trPr>
          <w:trHeight w:val="239"/>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derivative instruments.</w:t>
            </w:r>
          </w:p>
        </w:tc>
      </w:tr>
      <w:tr>
        <w:trPr>
          <w:trHeight w:val="225"/>
        </w:trPr>
        <w:tc>
          <w:tcPr>
            <w:tcW w:w="3000" w:type="dxa"/>
            <w:vAlign w:val="bottom"/>
            <w:tcBorders>
              <w:left w:val="single" w:sz="8" w:color="008EB0"/>
              <w:bottom w:val="single" w:sz="8" w:color="008EB0"/>
              <w:right w:val="single" w:sz="8" w:color="008EB0"/>
            </w:tcBorders>
          </w:tcPr>
          <w:p>
            <w:pPr>
              <w:spacing w:after="0"/>
              <w:rPr>
                <w:sz w:val="19"/>
                <w:szCs w:val="19"/>
                <w:color w:val="auto"/>
              </w:rPr>
            </w:pPr>
          </w:p>
        </w:tc>
        <w:tc>
          <w:tcPr>
            <w:tcW w:w="8240" w:type="dxa"/>
            <w:vAlign w:val="bottom"/>
            <w:tcBorders>
              <w:bottom w:val="single" w:sz="8" w:color="008EB0"/>
              <w:right w:val="single" w:sz="8" w:color="008EB0"/>
            </w:tcBorders>
          </w:tcPr>
          <w:p>
            <w:pPr>
              <w:spacing w:after="0"/>
              <w:rPr>
                <w:sz w:val="19"/>
                <w:szCs w:val="19"/>
                <w:color w:val="auto"/>
              </w:rPr>
            </w:pPr>
          </w:p>
        </w:tc>
      </w:tr>
      <w:tr>
        <w:trPr>
          <w:trHeight w:val="218"/>
        </w:trPr>
        <w:tc>
          <w:tcPr>
            <w:tcW w:w="3000" w:type="dxa"/>
            <w:vAlign w:val="bottom"/>
            <w:tcBorders>
              <w:left w:val="single" w:sz="8" w:color="008EB0"/>
              <w:right w:val="single" w:sz="8" w:color="008EB0"/>
            </w:tcBorders>
          </w:tcPr>
          <w:p>
            <w:pPr>
              <w:ind w:left="80"/>
              <w:spacing w:after="0"/>
              <w:rPr>
                <w:sz w:val="20"/>
                <w:szCs w:val="20"/>
                <w:color w:val="auto"/>
              </w:rPr>
            </w:pPr>
            <w:r>
              <w:rPr>
                <w:rFonts w:ascii="Arial" w:cs="Arial" w:eastAsia="Arial" w:hAnsi="Arial"/>
                <w:sz w:val="18"/>
                <w:szCs w:val="18"/>
                <w:color w:val="auto"/>
              </w:rPr>
              <w:t>Trading Plan</w:t>
            </w: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transactions under a previously established contract, plan or instruction to trade in Ascendis Pharma’s</w:t>
            </w:r>
          </w:p>
        </w:tc>
      </w:tr>
      <w:tr>
        <w:trPr>
          <w:trHeight w:val="239"/>
        </w:trPr>
        <w:tc>
          <w:tcPr>
            <w:tcW w:w="3000" w:type="dxa"/>
            <w:vAlign w:val="bottom"/>
            <w:tcBorders>
              <w:left w:val="single" w:sz="8" w:color="008EB0"/>
              <w:right w:val="single" w:sz="8" w:color="008EB0"/>
            </w:tcBorders>
          </w:tcPr>
          <w:p>
            <w:pPr>
              <w:spacing w:after="0"/>
              <w:rPr>
                <w:sz w:val="20"/>
                <w:szCs w:val="20"/>
                <w:color w:val="auto"/>
              </w:rPr>
            </w:pPr>
          </w:p>
        </w:tc>
        <w:tc>
          <w:tcPr>
            <w:tcW w:w="8240" w:type="dxa"/>
            <w:vAlign w:val="bottom"/>
            <w:tcBorders>
              <w:right w:val="single" w:sz="8" w:color="008EB0"/>
            </w:tcBorders>
          </w:tcPr>
          <w:p>
            <w:pPr>
              <w:ind w:left="40"/>
              <w:spacing w:after="0"/>
              <w:rPr>
                <w:sz w:val="20"/>
                <w:szCs w:val="20"/>
                <w:color w:val="auto"/>
              </w:rPr>
            </w:pPr>
            <w:r>
              <w:rPr>
                <w:rFonts w:ascii="Arial" w:cs="Arial" w:eastAsia="Arial" w:hAnsi="Arial"/>
                <w:sz w:val="18"/>
                <w:szCs w:val="18"/>
                <w:color w:val="auto"/>
              </w:rPr>
              <w:t>Securities entered into in accordance with Rule 10b5-1</w:t>
            </w:r>
          </w:p>
        </w:tc>
      </w:tr>
      <w:tr>
        <w:trPr>
          <w:trHeight w:val="23"/>
        </w:trPr>
        <w:tc>
          <w:tcPr>
            <w:tcW w:w="3000" w:type="dxa"/>
            <w:vAlign w:val="bottom"/>
            <w:tcBorders>
              <w:left w:val="single" w:sz="8" w:color="008EB0"/>
              <w:bottom w:val="single" w:sz="8" w:color="008EB0"/>
              <w:right w:val="single" w:sz="8" w:color="008EB0"/>
            </w:tcBorders>
          </w:tcPr>
          <w:p>
            <w:pPr>
              <w:spacing w:after="0"/>
              <w:rPr>
                <w:sz w:val="2"/>
                <w:szCs w:val="2"/>
                <w:color w:val="auto"/>
              </w:rPr>
            </w:pPr>
          </w:p>
        </w:tc>
        <w:tc>
          <w:tcPr>
            <w:tcW w:w="8240" w:type="dxa"/>
            <w:vAlign w:val="bottom"/>
            <w:tcBorders>
              <w:bottom w:val="single" w:sz="8" w:color="008EB0"/>
              <w:right w:val="single" w:sz="8" w:color="008EB0"/>
            </w:tcBorders>
          </w:tcPr>
          <w:p>
            <w:pPr>
              <w:spacing w:after="0"/>
              <w:rPr>
                <w:sz w:val="2"/>
                <w:szCs w:val="2"/>
                <w:color w:val="auto"/>
              </w:rPr>
            </w:pPr>
          </w:p>
        </w:tc>
      </w:tr>
    </w:tbl>
    <w:p>
      <w:pPr>
        <w:spacing w:after="0" w:line="392" w:lineRule="exact"/>
        <w:rPr>
          <w:sz w:val="20"/>
          <w:szCs w:val="20"/>
          <w:color w:val="auto"/>
        </w:rPr>
      </w:pPr>
    </w:p>
    <w:p>
      <w:pPr>
        <w:ind w:left="480" w:hanging="472"/>
        <w:spacing w:after="0"/>
        <w:tabs>
          <w:tab w:leader="none" w:pos="480" w:val="left"/>
        </w:tabs>
        <w:numPr>
          <w:ilvl w:val="0"/>
          <w:numId w:val="261"/>
        </w:numPr>
        <w:rPr>
          <w:rFonts w:ascii="Arial" w:cs="Arial" w:eastAsia="Arial" w:hAnsi="Arial"/>
          <w:sz w:val="22"/>
          <w:szCs w:val="22"/>
          <w:color w:val="008EB0"/>
        </w:rPr>
      </w:pPr>
      <w:r>
        <w:rPr>
          <w:rFonts w:ascii="Arial" w:cs="Arial" w:eastAsia="Arial" w:hAnsi="Arial"/>
          <w:sz w:val="22"/>
          <w:szCs w:val="22"/>
          <w:color w:val="008EB0"/>
        </w:rPr>
        <w:t>Applicability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 all Ascendis Pharma Individuals.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Ascendis Pharma Individuals are responsible for ensuring that members of their household also comply with this Policy. This includes family members residing with Ascendis Pharma Individuals, anyone else living in the same household as an Ascendis Pharma Individual, and any family members not living with Ascendis Pharma Individuals whose transactions in Ascendis Pharma’s securities are directed by Ascendis Pharma Individuals, or subject to their influence and control. This Policy also applies to any entities controlled by Ascendis Pharma Individuals, including any limited liability companies, corporations, partnerships, or trusts, and transactions by these entities should be treated for the purposes of this Policy and applicable securities laws as if they were for the account of an Ascendis Pharma Individual.</w:t>
      </w:r>
    </w:p>
    <w:p>
      <w:pPr>
        <w:spacing w:after="0" w:line="16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For purposes of clarity, this Policy, including, without limitation, the preclearance policy, blackout periods and prohibited transactions, does not apply to venture capital entities or other institutional investors that may be affiliated with a board member of Ascendis Pharma or for Company equity securities that a board member may be deemed to have beneficial ownership of by virtue of such affiliation.</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For purposes of clarity, with the exception of the preclearance requirement, this Policy continues to apply to transactions in Ascendis Pharma’s securities even after termination of service to Ascendis Pharma. If you are in possession of material non-public information when your service terminates, you may not trade in Ascendis Pharma’s securities until that information has become public or is no longer material.</w:t>
      </w:r>
    </w:p>
    <w:p>
      <w:pPr>
        <w:spacing w:after="0" w:line="144" w:lineRule="exact"/>
        <w:rPr>
          <w:sz w:val="20"/>
          <w:szCs w:val="20"/>
          <w:color w:val="auto"/>
        </w:rPr>
      </w:pPr>
    </w:p>
    <w:p>
      <w:pPr>
        <w:ind w:left="480" w:hanging="472"/>
        <w:spacing w:after="0"/>
        <w:tabs>
          <w:tab w:leader="none" w:pos="480" w:val="left"/>
        </w:tabs>
        <w:numPr>
          <w:ilvl w:val="0"/>
          <w:numId w:val="262"/>
        </w:numPr>
        <w:rPr>
          <w:rFonts w:ascii="Arial" w:cs="Arial" w:eastAsia="Arial" w:hAnsi="Arial"/>
          <w:sz w:val="22"/>
          <w:szCs w:val="22"/>
          <w:color w:val="008EB0"/>
        </w:rPr>
      </w:pPr>
      <w:r>
        <w:rPr>
          <w:rFonts w:ascii="Arial" w:cs="Arial" w:eastAsia="Arial" w:hAnsi="Arial"/>
          <w:sz w:val="22"/>
          <w:szCs w:val="22"/>
          <w:color w:val="008EB0"/>
        </w:rPr>
        <w:t>Explanation of “Insider Trading”</w:t>
      </w:r>
    </w:p>
    <w:p>
      <w:pPr>
        <w:spacing w:after="0" w:line="33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4.1</w:t>
      </w:r>
      <w:r>
        <w:rPr>
          <w:sz w:val="20"/>
          <w:szCs w:val="20"/>
          <w:color w:val="auto"/>
        </w:rPr>
        <w:tab/>
      </w:r>
      <w:r>
        <w:rPr>
          <w:rFonts w:ascii="Arial" w:cs="Arial" w:eastAsia="Arial" w:hAnsi="Arial"/>
          <w:sz w:val="19"/>
          <w:szCs w:val="19"/>
          <w:color w:val="008EB0"/>
        </w:rPr>
        <w:t>What is Insider Trading?</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“Insider Trading” refers to the purchase or sale of a Security by a person while in possession of “material,” “non-public” information relating to that security. Insider trading is illegal and governed by US securities laws</w:t>
      </w:r>
    </w:p>
    <w:p>
      <w:pPr>
        <w:spacing w:after="0" w:line="14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“Purchase” and “sale” are defined broadly under applicable US securities laws.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cash-for-share transactions, conversions, the exercise of warrants, transfers, gifts and acquisitions and exercises of options or puts, calls or other derivative securities.</w:t>
      </w:r>
    </w:p>
    <w:p>
      <w:pPr>
        <w:spacing w:after="0" w:line="16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laws and regulations concerning insider trading are complex, and Ascendis Pharma Individuals are encouraged to seek guidance from the Chief Legal Officer prior to considering a transaction in Company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 is generally understood that Insider Trading includes the following:</w:t>
      </w:r>
    </w:p>
    <w:p>
      <w:pPr>
        <w:spacing w:after="0" w:line="9" w:lineRule="exact"/>
        <w:rPr>
          <w:sz w:val="20"/>
          <w:szCs w:val="20"/>
          <w:color w:val="auto"/>
        </w:rPr>
      </w:pPr>
    </w:p>
    <w:p>
      <w:pPr>
        <w:ind w:left="800" w:hanging="405"/>
        <w:spacing w:after="0"/>
        <w:tabs>
          <w:tab w:leader="none" w:pos="8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trading by Insiders while in possession of material, non-public information;</w:t>
      </w:r>
    </w:p>
    <w:p>
      <w:pPr>
        <w:ind w:left="760" w:right="80" w:hanging="365"/>
        <w:spacing w:after="0" w:line="234" w:lineRule="auto"/>
        <w:tabs>
          <w:tab w:leader="none" w:pos="79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trading by persons other than Insiders while in possession of material, non-public information, if the information either was given in breach of an Insider’s duty to keep it confidential or was misappropriated; and</w:t>
      </w:r>
    </w:p>
    <w:p>
      <w:pPr>
        <w:spacing w:after="0" w:line="1" w:lineRule="exact"/>
        <w:rPr>
          <w:rFonts w:ascii="Arial" w:cs="Arial" w:eastAsia="Arial" w:hAnsi="Arial"/>
          <w:sz w:val="18"/>
          <w:szCs w:val="18"/>
          <w:color w:val="auto"/>
        </w:rPr>
      </w:pPr>
    </w:p>
    <w:p>
      <w:pPr>
        <w:ind w:left="760" w:right="360" w:hanging="365"/>
        <w:spacing w:after="0" w:line="250" w:lineRule="auto"/>
        <w:tabs>
          <w:tab w:leader="none" w:pos="79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communicating or tipping material, non-public information to others, including recommending the purchase or sale of a security while in possession of such information.</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4.2</w:t>
      </w:r>
      <w:r>
        <w:rPr>
          <w:sz w:val="20"/>
          <w:szCs w:val="20"/>
          <w:color w:val="auto"/>
        </w:rPr>
        <w:tab/>
      </w:r>
      <w:r>
        <w:rPr>
          <w:rFonts w:ascii="Arial" w:cs="Arial" w:eastAsia="Arial" w:hAnsi="Arial"/>
          <w:sz w:val="19"/>
          <w:szCs w:val="19"/>
          <w:color w:val="008EB0"/>
        </w:rPr>
        <w:t>What information is “material”?</w:t>
      </w:r>
    </w:p>
    <w:p>
      <w:pPr>
        <w:spacing w:after="0" w:line="9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Information is considered “material” if there is a substantial likelihood that a reasonable investor would consider it important in making a decision to buy, sell or hold a security, or if the information is likely to have a significant effect on the market price of the security.</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Material information can be positive or negative and can relate to virtually any aspect of a company’s business or to any type of security, debt or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Also, information that something is likely to happen in the future—or even just that it may happen—could be deemed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Examples of material information include (but are not limited to) information about: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results of clinical trials;</w:t>
      </w:r>
    </w:p>
    <w:p>
      <w:pPr>
        <w:spacing w:after="0" w:line="9" w:lineRule="exact"/>
        <w:rPr>
          <w:sz w:val="20"/>
          <w:szCs w:val="20"/>
          <w:color w:val="auto"/>
        </w:rPr>
      </w:pPr>
    </w:p>
    <w:p>
      <w:pPr>
        <w:ind w:left="760" w:right="120" w:hanging="1"/>
        <w:spacing w:after="0" w:line="242" w:lineRule="auto"/>
        <w:rPr>
          <w:sz w:val="20"/>
          <w:szCs w:val="20"/>
          <w:color w:val="auto"/>
        </w:rPr>
      </w:pPr>
      <w:r>
        <w:rPr>
          <w:rFonts w:ascii="Arial" w:cs="Arial" w:eastAsia="Arial" w:hAnsi="Arial"/>
          <w:sz w:val="18"/>
          <w:szCs w:val="18"/>
          <w:color w:val="auto"/>
        </w:rPr>
        <w:t>communications sent to, or received from, the European Medicines Agency or the U.S. Food and Drug Administration,or any other marketing authorization government body;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corporate earnings or earnings forecasts;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mergers, acquisitions, tender offers or dispositions;</w:t>
      </w:r>
    </w:p>
    <w:p>
      <w:pPr>
        <w:spacing w:after="0" w:line="3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8" w:name="page359"/>
    <w:bookmarkEnd w:id="3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major new products or product developments;</w:t>
      </w:r>
    </w:p>
    <w:p>
      <w:pPr>
        <w:spacing w:after="0" w:line="27" w:lineRule="exact"/>
        <w:rPr>
          <w:sz w:val="20"/>
          <w:szCs w:val="20"/>
          <w:color w:val="auto"/>
        </w:rPr>
      </w:pPr>
    </w:p>
    <w:p>
      <w:pPr>
        <w:jc w:val="both"/>
        <w:ind w:left="760" w:right="3920"/>
        <w:spacing w:after="0" w:line="250" w:lineRule="auto"/>
        <w:rPr>
          <w:sz w:val="20"/>
          <w:szCs w:val="20"/>
          <w:color w:val="auto"/>
        </w:rPr>
      </w:pPr>
      <w:r>
        <w:rPr>
          <w:rFonts w:ascii="Arial" w:cs="Arial" w:eastAsia="Arial" w:hAnsi="Arial"/>
          <w:sz w:val="18"/>
          <w:szCs w:val="18"/>
          <w:color w:val="auto"/>
        </w:rPr>
        <w:t>important business developments such as major contract awards or cancellations; developments regarding strategic collaborators, including VISEN Pharmaceuticals; the status of regulatory submissions;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management or control changes;</w:t>
      </w:r>
    </w:p>
    <w:p>
      <w:pPr>
        <w:spacing w:after="0" w:line="9" w:lineRule="exact"/>
        <w:rPr>
          <w:sz w:val="20"/>
          <w:szCs w:val="20"/>
          <w:color w:val="auto"/>
        </w:rPr>
      </w:pPr>
    </w:p>
    <w:p>
      <w:pPr>
        <w:ind w:left="760" w:right="1100"/>
        <w:spacing w:after="0" w:line="250" w:lineRule="auto"/>
        <w:rPr>
          <w:sz w:val="20"/>
          <w:szCs w:val="20"/>
          <w:color w:val="auto"/>
        </w:rPr>
      </w:pPr>
      <w:r>
        <w:rPr>
          <w:rFonts w:ascii="Arial" w:cs="Arial" w:eastAsia="Arial" w:hAnsi="Arial"/>
          <w:sz w:val="18"/>
          <w:szCs w:val="18"/>
          <w:color w:val="auto"/>
        </w:rPr>
        <w:t>significant borrowing or financing developments including pending public sales or offerings of debt or equity securities; defaults on borrowings;</w:t>
      </w:r>
    </w:p>
    <w:p>
      <w:pPr>
        <w:ind w:left="400"/>
        <w:spacing w:after="0"/>
        <w:rPr>
          <w:sz w:val="20"/>
          <w:szCs w:val="20"/>
          <w:color w:val="auto"/>
        </w:rPr>
      </w:pPr>
      <w:r>
        <w:rPr>
          <w:rFonts w:ascii="Arial" w:cs="Arial" w:eastAsia="Arial" w:hAnsi="Arial"/>
          <w:sz w:val="18"/>
          <w:szCs w:val="18"/>
          <w:color w:val="auto"/>
        </w:rPr>
        <w:t>bankruptcies;</w:t>
      </w:r>
    </w:p>
    <w:p>
      <w:pPr>
        <w:spacing w:after="0" w:line="9" w:lineRule="exact"/>
        <w:rPr>
          <w:sz w:val="20"/>
          <w:szCs w:val="20"/>
          <w:color w:val="auto"/>
        </w:rPr>
      </w:pPr>
    </w:p>
    <w:p>
      <w:pPr>
        <w:ind w:left="760" w:right="6980"/>
        <w:spacing w:after="0" w:line="296" w:lineRule="auto"/>
        <w:rPr>
          <w:sz w:val="20"/>
          <w:szCs w:val="20"/>
          <w:color w:val="auto"/>
        </w:rPr>
      </w:pPr>
      <w:r>
        <w:rPr>
          <w:rFonts w:ascii="Arial" w:cs="Arial" w:eastAsia="Arial" w:hAnsi="Arial"/>
          <w:sz w:val="17"/>
          <w:szCs w:val="17"/>
          <w:color w:val="auto"/>
        </w:rPr>
        <w:t>cybersecurity or data security incidents; and significant litigation or regulatory actions.</w:t>
      </w:r>
    </w:p>
    <w:p>
      <w:pPr>
        <w:spacing w:after="0" w:line="13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Moreover, material information does not have to be related to a company’s business. For example, the contents of a forthcoming newspaper column that is expected to affect the market price of a security can be 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Questions regarding material information should be directed to Ascendis Pharma’s Chief Legal Officer.</w:t>
      </w:r>
    </w:p>
    <w:p>
      <w:pPr>
        <w:spacing w:after="0" w:line="198"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In all cases, individuals subject to this Policy bear full responsibility for ensuring their compliance with this Policy, and also for ensuring that members of their household (and individuals not residing in their household but whose transactions are subject to their influence or control) and entities under their influence or control are in compliance with this Policy.</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4.3</w:t>
      </w:r>
      <w:r>
        <w:rPr>
          <w:sz w:val="20"/>
          <w:szCs w:val="20"/>
          <w:color w:val="auto"/>
        </w:rPr>
        <w:tab/>
      </w:r>
      <w:r>
        <w:rPr>
          <w:rFonts w:ascii="Arial" w:cs="Arial" w:eastAsia="Arial" w:hAnsi="Arial"/>
          <w:sz w:val="19"/>
          <w:szCs w:val="19"/>
          <w:color w:val="008EB0"/>
        </w:rPr>
        <w:t>What is “non-public” information?</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Information is “non-public” if it is not available to the general public. In order for information to be considered public, it must be widely disseminated in a manner making it generally available to investors in a Regulation FD(fair disclosure)-compliant method, such as through a press release, a filing with the SEC or a Regulation FD-compliant conference call. The Chief Legal Officer shall have sole discretion to decide whether information is public for purposes of this Policy.</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circulation of rumors, even if accurate and reported in the media, does not constitute effective public dissemination. In addition, even after a public announcement, a reasonable period of time may need to lapse in order for the market to react to the information. Generally, one should allow one full trading day following release of the information to the public as a reasonable waiting period before such information is deemed to be public.</w:t>
      </w:r>
    </w:p>
    <w:p>
      <w:pPr>
        <w:spacing w:after="0" w:line="19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4.4</w:t>
      </w:r>
      <w:r>
        <w:rPr>
          <w:sz w:val="20"/>
          <w:szCs w:val="20"/>
          <w:color w:val="auto"/>
        </w:rPr>
        <w:tab/>
      </w:r>
      <w:r>
        <w:rPr>
          <w:rFonts w:ascii="Arial" w:cs="Arial" w:eastAsia="Arial" w:hAnsi="Arial"/>
          <w:sz w:val="19"/>
          <w:szCs w:val="19"/>
          <w:color w:val="008EB0"/>
        </w:rPr>
        <w:t>Who is an Insider?</w:t>
      </w:r>
    </w:p>
    <w:p>
      <w:pPr>
        <w:spacing w:after="0" w:line="9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Insiders include Ascendis Pharma Individuals and anyone else within Ascendis Pharma who has material, non-public information about a company.</w:t>
      </w:r>
    </w:p>
    <w:p>
      <w:pPr>
        <w:spacing w:after="0" w:line="146" w:lineRule="exact"/>
        <w:rPr>
          <w:sz w:val="20"/>
          <w:szCs w:val="20"/>
          <w:color w:val="auto"/>
        </w:rPr>
      </w:pPr>
    </w:p>
    <w:p>
      <w:pPr>
        <w:ind w:left="480" w:hanging="472"/>
        <w:spacing w:after="0"/>
        <w:tabs>
          <w:tab w:leader="none" w:pos="480" w:val="left"/>
        </w:tabs>
        <w:numPr>
          <w:ilvl w:val="0"/>
          <w:numId w:val="266"/>
        </w:numPr>
        <w:rPr>
          <w:rFonts w:ascii="Arial" w:cs="Arial" w:eastAsia="Arial" w:hAnsi="Arial"/>
          <w:sz w:val="22"/>
          <w:szCs w:val="22"/>
          <w:color w:val="008EB0"/>
        </w:rPr>
      </w:pPr>
      <w:r>
        <w:rPr>
          <w:rFonts w:ascii="Arial" w:cs="Arial" w:eastAsia="Arial" w:hAnsi="Arial"/>
          <w:sz w:val="22"/>
          <w:szCs w:val="22"/>
          <w:color w:val="008EB0"/>
        </w:rPr>
        <w:t>Procedures</w:t>
      </w:r>
    </w:p>
    <w:p>
      <w:pPr>
        <w:spacing w:after="0" w:line="10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5.1</w:t>
      </w:r>
      <w:r>
        <w:rPr>
          <w:sz w:val="20"/>
          <w:szCs w:val="20"/>
          <w:color w:val="auto"/>
        </w:rPr>
        <w:tab/>
      </w:r>
      <w:r>
        <w:rPr>
          <w:rFonts w:ascii="Arial" w:cs="Arial" w:eastAsia="Arial" w:hAnsi="Arial"/>
          <w:sz w:val="19"/>
          <w:szCs w:val="19"/>
          <w:color w:val="008EB0"/>
        </w:rPr>
        <w:t>Supporting requirements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minimize the risk of Insider Trading, Ascendis Pharma has put in place below requirements relating to:</w:t>
      </w:r>
    </w:p>
    <w:p>
      <w:pPr>
        <w:spacing w:after="0" w:line="198" w:lineRule="exact"/>
        <w:rPr>
          <w:sz w:val="20"/>
          <w:szCs w:val="20"/>
          <w:color w:val="auto"/>
        </w:rPr>
      </w:pPr>
    </w:p>
    <w:p>
      <w:pPr>
        <w:ind w:left="760" w:right="7480"/>
        <w:spacing w:after="0" w:line="276" w:lineRule="auto"/>
        <w:rPr>
          <w:sz w:val="20"/>
          <w:szCs w:val="20"/>
          <w:color w:val="auto"/>
        </w:rPr>
      </w:pPr>
      <w:r>
        <w:rPr>
          <w:rFonts w:ascii="Arial" w:cs="Arial" w:eastAsia="Arial" w:hAnsi="Arial"/>
          <w:sz w:val="17"/>
          <w:szCs w:val="17"/>
          <w:color w:val="auto"/>
        </w:rPr>
        <w:t>Periodic Trading Windows (see 5.1.1) Event-specific Blackouts (see 5.2)</w:t>
      </w:r>
    </w:p>
    <w:p>
      <w:pPr>
        <w:ind w:left="400"/>
        <w:spacing w:after="0"/>
        <w:rPr>
          <w:sz w:val="20"/>
          <w:szCs w:val="20"/>
          <w:color w:val="auto"/>
        </w:rPr>
      </w:pPr>
      <w:r>
        <w:rPr>
          <w:rFonts w:ascii="Arial" w:cs="Arial" w:eastAsia="Arial" w:hAnsi="Arial"/>
          <w:sz w:val="18"/>
          <w:szCs w:val="18"/>
          <w:color w:val="auto"/>
        </w:rPr>
        <w:t>Specific personal pre-clearance procedures for senior management and select functions (see 5.2.2)</w:t>
      </w:r>
    </w:p>
    <w:p>
      <w:pPr>
        <w:spacing w:after="0" w:line="3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General handling of material non-public information (see 5.2.3)</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prohibition against Insider Trading and the further instructions contained in sections 5.1.1 - 5.2.2 may be summarized and illustrated in the decision tree shown on the following page (Illustration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991485" cy="51435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2">
                      <a:extLst>
                        <a:ext uri="{28A0092B-C50C-407E-A947-70E740481C1C}"/>
                      </a:extLst>
                    </a:blip>
                    <a:srcRect/>
                    <a:stretch>
                      <a:fillRect/>
                    </a:stretch>
                  </pic:blipFill>
                  <pic:spPr bwMode="auto">
                    <a:xfrm>
                      <a:off x="0" y="0"/>
                      <a:ext cx="2991485"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this chart is not a substitute for reading and understanding this Policy.</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5.1.1</w:t>
      </w:r>
      <w:r>
        <w:rPr>
          <w:sz w:val="20"/>
          <w:szCs w:val="20"/>
          <w:color w:val="auto"/>
        </w:rPr>
        <w:tab/>
      </w:r>
      <w:r>
        <w:rPr>
          <w:rFonts w:ascii="Arial" w:cs="Arial" w:eastAsia="Arial" w:hAnsi="Arial"/>
          <w:sz w:val="18"/>
          <w:szCs w:val="18"/>
          <w:color w:val="008EB0"/>
        </w:rPr>
        <w:t>Periodic Trading Windows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Ascendis Pharma Individuals may only trade during open Periodic Trading Windows. Periodic Trading Windows open on the date falling one</w:t>
      </w:r>
    </w:p>
    <w:p>
      <w:pPr>
        <w:spacing w:after="0" w:line="25" w:lineRule="exact"/>
        <w:rPr>
          <w:sz w:val="20"/>
          <w:szCs w:val="20"/>
          <w:color w:val="auto"/>
        </w:rPr>
      </w:pPr>
    </w:p>
    <w:p>
      <w:pPr>
        <w:ind w:right="220" w:firstLine="8"/>
        <w:spacing w:after="0" w:line="247" w:lineRule="auto"/>
        <w:tabs>
          <w:tab w:leader="none" w:pos="27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full trading day after the public release of earnings data for any financial quarter and close on the date falling twenty-one (21) calendar days prior to the last date of each financial quarter (each, a “</w:t>
      </w:r>
      <w:r>
        <w:rPr>
          <w:rFonts w:ascii="Arial" w:cs="Arial" w:eastAsia="Arial" w:hAnsi="Arial"/>
          <w:sz w:val="18"/>
          <w:szCs w:val="18"/>
          <w:b w:val="1"/>
          <w:bCs w:val="1"/>
          <w:color w:val="auto"/>
        </w:rPr>
        <w:t>Periodic Trading Window</w:t>
      </w:r>
      <w:r>
        <w:rPr>
          <w:rFonts w:ascii="Arial" w:cs="Arial" w:eastAsia="Arial" w:hAnsi="Arial"/>
          <w:sz w:val="18"/>
          <w:szCs w:val="18"/>
          <w:color w:val="auto"/>
        </w:rPr>
        <w:t>”). For purposes of the foregoing sentence, a “</w:t>
      </w:r>
      <w:r>
        <w:rPr>
          <w:rFonts w:ascii="Arial" w:cs="Arial" w:eastAsia="Arial" w:hAnsi="Arial"/>
          <w:sz w:val="18"/>
          <w:szCs w:val="18"/>
          <w:b w:val="1"/>
          <w:bCs w:val="1"/>
          <w:color w:val="auto"/>
        </w:rPr>
        <w:t>trading</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60" w:name="page361"/>
    <w:bookmarkEnd w:id="3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day</w:t>
      </w:r>
      <w:r>
        <w:rPr>
          <w:rFonts w:ascii="Arial" w:cs="Arial" w:eastAsia="Arial" w:hAnsi="Arial"/>
          <w:sz w:val="18"/>
          <w:szCs w:val="18"/>
          <w:color w:val="auto"/>
        </w:rPr>
        <w:t>” is a day on which U.S. national stock exchanges are open for trading. If, for example, Ascendis Pharma were to make an</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on Monday prior to 9:30 a.m. Eastern Time, then the Periodic Trading Window would open after the close of trading on Tuesday. If an announcement were made on Monday after 9:30 a.m. Eastern Time, then the Periodic Trading Window would open after the close of trading on Wednesday.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Periodic Trading Windows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766310" cy="199707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4">
                      <a:extLst>
                        <a:ext uri="{28A0092B-C50C-407E-A947-70E740481C1C}"/>
                      </a:extLst>
                    </a:blip>
                    <a:srcRect/>
                    <a:stretch>
                      <a:fillRect/>
                    </a:stretch>
                  </pic:blipFill>
                  <pic:spPr bwMode="auto">
                    <a:xfrm>
                      <a:off x="0" y="0"/>
                      <a:ext cx="476631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other words: No Ascendis Pharma Individual nor any family members residing with Ascendis Pharma Individuals, anyone else living in the same household as an Ascendis Pharma Individual, nor any family members not living with Ascendis Pharma Individuals whose transactions in Ascendis Pharma’s securities are directed by Ascendis Pharma Individuals, or subject to their influence and control, shall purchase or sell any security of Ascendis Pharma outside of open Periodic Trading Windows. Exceptions to Periodic Trading Windows may be approved only by Ascendis Pharma’s Chief Legal Officer or, in the case of exceptions for the Chief Legal Officer, the Chief Financial Officer or, in the case of exceptions for directors, the Board of Directors or Audit Committee of the Board of Directors.</w:t>
      </w:r>
    </w:p>
    <w:p>
      <w:pPr>
        <w:spacing w:after="0" w:line="18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008EB0"/>
        </w:rPr>
        <w:t>5.2</w:t>
      </w:r>
      <w:r>
        <w:rPr>
          <w:sz w:val="20"/>
          <w:szCs w:val="20"/>
          <w:color w:val="auto"/>
        </w:rPr>
        <w:tab/>
      </w:r>
      <w:r>
        <w:rPr>
          <w:rFonts w:ascii="Arial" w:cs="Arial" w:eastAsia="Arial" w:hAnsi="Arial"/>
          <w:sz w:val="19"/>
          <w:szCs w:val="19"/>
          <w:color w:val="008EB0"/>
        </w:rPr>
        <w:t>Prohibition against Insider Trading</w:t>
      </w:r>
    </w:p>
    <w:p>
      <w:pPr>
        <w:spacing w:after="0" w:line="29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No Ascendis Pharma Individual, nor any family members residing with Ascendis Pharma Individuals, anyone else living in the same household as an Ascendis Pharma Individual, nor any family members not living with Ascendis Pharma Individuals whose transactions in Ascendis Pharma’s securities are directed by Ascendis Pharma Individuals, shall purchase or sell any type of security while in possession of material, non-public information relating to the security, whether the issuer of such security is Ascendis Pharma or any other company.</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5.2.1</w:t>
      </w:r>
      <w:r>
        <w:rPr>
          <w:sz w:val="20"/>
          <w:szCs w:val="20"/>
          <w:color w:val="auto"/>
        </w:rPr>
        <w:tab/>
      </w:r>
      <w:r>
        <w:rPr>
          <w:rFonts w:ascii="Arial" w:cs="Arial" w:eastAsia="Arial" w:hAnsi="Arial"/>
          <w:sz w:val="18"/>
          <w:szCs w:val="18"/>
          <w:color w:val="008EB0"/>
        </w:rPr>
        <w:t>Event-Specific Blackouts:</w:t>
      </w:r>
    </w:p>
    <w:p>
      <w:pPr>
        <w:spacing w:after="0" w:line="30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From time to time, whether during a closed period or an open trading window cf. above 5.1.1, the Board of Directors, the Chief Legal Officer or the Chief Financial Officer of Ascendis Pharma determine to suspend trading in Ascendis Pharma’s securities by some or all Ascendis Pharma Individuals or others because of developments that have not yet been disclosed to the public. Such suspension is referred to as an “</w:t>
      </w:r>
      <w:r>
        <w:rPr>
          <w:rFonts w:ascii="Arial" w:cs="Arial" w:eastAsia="Arial" w:hAnsi="Arial"/>
          <w:sz w:val="18"/>
          <w:szCs w:val="18"/>
          <w:b w:val="1"/>
          <w:bCs w:val="1"/>
          <w:color w:val="auto"/>
        </w:rPr>
        <w:t>Event-Specific Blackout</w:t>
      </w:r>
      <w:r>
        <w:rPr>
          <w:rFonts w:ascii="Arial" w:cs="Arial" w:eastAsia="Arial" w:hAnsi="Arial"/>
          <w:sz w:val="18"/>
          <w:szCs w:val="18"/>
          <w:color w:val="auto"/>
        </w:rPr>
        <w:t>”. During an Event-Specific Blackout, all individuals affected should not trade in Ascendis</w:t>
      </w:r>
    </w:p>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1" w:name="page362"/>
    <w:bookmarkEnd w:id="3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Pharma’s securities and should not disclose to others that Ascendis Pharma has implemented an Event-Specific Blackout or otherwise suspended trading.</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case of an Event-Specific Blackout, the Ascendis Pharma Individuals subject to the specific blackout will receive an e-mail notification from the Chief Legal Officer or a person authorized by the Chief Legal Officer. Once Ascendis Pharma Individuals are no longer subject to such Event-Specific Blackout, they will receive an e-mail notification confirming the removal of the trading restrictions.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avoidance of doubt, if Ascendis Pharma Individuals do not receive an e-mail notification regarding an Event-Specific Blackout, but are in possession of material non-public information, such Ascendis Pharma Individuals may not trade. Failure by Ascendis Pharma to provide notice does not relieve Ascendis Pharma Individuals of their obligations under this Policy.</w:t>
      </w:r>
    </w:p>
    <w:p>
      <w:pPr>
        <w:spacing w:after="0" w:line="182" w:lineRule="exact"/>
        <w:rPr>
          <w:sz w:val="20"/>
          <w:szCs w:val="20"/>
          <w:color w:val="auto"/>
        </w:rPr>
      </w:pPr>
    </w:p>
    <w:p>
      <w:pPr>
        <w:ind w:left="760" w:right="220" w:hanging="748"/>
        <w:spacing w:after="0" w:line="271" w:lineRule="auto"/>
        <w:tabs>
          <w:tab w:leader="none" w:pos="740" w:val="left"/>
        </w:tabs>
        <w:rPr>
          <w:sz w:val="20"/>
          <w:szCs w:val="20"/>
          <w:color w:val="auto"/>
        </w:rPr>
      </w:pPr>
      <w:r>
        <w:rPr>
          <w:rFonts w:ascii="Arial" w:cs="Arial" w:eastAsia="Arial" w:hAnsi="Arial"/>
          <w:sz w:val="18"/>
          <w:szCs w:val="18"/>
          <w:color w:val="008EB0"/>
        </w:rPr>
        <w:t>5.2.2</w:t>
      </w:r>
      <w:r>
        <w:rPr>
          <w:sz w:val="20"/>
          <w:szCs w:val="20"/>
          <w:color w:val="auto"/>
        </w:rPr>
        <w:tab/>
      </w:r>
      <w:r>
        <w:rPr>
          <w:rFonts w:ascii="Arial" w:cs="Arial" w:eastAsia="Arial" w:hAnsi="Arial"/>
          <w:sz w:val="18"/>
          <w:szCs w:val="18"/>
          <w:color w:val="008EB0"/>
        </w:rPr>
        <w:t>Pre-Clearance of all trades by employees in the departments Group Legal and Regulatory, and all senior management (VPs and above management levels) in Ascendis Pharma</w:t>
      </w:r>
    </w:p>
    <w:p>
      <w:pPr>
        <w:spacing w:after="0" w:line="24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All transactions in Ascendis Pharma’s securities by employees in the departments Group Legal and Regulatory, and all senior management (VPs and above management levels) in Ascendis Pharma, other than Excluded Transactions must be pre-cleared by Ascendis Pharma’s Chief Legal Officer or a person authorized by the Chief Legal Officer.</w:t>
      </w:r>
    </w:p>
    <w:p>
      <w:pPr>
        <w:spacing w:after="0" w:line="15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Preclearance should not be understood to represent the legal advice by Ascendis Pharma that the proposed transaction complies with law. Preclearance does not relieve an individual of their responsibility under SEC rules, and none of Ascendis Pharma, the Chief Legal Officer or Chief Financial Officer, or Ascendis Pharma’s other employees assume any liability for the legality or consequences of such transaction to the person engaging in such transaction, nor will any of the foregoing have any liability for any delay in reviewing, or refusal of, a request for preclearance submitted pursuant to this Section 5.2.2.</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request a pre-clearance, Ascendis Pharma Individuals must confirm that they are not aware or in possession of material non-public information either i) by filling out, dating and signing a Pre-Clearance form, which is available on the Ascendis Pharma intranet or through the Computershare portal, and submit it via Ascendis Pharma email to either Ascendis Pharma’s Chief Legal Officer, or an authorized individual as per directions from the Chief Legal Officer, or ii) by accepting a statement to that effect when using online tools administered by Ascendis Pharma, if applicable.</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Preclearance may be granted for a period of up to five (5) trading days but may also be granted for a shorter period of time. The preclearance period will be indicated in the preclearance email. Notwithstanding receipt of preclearance, if the preclearance person becomes aware of material non-public information, becomes subject to an Event-Specific Blackout or the Period Trading Window closes before the transaction is effected, the transaction may not be completed. Transactions under a previously established Trading Plan (as defined in Section 7) that has been precleared in accordance with this Policy are not subject to further preclearance.</w:t>
      </w:r>
    </w:p>
    <w:p>
      <w:pPr>
        <w:spacing w:after="0" w:line="2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5.2.3</w:t>
      </w:r>
      <w:r>
        <w:rPr>
          <w:sz w:val="20"/>
          <w:szCs w:val="20"/>
          <w:color w:val="auto"/>
        </w:rPr>
        <w:tab/>
      </w:r>
      <w:r>
        <w:rPr>
          <w:rFonts w:ascii="Arial" w:cs="Arial" w:eastAsia="Arial" w:hAnsi="Arial"/>
          <w:sz w:val="17"/>
          <w:szCs w:val="17"/>
          <w:color w:val="008EB0"/>
        </w:rPr>
        <w:t>General handling of Material Non-Public Information</w:t>
      </w:r>
    </w:p>
    <w:p>
      <w:pPr>
        <w:spacing w:after="0" w:line="30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Access to material non-public information about Ascendis Pharma, including Ascendis Pharma’s business, earnings or prospects, should be limited to Ascendis Pharma Individuals on a need-to-know basis.</w:t>
      </w:r>
    </w:p>
    <w:p>
      <w:pPr>
        <w:spacing w:after="0" w:line="140"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In addition, such information should not be communicated to anyone outside Ascendis Pharma under any circumstances (except in accordance with the Confidentiality Procedure).</w:t>
      </w:r>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Material non-public information must be handled in accordance with our Confidentiality Procedure.</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w:t>
      </w:r>
      <w:r>
        <w:rPr>
          <w:sz w:val="20"/>
          <w:szCs w:val="20"/>
          <w:color w:val="auto"/>
        </w:rPr>
        <w:tab/>
      </w:r>
      <w:r>
        <w:rPr>
          <w:rFonts w:ascii="Arial" w:cs="Arial" w:eastAsia="Arial" w:hAnsi="Arial"/>
          <w:sz w:val="18"/>
          <w:szCs w:val="18"/>
          <w:color w:val="008EB0"/>
        </w:rPr>
        <w:t>Prohibited Transactions</w:t>
      </w:r>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Ascendis Pharma has determined that there is a heightened legal risk and the appearance of improper or inappropriate conduct if persons subject to this Policy engage in certain types of transactions. Therefore, Ascendis Pharma Individuals shall comply with the following requirements with respect to certain transactions in Ascendis Pharma securities:</w:t>
      </w:r>
    </w:p>
    <w:p>
      <w:pPr>
        <w:spacing w:after="0" w:line="1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5.2.4.1</w:t>
        <w:tab/>
        <w:t>Short Sales</w:t>
      </w:r>
    </w:p>
    <w:p>
      <w:pPr>
        <w:spacing w:after="0" w:line="200" w:lineRule="exact"/>
        <w:rPr>
          <w:sz w:val="20"/>
          <w:szCs w:val="20"/>
          <w:color w:val="auto"/>
        </w:rPr>
      </w:pP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Short sales of Ascendis Pharma’s Securities are prohibited by this Policy. Short sales of Ascendis Pharma’s Securities, or sales of shares that the seller does not own at the time of sale, or sales of shares against which the seller does not deliver the shares within 20 days after the sale, evidence an expectation on the part of the seller that the Securities will decline in value, and, therefore, signal to the market that the seller has no confidence in Ascendis Pharma or its short-term prospects.</w:t>
      </w:r>
    </w:p>
    <w:p>
      <w:pPr>
        <w:spacing w:after="0" w:line="1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5.2.4.2</w:t>
      </w:r>
      <w:r>
        <w:rPr>
          <w:sz w:val="20"/>
          <w:szCs w:val="20"/>
          <w:color w:val="auto"/>
        </w:rPr>
        <w:tab/>
      </w:r>
      <w:r>
        <w:rPr>
          <w:rFonts w:ascii="Arial" w:cs="Arial" w:eastAsia="Arial" w:hAnsi="Arial"/>
          <w:sz w:val="17"/>
          <w:szCs w:val="17"/>
          <w:color w:val="008EB0"/>
        </w:rPr>
        <w:t>Options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Transactions in puts, calls, or other derivative securities involving Ascendis Pharma’s equity securities, on an exchange, on an over-the-counter market, or in any other organized market, are prohibited by this Policy. A transaction in options is, in effect, a bet on the short-term movement of Ascendis Pharma’s shares and, therefore, creates the appearance that an Ascendis Pharma Individual is trading based on material non-public information. Transactions in options, whether traded on an exchange, on an over-the-counter market, or any other organized market, may also focus an Ascendis Pharma Individual’s attention on short-term performance at the expense of Ascendis Pharma’s long-term objectives.</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5.2.4.3</w:t>
        <w:tab/>
        <w:t>Hedging Transactions</w:t>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Hedging transactions involving Ascendis Pharma’s Securities, such as prepaid variable forward sale contracts, equity swaps, collars and exchange funds, or other transactions that hedge or offset, or are designed to hedge or offset, any decrease in the market value of Ascendis Pharma’s equity Securities, are prohibited by this Policy. Such transactions allow the Ascendis Pharma Individual to continue to own the covered Securities, but without the full risks and rewards of ownership. When that occurs, the Ascendis Pharma Individual may no longer have the same objectives as Ascendis Pharma’s other shareholders.</w:t>
      </w:r>
    </w:p>
    <w:p>
      <w:pPr>
        <w:spacing w:after="0" w:line="1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5.2.4.4</w:t>
      </w:r>
      <w:r>
        <w:rPr>
          <w:sz w:val="20"/>
          <w:szCs w:val="20"/>
          <w:color w:val="auto"/>
        </w:rPr>
        <w:tab/>
      </w:r>
      <w:r>
        <w:rPr>
          <w:rFonts w:ascii="Arial" w:cs="Arial" w:eastAsia="Arial" w:hAnsi="Arial"/>
          <w:sz w:val="17"/>
          <w:szCs w:val="17"/>
          <w:color w:val="008EB0"/>
        </w:rPr>
        <w:t>Margin Accounts and Pledging</w:t>
      </w:r>
    </w:p>
    <w:p>
      <w:pPr>
        <w:spacing w:after="0" w:line="200" w:lineRule="exact"/>
        <w:rPr>
          <w:sz w:val="20"/>
          <w:szCs w:val="20"/>
          <w:color w:val="auto"/>
        </w:rPr>
      </w:pP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Ascendis Pharma Individuals are prohibited from pledging Ascendis Pharma Securities as collateral for a loan, purchasing Company Securities on margin (i.e. borrowing money to purchase the securities) or placing Company Securities in a margin account. This prohibition does not apply to cashless exercises of warrants under Ascendis Pharma’s equity plans or to situations approved in advance by the Chief Legal Officer or Chief Financial Officer.</w:t>
      </w:r>
    </w:p>
    <w:p>
      <w:pPr>
        <w:spacing w:after="0" w:line="1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008EB0"/>
        </w:rPr>
        <w:t>5.2.4.5</w:t>
      </w:r>
      <w:r>
        <w:rPr>
          <w:sz w:val="20"/>
          <w:szCs w:val="20"/>
          <w:color w:val="auto"/>
        </w:rPr>
        <w:tab/>
      </w:r>
      <w:r>
        <w:rPr>
          <w:rFonts w:ascii="Arial" w:cs="Arial" w:eastAsia="Arial" w:hAnsi="Arial"/>
          <w:sz w:val="17"/>
          <w:szCs w:val="17"/>
          <w:color w:val="008EB0"/>
        </w:rPr>
        <w:t>Partnership Distributions</w:t>
      </w: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Nothing in this Policy is intended to limit the ability of an investment fund, venture capital partnership or other similar entity with which a director is affiliated to distribute Company Securities to its partners, members, or</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46" w:lineRule="exact"/>
        <w:rPr>
          <w:sz w:val="20"/>
          <w:szCs w:val="20"/>
          <w:color w:val="auto"/>
        </w:rPr>
      </w:pPr>
    </w:p>
    <w:p>
      <w:pPr>
        <w:ind w:left="480" w:hanging="472"/>
        <w:spacing w:after="0"/>
        <w:tabs>
          <w:tab w:leader="none" w:pos="480" w:val="left"/>
        </w:tabs>
        <w:numPr>
          <w:ilvl w:val="0"/>
          <w:numId w:val="270"/>
        </w:numPr>
        <w:rPr>
          <w:rFonts w:ascii="Arial" w:cs="Arial" w:eastAsia="Arial" w:hAnsi="Arial"/>
          <w:sz w:val="22"/>
          <w:szCs w:val="22"/>
          <w:color w:val="008EB0"/>
        </w:rPr>
      </w:pPr>
      <w:r>
        <w:rPr>
          <w:rFonts w:ascii="Arial" w:cs="Arial" w:eastAsia="Arial" w:hAnsi="Arial"/>
          <w:sz w:val="22"/>
          <w:szCs w:val="22"/>
          <w:color w:val="008EB0"/>
        </w:rPr>
        <w:t>Rule 10b5-1 Trading Plans</w:t>
      </w: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restrictions set forth in this Policy, other than those transactions described under “Prohibited Transactions” in Section 5.2.4 of this Policy, do not apply to transactions under a previously established contract, plan or instruction to trade in Ascendis Pharma’s Securities entered into in accordance with Rule 10b5-1 (a “</w:t>
      </w:r>
      <w:r>
        <w:rPr>
          <w:rFonts w:ascii="Arial" w:cs="Arial" w:eastAsia="Arial" w:hAnsi="Arial"/>
          <w:sz w:val="18"/>
          <w:szCs w:val="18"/>
          <w:b w:val="1"/>
          <w:bCs w:val="1"/>
          <w:color w:val="auto"/>
        </w:rPr>
        <w:t>Trading Plan</w:t>
      </w:r>
      <w:r>
        <w:rPr>
          <w:rFonts w:ascii="Arial" w:cs="Arial" w:eastAsia="Arial" w:hAnsi="Arial"/>
          <w:sz w:val="18"/>
          <w:szCs w:val="18"/>
          <w:color w:val="auto"/>
        </w:rPr>
        <w:t>”) that:</w:t>
      </w:r>
    </w:p>
    <w:p>
      <w:pPr>
        <w:spacing w:after="0" w:line="105" w:lineRule="exact"/>
        <w:rPr>
          <w:sz w:val="20"/>
          <w:szCs w:val="20"/>
          <w:color w:val="auto"/>
        </w:rPr>
      </w:pPr>
    </w:p>
    <w:p>
      <w:pPr>
        <w:ind w:left="1500" w:hanging="335"/>
        <w:spacing w:after="0" w:line="265" w:lineRule="auto"/>
        <w:rPr>
          <w:sz w:val="20"/>
          <w:szCs w:val="20"/>
          <w:color w:val="auto"/>
        </w:rPr>
      </w:pPr>
      <w:r>
        <w:rPr>
          <w:rFonts w:ascii="Arial" w:cs="Arial" w:eastAsia="Arial" w:hAnsi="Arial"/>
          <w:sz w:val="18"/>
          <w:szCs w:val="18"/>
          <w:color w:val="auto"/>
        </w:rPr>
        <w:t>has been submitted to and preapproved by Ascendis Pharma’s Chief Legal Officer or, in the case of exceptions for the Chief Legal Officer, the Chief Financial Officer, or such other person(s) as the Board of Directors may designate from time to time (each, an “</w:t>
      </w:r>
      <w:r>
        <w:rPr>
          <w:rFonts w:ascii="Arial" w:cs="Arial" w:eastAsia="Arial" w:hAnsi="Arial"/>
          <w:sz w:val="18"/>
          <w:szCs w:val="18"/>
          <w:b w:val="1"/>
          <w:bCs w:val="1"/>
          <w:color w:val="auto"/>
        </w:rPr>
        <w:t>Authorizing Officer</w:t>
      </w:r>
      <w:r>
        <w:rPr>
          <w:rFonts w:ascii="Arial" w:cs="Arial" w:eastAsia="Arial" w:hAnsi="Arial"/>
          <w:sz w:val="18"/>
          <w:szCs w:val="18"/>
          <w:color w:val="auto"/>
        </w:rPr>
        <w:t>”);</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includes a “</w:t>
      </w:r>
      <w:r>
        <w:rPr>
          <w:rFonts w:ascii="Arial" w:cs="Arial" w:eastAsia="Arial" w:hAnsi="Arial"/>
          <w:sz w:val="18"/>
          <w:szCs w:val="18"/>
          <w:b w:val="1"/>
          <w:bCs w:val="1"/>
          <w:color w:val="auto"/>
        </w:rPr>
        <w:t>Cooling Off Period</w:t>
      </w:r>
      <w:r>
        <w:rPr>
          <w:rFonts w:ascii="Arial" w:cs="Arial" w:eastAsia="Arial" w:hAnsi="Arial"/>
          <w:sz w:val="18"/>
          <w:szCs w:val="18"/>
          <w:color w:val="auto"/>
        </w:rPr>
        <w:t>” for:</w:t>
      </w:r>
    </w:p>
    <w:p>
      <w:pPr>
        <w:spacing w:after="0" w:line="225" w:lineRule="exact"/>
        <w:rPr>
          <w:sz w:val="20"/>
          <w:szCs w:val="20"/>
          <w:color w:val="auto"/>
        </w:rPr>
      </w:pPr>
    </w:p>
    <w:p>
      <w:pPr>
        <w:jc w:val="both"/>
        <w:ind w:left="2260" w:hanging="380"/>
        <w:spacing w:after="0" w:line="260" w:lineRule="auto"/>
        <w:tabs>
          <w:tab w:leader="none" w:pos="2246" w:val="left"/>
        </w:tabs>
        <w:numPr>
          <w:ilvl w:val="1"/>
          <w:numId w:val="272"/>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and officers that extends to the later of 90 days after adoption or modification of a Trading Plan or two business days after filing the Form 20-F or Form 6-K disclosing financial results covering the fiscal quarter in which the Trading Plan was adopted, up to a maximum of 120 days; and</w:t>
      </w:r>
    </w:p>
    <w:p>
      <w:pPr>
        <w:spacing w:after="0" w:line="163" w:lineRule="exact"/>
        <w:rPr>
          <w:rFonts w:ascii="Times New Roman" w:cs="Times New Roman" w:eastAsia="Times New Roman" w:hAnsi="Times New Roman"/>
          <w:sz w:val="18"/>
          <w:szCs w:val="18"/>
          <w:color w:val="auto"/>
        </w:rPr>
      </w:pPr>
    </w:p>
    <w:p>
      <w:pPr>
        <w:ind w:left="2260" w:hanging="380"/>
        <w:spacing w:after="0" w:line="286" w:lineRule="auto"/>
        <w:tabs>
          <w:tab w:leader="none" w:pos="2286" w:val="left"/>
        </w:tabs>
        <w:numPr>
          <w:ilvl w:val="1"/>
          <w:numId w:val="272"/>
        </w:numPr>
        <w:rPr>
          <w:rFonts w:ascii="Times New Roman" w:cs="Times New Roman" w:eastAsia="Times New Roman" w:hAnsi="Times New Roman"/>
          <w:sz w:val="18"/>
          <w:szCs w:val="18"/>
          <w:color w:val="auto"/>
        </w:rPr>
      </w:pPr>
      <w:r>
        <w:rPr>
          <w:rFonts w:ascii="Arial" w:cs="Arial" w:eastAsia="Arial" w:hAnsi="Arial"/>
          <w:sz w:val="18"/>
          <w:szCs w:val="18"/>
          <w:color w:val="auto"/>
        </w:rPr>
        <w:t>employees and any other persons, other than Ascendis Pharma, that extends 30 days after adoption or modification of a Trading Plan;</w:t>
      </w:r>
    </w:p>
    <w:p>
      <w:pPr>
        <w:spacing w:after="0" w:line="140" w:lineRule="exact"/>
        <w:rPr>
          <w:rFonts w:ascii="Times New Roman" w:cs="Times New Roman" w:eastAsia="Times New Roman" w:hAnsi="Times New Roman"/>
          <w:sz w:val="18"/>
          <w:szCs w:val="18"/>
          <w:color w:val="auto"/>
        </w:rPr>
      </w:pPr>
    </w:p>
    <w:p>
      <w:pPr>
        <w:ind w:left="1500" w:hanging="322"/>
        <w:spacing w:after="0" w:line="261" w:lineRule="auto"/>
        <w:rPr>
          <w:rFonts w:ascii="Times New Roman" w:cs="Times New Roman" w:eastAsia="Times New Roman" w:hAnsi="Times New Roman"/>
          <w:sz w:val="18"/>
          <w:szCs w:val="18"/>
          <w:color w:val="auto"/>
        </w:rPr>
      </w:pPr>
      <w:r>
        <w:rPr>
          <w:rFonts w:ascii="Arial" w:cs="Arial" w:eastAsia="Arial" w:hAnsi="Arial"/>
          <w:sz w:val="18"/>
          <w:szCs w:val="18"/>
          <w:color w:val="auto"/>
        </w:rPr>
        <w:t>for directors and officers, includes a representation in the Trading Plan that the director or officer is (1) not aware of any material non-public information about Ascendis Pharma or its securities; and (2) adopting the Trading Plan in good faith and not as part of a plan or scheme to evade Rule 10b-5;</w:t>
      </w:r>
    </w:p>
    <w:p>
      <w:pPr>
        <w:spacing w:after="0" w:line="161" w:lineRule="exact"/>
        <w:rPr>
          <w:rFonts w:ascii="Times New Roman" w:cs="Times New Roman" w:eastAsia="Times New Roman" w:hAnsi="Times New Roman"/>
          <w:sz w:val="18"/>
          <w:szCs w:val="18"/>
          <w:color w:val="auto"/>
        </w:rPr>
      </w:pPr>
    </w:p>
    <w:p>
      <w:pPr>
        <w:ind w:left="1500" w:hanging="322"/>
        <w:spacing w:after="0" w:line="252" w:lineRule="auto"/>
        <w:rPr>
          <w:rFonts w:ascii="Times New Roman" w:cs="Times New Roman" w:eastAsia="Times New Roman" w:hAnsi="Times New Roman"/>
          <w:sz w:val="18"/>
          <w:szCs w:val="18"/>
          <w:color w:val="auto"/>
        </w:rPr>
      </w:pPr>
      <w:r>
        <w:rPr>
          <w:rFonts w:ascii="Arial" w:cs="Arial" w:eastAsia="Arial" w:hAnsi="Arial"/>
          <w:sz w:val="18"/>
          <w:szCs w:val="18"/>
          <w:color w:val="auto"/>
        </w:rPr>
        <w:t>has been entered into in good faith at a time when the Ascendis Pharma Individual was not in possession of material non-public information about Ascendis Pharma and not otherwise in a blackout period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during a Periodic Trading Window and not during an Event-Specific Blackout), and the person who entered into the Trading Plan has acted in good faith with respect to the Trading Plan;</w:t>
      </w:r>
    </w:p>
    <w:p>
      <w:pPr>
        <w:spacing w:after="0" w:line="170" w:lineRule="exact"/>
        <w:rPr>
          <w:rFonts w:ascii="Times New Roman" w:cs="Times New Roman" w:eastAsia="Times New Roman" w:hAnsi="Times New Roman"/>
          <w:sz w:val="18"/>
          <w:szCs w:val="18"/>
          <w:color w:val="auto"/>
        </w:rPr>
      </w:pPr>
    </w:p>
    <w:p>
      <w:pPr>
        <w:ind w:left="1500" w:hanging="322"/>
        <w:spacing w:after="0" w:line="261" w:lineRule="auto"/>
        <w:rPr>
          <w:rFonts w:ascii="Times New Roman" w:cs="Times New Roman" w:eastAsia="Times New Roman" w:hAnsi="Times New Roman"/>
          <w:sz w:val="18"/>
          <w:szCs w:val="18"/>
          <w:color w:val="auto"/>
        </w:rPr>
      </w:pPr>
      <w:r>
        <w:rPr>
          <w:rFonts w:ascii="Arial" w:cs="Arial" w:eastAsia="Arial" w:hAnsi="Arial"/>
          <w:sz w:val="18"/>
          <w:szCs w:val="18"/>
          <w:color w:val="auto"/>
        </w:rPr>
        <w:t>either (1) specifies the amounts, prices, and dates of all security transactions under the Trading Plan, (2) provides a written formula, algorithm, or computer program for determining the amount, price, and date of the transactions, and (3) prohibits the individual from exercising any subsequent influence over the transactions; and</w:t>
      </w:r>
    </w:p>
    <w:p>
      <w:pPr>
        <w:spacing w:after="0" w:line="16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complies with all other applicable requirements of Rule 10b5-1.</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Authorizing Officer may impose such other conditions on the implementation and operation of the Trading Plans as he or she deems necessary or advisable. Individuals may not adopt more than one Trading Plan at a time except under the limited circumstances permitted by Rule 10b5-1 and subject to preapproval by the Authorizing Officer.</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Ascendis Pharma Individuals may only modify a Trading Plan outside of a blackout period (</w:t>
      </w:r>
      <w:r>
        <w:rPr>
          <w:rFonts w:ascii="Arial" w:cs="Arial" w:eastAsia="Arial" w:hAnsi="Arial"/>
          <w:sz w:val="18"/>
          <w:szCs w:val="18"/>
          <w:i w:val="1"/>
          <w:iCs w:val="1"/>
          <w:color w:val="auto"/>
        </w:rPr>
        <w:t>i.e.</w:t>
      </w:r>
      <w:r>
        <w:rPr>
          <w:rFonts w:ascii="Arial" w:cs="Arial" w:eastAsia="Arial" w:hAnsi="Arial"/>
          <w:sz w:val="18"/>
          <w:szCs w:val="18"/>
          <w:color w:val="auto"/>
        </w:rPr>
        <w:t>, during a Periodic Trading Window and not during an Event-Specific Blackout) and, in any event, when the individual does not possess material non-public information.</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Modifications to and terminations of a Trading Plan are subject to preapproval by the Authorizing Officer and modifications of a Trading Plan that change the amount, price, or timing of the purchase or sale of the securities underlying a Trading Plan will trigger a new Cooling-Off Period.</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Ascendis Pharma reserves the right to publicly disclose, announce, or respond to inquiries from the media regarding, the adoption, modification, or termination of a Trading Plan and non-Rule 10b5-1 trading arrangements, or the execution of transactions made under a Trading Plan. Ascendis Pharma also reserves the right from time to time to suspend, discontinue, or otherwise prohibit transactions under a Trading Plan if the Authorizing Officer or the Board of Directors, in its discretion, determines that such suspension, discontinuation, or other prohibition is in the best interests of Ascendis Pharma.</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Compliance of a Trading Plan with the terms of Rule 10b5-1 and the execution of transactions pursuant to the Trading Plan are the sole responsibility of the person initiating the Trading Plan, and none of Ascendis Pharma, the Authorizing Officer, or Ascendis Pharma’s other employees assumes any liability for any delay in reviewing and/or refusing to approve a Trading Plan submitted for approval, nor the legality or consequences relating to a person entering into, informing Ascendis Pharma of, or trading under, a Trading Plan.</w:t>
      </w:r>
    </w:p>
    <w:p>
      <w:pPr>
        <w:spacing w:after="0" w:line="166" w:lineRule="exact"/>
        <w:rPr>
          <w:sz w:val="20"/>
          <w:szCs w:val="20"/>
          <w:color w:val="auto"/>
        </w:rPr>
      </w:pPr>
    </w:p>
    <w:p>
      <w:pPr>
        <w:ind w:left="540" w:hanging="532"/>
        <w:spacing w:after="0"/>
        <w:tabs>
          <w:tab w:leader="none" w:pos="540" w:val="left"/>
        </w:tabs>
        <w:numPr>
          <w:ilvl w:val="0"/>
          <w:numId w:val="273"/>
        </w:numPr>
        <w:rPr>
          <w:rFonts w:ascii="Arial" w:cs="Arial" w:eastAsia="Arial" w:hAnsi="Arial"/>
          <w:sz w:val="22"/>
          <w:szCs w:val="22"/>
          <w:color w:val="008EB0"/>
        </w:rPr>
      </w:pPr>
      <w:r>
        <w:rPr>
          <w:rFonts w:ascii="Arial" w:cs="Arial" w:eastAsia="Arial" w:hAnsi="Arial"/>
          <w:sz w:val="22"/>
          <w:szCs w:val="22"/>
          <w:color w:val="008EB0"/>
        </w:rPr>
        <w:t>Interpretation, Amendment, and Implementation of this Policy</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Chief Legal Officer shall have the authority to interpret and update this Policy and all related policies and procedures. In particular, such interpretations and updates of this Policy, as authorized by the Chief Legal Officer, may include amendments to or departures from the terms of this Policy, to the extent consistent with the general purpose of this Policy and applicable securities laws.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Actions taken by Ascendis Pharma, the Chief Legal Officer, or any other Company personnel do not constitute legal advice, nor do they insulate you from the consequences of noncompliance with this Policy or with securities laws. Overvej en section som beskriver implementation – at alle Ascendis Pharma Individuals skal og har Confirmed compliance with this Policy by Read and Understood in Ascendis Pharma compliance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Møller Mikkelsen, certify that:</w:t>
      </w:r>
    </w:p>
    <w:p>
      <w:pPr>
        <w:spacing w:after="0" w:line="117" w:lineRule="exact"/>
        <w:rPr>
          <w:sz w:val="20"/>
          <w:szCs w:val="20"/>
          <w:color w:val="auto"/>
        </w:rPr>
      </w:pPr>
    </w:p>
    <w:p>
      <w:pPr>
        <w:ind w:left="180" w:hanging="172"/>
        <w:spacing w:after="0"/>
        <w:tabs>
          <w:tab w:leader="none" w:pos="1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Ascendis Pharma A/S (the “Company”);</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68" w:lineRule="exact"/>
        <w:rPr>
          <w:sz w:val="20"/>
          <w:szCs w:val="20"/>
          <w:color w:val="auto"/>
        </w:rPr>
      </w:pPr>
    </w:p>
    <w:p>
      <w:pPr>
        <w:ind w:right="120" w:firstLine="8"/>
        <w:spacing w:after="0" w:line="266" w:lineRule="auto"/>
        <w:tabs>
          <w:tab w:leader="none" w:pos="24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20" w:firstLine="8"/>
        <w:spacing w:after="0" w:line="282" w:lineRule="auto"/>
        <w:tabs>
          <w:tab w:leader="none" w:pos="25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4" w:lineRule="exact"/>
        <w:rPr>
          <w:sz w:val="20"/>
          <w:szCs w:val="20"/>
          <w:color w:val="auto"/>
        </w:rPr>
      </w:pPr>
    </w:p>
    <w:p>
      <w:pPr>
        <w:ind w:right="440" w:firstLine="8"/>
        <w:spacing w:after="0" w:line="282" w:lineRule="auto"/>
        <w:tabs>
          <w:tab w:leader="none" w:pos="1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4" w:lineRule="exact"/>
        <w:rPr>
          <w:sz w:val="20"/>
          <w:szCs w:val="20"/>
          <w:color w:val="auto"/>
        </w:rPr>
      </w:pPr>
    </w:p>
    <w:p>
      <w:pPr>
        <w:ind w:right="40" w:firstLine="8"/>
        <w:spacing w:after="0" w:line="282" w:lineRule="auto"/>
        <w:tabs>
          <w:tab w:leader="none" w:pos="24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7713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9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Jan Møller Mikkelsen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Smith, certify that:</w:t>
      </w:r>
    </w:p>
    <w:p>
      <w:pPr>
        <w:spacing w:after="0" w:line="117" w:lineRule="exact"/>
        <w:rPr>
          <w:sz w:val="20"/>
          <w:szCs w:val="20"/>
          <w:color w:val="auto"/>
        </w:rPr>
      </w:pPr>
    </w:p>
    <w:p>
      <w:pPr>
        <w:ind w:left="180" w:hanging="172"/>
        <w:spacing w:after="0"/>
        <w:tabs>
          <w:tab w:leader="none" w:pos="1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Ascendis Pharma A/S (the “Company”);</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68" w:lineRule="exact"/>
        <w:rPr>
          <w:sz w:val="20"/>
          <w:szCs w:val="20"/>
          <w:color w:val="auto"/>
        </w:rPr>
      </w:pPr>
    </w:p>
    <w:p>
      <w:pPr>
        <w:ind w:right="120" w:firstLine="8"/>
        <w:spacing w:after="0" w:line="266" w:lineRule="auto"/>
        <w:tabs>
          <w:tab w:leader="none" w:pos="2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 w:firstLine="8"/>
        <w:spacing w:after="0" w:line="282" w:lineRule="auto"/>
        <w:tabs>
          <w:tab w:leader="none" w:pos="24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320" w:firstLine="8"/>
        <w:spacing w:after="0" w:line="282" w:lineRule="auto"/>
        <w:tabs>
          <w:tab w:leader="none" w:pos="25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4" w:lineRule="exact"/>
        <w:rPr>
          <w:sz w:val="20"/>
          <w:szCs w:val="20"/>
          <w:color w:val="auto"/>
        </w:rPr>
      </w:pPr>
    </w:p>
    <w:p>
      <w:pPr>
        <w:ind w:right="440" w:firstLine="8"/>
        <w:spacing w:after="0" w:line="282" w:lineRule="auto"/>
        <w:tabs>
          <w:tab w:leader="none" w:pos="1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4" w:lineRule="exact"/>
        <w:rPr>
          <w:sz w:val="20"/>
          <w:szCs w:val="20"/>
          <w:color w:val="auto"/>
        </w:rPr>
      </w:pPr>
    </w:p>
    <w:p>
      <w:pPr>
        <w:ind w:right="40" w:firstLine="8"/>
        <w:spacing w:after="0" w:line="282" w:lineRule="auto"/>
        <w:tabs>
          <w:tab w:leader="none" w:pos="24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4688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T. Smith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U.S.C.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AS ADOPTED PURSUANT TO 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Ascendis Pharma A/S (the “Company”) for the year ended December 31, 2024,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72" w:lineRule="exact"/>
        <w:rPr>
          <w:sz w:val="20"/>
          <w:szCs w:val="20"/>
          <w:color w:val="auto"/>
        </w:rPr>
      </w:pPr>
    </w:p>
    <w:p>
      <w:pPr>
        <w:ind w:left="260" w:hanging="252"/>
        <w:spacing w:after="0"/>
        <w:tabs>
          <w:tab w:leader="none" w:pos="2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7713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Jan Møller Mikkelsen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18 U.S.C.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AS ADOPTED PURSUANT TO SECTION 906 OF THE SARBANES-OXLEY ACT OF 2002*</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Ascendis Pharma A/S (the “Company”) for the year ended December 31, 2024,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72" w:lineRule="exact"/>
        <w:rPr>
          <w:sz w:val="20"/>
          <w:szCs w:val="20"/>
          <w:color w:val="auto"/>
        </w:rPr>
      </w:pPr>
    </w:p>
    <w:p>
      <w:pPr>
        <w:ind w:left="260" w:hanging="252"/>
        <w:spacing w:after="0"/>
        <w:tabs>
          <w:tab w:leader="none" w:pos="2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7713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T. Smith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333-228576, 333-203040, 333-210810, 333-211512, 333-213412, 333-214843, 333-216883, 333-254101, 333-261550, 333-270088, 333-277519, and 333-281916 on Form S-8 and Registration Statement Nos. 333-209336 and 333-282196 on Form F-3 of our report dated February 12, 2025, relating to the financial statements of Ascendis Pharma A/S and the effectiveness of Ascendis Pharma A/S’s internal control over financial reporting appearing in this Annual Report on Form 20-F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0" w:name="page371"/>
    <w:bookmarkEnd w:id="3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6DE806"/>
    <w:multiLevelType w:val="hybridMultilevel"/>
    <w:lvl w:ilvl="0">
      <w:lvlJc w:val="left"/>
      <w:lvlText w:val="☐"/>
      <w:numFmt w:val="bullet"/>
      <w:start w:val="1"/>
    </w:lvl>
  </w:abstractNum>
  <w:abstractNum w:abstractNumId="1">
    <w:nsid w:val="1816F8C4"/>
    <w:multiLevelType w:val="hybridMultilevel"/>
    <w:lvl w:ilvl="0">
      <w:lvlJc w:val="left"/>
      <w:lvlText w:val="☒"/>
      <w:numFmt w:val="bullet"/>
      <w:start w:val="1"/>
    </w:lvl>
  </w:abstractNum>
  <w:abstractNum w:abstractNumId="2">
    <w:nsid w:val="37DF2233"/>
    <w:multiLevelType w:val="hybridMultilevel"/>
    <w:lvl w:ilvl="0">
      <w:lvlJc w:val="left"/>
      <w:lvlText w:val="☐"/>
      <w:numFmt w:val="bullet"/>
      <w:start w:val="1"/>
    </w:lvl>
  </w:abstractNum>
  <w:abstractNum w:abstractNumId="3">
    <w:nsid w:val="7AB49DAF"/>
    <w:multiLevelType w:val="hybridMultilevel"/>
    <w:lvl w:ilvl="0">
      <w:lvlJc w:val="left"/>
      <w:lvlText w:val="☐"/>
      <w:numFmt w:val="bullet"/>
      <w:start w:val="1"/>
    </w:lvl>
  </w:abstractNum>
  <w:abstractNum w:abstractNumId="4">
    <w:nsid w:val="759F82CD"/>
    <w:multiLevelType w:val="hybridMultilevel"/>
    <w:lvl w:ilvl="0">
      <w:lvlJc w:val="left"/>
      <w:lvlText w:val="*"/>
      <w:numFmt w:val="bullet"/>
      <w:start w:val="1"/>
    </w:lvl>
  </w:abstractNum>
  <w:abstractNum w:abstractNumId="5">
    <w:nsid w:val="61E74EA3"/>
    <w:multiLevelType w:val="hybridMultilevel"/>
    <w:lvl w:ilvl="0">
      <w:lvlJc w:val="left"/>
      <w:lvlText w:val="☒"/>
      <w:numFmt w:val="bullet"/>
      <w:start w:val="1"/>
    </w:lvl>
  </w:abstractNum>
  <w:abstractNum w:abstractNumId="6">
    <w:nsid w:val="597B4D84"/>
    <w:multiLevelType w:val="hybridMultilevel"/>
    <w:lvl w:ilvl="0">
      <w:lvlJc w:val="left"/>
      <w:lvlText w:val="•"/>
      <w:numFmt w:val="bullet"/>
      <w:start w:val="1"/>
    </w:lvl>
  </w:abstractNum>
  <w:abstractNum w:abstractNumId="7">
    <w:nsid w:val="F819E7F"/>
    <w:multiLevelType w:val="hybridMultilevel"/>
    <w:lvl w:ilvl="0">
      <w:lvlJc w:val="left"/>
      <w:lvlText w:val="•"/>
      <w:numFmt w:val="bullet"/>
      <w:start w:val="1"/>
    </w:lvl>
  </w:abstractNum>
  <w:abstractNum w:abstractNumId="8">
    <w:nsid w:val="57C7D42D"/>
    <w:multiLevelType w:val="hybridMultilevel"/>
    <w:lvl w:ilvl="0">
      <w:lvlJc w:val="left"/>
      <w:lvlText w:val="•"/>
      <w:numFmt w:val="bullet"/>
      <w:start w:val="1"/>
    </w:lvl>
  </w:abstractNum>
  <w:abstractNum w:abstractNumId="9">
    <w:nsid w:val="312167AD"/>
    <w:multiLevelType w:val="hybridMultilevel"/>
    <w:lvl w:ilvl="0">
      <w:lvlJc w:val="left"/>
      <w:lvlText w:val="%1."/>
      <w:numFmt w:val="upperLetter"/>
      <w:start w:val="1"/>
    </w:lvl>
  </w:abstractNum>
  <w:abstractNum w:abstractNumId="10">
    <w:nsid w:val="631B64D4"/>
    <w:multiLevelType w:val="hybridMultilevel"/>
    <w:lvl w:ilvl="0">
      <w:lvlJc w:val="left"/>
      <w:lvlText w:val="%1."/>
      <w:numFmt w:val="upperLetter"/>
      <w:start w:val="3"/>
    </w:lvl>
  </w:abstractNum>
  <w:abstractNum w:abstractNumId="11">
    <w:nsid w:val="78B5E776"/>
    <w:multiLevelType w:val="hybridMultilevel"/>
    <w:lvl w:ilvl="0">
      <w:lvlJc w:val="left"/>
      <w:lvlText w:val="%1."/>
      <w:numFmt w:val="upperLetter"/>
      <w:start w:val="4"/>
    </w:lvl>
  </w:abstractNum>
  <w:abstractNum w:abstractNumId="12">
    <w:nsid w:val="75486E47"/>
    <w:multiLevelType w:val="hybridMultilevel"/>
    <w:lvl w:ilvl="0">
      <w:lvlJc w:val="left"/>
      <w:lvlText w:val="•"/>
      <w:numFmt w:val="bullet"/>
      <w:start w:val="1"/>
    </w:lvl>
  </w:abstractNum>
  <w:abstractNum w:abstractNumId="13">
    <w:nsid w:val="6E534CDE"/>
    <w:multiLevelType w:val="hybridMultilevel"/>
    <w:lvl w:ilvl="0">
      <w:lvlJc w:val="left"/>
      <w:lvlText w:val="•"/>
      <w:numFmt w:val="bullet"/>
      <w:start w:val="1"/>
    </w:lvl>
  </w:abstractNum>
  <w:abstractNum w:abstractNumId="14">
    <w:nsid w:val="1A0DDE32"/>
    <w:multiLevelType w:val="hybridMultilevel"/>
    <w:lvl w:ilvl="0">
      <w:lvlJc w:val="left"/>
      <w:lvlText w:val="•"/>
      <w:numFmt w:val="bullet"/>
      <w:start w:val="1"/>
    </w:lvl>
  </w:abstractNum>
  <w:abstractNum w:abstractNumId="15">
    <w:nsid w:val="65968C1C"/>
    <w:multiLevelType w:val="hybridMultilevel"/>
    <w:lvl w:ilvl="0">
      <w:lvlJc w:val="left"/>
      <w:lvlText w:val="•"/>
      <w:numFmt w:val="bullet"/>
      <w:start w:val="1"/>
    </w:lvl>
  </w:abstractNum>
  <w:abstractNum w:abstractNumId="16">
    <w:nsid w:val="46263DEC"/>
    <w:multiLevelType w:val="hybridMultilevel"/>
    <w:lvl w:ilvl="0">
      <w:lvlJc w:val="left"/>
      <w:lvlText w:val="•"/>
      <w:numFmt w:val="bullet"/>
      <w:start w:val="1"/>
    </w:lvl>
  </w:abstractNum>
  <w:abstractNum w:abstractNumId="17">
    <w:nsid w:val="260D8C4A"/>
    <w:multiLevelType w:val="hybridMultilevel"/>
    <w:lvl w:ilvl="0">
      <w:lvlJc w:val="left"/>
      <w:lvlText w:val="•"/>
      <w:numFmt w:val="bullet"/>
      <w:start w:val="1"/>
    </w:lvl>
  </w:abstractNum>
  <w:abstractNum w:abstractNumId="18">
    <w:nsid w:val="73D4D3C4"/>
    <w:multiLevelType w:val="hybridMultilevel"/>
    <w:lvl w:ilvl="0">
      <w:lvlJc w:val="left"/>
      <w:lvlText w:val="•"/>
      <w:numFmt w:val="bullet"/>
      <w:start w:val="1"/>
    </w:lvl>
  </w:abstractNum>
  <w:abstractNum w:abstractNumId="19">
    <w:nsid w:val="746F2E30"/>
    <w:multiLevelType w:val="hybridMultilevel"/>
    <w:lvl w:ilvl="0">
      <w:lvlJc w:val="left"/>
      <w:lvlText w:val="•"/>
      <w:numFmt w:val="bullet"/>
      <w:start w:val="1"/>
    </w:lvl>
  </w:abstractNum>
  <w:abstractNum w:abstractNumId="20">
    <w:nsid w:val="6FDE8AF6"/>
    <w:multiLevelType w:val="hybridMultilevel"/>
    <w:lvl w:ilvl="0">
      <w:lvlJc w:val="left"/>
      <w:lvlText w:val="•"/>
      <w:numFmt w:val="bullet"/>
      <w:start w:val="1"/>
    </w:lvl>
  </w:abstractNum>
  <w:abstractNum w:abstractNumId="21">
    <w:nsid w:val="3FC32E20"/>
    <w:multiLevelType w:val="hybridMultilevel"/>
    <w:lvl w:ilvl="0">
      <w:lvlJc w:val="left"/>
      <w:lvlText w:val="•"/>
      <w:numFmt w:val="bullet"/>
      <w:start w:val="1"/>
    </w:lvl>
  </w:abstractNum>
  <w:abstractNum w:abstractNumId="22">
    <w:nsid w:val="49C0E823"/>
    <w:multiLevelType w:val="hybridMultilevel"/>
    <w:lvl w:ilvl="0">
      <w:lvlJc w:val="left"/>
      <w:lvlText w:val="•"/>
      <w:numFmt w:val="bullet"/>
      <w:start w:val="1"/>
    </w:lvl>
  </w:abstractNum>
  <w:abstractNum w:abstractNumId="23">
    <w:nsid w:val="14D53685"/>
    <w:multiLevelType w:val="hybridMultilevel"/>
    <w:lvl w:ilvl="0">
      <w:lvlJc w:val="left"/>
      <w:lvlText w:val="•"/>
      <w:numFmt w:val="bullet"/>
      <w:start w:val="1"/>
    </w:lvl>
  </w:abstractNum>
  <w:abstractNum w:abstractNumId="24">
    <w:nsid w:val="230F856C"/>
    <w:multiLevelType w:val="hybridMultilevel"/>
    <w:lvl w:ilvl="0">
      <w:lvlJc w:val="left"/>
      <w:lvlText w:val="•"/>
      <w:numFmt w:val="bullet"/>
      <w:start w:val="1"/>
    </w:lvl>
  </w:abstractNum>
  <w:abstractNum w:abstractNumId="25">
    <w:nsid w:val="6EAA85FB"/>
    <w:multiLevelType w:val="hybridMultilevel"/>
    <w:lvl w:ilvl="0">
      <w:lvlJc w:val="left"/>
      <w:lvlText w:val="•"/>
      <w:numFmt w:val="bullet"/>
      <w:start w:val="1"/>
    </w:lvl>
  </w:abstractNum>
  <w:abstractNum w:abstractNumId="26">
    <w:nsid w:val="3F06ECB2"/>
    <w:multiLevelType w:val="hybridMultilevel"/>
    <w:lvl w:ilvl="0">
      <w:lvlJc w:val="left"/>
      <w:lvlText w:val="•"/>
      <w:numFmt w:val="bullet"/>
      <w:start w:val="1"/>
    </w:lvl>
  </w:abstractNum>
  <w:abstractNum w:abstractNumId="27">
    <w:nsid w:val="3B594807"/>
    <w:multiLevelType w:val="hybridMultilevel"/>
    <w:lvl w:ilvl="0">
      <w:lvlJc w:val="left"/>
      <w:lvlText w:val="•"/>
      <w:numFmt w:val="bullet"/>
      <w:start w:val="1"/>
    </w:lvl>
  </w:abstractNum>
  <w:abstractNum w:abstractNumId="28">
    <w:nsid w:val="6CAA2304"/>
    <w:multiLevelType w:val="hybridMultilevel"/>
    <w:lvl w:ilvl="0">
      <w:lvlJc w:val="left"/>
      <w:lvlText w:val="•"/>
      <w:numFmt w:val="bullet"/>
      <w:start w:val="1"/>
    </w:lvl>
  </w:abstractNum>
  <w:abstractNum w:abstractNumId="29">
    <w:nsid w:val="3F7C2FF4"/>
    <w:multiLevelType w:val="hybridMultilevel"/>
    <w:lvl w:ilvl="0">
      <w:lvlJc w:val="left"/>
      <w:lvlText w:val="•"/>
      <w:numFmt w:val="bullet"/>
      <w:start w:val="1"/>
    </w:lvl>
  </w:abstractNum>
  <w:abstractNum w:abstractNumId="30">
    <w:nsid w:val="25413BEC"/>
    <w:multiLevelType w:val="hybridMultilevel"/>
    <w:lvl w:ilvl="0">
      <w:lvlJc w:val="left"/>
      <w:lvlText w:val="•"/>
      <w:numFmt w:val="bullet"/>
      <w:start w:val="1"/>
    </w:lvl>
  </w:abstractNum>
  <w:abstractNum w:abstractNumId="31">
    <w:nsid w:val="17180B0B"/>
    <w:multiLevelType w:val="hybridMultilevel"/>
    <w:lvl w:ilvl="0">
      <w:lvlJc w:val="left"/>
      <w:lvlText w:val="•"/>
      <w:numFmt w:val="bullet"/>
      <w:start w:val="1"/>
    </w:lvl>
  </w:abstractNum>
  <w:abstractNum w:abstractNumId="32">
    <w:nsid w:val="579328B9"/>
    <w:multiLevelType w:val="hybridMultilevel"/>
    <w:lvl w:ilvl="0">
      <w:lvlJc w:val="left"/>
      <w:lvlText w:val="•"/>
      <w:numFmt w:val="bullet"/>
      <w:start w:val="1"/>
    </w:lvl>
  </w:abstractNum>
  <w:abstractNum w:abstractNumId="33">
    <w:nsid w:val="5D205E20"/>
    <w:multiLevelType w:val="hybridMultilevel"/>
    <w:lvl w:ilvl="0">
      <w:lvlJc w:val="left"/>
      <w:lvlText w:val="•"/>
      <w:numFmt w:val="bullet"/>
      <w:start w:val="1"/>
    </w:lvl>
  </w:abstractNum>
  <w:abstractNum w:abstractNumId="34">
    <w:nsid w:val="11CCA8BA"/>
    <w:multiLevelType w:val="hybridMultilevel"/>
    <w:lvl w:ilvl="0">
      <w:lvlJc w:val="left"/>
      <w:lvlText w:val="•"/>
      <w:numFmt w:val="bullet"/>
      <w:start w:val="1"/>
    </w:lvl>
  </w:abstractNum>
  <w:abstractNum w:abstractNumId="35">
    <w:nsid w:val="4D32AB86"/>
    <w:multiLevelType w:val="hybridMultilevel"/>
    <w:lvl w:ilvl="0">
      <w:lvlJc w:val="left"/>
      <w:lvlText w:val="•"/>
      <w:numFmt w:val="bullet"/>
      <w:start w:val="1"/>
    </w:lvl>
  </w:abstractNum>
  <w:abstractNum w:abstractNumId="36">
    <w:nsid w:val="3F07ACC3"/>
    <w:multiLevelType w:val="hybridMultilevel"/>
    <w:lvl w:ilvl="0">
      <w:lvlJc w:val="left"/>
      <w:lvlText w:val="•"/>
      <w:numFmt w:val="bullet"/>
      <w:start w:val="1"/>
    </w:lvl>
  </w:abstractNum>
  <w:abstractNum w:abstractNumId="37">
    <w:nsid w:val="6B47F63E"/>
    <w:multiLevelType w:val="hybridMultilevel"/>
    <w:lvl w:ilvl="0">
      <w:lvlJc w:val="left"/>
      <w:lvlText w:val="•"/>
      <w:numFmt w:val="bullet"/>
      <w:start w:val="1"/>
    </w:lvl>
  </w:abstractNum>
  <w:abstractNum w:abstractNumId="38">
    <w:nsid w:val="5CB44A05"/>
    <w:multiLevelType w:val="hybridMultilevel"/>
    <w:lvl w:ilvl="0">
      <w:lvlJc w:val="left"/>
      <w:lvlText w:val="•"/>
      <w:numFmt w:val="bullet"/>
      <w:start w:val="1"/>
    </w:lvl>
  </w:abstractNum>
  <w:abstractNum w:abstractNumId="39">
    <w:nsid w:val="16CF80F1"/>
    <w:multiLevelType w:val="hybridMultilevel"/>
    <w:lvl w:ilvl="0">
      <w:lvlJc w:val="left"/>
      <w:lvlText w:val="•"/>
      <w:numFmt w:val="bullet"/>
      <w:start w:val="1"/>
    </w:lvl>
  </w:abstractNum>
  <w:abstractNum w:abstractNumId="40">
    <w:nsid w:val="1C695DEC"/>
    <w:multiLevelType w:val="hybridMultilevel"/>
    <w:lvl w:ilvl="0">
      <w:lvlJc w:val="left"/>
      <w:lvlText w:val="•"/>
      <w:numFmt w:val="bullet"/>
      <w:start w:val="1"/>
    </w:lvl>
  </w:abstractNum>
  <w:abstractNum w:abstractNumId="41">
    <w:nsid w:val="3FCFAED9"/>
    <w:multiLevelType w:val="hybridMultilevel"/>
    <w:lvl w:ilvl="0">
      <w:lvlJc w:val="left"/>
      <w:lvlText w:val="•"/>
      <w:numFmt w:val="bullet"/>
      <w:start w:val="1"/>
    </w:lvl>
  </w:abstractNum>
  <w:abstractNum w:abstractNumId="42">
    <w:nsid w:val="F856867"/>
    <w:multiLevelType w:val="hybridMultilevel"/>
    <w:lvl w:ilvl="0">
      <w:lvlJc w:val="left"/>
      <w:lvlText w:val="•"/>
      <w:numFmt w:val="bullet"/>
      <w:start w:val="1"/>
    </w:lvl>
  </w:abstractNum>
  <w:abstractNum w:abstractNumId="43">
    <w:nsid w:val="11B1CC33"/>
    <w:multiLevelType w:val="hybridMultilevel"/>
    <w:lvl w:ilvl="0">
      <w:lvlJc w:val="left"/>
      <w:lvlText w:val="•"/>
      <w:numFmt w:val="bullet"/>
      <w:start w:val="1"/>
    </w:lvl>
  </w:abstractNum>
  <w:abstractNum w:abstractNumId="44">
    <w:nsid w:val="2E22FBB7"/>
    <w:multiLevelType w:val="hybridMultilevel"/>
    <w:lvl w:ilvl="0">
      <w:lvlJc w:val="left"/>
      <w:lvlText w:val="•"/>
      <w:numFmt w:val="bullet"/>
      <w:start w:val="1"/>
    </w:lvl>
  </w:abstractNum>
  <w:abstractNum w:abstractNumId="45">
    <w:nsid w:val="29934699"/>
    <w:multiLevelType w:val="hybridMultilevel"/>
    <w:lvl w:ilvl="0">
      <w:lvlJc w:val="left"/>
      <w:lvlText w:val="•"/>
      <w:numFmt w:val="bullet"/>
      <w:start w:val="1"/>
    </w:lvl>
  </w:abstractNum>
  <w:abstractNum w:abstractNumId="46">
    <w:nsid w:val="77485850"/>
    <w:multiLevelType w:val="hybridMultilevel"/>
    <w:lvl w:ilvl="0">
      <w:lvlJc w:val="left"/>
      <w:lvlText w:val="•"/>
      <w:numFmt w:val="bullet"/>
      <w:start w:val="1"/>
    </w:lvl>
  </w:abstractNum>
  <w:abstractNum w:abstractNumId="47">
    <w:nsid w:val="744939A3"/>
    <w:multiLevelType w:val="hybridMultilevel"/>
    <w:lvl w:ilvl="0">
      <w:lvlJc w:val="left"/>
      <w:lvlText w:val="•"/>
      <w:numFmt w:val="bullet"/>
      <w:start w:val="1"/>
    </w:lvl>
  </w:abstractNum>
  <w:abstractNum w:abstractNumId="48">
    <w:nsid w:val="4FA0D2E3"/>
    <w:multiLevelType w:val="hybridMultilevel"/>
    <w:lvl w:ilvl="0">
      <w:lvlJc w:val="left"/>
      <w:lvlText w:val="•"/>
      <w:numFmt w:val="bullet"/>
      <w:start w:val="1"/>
    </w:lvl>
  </w:abstractNum>
  <w:abstractNum w:abstractNumId="49">
    <w:nsid w:val="6B1D2C14"/>
    <w:multiLevelType w:val="hybridMultilevel"/>
    <w:lvl w:ilvl="0">
      <w:lvlJc w:val="left"/>
      <w:lvlText w:val="•"/>
      <w:numFmt w:val="bullet"/>
      <w:start w:val="1"/>
    </w:lvl>
  </w:abstractNum>
  <w:abstractNum w:abstractNumId="50">
    <w:nsid w:val="68B867D3"/>
    <w:multiLevelType w:val="hybridMultilevel"/>
    <w:lvl w:ilvl="0">
      <w:lvlJc w:val="left"/>
      <w:lvlText w:val="•"/>
      <w:numFmt w:val="bullet"/>
      <w:start w:val="1"/>
    </w:lvl>
  </w:abstractNum>
  <w:abstractNum w:abstractNumId="51">
    <w:nsid w:val="3F7F5DD9"/>
    <w:multiLevelType w:val="hybridMultilevel"/>
    <w:lvl w:ilvl="0">
      <w:lvlJc w:val="left"/>
      <w:lvlText w:val="•"/>
      <w:numFmt w:val="bullet"/>
      <w:start w:val="1"/>
    </w:lvl>
  </w:abstractNum>
  <w:abstractNum w:abstractNumId="52">
    <w:nsid w:val="2AE05A34"/>
    <w:multiLevelType w:val="hybridMultilevel"/>
    <w:lvl w:ilvl="0">
      <w:lvlJc w:val="left"/>
      <w:lvlText w:val="%1."/>
      <w:numFmt w:val="upperLetter"/>
      <w:start w:val="1"/>
    </w:lvl>
  </w:abstractNum>
  <w:abstractNum w:abstractNumId="53">
    <w:nsid w:val="32794FF7"/>
    <w:multiLevelType w:val="hybridMultilevel"/>
    <w:lvl w:ilvl="0">
      <w:lvlJc w:val="left"/>
      <w:lvlText w:val="%1."/>
      <w:numFmt w:val="upperLetter"/>
      <w:start w:val="2"/>
    </w:lvl>
  </w:abstractNum>
  <w:abstractNum w:abstractNumId="54">
    <w:nsid w:val="5454945E"/>
    <w:multiLevelType w:val="hybridMultilevel"/>
    <w:lvl w:ilvl="0">
      <w:lvlJc w:val="left"/>
      <w:lvlText w:val="•"/>
      <w:numFmt w:val="bullet"/>
      <w:start w:val="1"/>
    </w:lvl>
  </w:abstractNum>
  <w:abstractNum w:abstractNumId="55">
    <w:nsid w:val="4DEFDFA0"/>
    <w:multiLevelType w:val="hybridMultilevel"/>
    <w:lvl w:ilvl="0">
      <w:lvlJc w:val="left"/>
      <w:lvlText w:val="•"/>
      <w:numFmt w:val="bullet"/>
      <w:start w:val="1"/>
    </w:lvl>
    <w:lvl w:ilvl="1">
      <w:lvlJc w:val="left"/>
      <w:lvlText w:val="o"/>
      <w:numFmt w:val="bullet"/>
      <w:start w:val="1"/>
    </w:lvl>
  </w:abstractNum>
  <w:abstractNum w:abstractNumId="56">
    <w:nsid w:val="2123D5F2"/>
    <w:multiLevelType w:val="hybridMultilevel"/>
    <w:lvl w:ilvl="0">
      <w:lvlJc w:val="left"/>
      <w:lvlText w:val="•"/>
      <w:numFmt w:val="bullet"/>
      <w:start w:val="1"/>
    </w:lvl>
  </w:abstractNum>
  <w:abstractNum w:abstractNumId="57">
    <w:nsid w:val="135B8110"/>
    <w:multiLevelType w:val="hybridMultilevel"/>
    <w:lvl w:ilvl="0">
      <w:lvlJc w:val="left"/>
      <w:lvlText w:val="%1."/>
      <w:numFmt w:val="decimal"/>
      <w:start w:val="1"/>
    </w:lvl>
  </w:abstractNum>
  <w:abstractNum w:abstractNumId="58">
    <w:nsid w:val="94927A8"/>
    <w:multiLevelType w:val="hybridMultilevel"/>
    <w:lvl w:ilvl="0">
      <w:lvlJc w:val="left"/>
      <w:lvlText w:val="•"/>
      <w:numFmt w:val="bullet"/>
      <w:start w:val="1"/>
    </w:lvl>
  </w:abstractNum>
  <w:abstractNum w:abstractNumId="59">
    <w:nsid w:val="DCDF8F6"/>
    <w:multiLevelType w:val="hybridMultilevel"/>
    <w:lvl w:ilvl="0">
      <w:lvlJc w:val="left"/>
      <w:lvlText w:val="•"/>
      <w:numFmt w:val="bullet"/>
      <w:start w:val="1"/>
    </w:lvl>
  </w:abstractNum>
  <w:abstractNum w:abstractNumId="60">
    <w:nsid w:val="52D7B105"/>
    <w:multiLevelType w:val="hybridMultilevel"/>
    <w:lvl w:ilvl="0">
      <w:lvlJc w:val="left"/>
      <w:lvlText w:val="•"/>
      <w:numFmt w:val="bullet"/>
      <w:start w:val="1"/>
    </w:lvl>
  </w:abstractNum>
  <w:abstractNum w:abstractNumId="61">
    <w:nsid w:val="2E8A6394"/>
    <w:multiLevelType w:val="hybridMultilevel"/>
    <w:lvl w:ilvl="0">
      <w:lvlJc w:val="left"/>
      <w:lvlText w:val="•"/>
      <w:numFmt w:val="bullet"/>
      <w:start w:val="1"/>
    </w:lvl>
  </w:abstractNum>
  <w:abstractNum w:abstractNumId="62">
    <w:nsid w:val="24E60401"/>
    <w:multiLevelType w:val="hybridMultilevel"/>
    <w:lvl w:ilvl="0">
      <w:lvlJc w:val="left"/>
      <w:lvlText w:val="•"/>
      <w:numFmt w:val="bullet"/>
      <w:start w:val="1"/>
    </w:lvl>
  </w:abstractNum>
  <w:abstractNum w:abstractNumId="63">
    <w:nsid w:val="2A6AD9BE"/>
    <w:multiLevelType w:val="hybridMultilevel"/>
    <w:lvl w:ilvl="0">
      <w:lvlJc w:val="left"/>
      <w:lvlText w:val="•"/>
      <w:numFmt w:val="bullet"/>
      <w:start w:val="1"/>
    </w:lvl>
  </w:abstractNum>
  <w:abstractNum w:abstractNumId="64">
    <w:nsid w:val="BAAC1B4"/>
    <w:multiLevelType w:val="hybridMultilevel"/>
    <w:lvl w:ilvl="0">
      <w:lvlJc w:val="left"/>
      <w:lvlText w:val="•"/>
      <w:numFmt w:val="bullet"/>
      <w:start w:val="1"/>
    </w:lvl>
  </w:abstractNum>
  <w:abstractNum w:abstractNumId="65">
    <w:nsid w:val="36B2ACBC"/>
    <w:multiLevelType w:val="hybridMultilevel"/>
    <w:lvl w:ilvl="0">
      <w:lvlJc w:val="left"/>
      <w:lvlText w:val="•"/>
      <w:numFmt w:val="bullet"/>
      <w:start w:val="1"/>
    </w:lvl>
  </w:abstractNum>
  <w:abstractNum w:abstractNumId="66">
    <w:nsid w:val="779D8544"/>
    <w:multiLevelType w:val="hybridMultilevel"/>
    <w:lvl w:ilvl="0">
      <w:lvlJc w:val="left"/>
      <w:lvlText w:val="•"/>
      <w:numFmt w:val="bullet"/>
      <w:start w:val="1"/>
    </w:lvl>
  </w:abstractNum>
  <w:abstractNum w:abstractNumId="67">
    <w:nsid w:val="4AB26E78"/>
    <w:multiLevelType w:val="hybridMultilevel"/>
    <w:lvl w:ilvl="0">
      <w:lvlJc w:val="left"/>
      <w:lvlText w:val="•"/>
      <w:numFmt w:val="bullet"/>
      <w:start w:val="1"/>
    </w:lvl>
  </w:abstractNum>
  <w:abstractNum w:abstractNumId="68">
    <w:nsid w:val="21FAA2FA"/>
    <w:multiLevelType w:val="hybridMultilevel"/>
    <w:lvl w:ilvl="0">
      <w:lvlJc w:val="left"/>
      <w:lvlText w:val="(%1)"/>
      <w:numFmt w:val="lowerRoman"/>
      <w:start w:val="3"/>
    </w:lvl>
  </w:abstractNum>
  <w:abstractNum w:abstractNumId="69">
    <w:nsid w:val="5451CF49"/>
    <w:multiLevelType w:val="hybridMultilevel"/>
    <w:lvl w:ilvl="0">
      <w:lvlJc w:val="left"/>
      <w:lvlText w:val="•"/>
      <w:numFmt w:val="bullet"/>
      <w:start w:val="1"/>
    </w:lvl>
  </w:abstractNum>
  <w:abstractNum w:abstractNumId="70">
    <w:nsid w:val="6181EF69"/>
    <w:multiLevelType w:val="hybridMultilevel"/>
    <w:lvl w:ilvl="0">
      <w:lvlJc w:val="left"/>
      <w:lvlText w:val="•"/>
      <w:numFmt w:val="bullet"/>
      <w:start w:val="1"/>
    </w:lvl>
  </w:abstractNum>
  <w:abstractNum w:abstractNumId="71">
    <w:nsid w:val="3E6400E6"/>
    <w:multiLevelType w:val="hybridMultilevel"/>
    <w:lvl w:ilvl="0">
      <w:lvlJc w:val="left"/>
      <w:lvlText w:val="•"/>
      <w:numFmt w:val="bullet"/>
      <w:start w:val="1"/>
    </w:lvl>
  </w:abstractNum>
  <w:abstractNum w:abstractNumId="72">
    <w:nsid w:val="14217E23"/>
    <w:multiLevelType w:val="hybridMultilevel"/>
    <w:lvl w:ilvl="0">
      <w:lvlJc w:val="left"/>
      <w:lvlText w:val="•"/>
      <w:numFmt w:val="bullet"/>
      <w:start w:val="1"/>
    </w:lvl>
  </w:abstractNum>
  <w:abstractNum w:abstractNumId="73">
    <w:nsid w:val="710757D0"/>
    <w:multiLevelType w:val="hybridMultilevel"/>
    <w:lvl w:ilvl="0">
      <w:lvlJc w:val="left"/>
      <w:lvlText w:val="•"/>
      <w:numFmt w:val="bullet"/>
      <w:start w:val="1"/>
    </w:lvl>
  </w:abstractNum>
  <w:abstractNum w:abstractNumId="74">
    <w:nsid w:val="5015CD1A"/>
    <w:multiLevelType w:val="hybridMultilevel"/>
    <w:lvl w:ilvl="0">
      <w:lvlJc w:val="left"/>
      <w:lvlText w:val="•"/>
      <w:numFmt w:val="bullet"/>
      <w:start w:val="1"/>
    </w:lvl>
  </w:abstractNum>
  <w:abstractNum w:abstractNumId="75">
    <w:nsid w:val="424479DA"/>
    <w:multiLevelType w:val="hybridMultilevel"/>
    <w:lvl w:ilvl="0">
      <w:lvlJc w:val="left"/>
      <w:lvlText w:val="%1."/>
      <w:numFmt w:val="upperLetter"/>
      <w:start w:val="3"/>
    </w:lvl>
  </w:abstractNum>
  <w:abstractNum w:abstractNumId="76">
    <w:nsid w:val="1A9A9E69"/>
    <w:multiLevelType w:val="hybridMultilevel"/>
    <w:lvl w:ilvl="0">
      <w:lvlJc w:val="left"/>
      <w:lvlText w:val="%1."/>
      <w:numFmt w:val="upperLetter"/>
      <w:start w:val="4"/>
    </w:lvl>
  </w:abstractNum>
  <w:abstractNum w:abstractNumId="77">
    <w:nsid w:val="475E256A"/>
    <w:multiLevelType w:val="hybridMultilevel"/>
    <w:lvl w:ilvl="0">
      <w:lvlJc w:val="left"/>
      <w:lvlText w:val="(%1)"/>
      <w:numFmt w:val="decimal"/>
      <w:start w:val="1"/>
    </w:lvl>
  </w:abstractNum>
  <w:abstractNum w:abstractNumId="78">
    <w:nsid w:val="368DB37E"/>
    <w:multiLevelType w:val="hybridMultilevel"/>
    <w:lvl w:ilvl="0">
      <w:lvlJc w:val="left"/>
      <w:lvlText w:val="%1."/>
      <w:numFmt w:val="upperLetter"/>
      <w:start w:val="1"/>
    </w:lvl>
  </w:abstractNum>
  <w:abstractNum w:abstractNumId="79">
    <w:nsid w:val="6A3B714C"/>
    <w:multiLevelType w:val="hybridMultilevel"/>
    <w:lvl w:ilvl="0">
      <w:lvlJc w:val="left"/>
      <w:lvlText w:val="(%1)"/>
      <w:numFmt w:val="decimal"/>
      <w:start w:val="1"/>
    </w:lvl>
  </w:abstractNum>
  <w:abstractNum w:abstractNumId="80">
    <w:nsid w:val="327B517E"/>
    <w:multiLevelType w:val="hybridMultilevel"/>
    <w:lvl w:ilvl="0">
      <w:lvlJc w:val="left"/>
      <w:lvlText w:val="•"/>
      <w:numFmt w:val="bullet"/>
      <w:start w:val="1"/>
    </w:lvl>
  </w:abstractNum>
  <w:abstractNum w:abstractNumId="81">
    <w:nsid w:val="1F461B51"/>
    <w:multiLevelType w:val="hybridMultilevel"/>
    <w:lvl w:ilvl="0">
      <w:lvlJc w:val="left"/>
      <w:lvlText w:val="•"/>
      <w:numFmt w:val="bullet"/>
      <w:start w:val="1"/>
    </w:lvl>
  </w:abstractNum>
  <w:abstractNum w:abstractNumId="82">
    <w:nsid w:val="29BACF25"/>
    <w:multiLevelType w:val="hybridMultilevel"/>
    <w:lvl w:ilvl="0">
      <w:lvlJc w:val="left"/>
      <w:lvlText w:val="%1."/>
      <w:numFmt w:val="upperLetter"/>
      <w:start w:val="2"/>
    </w:lvl>
  </w:abstractNum>
  <w:abstractNum w:abstractNumId="83">
    <w:nsid w:val="5D5BABB3"/>
    <w:multiLevelType w:val="hybridMultilevel"/>
    <w:lvl w:ilvl="0">
      <w:lvlJc w:val="left"/>
      <w:lvlText w:val="•"/>
      <w:numFmt w:val="bullet"/>
      <w:start w:val="1"/>
    </w:lvl>
  </w:abstractNum>
  <w:abstractNum w:abstractNumId="84">
    <w:nsid w:val="51BF6B48"/>
    <w:multiLevelType w:val="hybridMultilevel"/>
    <w:lvl w:ilvl="0">
      <w:lvlJc w:val="left"/>
      <w:lvlText w:val="•"/>
      <w:numFmt w:val="bullet"/>
      <w:start w:val="1"/>
    </w:lvl>
  </w:abstractNum>
  <w:abstractNum w:abstractNumId="85">
    <w:nsid w:val="7E0F6384"/>
    <w:multiLevelType w:val="hybridMultilevel"/>
    <w:lvl w:ilvl="0">
      <w:lvlJc w:val="left"/>
      <w:lvlText w:val="•"/>
      <w:numFmt w:val="bullet"/>
      <w:start w:val="1"/>
    </w:lvl>
  </w:abstractNum>
  <w:abstractNum w:abstractNumId="86">
    <w:nsid w:val="2B4B8B53"/>
    <w:multiLevelType w:val="hybridMultilevel"/>
    <w:lvl w:ilvl="0">
      <w:lvlJc w:val="left"/>
      <w:lvlText w:val="%1."/>
      <w:numFmt w:val="upperLetter"/>
      <w:start w:val="3"/>
    </w:lvl>
  </w:abstractNum>
  <w:abstractNum w:abstractNumId="87">
    <w:nsid w:val="72E3413A"/>
    <w:multiLevelType w:val="hybridMultilevel"/>
    <w:lvl w:ilvl="0">
      <w:lvlJc w:val="left"/>
      <w:lvlText w:val="%1."/>
      <w:numFmt w:val="upperLetter"/>
      <w:start w:val="4"/>
    </w:lvl>
  </w:abstractNum>
  <w:abstractNum w:abstractNumId="88">
    <w:nsid w:val="116AE494"/>
    <w:multiLevelType w:val="hybridMultilevel"/>
    <w:lvl w:ilvl="0">
      <w:lvlJc w:val="left"/>
      <w:lvlText w:val="%1."/>
      <w:numFmt w:val="upperLetter"/>
      <w:start w:val="5"/>
    </w:lvl>
  </w:abstractNum>
  <w:abstractNum w:abstractNumId="89">
    <w:nsid w:val="3494B2FB"/>
    <w:multiLevelType w:val="hybridMultilevel"/>
    <w:lvl w:ilvl="0">
      <w:lvlJc w:val="left"/>
      <w:lvlText w:val="%1."/>
      <w:numFmt w:val="upperLetter"/>
      <w:start w:val="1"/>
    </w:lvl>
  </w:abstractNum>
  <w:abstractNum w:abstractNumId="90">
    <w:nsid w:val="B13A31"/>
    <w:multiLevelType w:val="hybridMultilevel"/>
    <w:lvl w:ilvl="0">
      <w:lvlJc w:val="left"/>
      <w:lvlText w:val="%1."/>
      <w:numFmt w:val="upperLetter"/>
      <w:start w:val="2"/>
    </w:lvl>
  </w:abstractNum>
  <w:abstractNum w:abstractNumId="91">
    <w:nsid w:val="64429599"/>
    <w:multiLevelType w:val="hybridMultilevel"/>
    <w:lvl w:ilvl="0">
      <w:lvlJc w:val="left"/>
      <w:lvlText w:val="(%1)"/>
      <w:numFmt w:val="decimal"/>
      <w:start w:val="1"/>
    </w:lvl>
  </w:abstractNum>
  <w:abstractNum w:abstractNumId="92">
    <w:nsid w:val="631F1690"/>
    <w:multiLevelType w:val="hybridMultilevel"/>
    <w:lvl w:ilvl="0">
      <w:lvlJc w:val="left"/>
      <w:lvlText w:val="%1."/>
      <w:numFmt w:val="upperLetter"/>
      <w:start w:val="3"/>
    </w:lvl>
  </w:abstractNum>
  <w:abstractNum w:abstractNumId="93">
    <w:nsid w:val="25973E32"/>
    <w:multiLevelType w:val="hybridMultilevel"/>
    <w:lvl w:ilvl="0">
      <w:lvlJc w:val="left"/>
      <w:lvlText w:val="•"/>
      <w:numFmt w:val="bullet"/>
      <w:start w:val="1"/>
    </w:lvl>
  </w:abstractNum>
  <w:abstractNum w:abstractNumId="94">
    <w:nsid w:val="EAD6F57"/>
    <w:multiLevelType w:val="hybridMultilevel"/>
    <w:lvl w:ilvl="0">
      <w:lvlJc w:val="left"/>
      <w:lvlText w:val="•"/>
      <w:numFmt w:val="bullet"/>
      <w:start w:val="1"/>
    </w:lvl>
  </w:abstractNum>
  <w:abstractNum w:abstractNumId="95">
    <w:nsid w:val="6EC9D844"/>
    <w:multiLevelType w:val="hybridMultilevel"/>
    <w:lvl w:ilvl="0">
      <w:lvlJc w:val="left"/>
      <w:lvlText w:val="•"/>
      <w:numFmt w:val="bullet"/>
      <w:start w:val="1"/>
    </w:lvl>
  </w:abstractNum>
  <w:abstractNum w:abstractNumId="96">
    <w:nsid w:val="5C49EAEE"/>
    <w:multiLevelType w:val="hybridMultilevel"/>
    <w:lvl w:ilvl="0">
      <w:lvlJc w:val="left"/>
      <w:lvlText w:val="•"/>
      <w:numFmt w:val="bullet"/>
      <w:start w:val="1"/>
    </w:lvl>
  </w:abstractNum>
  <w:abstractNum w:abstractNumId="97">
    <w:nsid w:val="64AF49B"/>
    <w:multiLevelType w:val="hybridMultilevel"/>
    <w:lvl w:ilvl="0">
      <w:lvlJc w:val="left"/>
      <w:lvlText w:val="%1."/>
      <w:numFmt w:val="upperLetter"/>
      <w:start w:val="4"/>
    </w:lvl>
  </w:abstractNum>
  <w:abstractNum w:abstractNumId="98">
    <w:nsid w:val="397C46BC"/>
    <w:multiLevelType w:val="hybridMultilevel"/>
    <w:lvl w:ilvl="0">
      <w:lvlJc w:val="left"/>
      <w:lvlText w:val="(%1)"/>
      <w:numFmt w:val="decimal"/>
      <w:start w:val="1"/>
    </w:lvl>
  </w:abstractNum>
  <w:abstractNum w:abstractNumId="99">
    <w:nsid w:val="7E448DE9"/>
    <w:multiLevelType w:val="hybridMultilevel"/>
    <w:lvl w:ilvl="0">
      <w:lvlJc w:val="left"/>
      <w:lvlText w:val="%1."/>
      <w:numFmt w:val="upperLetter"/>
      <w:start w:val="5"/>
    </w:lvl>
  </w:abstractNum>
  <w:abstractNum w:abstractNumId="100">
    <w:nsid w:val="5A9CC3E5"/>
    <w:multiLevelType w:val="hybridMultilevel"/>
    <w:lvl w:ilvl="0">
      <w:lvlJc w:val="left"/>
      <w:lvlText w:val="%1."/>
      <w:numFmt w:val="upperLetter"/>
      <w:start w:val="6"/>
    </w:lvl>
  </w:abstractNum>
  <w:abstractNum w:abstractNumId="101">
    <w:nsid w:val="1AFE3625"/>
    <w:multiLevelType w:val="hybridMultilevel"/>
    <w:lvl w:ilvl="0">
      <w:lvlJc w:val="left"/>
      <w:lvlText w:val="•"/>
      <w:numFmt w:val="bullet"/>
      <w:start w:val="1"/>
    </w:lvl>
  </w:abstractNum>
  <w:abstractNum w:abstractNumId="102">
    <w:nsid w:val="3CA88ECF"/>
    <w:multiLevelType w:val="hybridMultilevel"/>
    <w:lvl w:ilvl="0">
      <w:lvlJc w:val="left"/>
      <w:lvlText w:val="*"/>
      <w:numFmt w:val="bullet"/>
      <w:start w:val="1"/>
    </w:lvl>
    <w:lvl w:ilvl="1">
      <w:lvlJc w:val="left"/>
      <w:lvlText w:val="(%2)"/>
      <w:numFmt w:val="decimal"/>
      <w:start w:val="1"/>
    </w:lvl>
  </w:abstractNum>
  <w:abstractNum w:abstractNumId="103">
    <w:nsid w:val="6EBE4208"/>
    <w:multiLevelType w:val="hybridMultilevel"/>
    <w:lvl w:ilvl="0">
      <w:lvlJc w:val="left"/>
      <w:lvlText w:val="(%1)"/>
      <w:numFmt w:val="decimal"/>
      <w:start w:val="2"/>
    </w:lvl>
  </w:abstractNum>
  <w:abstractNum w:abstractNumId="104">
    <w:nsid w:val="C058DF5"/>
    <w:multiLevelType w:val="hybridMultilevel"/>
    <w:lvl w:ilvl="0">
      <w:lvlJc w:val="left"/>
      <w:lvlText w:val="(%1)"/>
      <w:numFmt w:val="decimal"/>
      <w:start w:val="13"/>
    </w:lvl>
  </w:abstractNum>
  <w:abstractNum w:abstractNumId="105">
    <w:nsid w:val="CBE5BE9"/>
    <w:multiLevelType w:val="hybridMultilevel"/>
    <w:lvl w:ilvl="0">
      <w:lvlJc w:val="left"/>
      <w:lvlText w:val="%1."/>
      <w:numFmt w:val="upperLetter"/>
      <w:start w:val="1"/>
    </w:lvl>
  </w:abstractNum>
  <w:abstractNum w:abstractNumId="106">
    <w:nsid w:val="3102BBE2"/>
    <w:multiLevelType w:val="hybridMultilevel"/>
    <w:lvl w:ilvl="0">
      <w:lvlJc w:val="left"/>
      <w:lvlText w:val="%1."/>
      <w:numFmt w:val="upperLetter"/>
      <w:start w:val="2"/>
    </w:lvl>
  </w:abstractNum>
  <w:abstractNum w:abstractNumId="107">
    <w:nsid w:val="26A02C5E"/>
    <w:multiLevelType w:val="hybridMultilevel"/>
    <w:lvl w:ilvl="0">
      <w:lvlJc w:val="left"/>
      <w:lvlText w:val="%1."/>
      <w:numFmt w:val="upperLetter"/>
      <w:start w:val="1"/>
    </w:lvl>
  </w:abstractNum>
  <w:abstractNum w:abstractNumId="108">
    <w:nsid w:val="541C8153"/>
    <w:multiLevelType w:val="hybridMultilevel"/>
    <w:lvl w:ilvl="0">
      <w:lvlJc w:val="left"/>
      <w:lvlText w:val="%1."/>
      <w:numFmt w:val="upperLetter"/>
      <w:start w:val="2"/>
    </w:lvl>
  </w:abstractNum>
  <w:abstractNum w:abstractNumId="109">
    <w:nsid w:val="67906F60"/>
    <w:multiLevelType w:val="hybridMultilevel"/>
    <w:lvl w:ilvl="0">
      <w:lvlJc w:val="left"/>
      <w:lvlText w:val="%1."/>
      <w:numFmt w:val="upperLetter"/>
      <w:start w:val="3"/>
    </w:lvl>
  </w:abstractNum>
  <w:abstractNum w:abstractNumId="110">
    <w:nsid w:val="10DB9DAA"/>
    <w:multiLevelType w:val="hybridMultilevel"/>
    <w:lvl w:ilvl="0">
      <w:lvlJc w:val="left"/>
      <w:lvlText w:val="%1."/>
      <w:numFmt w:val="upperLetter"/>
      <w:start w:val="4"/>
    </w:lvl>
  </w:abstractNum>
  <w:abstractNum w:abstractNumId="111">
    <w:nsid w:val="697D2D2"/>
    <w:multiLevelType w:val="hybridMultilevel"/>
    <w:lvl w:ilvl="0">
      <w:lvlJc w:val="left"/>
      <w:lvlText w:val="%1."/>
      <w:numFmt w:val="upperLetter"/>
      <w:start w:val="5"/>
    </w:lvl>
  </w:abstractNum>
  <w:abstractNum w:abstractNumId="112">
    <w:nsid w:val="6D68AB2"/>
    <w:multiLevelType w:val="hybridMultilevel"/>
    <w:lvl w:ilvl="0">
      <w:lvlJc w:val="left"/>
      <w:lvlText w:val="%1."/>
      <w:numFmt w:val="upperLetter"/>
      <w:start w:val="6"/>
    </w:lvl>
  </w:abstractNum>
  <w:abstractNum w:abstractNumId="113">
    <w:nsid w:val="3A966CD0"/>
    <w:multiLevelType w:val="hybridMultilevel"/>
    <w:lvl w:ilvl="0">
      <w:lvlJc w:val="left"/>
      <w:lvlText w:val="%1."/>
      <w:numFmt w:val="upperLetter"/>
      <w:start w:val="1"/>
    </w:lvl>
  </w:abstractNum>
  <w:abstractNum w:abstractNumId="114">
    <w:nsid w:val="63F37E85"/>
    <w:multiLevelType w:val="hybridMultilevel"/>
    <w:lvl w:ilvl="0">
      <w:lvlJc w:val="left"/>
      <w:lvlText w:val="%1."/>
      <w:numFmt w:val="upperLetter"/>
      <w:start w:val="2"/>
    </w:lvl>
  </w:abstractNum>
  <w:abstractNum w:abstractNumId="115">
    <w:nsid w:val="5895F5FA"/>
    <w:multiLevelType w:val="hybridMultilevel"/>
    <w:lvl w:ilvl="0">
      <w:lvlJc w:val="left"/>
      <w:lvlText w:val="•"/>
      <w:numFmt w:val="bullet"/>
      <w:start w:val="1"/>
    </w:lvl>
  </w:abstractNum>
  <w:abstractNum w:abstractNumId="116">
    <w:nsid w:val="38A5D054"/>
    <w:multiLevelType w:val="hybridMultilevel"/>
    <w:lvl w:ilvl="0">
      <w:lvlJc w:val="left"/>
      <w:lvlText w:val="•"/>
      <w:numFmt w:val="bullet"/>
      <w:start w:val="1"/>
    </w:lvl>
  </w:abstractNum>
  <w:abstractNum w:abstractNumId="117">
    <w:nsid w:val="F3F09D8"/>
    <w:multiLevelType w:val="hybridMultilevel"/>
    <w:lvl w:ilvl="0">
      <w:lvlJc w:val="left"/>
      <w:lvlText w:val="•"/>
      <w:numFmt w:val="bullet"/>
      <w:start w:val="1"/>
    </w:lvl>
  </w:abstractNum>
  <w:abstractNum w:abstractNumId="118">
    <w:nsid w:val="4B793735"/>
    <w:multiLevelType w:val="hybridMultilevel"/>
    <w:lvl w:ilvl="0">
      <w:lvlJc w:val="left"/>
      <w:lvlText w:val="•"/>
      <w:numFmt w:val="bullet"/>
      <w:start w:val="1"/>
    </w:lvl>
  </w:abstractNum>
  <w:abstractNum w:abstractNumId="119">
    <w:nsid w:val="4A10B4E8"/>
    <w:multiLevelType w:val="hybridMultilevel"/>
    <w:lvl w:ilvl="0">
      <w:lvlJc w:val="left"/>
      <w:lvlText w:val="(%1)"/>
      <w:numFmt w:val="decimal"/>
      <w:start w:val="2"/>
    </w:lvl>
  </w:abstractNum>
  <w:abstractNum w:abstractNumId="120">
    <w:nsid w:val="43D3BCD4"/>
    <w:multiLevelType w:val="hybridMultilevel"/>
    <w:lvl w:ilvl="0">
      <w:lvlJc w:val="left"/>
      <w:lvlText w:val="%1."/>
      <w:numFmt w:val="upperLetter"/>
      <w:start w:val="3"/>
    </w:lvl>
  </w:abstractNum>
  <w:abstractNum w:abstractNumId="121">
    <w:nsid w:val="4C2A7166"/>
    <w:multiLevelType w:val="hybridMultilevel"/>
    <w:lvl w:ilvl="0">
      <w:lvlJc w:val="left"/>
      <w:lvlText w:val="%1."/>
      <w:numFmt w:val="upperLetter"/>
      <w:start w:val="4"/>
    </w:lvl>
  </w:abstractNum>
  <w:abstractNum w:abstractNumId="122">
    <w:nsid w:val="2E534A82"/>
    <w:multiLevelType w:val="hybridMultilevel"/>
    <w:lvl w:ilvl="0">
      <w:lvlJc w:val="left"/>
      <w:lvlText w:val="%1."/>
      <w:numFmt w:val="upperLetter"/>
      <w:start w:val="5"/>
    </w:lvl>
  </w:abstractNum>
  <w:abstractNum w:abstractNumId="123">
    <w:nsid w:val="26F2D364"/>
    <w:multiLevelType w:val="hybridMultilevel"/>
    <w:lvl w:ilvl="0">
      <w:lvlJc w:val="left"/>
      <w:lvlText w:val="•"/>
      <w:numFmt w:val="bullet"/>
      <w:start w:val="1"/>
    </w:lvl>
  </w:abstractNum>
  <w:abstractNum w:abstractNumId="124">
    <w:nsid w:val="71C1AF98"/>
    <w:multiLevelType w:val="hybridMultilevel"/>
    <w:lvl w:ilvl="0">
      <w:lvlJc w:val="left"/>
      <w:lvlText w:val="•"/>
      <w:numFmt w:val="bullet"/>
      <w:start w:val="1"/>
    </w:lvl>
  </w:abstractNum>
  <w:abstractNum w:abstractNumId="125">
    <w:nsid w:val="3D00B9D9"/>
    <w:multiLevelType w:val="hybridMultilevel"/>
    <w:lvl w:ilvl="0">
      <w:lvlJc w:val="left"/>
      <w:lvlText w:val="•"/>
      <w:numFmt w:val="bullet"/>
      <w:start w:val="1"/>
    </w:lvl>
  </w:abstractNum>
  <w:abstractNum w:abstractNumId="126">
    <w:nsid w:val="15BCABA8"/>
    <w:multiLevelType w:val="hybridMultilevel"/>
    <w:lvl w:ilvl="0">
      <w:lvlJc w:val="left"/>
      <w:lvlText w:val="•"/>
      <w:numFmt w:val="bullet"/>
      <w:start w:val="1"/>
    </w:lvl>
  </w:abstractNum>
  <w:abstractNum w:abstractNumId="127">
    <w:nsid w:val="4E0B9A87"/>
    <w:multiLevelType w:val="hybridMultilevel"/>
    <w:lvl w:ilvl="0">
      <w:lvlJc w:val="left"/>
      <w:lvlText w:val="•"/>
      <w:numFmt w:val="bullet"/>
      <w:start w:val="1"/>
    </w:lvl>
  </w:abstractNum>
  <w:abstractNum w:abstractNumId="128">
    <w:nsid w:val="434BAE75"/>
    <w:multiLevelType w:val="hybridMultilevel"/>
    <w:lvl w:ilvl="0">
      <w:lvlJc w:val="left"/>
      <w:lvlText w:val="•"/>
      <w:numFmt w:val="bullet"/>
      <w:start w:val="1"/>
    </w:lvl>
  </w:abstractNum>
  <w:abstractNum w:abstractNumId="129">
    <w:nsid w:val="4F38F265"/>
    <w:multiLevelType w:val="hybridMultilevel"/>
    <w:lvl w:ilvl="0">
      <w:lvlJc w:val="left"/>
      <w:lvlText w:val="%1."/>
      <w:numFmt w:val="upperLetter"/>
      <w:start w:val="6"/>
    </w:lvl>
  </w:abstractNum>
  <w:abstractNum w:abstractNumId="130">
    <w:nsid w:val="4C502870"/>
    <w:multiLevelType w:val="hybridMultilevel"/>
    <w:lvl w:ilvl="0">
      <w:lvlJc w:val="left"/>
      <w:lvlText w:val="%1."/>
      <w:numFmt w:val="upperLetter"/>
      <w:start w:val="7"/>
    </w:lvl>
  </w:abstractNum>
  <w:abstractNum w:abstractNumId="131">
    <w:nsid w:val="1DE8725A"/>
    <w:multiLevelType w:val="hybridMultilevel"/>
    <w:lvl w:ilvl="0">
      <w:lvlJc w:val="left"/>
      <w:lvlText w:val="%1."/>
      <w:numFmt w:val="upperLetter"/>
      <w:start w:val="8"/>
    </w:lvl>
  </w:abstractNum>
  <w:abstractNum w:abstractNumId="132">
    <w:nsid w:val="6A37288A"/>
    <w:multiLevelType w:val="hybridMultilevel"/>
    <w:lvl w:ilvl="0">
      <w:lvlJc w:val="left"/>
      <w:lvlText w:val="%1."/>
      <w:numFmt w:val="upperLetter"/>
      <w:start w:val="9"/>
    </w:lvl>
  </w:abstractNum>
  <w:abstractNum w:abstractNumId="133">
    <w:nsid w:val="8F8B73F"/>
    <w:multiLevelType w:val="hybridMultilevel"/>
    <w:lvl w:ilvl="0">
      <w:lvlJc w:val="left"/>
      <w:lvlText w:val="%1."/>
      <w:numFmt w:val="upperLetter"/>
      <w:start w:val="10"/>
    </w:lvl>
  </w:abstractNum>
  <w:abstractNum w:abstractNumId="134">
    <w:nsid w:val="CA6B462"/>
    <w:multiLevelType w:val="hybridMultilevel"/>
    <w:lvl w:ilvl="0">
      <w:lvlJc w:val="left"/>
      <w:lvlText w:val="%1."/>
      <w:numFmt w:val="upperLetter"/>
      <w:start w:val="1"/>
    </w:lvl>
  </w:abstractNum>
  <w:abstractNum w:abstractNumId="135">
    <w:nsid w:val="763CB680"/>
    <w:multiLevelType w:val="hybridMultilevel"/>
    <w:lvl w:ilvl="0">
      <w:lvlJc w:val="left"/>
      <w:lvlText w:val="%1."/>
      <w:numFmt w:val="upperLetter"/>
      <w:start w:val="2"/>
    </w:lvl>
  </w:abstractNum>
  <w:abstractNum w:abstractNumId="136">
    <w:nsid w:val="15B71329"/>
    <w:multiLevelType w:val="hybridMultilevel"/>
    <w:lvl w:ilvl="0">
      <w:lvlJc w:val="left"/>
      <w:lvlText w:val="%1."/>
      <w:numFmt w:val="upperLetter"/>
      <w:start w:val="3"/>
    </w:lvl>
  </w:abstractNum>
  <w:abstractNum w:abstractNumId="137">
    <w:nsid w:val="3DA97044"/>
    <w:multiLevelType w:val="hybridMultilevel"/>
    <w:lvl w:ilvl="0">
      <w:lvlJc w:val="left"/>
      <w:lvlText w:val="%1."/>
      <w:numFmt w:val="upperLetter"/>
      <w:start w:val="4"/>
    </w:lvl>
  </w:abstractNum>
  <w:abstractNum w:abstractNumId="138">
    <w:nsid w:val="1CDCE2DE"/>
    <w:multiLevelType w:val="hybridMultilevel"/>
    <w:lvl w:ilvl="0">
      <w:lvlJc w:val="left"/>
      <w:lvlText w:val="•"/>
      <w:numFmt w:val="bullet"/>
      <w:start w:val="1"/>
    </w:lvl>
  </w:abstractNum>
  <w:abstractNum w:abstractNumId="139">
    <w:nsid w:val="69D3947C"/>
    <w:multiLevelType w:val="hybridMultilevel"/>
    <w:lvl w:ilvl="0">
      <w:lvlJc w:val="left"/>
      <w:lvlText w:val="•"/>
      <w:numFmt w:val="bullet"/>
      <w:start w:val="1"/>
    </w:lvl>
  </w:abstractNum>
  <w:abstractNum w:abstractNumId="140">
    <w:nsid w:val="2539DFA5"/>
    <w:multiLevelType w:val="hybridMultilevel"/>
    <w:lvl w:ilvl="0">
      <w:lvlJc w:val="left"/>
      <w:lvlText w:val="•"/>
      <w:numFmt w:val="bullet"/>
      <w:start w:val="1"/>
    </w:lvl>
  </w:abstractNum>
  <w:abstractNum w:abstractNumId="141">
    <w:nsid w:val="2DB88089"/>
    <w:multiLevelType w:val="hybridMultilevel"/>
    <w:lvl w:ilvl="0">
      <w:lvlJc w:val="left"/>
      <w:lvlText w:val="•"/>
      <w:numFmt w:val="bullet"/>
      <w:start w:val="1"/>
    </w:lvl>
  </w:abstractNum>
  <w:abstractNum w:abstractNumId="142">
    <w:nsid w:val="706B674E"/>
    <w:multiLevelType w:val="hybridMultilevel"/>
    <w:lvl w:ilvl="0">
      <w:lvlJc w:val="left"/>
      <w:lvlText w:val="•"/>
      <w:numFmt w:val="bullet"/>
      <w:start w:val="1"/>
    </w:lvl>
  </w:abstractNum>
  <w:abstractNum w:abstractNumId="143">
    <w:nsid w:val="2C106A57"/>
    <w:multiLevelType w:val="hybridMultilevel"/>
    <w:lvl w:ilvl="0">
      <w:lvlJc w:val="left"/>
      <w:lvlText w:val="•"/>
      <w:numFmt w:val="bullet"/>
      <w:start w:val="1"/>
    </w:lvl>
  </w:abstractNum>
  <w:abstractNum w:abstractNumId="144">
    <w:nsid w:val="684EED59"/>
    <w:multiLevelType w:val="hybridMultilevel"/>
    <w:lvl w:ilvl="0">
      <w:lvlJc w:val="left"/>
      <w:lvlText w:val="(%1)"/>
      <w:numFmt w:val="decimal"/>
      <w:start w:val="1"/>
    </w:lvl>
  </w:abstractNum>
  <w:abstractNum w:abstractNumId="145">
    <w:nsid w:val="545EE5D3"/>
    <w:multiLevelType w:val="hybridMultilevel"/>
    <w:lvl w:ilvl="0">
      <w:lvlJc w:val="left"/>
      <w:lvlText w:val="(%1)"/>
      <w:numFmt w:val="decimal"/>
      <w:start w:val="1"/>
    </w:lvl>
  </w:abstractNum>
  <w:abstractNum w:abstractNumId="146">
    <w:nsid w:val="4A66051"/>
    <w:multiLevelType w:val="hybridMultilevel"/>
    <w:lvl w:ilvl="0">
      <w:lvlJc w:val="left"/>
      <w:lvlText w:val="•"/>
      <w:numFmt w:val="bullet"/>
      <w:start w:val="1"/>
    </w:lvl>
  </w:abstractNum>
  <w:abstractNum w:abstractNumId="147">
    <w:nsid w:val="20F4BDAD"/>
    <w:multiLevelType w:val="hybridMultilevel"/>
    <w:lvl w:ilvl="0">
      <w:lvlJc w:val="left"/>
      <w:lvlText w:val="•"/>
      <w:numFmt w:val="bullet"/>
      <w:start w:val="1"/>
    </w:lvl>
  </w:abstractNum>
  <w:abstractNum w:abstractNumId="148">
    <w:nsid w:val="639DEFAC"/>
    <w:multiLevelType w:val="hybridMultilevel"/>
    <w:lvl w:ilvl="0">
      <w:lvlJc w:val="left"/>
      <w:lvlText w:val="•"/>
      <w:numFmt w:val="bullet"/>
      <w:start w:val="1"/>
    </w:lvl>
  </w:abstractNum>
  <w:abstractNum w:abstractNumId="149">
    <w:nsid w:val="501F9786"/>
    <w:multiLevelType w:val="hybridMultilevel"/>
    <w:lvl w:ilvl="0">
      <w:lvlJc w:val="left"/>
      <w:lvlText w:val="•"/>
      <w:numFmt w:val="bullet"/>
      <w:start w:val="1"/>
    </w:lvl>
  </w:abstractNum>
  <w:abstractNum w:abstractNumId="150">
    <w:nsid w:val="6B057295"/>
    <w:multiLevelType w:val="hybridMultilevel"/>
    <w:lvl w:ilvl="0">
      <w:lvlJc w:val="left"/>
      <w:lvlText w:val="(%1)"/>
      <w:numFmt w:val="decimal"/>
      <w:start w:val="1"/>
    </w:lvl>
  </w:abstractNum>
  <w:abstractNum w:abstractNumId="151">
    <w:nsid w:val="2771AC80"/>
    <w:multiLevelType w:val="hybridMultilevel"/>
    <w:lvl w:ilvl="0">
      <w:lvlJc w:val="left"/>
      <w:lvlText w:val="(%1)"/>
      <w:numFmt w:val="lowerRoman"/>
      <w:start w:val="1"/>
    </w:lvl>
  </w:abstractNum>
  <w:abstractNum w:abstractNumId="152">
    <w:nsid w:val="1C4A08EC"/>
    <w:multiLevelType w:val="hybridMultilevel"/>
    <w:lvl w:ilvl="0">
      <w:lvlJc w:val="left"/>
      <w:lvlText w:val="(%1)"/>
      <w:numFmt w:val="decimal"/>
      <w:start w:val="2"/>
    </w:lvl>
  </w:abstractNum>
  <w:abstractNum w:abstractNumId="153">
    <w:nsid w:val="1958BD17"/>
    <w:multiLevelType w:val="hybridMultilevel"/>
    <w:lvl w:ilvl="0">
      <w:lvlJc w:val="left"/>
      <w:lvlText w:val="(%1)"/>
      <w:numFmt w:val="decimal"/>
      <w:start w:val="3"/>
    </w:lvl>
  </w:abstractNum>
  <w:abstractNum w:abstractNumId="154">
    <w:nsid w:val="4E647FE4"/>
    <w:multiLevelType w:val="hybridMultilevel"/>
    <w:lvl w:ilvl="0">
      <w:lvlJc w:val="left"/>
      <w:lvlText w:val="(%1)"/>
      <w:numFmt w:val="decimal"/>
      <w:start w:val="1"/>
    </w:lvl>
  </w:abstractNum>
  <w:abstractNum w:abstractNumId="155">
    <w:nsid w:val="E0BB885"/>
    <w:multiLevelType w:val="hybridMultilevel"/>
    <w:lvl w:ilvl="0">
      <w:lvlJc w:val="left"/>
      <w:lvlText w:val="(%1)"/>
      <w:numFmt w:val="decimal"/>
      <w:start w:val="1"/>
    </w:lvl>
  </w:abstractNum>
  <w:abstractNum w:abstractNumId="156">
    <w:nsid w:val="565976F1"/>
    <w:multiLevelType w:val="hybridMultilevel"/>
    <w:lvl w:ilvl="0">
      <w:lvlJc w:val="left"/>
      <w:lvlText w:val="(%1)"/>
      <w:numFmt w:val="decimal"/>
      <w:start w:val="1"/>
    </w:lvl>
  </w:abstractNum>
  <w:abstractNum w:abstractNumId="157">
    <w:nsid w:val="64212B8C"/>
    <w:multiLevelType w:val="hybridMultilevel"/>
    <w:lvl w:ilvl="0">
      <w:lvlJc w:val="left"/>
      <w:lvlText w:val="(%1)"/>
      <w:numFmt w:val="decimal"/>
      <w:start w:val="1"/>
    </w:lvl>
  </w:abstractNum>
  <w:abstractNum w:abstractNumId="158">
    <w:nsid w:val="5C17530C"/>
    <w:multiLevelType w:val="hybridMultilevel"/>
    <w:lvl w:ilvl="0">
      <w:lvlJc w:val="left"/>
      <w:lvlText w:val="•"/>
      <w:numFmt w:val="bullet"/>
      <w:start w:val="1"/>
    </w:lvl>
  </w:abstractNum>
  <w:abstractNum w:abstractNumId="159">
    <w:nsid w:val="19A52566"/>
    <w:multiLevelType w:val="hybridMultilevel"/>
    <w:lvl w:ilvl="0">
      <w:lvlJc w:val="left"/>
      <w:lvlText w:val="*"/>
      <w:numFmt w:val="bullet"/>
      <w:start w:val="1"/>
    </w:lvl>
  </w:abstractNum>
  <w:abstractNum w:abstractNumId="160">
    <w:nsid w:val="335A1DF1"/>
    <w:multiLevelType w:val="hybridMultilevel"/>
    <w:lvl w:ilvl="0">
      <w:lvlJc w:val="left"/>
      <w:lvlText w:val="•"/>
      <w:numFmt w:val="bullet"/>
      <w:start w:val="1"/>
    </w:lvl>
  </w:abstractNum>
  <w:abstractNum w:abstractNumId="161">
    <w:nsid w:val="28677B7C"/>
    <w:multiLevelType w:val="hybridMultilevel"/>
    <w:lvl w:ilvl="0">
      <w:lvlJc w:val="left"/>
      <w:lvlText w:val="•"/>
      <w:numFmt w:val="bullet"/>
      <w:start w:val="1"/>
    </w:lvl>
  </w:abstractNum>
  <w:abstractNum w:abstractNumId="162">
    <w:nsid w:val="378D97C0"/>
    <w:multiLevelType w:val="hybridMultilevel"/>
    <w:lvl w:ilvl="0">
      <w:lvlJc w:val="left"/>
      <w:lvlText w:val="•"/>
      <w:numFmt w:val="bullet"/>
      <w:start w:val="1"/>
    </w:lvl>
  </w:abstractNum>
  <w:abstractNum w:abstractNumId="163">
    <w:nsid w:val="1D91467C"/>
    <w:multiLevelType w:val="hybridMultilevel"/>
    <w:lvl w:ilvl="0">
      <w:lvlJc w:val="left"/>
      <w:lvlText w:val="•"/>
      <w:numFmt w:val="bullet"/>
      <w:start w:val="1"/>
    </w:lvl>
  </w:abstractNum>
  <w:abstractNum w:abstractNumId="164">
    <w:nsid w:val="316032BB"/>
    <w:multiLevelType w:val="hybridMultilevel"/>
    <w:lvl w:ilvl="0">
      <w:lvlJc w:val="left"/>
      <w:lvlText w:val="•"/>
      <w:numFmt w:val="bullet"/>
      <w:start w:val="1"/>
    </w:lvl>
  </w:abstractNum>
  <w:abstractNum w:abstractNumId="165">
    <w:nsid w:val="44344C22"/>
    <w:multiLevelType w:val="hybridMultilevel"/>
    <w:lvl w:ilvl="0">
      <w:lvlJc w:val="left"/>
      <w:lvlText w:val="(%1)"/>
      <w:numFmt w:val="decimal"/>
      <w:start w:val="2"/>
    </w:lvl>
  </w:abstractNum>
  <w:abstractNum w:abstractNumId="166">
    <w:nsid w:val="13CDFCFC"/>
    <w:multiLevelType w:val="hybridMultilevel"/>
    <w:lvl w:ilvl="0">
      <w:lvlJc w:val="left"/>
      <w:lvlText w:val="•"/>
      <w:numFmt w:val="bullet"/>
      <w:start w:val="1"/>
    </w:lvl>
  </w:abstractNum>
  <w:abstractNum w:abstractNumId="167">
    <w:nsid w:val="471745E4"/>
    <w:multiLevelType w:val="hybridMultilevel"/>
    <w:lvl w:ilvl="0">
      <w:lvlJc w:val="left"/>
      <w:lvlText w:val="•"/>
      <w:numFmt w:val="bullet"/>
      <w:start w:val="1"/>
    </w:lvl>
  </w:abstractNum>
  <w:abstractNum w:abstractNumId="168">
    <w:nsid w:val="1DDBC66"/>
    <w:multiLevelType w:val="hybridMultilevel"/>
    <w:lvl w:ilvl="0">
      <w:lvlJc w:val="left"/>
      <w:lvlText w:val="•"/>
      <w:numFmt w:val="bullet"/>
      <w:start w:val="1"/>
    </w:lvl>
  </w:abstractNum>
  <w:abstractNum w:abstractNumId="169">
    <w:nsid w:val="30AADFDA"/>
    <w:multiLevelType w:val="hybridMultilevel"/>
    <w:lvl w:ilvl="0">
      <w:lvlJc w:val="left"/>
      <w:lvlText w:val="•"/>
      <w:numFmt w:val="bullet"/>
      <w:start w:val="1"/>
    </w:lvl>
  </w:abstractNum>
  <w:abstractNum w:abstractNumId="170">
    <w:nsid w:val="30EADA61"/>
    <w:multiLevelType w:val="hybridMultilevel"/>
    <w:lvl w:ilvl="0">
      <w:lvlJc w:val="left"/>
      <w:lvlText w:val="•"/>
      <w:numFmt w:val="bullet"/>
      <w:start w:val="1"/>
    </w:lvl>
  </w:abstractNum>
  <w:abstractNum w:abstractNumId="171">
    <w:nsid w:val="27179C0B"/>
    <w:multiLevelType w:val="hybridMultilevel"/>
    <w:lvl w:ilvl="0">
      <w:lvlJc w:val="left"/>
      <w:lvlText w:val="(%1)"/>
      <w:numFmt w:val="lowerLetter"/>
      <w:start w:val="5"/>
    </w:lvl>
  </w:abstractNum>
  <w:abstractNum w:abstractNumId="172">
    <w:nsid w:val="5E636063"/>
    <w:multiLevelType w:val="hybridMultilevel"/>
    <w:lvl w:ilvl="0">
      <w:lvlJc w:val="left"/>
      <w:lvlText w:val="(%1)"/>
      <w:numFmt w:val="lowerLetter"/>
      <w:start w:val="1"/>
    </w:lvl>
  </w:abstractNum>
  <w:abstractNum w:abstractNumId="173">
    <w:nsid w:val="215641AF"/>
    <w:multiLevelType w:val="hybridMultilevel"/>
    <w:lvl w:ilvl="0">
      <w:lvlJc w:val="left"/>
      <w:lvlText w:val="(%1)"/>
      <w:numFmt w:val="lowerLetter"/>
      <w:start w:val="1"/>
    </w:lvl>
  </w:abstractNum>
  <w:abstractNum w:abstractNumId="174">
    <w:nsid w:val="53280662"/>
    <w:multiLevelType w:val="hybridMultilevel"/>
    <w:lvl w:ilvl="0">
      <w:lvlJc w:val="left"/>
      <w:lvlText w:val="(%1)"/>
      <w:numFmt w:val="lowerLetter"/>
      <w:start w:val="6"/>
    </w:lvl>
  </w:abstractNum>
  <w:abstractNum w:abstractNumId="175">
    <w:nsid w:val="46B24DBC"/>
    <w:multiLevelType w:val="hybridMultilevel"/>
    <w:lvl w:ilvl="0">
      <w:lvlJc w:val="left"/>
      <w:lvlText w:val="(%1)"/>
      <w:numFmt w:val="lowerLetter"/>
      <w:start w:val="1"/>
    </w:lvl>
  </w:abstractNum>
  <w:abstractNum w:abstractNumId="176">
    <w:nsid w:val="75B52783"/>
    <w:multiLevelType w:val="hybridMultilevel"/>
    <w:lvl w:ilvl="0">
      <w:lvlJc w:val="left"/>
      <w:lvlText w:val="(%1)"/>
      <w:numFmt w:val="lowerLetter"/>
      <w:start w:val="3"/>
    </w:lvl>
  </w:abstractNum>
  <w:abstractNum w:abstractNumId="177">
    <w:nsid w:val="57CE66B4"/>
    <w:multiLevelType w:val="hybridMultilevel"/>
    <w:lvl w:ilvl="0">
      <w:lvlJc w:val="left"/>
      <w:lvlText w:val="(%1)"/>
      <w:numFmt w:val="lowerLetter"/>
      <w:start w:val="1"/>
    </w:lvl>
  </w:abstractNum>
  <w:abstractNum w:abstractNumId="178">
    <w:nsid w:val="67A70B69"/>
    <w:multiLevelType w:val="hybridMultilevel"/>
    <w:lvl w:ilvl="0">
      <w:lvlJc w:val="left"/>
      <w:lvlText w:val="(%1)"/>
      <w:numFmt w:val="lowerLetter"/>
      <w:start w:val="1"/>
    </w:lvl>
  </w:abstractNum>
  <w:abstractNum w:abstractNumId="179">
    <w:nsid w:val="5953172F"/>
    <w:multiLevelType w:val="hybridMultilevel"/>
    <w:lvl w:ilvl="0">
      <w:lvlJc w:val="left"/>
      <w:lvlText w:val="(%1)"/>
      <w:numFmt w:val="lowerLetter"/>
      <w:start w:val="2"/>
    </w:lvl>
  </w:abstractNum>
  <w:abstractNum w:abstractNumId="180">
    <w:nsid w:val="27EDFE3A"/>
    <w:multiLevelType w:val="hybridMultilevel"/>
    <w:lvl w:ilvl="0">
      <w:lvlJc w:val="left"/>
      <w:lvlText w:val="(%1)"/>
      <w:numFmt w:val="lowerLetter"/>
      <w:start w:val="1"/>
    </w:lvl>
  </w:abstractNum>
  <w:abstractNum w:abstractNumId="181">
    <w:nsid w:val="52AC7DFF"/>
    <w:multiLevelType w:val="hybridMultilevel"/>
    <w:lvl w:ilvl="0">
      <w:lvlJc w:val="left"/>
      <w:lvlText w:val="(%1)"/>
      <w:numFmt w:val="lowerLetter"/>
      <w:start w:val="4"/>
    </w:lvl>
    <w:lvl w:ilvl="1">
      <w:lvlJc w:val="left"/>
      <w:lvlText w:val="(%2)"/>
      <w:numFmt w:val="lowerRoman"/>
      <w:start w:val="1"/>
    </w:lvl>
  </w:abstractNum>
  <w:abstractNum w:abstractNumId="182">
    <w:nsid w:val="C4C3AF"/>
    <w:multiLevelType w:val="hybridMultilevel"/>
    <w:lvl w:ilvl="0">
      <w:lvlJc w:val="left"/>
      <w:lvlText w:val="[***]"/>
      <w:numFmt w:val="bullet"/>
      <w:start w:val="1"/>
    </w:lvl>
    <w:lvl w:ilvl="1">
      <w:lvlJc w:val="left"/>
      <w:lvlText w:val="(%2)"/>
      <w:numFmt w:val="lowerLetter"/>
      <w:start w:val="1"/>
    </w:lvl>
  </w:abstractNum>
  <w:abstractNum w:abstractNumId="183">
    <w:nsid w:val="44380727"/>
    <w:multiLevelType w:val="hybridMultilevel"/>
    <w:lvl w:ilvl="0">
      <w:lvlJc w:val="left"/>
      <w:lvlText w:val="[***]"/>
      <w:numFmt w:val="bullet"/>
      <w:start w:val="1"/>
    </w:lvl>
    <w:lvl w:ilvl="1">
      <w:lvlJc w:val="left"/>
      <w:lvlText w:val="(%2)"/>
      <w:numFmt w:val="lowerLetter"/>
      <w:start w:val="3"/>
    </w:lvl>
  </w:abstractNum>
  <w:abstractNum w:abstractNumId="184">
    <w:nsid w:val="6C053B16"/>
    <w:multiLevelType w:val="hybridMultilevel"/>
    <w:lvl w:ilvl="0">
      <w:lvlJc w:val="left"/>
      <w:lvlText w:val="(%1)"/>
      <w:numFmt w:val="lowerLetter"/>
      <w:start w:val="4"/>
    </w:lvl>
  </w:abstractNum>
  <w:abstractNum w:abstractNumId="185">
    <w:nsid w:val="4F294393"/>
    <w:multiLevelType w:val="hybridMultilevel"/>
    <w:lvl w:ilvl="0">
      <w:lvlJc w:val="left"/>
      <w:lvlText w:val="(%1)"/>
      <w:numFmt w:val="lowerLetter"/>
      <w:start w:val="1"/>
    </w:lvl>
  </w:abstractNum>
  <w:abstractNum w:abstractNumId="186">
    <w:nsid w:val="5243BFAC"/>
    <w:multiLevelType w:val="hybridMultilevel"/>
    <w:lvl w:ilvl="0">
      <w:lvlJc w:val="left"/>
      <w:lvlText w:val="(%1)"/>
      <w:numFmt w:val="lowerLetter"/>
      <w:start w:val="3"/>
    </w:lvl>
  </w:abstractNum>
  <w:abstractNum w:abstractNumId="187">
    <w:nsid w:val="425EB207"/>
    <w:multiLevelType w:val="hybridMultilevel"/>
    <w:lvl w:ilvl="0">
      <w:lvlJc w:val="left"/>
      <w:lvlText w:val="(%1)"/>
      <w:numFmt w:val="lowerLetter"/>
      <w:start w:val="1"/>
    </w:lvl>
    <w:lvl w:ilvl="1">
      <w:lvlJc w:val="left"/>
      <w:lvlText w:val="(%2)"/>
      <w:numFmt w:val="lowerLetter"/>
      <w:start w:val="2"/>
    </w:lvl>
  </w:abstractNum>
  <w:abstractNum w:abstractNumId="188">
    <w:nsid w:val="334A6F1F"/>
    <w:multiLevelType w:val="hybridMultilevel"/>
    <w:lvl w:ilvl="0">
      <w:lvlJc w:val="left"/>
      <w:lvlText w:val="(%1)"/>
      <w:numFmt w:val="lowerLetter"/>
      <w:start w:val="1"/>
    </w:lvl>
  </w:abstractNum>
  <w:abstractNum w:abstractNumId="189">
    <w:nsid w:val="2E5B12B8"/>
    <w:multiLevelType w:val="hybridMultilevel"/>
    <w:lvl w:ilvl="0">
      <w:lvlJc w:val="left"/>
      <w:lvlText w:val="(%1)"/>
      <w:numFmt w:val="lowerLetter"/>
      <w:start w:val="1"/>
    </w:lvl>
  </w:abstractNum>
  <w:abstractNum w:abstractNumId="190">
    <w:nsid w:val="5C03D76D"/>
    <w:multiLevelType w:val="hybridMultilevel"/>
    <w:lvl w:ilvl="0">
      <w:lvlJc w:val="left"/>
      <w:lvlText w:val="(%1)"/>
      <w:numFmt w:val="lowerLetter"/>
      <w:start w:val="1"/>
    </w:lvl>
  </w:abstractNum>
  <w:abstractNum w:abstractNumId="191">
    <w:nsid w:val="66A48D11"/>
    <w:multiLevelType w:val="hybridMultilevel"/>
    <w:lvl w:ilvl="0">
      <w:lvlJc w:val="left"/>
      <w:lvlText w:val="(%1)"/>
      <w:numFmt w:val="lowerLetter"/>
      <w:start w:val="1"/>
    </w:lvl>
    <w:lvl w:ilvl="1">
      <w:lvlJc w:val="left"/>
      <w:lvlText w:val="(%2)"/>
      <w:numFmt w:val="lowerLetter"/>
      <w:start w:val="9"/>
    </w:lvl>
  </w:abstractNum>
  <w:abstractNum w:abstractNumId="192">
    <w:nsid w:val="56C28E34"/>
    <w:multiLevelType w:val="hybridMultilevel"/>
    <w:lvl w:ilvl="0">
      <w:lvlJc w:val="left"/>
      <w:lvlText w:val="(%1)"/>
      <w:numFmt w:val="lowerRoman"/>
      <w:start w:val="3"/>
    </w:lvl>
  </w:abstractNum>
  <w:abstractNum w:abstractNumId="193">
    <w:nsid w:val="13916F2D"/>
    <w:multiLevelType w:val="hybridMultilevel"/>
    <w:lvl w:ilvl="0">
      <w:lvlJc w:val="left"/>
      <w:lvlText w:val="(%1)"/>
      <w:numFmt w:val="lowerLetter"/>
      <w:start w:val="1"/>
    </w:lvl>
  </w:abstractNum>
  <w:abstractNum w:abstractNumId="194">
    <w:nsid w:val="435D38D"/>
    <w:multiLevelType w:val="hybridMultilevel"/>
    <w:lvl w:ilvl="0">
      <w:lvlJc w:val="left"/>
      <w:lvlText w:val="(%1)"/>
      <w:numFmt w:val="lowerLetter"/>
      <w:start w:val="1"/>
    </w:lvl>
  </w:abstractNum>
  <w:abstractNum w:abstractNumId="195">
    <w:nsid w:val="822C0EF"/>
    <w:multiLevelType w:val="hybridMultilevel"/>
    <w:lvl w:ilvl="0">
      <w:lvlJc w:val="left"/>
      <w:lvlText w:val="(%1)"/>
      <w:numFmt w:val="upperLetter"/>
      <w:start w:val="1"/>
    </w:lvl>
  </w:abstractNum>
  <w:abstractNum w:abstractNumId="196">
    <w:nsid w:val="57C5BB4F"/>
    <w:multiLevelType w:val="hybridMultilevel"/>
    <w:lvl w:ilvl="0">
      <w:lvlJc w:val="left"/>
      <w:lvlText w:val="(%1)"/>
      <w:numFmt w:val="upperLetter"/>
      <w:start w:val="2"/>
    </w:lvl>
  </w:abstractNum>
  <w:abstractNum w:abstractNumId="197">
    <w:nsid w:val="1803D089"/>
    <w:multiLevelType w:val="hybridMultilevel"/>
    <w:lvl w:ilvl="0">
      <w:lvlJc w:val="left"/>
      <w:lvlText w:val="(%1)"/>
      <w:numFmt w:val="lowerLetter"/>
      <w:start w:val="3"/>
    </w:lvl>
  </w:abstractNum>
  <w:abstractNum w:abstractNumId="198">
    <w:nsid w:val="4F3A06D4"/>
    <w:multiLevelType w:val="hybridMultilevel"/>
    <w:lvl w:ilvl="0">
      <w:lvlJc w:val="left"/>
      <w:lvlText w:val="(%1)"/>
      <w:numFmt w:val="decimal"/>
      <w:start w:val="1"/>
    </w:lvl>
  </w:abstractNum>
  <w:abstractNum w:abstractNumId="199">
    <w:nsid w:val="59A377B6"/>
    <w:multiLevelType w:val="hybridMultilevel"/>
    <w:lvl w:ilvl="0">
      <w:lvlJc w:val="left"/>
      <w:lvlText w:val="(%1)"/>
      <w:numFmt w:val="decimal"/>
      <w:start w:val="11"/>
    </w:lvl>
  </w:abstractNum>
  <w:abstractNum w:abstractNumId="200">
    <w:nsid w:val="48AEB063"/>
    <w:multiLevelType w:val="hybridMultilevel"/>
    <w:lvl w:ilvl="0">
      <w:lvlJc w:val="left"/>
      <w:lvlText w:val="(%1)"/>
      <w:numFmt w:val="decimal"/>
      <w:start w:val="31"/>
    </w:lvl>
  </w:abstractNum>
  <w:abstractNum w:abstractNumId="201">
    <w:nsid w:val="24E135"/>
    <w:multiLevelType w:val="hybridMultilevel"/>
    <w:lvl w:ilvl="0">
      <w:lvlJc w:val="left"/>
      <w:lvlText w:val="(%1)"/>
      <w:numFmt w:val="decimal"/>
      <w:start w:val="40"/>
    </w:lvl>
  </w:abstractNum>
  <w:abstractNum w:abstractNumId="202">
    <w:nsid w:val="BB13C1"/>
    <w:multiLevelType w:val="hybridMultilevel"/>
    <w:lvl w:ilvl="0">
      <w:lvlJc w:val="left"/>
      <w:lvlText w:val="(%1)"/>
      <w:numFmt w:val="decimal"/>
      <w:start w:val="50"/>
    </w:lvl>
  </w:abstractNum>
  <w:abstractNum w:abstractNumId="203">
    <w:nsid w:val="271210C7"/>
    <w:multiLevelType w:val="hybridMultilevel"/>
    <w:lvl w:ilvl="0">
      <w:lvlJc w:val="left"/>
      <w:lvlText w:val="(%1)"/>
      <w:numFmt w:val="decimal"/>
      <w:start w:val="1"/>
    </w:lvl>
    <w:lvl w:ilvl="1">
      <w:lvlJc w:val="left"/>
      <w:lvlText w:val="(%2)"/>
      <w:numFmt w:val="lowerRoman"/>
      <w:start w:val="1"/>
    </w:lvl>
  </w:abstractNum>
  <w:abstractNum w:abstractNumId="204">
    <w:nsid w:val="217B22E4"/>
    <w:multiLevelType w:val="hybridMultilevel"/>
    <w:lvl w:ilvl="0">
      <w:lvlJc w:val="left"/>
      <w:lvlText w:val="(%1)"/>
      <w:numFmt w:val="decimal"/>
      <w:start w:val="4"/>
    </w:lvl>
    <w:lvl w:ilvl="1">
      <w:lvlJc w:val="left"/>
      <w:lvlText w:val="[***]"/>
      <w:numFmt w:val="bullet"/>
      <w:start w:val="1"/>
    </w:lvl>
  </w:abstractNum>
  <w:abstractNum w:abstractNumId="205">
    <w:nsid w:val="53E31A24"/>
    <w:multiLevelType w:val="hybridMultilevel"/>
    <w:lvl w:ilvl="0">
      <w:lvlJc w:val="left"/>
      <w:lvlText w:val="(%1)"/>
      <w:numFmt w:val="decimal"/>
      <w:start w:val="1"/>
    </w:lvl>
  </w:abstractNum>
  <w:abstractNum w:abstractNumId="206">
    <w:nsid w:val="6DC45E83"/>
    <w:multiLevelType w:val="hybridMultilevel"/>
    <w:lvl w:ilvl="0">
      <w:lvlJc w:val="left"/>
      <w:lvlText w:val="(%1)"/>
      <w:numFmt w:val="decimal"/>
      <w:start w:val="4"/>
    </w:lvl>
  </w:abstractNum>
  <w:abstractNum w:abstractNumId="207">
    <w:nsid w:val="17304A67"/>
    <w:multiLevelType w:val="hybridMultilevel"/>
    <w:lvl w:ilvl="0">
      <w:lvlJc w:val="left"/>
      <w:lvlText w:val="(%1)"/>
      <w:numFmt w:val="decimal"/>
      <w:start w:val="1"/>
    </w:lvl>
    <w:lvl w:ilvl="1">
      <w:lvlJc w:val="left"/>
      <w:lvlText w:val="(%2)"/>
      <w:numFmt w:val="decimal"/>
      <w:start w:val="2"/>
    </w:lvl>
  </w:abstractNum>
  <w:abstractNum w:abstractNumId="208">
    <w:nsid w:val="2BB180D8"/>
    <w:multiLevelType w:val="hybridMultilevel"/>
    <w:lvl w:ilvl="0">
      <w:lvlJc w:val="left"/>
      <w:lvlText w:val="(%1)"/>
      <w:numFmt w:val="decimal"/>
      <w:start w:val="1"/>
    </w:lvl>
  </w:abstractNum>
  <w:abstractNum w:abstractNumId="209">
    <w:nsid w:val="556B69ED"/>
    <w:multiLevelType w:val="hybridMultilevel"/>
    <w:lvl w:ilvl="0">
      <w:lvlJc w:val="left"/>
      <w:lvlText w:val="(%1)"/>
      <w:numFmt w:val="decimal"/>
      <w:start w:val="4"/>
    </w:lvl>
  </w:abstractNum>
  <w:abstractNum w:abstractNumId="210">
    <w:nsid w:val="708361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1">
    <w:nsid w:val="539F7F12"/>
    <w:multiLevelType w:val="hybridMultilevel"/>
    <w:lvl w:ilvl="0">
      <w:lvlJc w:val="left"/>
      <w:lvlText w:val="%1)"/>
      <w:numFmt w:val="lowerLetter"/>
      <w:start w:val="27"/>
    </w:lvl>
  </w:abstractNum>
  <w:abstractNum w:abstractNumId="212">
    <w:nsid w:val="2817E7EC"/>
    <w:multiLevelType w:val="hybridMultilevel"/>
    <w:lvl w:ilvl="0">
      <w:lvlJc w:val="left"/>
      <w:lvlText w:val="%1)"/>
      <w:numFmt w:val="lowerLetter"/>
      <w:start w:val="2"/>
    </w:lvl>
    <w:lvl w:ilvl="1">
      <w:lvlJc w:val="left"/>
      <w:lvlText w:val="%2)"/>
      <w:numFmt w:val="lowerLetter"/>
      <w:start w:val="27"/>
    </w:lvl>
  </w:abstractNum>
  <w:abstractNum w:abstractNumId="213">
    <w:nsid w:val="71482545"/>
    <w:multiLevelType w:val="hybridMultilevel"/>
    <w:lvl w:ilvl="0">
      <w:lvlJc w:val="left"/>
      <w:lvlText w:val="(%1)"/>
      <w:numFmt w:val="decimal"/>
      <w:start w:val="1"/>
    </w:lvl>
    <w:lvl w:ilvl="1">
      <w:lvlJc w:val="left"/>
      <w:lvlText w:val="%2)"/>
      <w:numFmt w:val="lowerLetter"/>
      <w:start w:val="1"/>
    </w:lvl>
  </w:abstractNum>
  <w:abstractNum w:abstractNumId="214">
    <w:nsid w:val="17D78639"/>
    <w:multiLevelType w:val="hybridMultilevel"/>
    <w:lvl w:ilvl="0">
      <w:lvlJc w:val="left"/>
      <w:lvlText w:val="(%1)"/>
      <w:numFmt w:val="decimal"/>
      <w:start w:val="3"/>
    </w:lvl>
  </w:abstractNum>
  <w:abstractNum w:abstractNumId="215">
    <w:nsid w:val="141D2302"/>
    <w:multiLevelType w:val="hybridMultilevel"/>
    <w:lvl w:ilvl="0">
      <w:lvlJc w:val="left"/>
      <w:lvlText w:val="(%1)"/>
      <w:numFmt w:val="decimal"/>
      <w:start w:val="1"/>
    </w:lvl>
    <w:lvl w:ilvl="1">
      <w:lvlJc w:val="left"/>
      <w:lvlText w:val="(%2)"/>
      <w:numFmt w:val="lowerRoman"/>
      <w:start w:val="1"/>
    </w:lvl>
  </w:abstractNum>
  <w:abstractNum w:abstractNumId="216">
    <w:nsid w:val="407168D8"/>
    <w:multiLevelType w:val="hybridMultilevel"/>
    <w:lvl w:ilvl="0">
      <w:lvlJc w:val="left"/>
      <w:lvlText w:val="(%1)"/>
      <w:numFmt w:val="decimal"/>
      <w:start w:val="6"/>
    </w:lvl>
  </w:abstractNum>
  <w:abstractNum w:abstractNumId="217">
    <w:nsid w:val="6A1B45E5"/>
    <w:multiLevelType w:val="hybridMultilevel"/>
    <w:lvl w:ilvl="0">
      <w:lvlJc w:val="left"/>
      <w:lvlText w:val="(%1)"/>
      <w:numFmt w:val="decimal"/>
      <w:start w:val="1"/>
    </w:lvl>
  </w:abstractNum>
  <w:abstractNum w:abstractNumId="218">
    <w:nsid w:val="567BD50A"/>
    <w:multiLevelType w:val="hybridMultilevel"/>
    <w:lvl w:ilvl="0">
      <w:lvlJc w:val="left"/>
      <w:lvlText w:val="(%1)"/>
      <w:numFmt w:val="decimal"/>
      <w:start w:val="3"/>
    </w:lvl>
    <w:lvl w:ilvl="1">
      <w:lvlJc w:val="left"/>
      <w:lvlText w:val="[***]"/>
      <w:numFmt w:val="bullet"/>
      <w:start w:val="1"/>
    </w:lvl>
  </w:abstractNum>
  <w:abstractNum w:abstractNumId="219">
    <w:nsid w:val="73BBD7F8"/>
    <w:multiLevelType w:val="hybridMultilevel"/>
    <w:lvl w:ilvl="0">
      <w:lvlJc w:val="left"/>
      <w:lvlText w:val="(%1)"/>
      <w:numFmt w:val="decimal"/>
      <w:start w:val="9"/>
    </w:lvl>
  </w:abstractNum>
  <w:abstractNum w:abstractNumId="220">
    <w:nsid w:val="1876589D"/>
    <w:multiLevelType w:val="hybridMultilevel"/>
    <w:lvl w:ilvl="0">
      <w:lvlJc w:val="left"/>
      <w:lvlText w:val="(%1)"/>
      <w:numFmt w:val="decimal"/>
      <w:start w:val="1"/>
    </w:lvl>
  </w:abstractNum>
  <w:abstractNum w:abstractNumId="221">
    <w:nsid w:val="327FAC77"/>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2"/>
    </w:lvl>
  </w:abstractNum>
  <w:abstractNum w:abstractNumId="222">
    <w:nsid w:val="5A606509"/>
    <w:multiLevelType w:val="hybridMultilevel"/>
    <w:lvl w:ilvl="0">
      <w:lvlJc w:val="left"/>
      <w:lvlText w:val="(%1)"/>
      <w:numFmt w:val="decimal"/>
      <w:start w:val="5"/>
    </w:lvl>
    <w:lvl w:ilvl="1">
      <w:lvlJc w:val="left"/>
      <w:lvlText w:val="(%2)"/>
      <w:numFmt w:val="lowerRoman"/>
      <w:start w:val="1"/>
    </w:lvl>
  </w:abstractNum>
  <w:abstractNum w:abstractNumId="223">
    <w:nsid w:val="6F38E6D1"/>
    <w:multiLevelType w:val="hybridMultilevel"/>
    <w:lvl w:ilvl="0">
      <w:lvlJc w:val="left"/>
      <w:lvlText w:val="(%1)"/>
      <w:numFmt w:val="lowerRoman"/>
      <w:start w:val="1"/>
    </w:lvl>
  </w:abstractNum>
  <w:abstractNum w:abstractNumId="224">
    <w:nsid w:val="46111BA5"/>
    <w:multiLevelType w:val="hybridMultilevel"/>
    <w:lvl w:ilvl="0">
      <w:lvlJc w:val="left"/>
      <w:lvlText w:val="(%1)"/>
      <w:numFmt w:val="lowerRoman"/>
      <w:start w:val="1"/>
    </w:lvl>
  </w:abstractNum>
  <w:abstractNum w:abstractNumId="225">
    <w:nsid w:val="5E963896"/>
    <w:multiLevelType w:val="hybridMultilevel"/>
    <w:lvl w:ilvl="0">
      <w:lvlJc w:val="left"/>
      <w:lvlText w:val="(%1)"/>
      <w:numFmt w:val="decimal"/>
      <w:start w:val="7"/>
    </w:lvl>
  </w:abstractNum>
  <w:abstractNum w:abstractNumId="226">
    <w:nsid w:val="775BA7C1"/>
    <w:multiLevelType w:val="hybridMultilevel"/>
    <w:lvl w:ilvl="0">
      <w:lvlJc w:val="left"/>
      <w:lvlText w:val="(%1)"/>
      <w:numFmt w:val="decimal"/>
      <w:start w:val="1"/>
    </w:lvl>
    <w:lvl w:ilvl="1">
      <w:lvlJc w:val="left"/>
      <w:lvlText w:val="%2)"/>
      <w:numFmt w:val="lowerLetter"/>
      <w:start w:val="1"/>
    </w:lvl>
  </w:abstractNum>
  <w:abstractNum w:abstractNumId="227">
    <w:nsid w:val="1DD6D6F4"/>
    <w:multiLevelType w:val="hybridMultilevel"/>
    <w:lvl w:ilvl="0">
      <w:lvlJc w:val="left"/>
      <w:lvlText w:val="%1)"/>
      <w:numFmt w:val="lowerLetter"/>
      <w:start w:val="2"/>
    </w:lvl>
  </w:abstractNum>
  <w:abstractNum w:abstractNumId="228">
    <w:nsid w:val="769A091F"/>
    <w:multiLevelType w:val="hybridMultilevel"/>
    <w:lvl w:ilvl="0">
      <w:lvlJc w:val="left"/>
      <w:lvlText w:val="(%1)"/>
      <w:numFmt w:val="decimal"/>
      <w:start w:val="2"/>
    </w:lvl>
  </w:abstractNum>
  <w:abstractNum w:abstractNumId="229">
    <w:nsid w:val="4695AE95"/>
    <w:multiLevelType w:val="hybridMultilevel"/>
    <w:lvl w:ilvl="0">
      <w:lvlJc w:val="left"/>
      <w:lvlText w:val="(%1)"/>
      <w:numFmt w:val="decimal"/>
      <w:start w:val="5"/>
    </w:lvl>
    <w:lvl w:ilvl="1">
      <w:lvlJc w:val="left"/>
      <w:lvlText w:val="%2)"/>
      <w:numFmt w:val="lowerLetter"/>
      <w:start w:val="1"/>
    </w:lvl>
  </w:abstractNum>
  <w:abstractNum w:abstractNumId="230">
    <w:nsid w:val="777A4EAA"/>
    <w:multiLevelType w:val="hybridMultilevel"/>
    <w:lvl w:ilvl="0">
      <w:lvlJc w:val="left"/>
      <w:lvlText w:val="%1)"/>
      <w:numFmt w:val="lowerLetter"/>
      <w:start w:val="2"/>
    </w:lvl>
  </w:abstractNum>
  <w:abstractNum w:abstractNumId="231">
    <w:nsid w:val="3F48B982"/>
    <w:multiLevelType w:val="hybridMultilevel"/>
    <w:lvl w:ilvl="0">
      <w:lvlJc w:val="left"/>
      <w:lvlText w:val="(%1)"/>
      <w:numFmt w:val="decimal"/>
      <w:start w:val="6"/>
    </w:lvl>
  </w:abstractNum>
  <w:abstractNum w:abstractNumId="232">
    <w:nsid w:val="46BA8FCA"/>
    <w:multiLevelType w:val="hybridMultilevel"/>
    <w:lvl w:ilvl="0">
      <w:lvlJc w:val="left"/>
      <w:lvlText w:val="(%1)"/>
      <w:numFmt w:val="decimal"/>
      <w:start w:val="1"/>
    </w:lvl>
  </w:abstractNum>
  <w:abstractNum w:abstractNumId="233">
    <w:nsid w:val="7835626C"/>
    <w:multiLevelType w:val="hybridMultilevel"/>
    <w:lvl w:ilvl="0">
      <w:lvlJc w:val="left"/>
      <w:lvlText w:val="(%1)"/>
      <w:numFmt w:val="decimal"/>
      <w:start w:val="4"/>
    </w:lvl>
  </w:abstractNum>
  <w:abstractNum w:abstractNumId="234">
    <w:nsid w:val="665ACA49"/>
    <w:multiLevelType w:val="hybridMultilevel"/>
    <w:lvl w:ilvl="0">
      <w:lvlJc w:val="left"/>
      <w:lvlText w:val="(%1)"/>
      <w:numFmt w:val="decimal"/>
      <w:start w:val="1"/>
    </w:lvl>
    <w:lvl w:ilvl="1">
      <w:lvlJc w:val="left"/>
      <w:lvlText w:val="(%2)"/>
      <w:numFmt w:val="lowerRoman"/>
      <w:start w:val="1"/>
    </w:lvl>
  </w:abstractNum>
  <w:abstractNum w:abstractNumId="235">
    <w:nsid w:val="6835B2A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36">
    <w:nsid w:val="4C187C90"/>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237">
    <w:nsid w:val="541F28CD"/>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238">
    <w:nsid w:val="7F65FD16"/>
    <w:multiLevelType w:val="hybridMultilevel"/>
    <w:lvl w:ilvl="0">
      <w:lvlJc w:val="left"/>
      <w:lvlText w:val="(%1)"/>
      <w:numFmt w:val="decimal"/>
      <w:start w:val="1"/>
    </w:lvl>
  </w:abstractNum>
  <w:abstractNum w:abstractNumId="239">
    <w:nsid w:val="77C9FD6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240">
    <w:nsid w:val="298A92BA"/>
    <w:multiLevelType w:val="hybridMultilevel"/>
    <w:lvl w:ilvl="0">
      <w:lvlJc w:val="left"/>
      <w:lvlText w:val="(%1)"/>
      <w:numFmt w:val="decimal"/>
      <w:start w:val="1"/>
    </w:lvl>
  </w:abstractNum>
  <w:abstractNum w:abstractNumId="241">
    <w:nsid w:val="6FE95EA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42">
    <w:nsid w:val="4B697C7A"/>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243">
    <w:nsid w:val="51A27AA6"/>
    <w:multiLevelType w:val="hybridMultilevel"/>
    <w:lvl w:ilvl="0">
      <w:lvlJc w:val="left"/>
      <w:lvlText w:val="(%1)"/>
      <w:numFmt w:val="decimal"/>
      <w:start w:val="1"/>
    </w:lvl>
  </w:abstractNum>
  <w:abstractNum w:abstractNumId="244">
    <w:nsid w:val="613183F2"/>
    <w:multiLevelType w:val="hybridMultilevel"/>
    <w:lvl w:ilvl="0">
      <w:lvlJc w:val="left"/>
      <w:lvlText w:val="(%1)"/>
      <w:numFmt w:val="decimal"/>
      <w:start w:val="6"/>
    </w:lvl>
    <w:lvl w:ilvl="1">
      <w:lvlJc w:val="left"/>
      <w:lvlText w:val="%2)"/>
      <w:numFmt w:val="lowerLetter"/>
      <w:start w:val="1"/>
    </w:lvl>
  </w:abstractNum>
  <w:abstractNum w:abstractNumId="245">
    <w:nsid w:val="634102B4"/>
    <w:multiLevelType w:val="hybridMultilevel"/>
    <w:lvl w:ilvl="0">
      <w:lvlJc w:val="left"/>
      <w:lvlText w:val="(%1)"/>
      <w:numFmt w:val="decimal"/>
      <w:start w:val="9"/>
    </w:lvl>
  </w:abstractNum>
  <w:abstractNum w:abstractNumId="246">
    <w:nsid w:val="65BF9DA8"/>
    <w:multiLevelType w:val="hybridMultilevel"/>
    <w:lvl w:ilvl="0">
      <w:lvlJc w:val="left"/>
      <w:lvlText w:val="•"/>
      <w:numFmt w:val="bullet"/>
      <w:start w:val="1"/>
    </w:lvl>
  </w:abstractNum>
  <w:abstractNum w:abstractNumId="247">
    <w:nsid w:val="21A2ECCA"/>
    <w:multiLevelType w:val="hybridMultilevel"/>
    <w:lvl w:ilvl="0">
      <w:lvlJc w:val="left"/>
      <w:lvlText w:val="•"/>
      <w:numFmt w:val="bullet"/>
      <w:start w:val="1"/>
    </w:lvl>
  </w:abstractNum>
  <w:abstractNum w:abstractNumId="248">
    <w:nsid w:val="4D5C4899"/>
    <w:multiLevelType w:val="hybridMultilevel"/>
    <w:lvl w:ilvl="0">
      <w:lvlJc w:val="left"/>
      <w:lvlText w:val="(%1)"/>
      <w:numFmt w:val="decimal"/>
      <w:start w:val="4"/>
    </w:lvl>
  </w:abstractNum>
  <w:abstractNum w:abstractNumId="249">
    <w:nsid w:val="3C3B72B2"/>
    <w:multiLevelType w:val="hybridMultilevel"/>
    <w:lvl w:ilvl="0">
      <w:lvlJc w:val="left"/>
      <w:lvlText w:val="5"/>
      <w:numFmt w:val="bullet"/>
      <w:start w:val="1"/>
    </w:lvl>
  </w:abstractNum>
  <w:abstractNum w:abstractNumId="250">
    <w:nsid w:val="155EC4C2"/>
    <w:multiLevelType w:val="hybridMultilevel"/>
    <w:lvl w:ilvl="0">
      <w:lvlJc w:val="left"/>
      <w:lvlText w:val="(%1)"/>
      <w:numFmt w:val="decimal"/>
      <w:start w:val="1"/>
    </w:lvl>
  </w:abstractNum>
  <w:abstractNum w:abstractNumId="251">
    <w:nsid w:val="65D2A137"/>
    <w:multiLevelType w:val="hybridMultilevel"/>
    <w:lvl w:ilvl="0">
      <w:lvlJc w:val="left"/>
      <w:lvlText w:val="•"/>
      <w:numFmt w:val="bullet"/>
      <w:start w:val="1"/>
    </w:lvl>
  </w:abstractNum>
  <w:abstractNum w:abstractNumId="252">
    <w:nsid w:val="6EBB1F2A"/>
    <w:multiLevelType w:val="hybridMultilevel"/>
    <w:lvl w:ilvl="0">
      <w:lvlJc w:val="left"/>
      <w:lvlText w:val="(%1)"/>
      <w:numFmt w:val="lowerRoman"/>
      <w:start w:val="1"/>
    </w:lvl>
  </w:abstractNum>
  <w:abstractNum w:abstractNumId="253">
    <w:nsid w:val="6FBF29CB"/>
    <w:multiLevelType w:val="hybridMultilevel"/>
    <w:lvl w:ilvl="0">
      <w:lvlJc w:val="left"/>
      <w:lvlText w:val="(%1)"/>
      <w:numFmt w:val="decimal"/>
      <w:start w:val="3"/>
    </w:lvl>
  </w:abstractNum>
  <w:abstractNum w:abstractNumId="254">
    <w:nsid w:val="550B8808"/>
    <w:multiLevelType w:val="hybridMultilevel"/>
    <w:lvl w:ilvl="0">
      <w:lvlJc w:val="left"/>
      <w:lvlText w:val="•"/>
      <w:numFmt w:val="bullet"/>
      <w:start w:val="1"/>
    </w:lvl>
  </w:abstractNum>
  <w:abstractNum w:abstractNumId="255">
    <w:nsid w:val="34CC3ACF"/>
    <w:multiLevelType w:val="hybridMultilevel"/>
    <w:lvl w:ilvl="0">
      <w:lvlJc w:val="left"/>
      <w:lvlText w:val="(%1)"/>
      <w:numFmt w:val="decimal"/>
      <w:start w:val="1"/>
    </w:lvl>
  </w:abstractNum>
  <w:abstractNum w:abstractNumId="256">
    <w:nsid w:val="4E556261"/>
    <w:multiLevelType w:val="hybridMultilevel"/>
    <w:lvl w:ilvl="0">
      <w:lvlJc w:val="left"/>
      <w:lvlText w:val="(%1)"/>
      <w:numFmt w:val="decimal"/>
      <w:start w:val="1"/>
    </w:lvl>
  </w:abstractNum>
  <w:abstractNum w:abstractNumId="257">
    <w:nsid w:val="4C672FC9"/>
    <w:multiLevelType w:val="hybridMultilevel"/>
    <w:lvl w:ilvl="0">
      <w:lvlJc w:val="left"/>
      <w:lvlText w:val="(%1)"/>
      <w:numFmt w:val="decimal"/>
      <w:start w:val="3"/>
    </w:lvl>
  </w:abstractNum>
  <w:abstractNum w:abstractNumId="258">
    <w:nsid w:val="52A311C3"/>
    <w:multiLevelType w:val="hybridMultilevel"/>
    <w:lvl w:ilvl="0">
      <w:lvlJc w:val="left"/>
      <w:lvlText w:val="1"/>
      <w:numFmt w:val="bullet"/>
      <w:start w:val="1"/>
    </w:lvl>
  </w:abstractNum>
  <w:abstractNum w:abstractNumId="259">
    <w:nsid w:val="44EF6B80"/>
    <w:multiLevelType w:val="hybridMultilevel"/>
    <w:lvl w:ilvl="0">
      <w:lvlJc w:val="left"/>
      <w:lvlText w:val="2"/>
      <w:numFmt w:val="bullet"/>
      <w:start w:val="1"/>
    </w:lvl>
  </w:abstractNum>
  <w:abstractNum w:abstractNumId="260">
    <w:nsid w:val="12FCDE5E"/>
    <w:multiLevelType w:val="hybridMultilevel"/>
    <w:lvl w:ilvl="0">
      <w:lvlJc w:val="left"/>
      <w:lvlText w:val="3"/>
      <w:numFmt w:val="bullet"/>
      <w:start w:val="1"/>
    </w:lvl>
  </w:abstractNum>
  <w:abstractNum w:abstractNumId="261">
    <w:nsid w:val="4A1D606E"/>
    <w:multiLevelType w:val="hybridMultilevel"/>
    <w:lvl w:ilvl="0">
      <w:lvlJc w:val="left"/>
      <w:lvlText w:val="4"/>
      <w:numFmt w:val="bullet"/>
      <w:start w:val="1"/>
    </w:lvl>
  </w:abstractNum>
  <w:abstractNum w:abstractNumId="262">
    <w:nsid w:val="4382503"/>
    <w:multiLevelType w:val="hybridMultilevel"/>
    <w:lvl w:ilvl="0">
      <w:lvlJc w:val="left"/>
      <w:lvlText w:val="-"/>
      <w:numFmt w:val="bullet"/>
      <w:start w:val="1"/>
    </w:lvl>
  </w:abstractNum>
  <w:abstractNum w:abstractNumId="263">
    <w:nsid w:val="59B76E28"/>
    <w:multiLevelType w:val="hybridMultilevel"/>
    <w:lvl w:ilvl="0">
      <w:lvlJc w:val="left"/>
      <w:lvlText w:val=" "/>
      <w:numFmt w:val="bullet"/>
      <w:start w:val="1"/>
    </w:lvl>
  </w:abstractNum>
  <w:abstractNum w:abstractNumId="264">
    <w:nsid w:val="4252C2DA"/>
    <w:multiLevelType w:val="hybridMultilevel"/>
    <w:lvl w:ilvl="0">
      <w:lvlJc w:val="left"/>
      <w:lvlText w:val=" "/>
      <w:numFmt w:val="bullet"/>
      <w:start w:val="1"/>
    </w:lvl>
  </w:abstractNum>
  <w:abstractNum w:abstractNumId="265">
    <w:nsid w:val="6A92EF4C"/>
    <w:multiLevelType w:val="hybridMultilevel"/>
    <w:lvl w:ilvl="0">
      <w:lvlJc w:val="left"/>
      <w:lvlText w:val="5"/>
      <w:numFmt w:val="bullet"/>
      <w:start w:val="1"/>
    </w:lvl>
  </w:abstractNum>
  <w:abstractNum w:abstractNumId="266">
    <w:nsid w:val="41ED20D7"/>
    <w:multiLevelType w:val="hybridMultilevel"/>
    <w:lvl w:ilvl="0">
      <w:lvlJc w:val="left"/>
      <w:lvlText w:val=" "/>
      <w:numFmt w:val="bullet"/>
      <w:start w:val="1"/>
    </w:lvl>
  </w:abstractNum>
  <w:abstractNum w:abstractNumId="267">
    <w:nsid w:val="E6B3F6A"/>
    <w:multiLevelType w:val="hybridMultilevel"/>
    <w:lvl w:ilvl="0">
      <w:lvlJc w:val="left"/>
      <w:lvlText w:val=" "/>
      <w:numFmt w:val="bullet"/>
      <w:start w:val="1"/>
    </w:lvl>
  </w:abstractNum>
  <w:abstractNum w:abstractNumId="268">
    <w:nsid w:val="3EB21819"/>
    <w:multiLevelType w:val="hybridMultilevel"/>
    <w:lvl w:ilvl="0">
      <w:lvlJc w:val="left"/>
      <w:lvlText w:val="(%1)"/>
      <w:numFmt w:val="decimal"/>
      <w:start w:val="1"/>
    </w:lvl>
  </w:abstractNum>
  <w:abstractNum w:abstractNumId="269">
    <w:nsid w:val="41531DED"/>
    <w:multiLevelType w:val="hybridMultilevel"/>
    <w:lvl w:ilvl="0">
      <w:lvlJc w:val="left"/>
      <w:lvlText w:val="6"/>
      <w:numFmt w:val="bullet"/>
      <w:start w:val="1"/>
    </w:lvl>
  </w:abstractNum>
  <w:abstractNum w:abstractNumId="270">
    <w:nsid w:val="6353CD2"/>
    <w:multiLevelType w:val="hybridMultilevel"/>
    <w:lvl w:ilvl="0">
      <w:lvlJc w:val="left"/>
      <w:lvlText w:val=" "/>
      <w:numFmt w:val="bullet"/>
      <w:start w:val="1"/>
    </w:lvl>
  </w:abstractNum>
  <w:abstractNum w:abstractNumId="271">
    <w:nsid w:val="683CAAD3"/>
    <w:multiLevelType w:val="hybridMultilevel"/>
    <w:lvl w:ilvl="0">
      <w:lvlJc w:val="left"/>
      <w:lvlText w:val=" "/>
      <w:numFmt w:val="bullet"/>
      <w:start w:val="1"/>
    </w:lvl>
    <w:lvl w:ilvl="1">
      <w:lvlJc w:val="left"/>
      <w:lvlText w:val="o"/>
      <w:numFmt w:val="bullet"/>
      <w:start w:val="1"/>
    </w:lvl>
  </w:abstractNum>
  <w:abstractNum w:abstractNumId="272">
    <w:nsid w:val="313C7C99"/>
    <w:multiLevelType w:val="hybridMultilevel"/>
    <w:lvl w:ilvl="0">
      <w:lvlJc w:val="left"/>
      <w:lvlText w:val="7"/>
      <w:numFmt w:val="bullet"/>
      <w:start w:val="1"/>
    </w:lvl>
  </w:abstractNum>
  <w:abstractNum w:abstractNumId="273">
    <w:nsid w:val="519EB94C"/>
    <w:multiLevelType w:val="hybridMultilevel"/>
    <w:lvl w:ilvl="0">
      <w:lvlJc w:val="left"/>
      <w:lvlText w:val="%1."/>
      <w:numFmt w:val="decimal"/>
      <w:start w:val="1"/>
    </w:lvl>
  </w:abstractNum>
  <w:abstractNum w:abstractNumId="274">
    <w:nsid w:val="39DF2579"/>
    <w:multiLevelType w:val="hybridMultilevel"/>
    <w:lvl w:ilvl="0">
      <w:lvlJc w:val="left"/>
      <w:lvlText w:val="(%1)"/>
      <w:numFmt w:val="lowerLetter"/>
      <w:start w:val="1"/>
    </w:lvl>
  </w:abstractNum>
  <w:abstractNum w:abstractNumId="275">
    <w:nsid w:val="126E008B"/>
    <w:multiLevelType w:val="hybridMultilevel"/>
    <w:lvl w:ilvl="0">
      <w:lvlJc w:val="left"/>
      <w:lvlText w:val="%1."/>
      <w:numFmt w:val="decimal"/>
      <w:start w:val="5"/>
    </w:lvl>
  </w:abstractNum>
  <w:abstractNum w:abstractNumId="276">
    <w:nsid w:val="34DFBC00"/>
    <w:multiLevelType w:val="hybridMultilevel"/>
    <w:lvl w:ilvl="0">
      <w:lvlJc w:val="left"/>
      <w:lvlText w:val="(%1)"/>
      <w:numFmt w:val="lowerLetter"/>
      <w:start w:val="1"/>
    </w:lvl>
  </w:abstractNum>
  <w:abstractNum w:abstractNumId="277">
    <w:nsid w:val="1F9EC322"/>
    <w:multiLevelType w:val="hybridMultilevel"/>
    <w:lvl w:ilvl="0">
      <w:lvlJc w:val="left"/>
      <w:lvlText w:val="%1."/>
      <w:numFmt w:val="decimal"/>
      <w:start w:val="1"/>
    </w:lvl>
  </w:abstractNum>
  <w:abstractNum w:abstractNumId="278">
    <w:nsid w:val="3410ED56"/>
    <w:multiLevelType w:val="hybridMultilevel"/>
    <w:lvl w:ilvl="0">
      <w:lvlJc w:val="left"/>
      <w:lvlText w:val="(%1)"/>
      <w:numFmt w:val="lowerLetter"/>
      <w:start w:val="1"/>
    </w:lvl>
  </w:abstractNum>
  <w:abstractNum w:abstractNumId="279">
    <w:nsid w:val="23C049A"/>
    <w:multiLevelType w:val="hybridMultilevel"/>
    <w:lvl w:ilvl="0">
      <w:lvlJc w:val="left"/>
      <w:lvlText w:val="%1."/>
      <w:numFmt w:val="decimal"/>
      <w:start w:val="5"/>
    </w:lvl>
  </w:abstractNum>
  <w:abstractNum w:abstractNumId="280">
    <w:nsid w:val="5BDA35D4"/>
    <w:multiLevelType w:val="hybridMultilevel"/>
    <w:lvl w:ilvl="0">
      <w:lvlJc w:val="left"/>
      <w:lvlText w:val="(%1)"/>
      <w:numFmt w:val="lowerLetter"/>
      <w:start w:val="1"/>
    </w:lvl>
  </w:abstractNum>
  <w:abstractNum w:abstractNumId="281">
    <w:nsid w:val="496FB218"/>
    <w:multiLevelType w:val="hybridMultilevel"/>
    <w:lvl w:ilvl="0">
      <w:lvlJc w:val="left"/>
      <w:lvlText w:val="(%1)"/>
      <w:numFmt w:val="decimal"/>
      <w:start w:val="1"/>
    </w:lvl>
  </w:abstractNum>
  <w:abstractNum w:abstractNumId="282">
    <w:nsid w:val="680EA5D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23" Type="http://schemas.openxmlformats.org/officeDocument/2006/relationships/image" Target="media/image704.png"/><Relationship Id="rId737" Type="http://schemas.openxmlformats.org/officeDocument/2006/relationships/image" Target="media/image705.png"/><Relationship Id="rId741" Type="http://schemas.openxmlformats.org/officeDocument/2006/relationships/image" Target="media/image706.png"/><Relationship Id="rId742" Type="http://schemas.openxmlformats.org/officeDocument/2006/relationships/image" Target="media/image707.png"/><Relationship Id="rId743" Type="http://schemas.openxmlformats.org/officeDocument/2006/relationships/image" Target="media/image708.png"/><Relationship Id="rId744" Type="http://schemas.openxmlformats.org/officeDocument/2006/relationships/image" Target="media/image709.png"/><Relationship Id="rId745" Type="http://schemas.openxmlformats.org/officeDocument/2006/relationships/image" Target="media/image710.png"/><Relationship Id="rId746" Type="http://schemas.openxmlformats.org/officeDocument/2006/relationships/image" Target="media/image711.png"/><Relationship Id="rId747" Type="http://schemas.openxmlformats.org/officeDocument/2006/relationships/image" Target="media/image712.png"/><Relationship Id="rId748" Type="http://schemas.openxmlformats.org/officeDocument/2006/relationships/image" Target="media/image713.png"/><Relationship Id="rId749" Type="http://schemas.openxmlformats.org/officeDocument/2006/relationships/image" Target="media/image714.png"/><Relationship Id="rId750" Type="http://schemas.openxmlformats.org/officeDocument/2006/relationships/image" Target="media/image715.png"/><Relationship Id="rId751" Type="http://schemas.openxmlformats.org/officeDocument/2006/relationships/image" Target="media/image716.png"/><Relationship Id="rId752" Type="http://schemas.openxmlformats.org/officeDocument/2006/relationships/image" Target="media/image717.png"/><Relationship Id="rId753" Type="http://schemas.openxmlformats.org/officeDocument/2006/relationships/image" Target="media/image718.png"/><Relationship Id="rId754" Type="http://schemas.openxmlformats.org/officeDocument/2006/relationships/image" Target="media/image719.png"/><Relationship Id="rId755" Type="http://schemas.openxmlformats.org/officeDocument/2006/relationships/image" Target="media/image720.png"/><Relationship Id="rId756" Type="http://schemas.openxmlformats.org/officeDocument/2006/relationships/image" Target="media/image721.png"/><Relationship Id="rId757" Type="http://schemas.openxmlformats.org/officeDocument/2006/relationships/image" Target="media/image722.png"/><Relationship Id="rId758" Type="http://schemas.openxmlformats.org/officeDocument/2006/relationships/image" Target="media/image723.png"/><Relationship Id="rId759" Type="http://schemas.openxmlformats.org/officeDocument/2006/relationships/image" Target="media/image724.png"/><Relationship Id="rId760" Type="http://schemas.openxmlformats.org/officeDocument/2006/relationships/image" Target="media/image725.png"/><Relationship Id="rId761" Type="http://schemas.openxmlformats.org/officeDocument/2006/relationships/image" Target="media/image726.png"/><Relationship Id="rId762" Type="http://schemas.openxmlformats.org/officeDocument/2006/relationships/image" Target="media/image727.png"/><Relationship Id="rId763" Type="http://schemas.openxmlformats.org/officeDocument/2006/relationships/image" Target="media/image728.png"/><Relationship Id="rId764" Type="http://schemas.openxmlformats.org/officeDocument/2006/relationships/image" Target="media/image729.png"/><Relationship Id="rId765" Type="http://schemas.openxmlformats.org/officeDocument/2006/relationships/image" Target="media/image730.png"/><Relationship Id="rId766" Type="http://schemas.openxmlformats.org/officeDocument/2006/relationships/image" Target="media/image731.png"/><Relationship Id="rId767" Type="http://schemas.openxmlformats.org/officeDocument/2006/relationships/image" Target="media/image732.png"/><Relationship Id="rId768" Type="http://schemas.openxmlformats.org/officeDocument/2006/relationships/image" Target="media/image733.png"/><Relationship Id="rId769" Type="http://schemas.openxmlformats.org/officeDocument/2006/relationships/image" Target="media/image734.png"/><Relationship Id="rId770" Type="http://schemas.openxmlformats.org/officeDocument/2006/relationships/image" Target="media/image735.png"/><Relationship Id="rId771" Type="http://schemas.openxmlformats.org/officeDocument/2006/relationships/image" Target="media/image736.png"/><Relationship Id="rId772" Type="http://schemas.openxmlformats.org/officeDocument/2006/relationships/image" Target="media/image737.png"/><Relationship Id="rId773" Type="http://schemas.openxmlformats.org/officeDocument/2006/relationships/image" Target="media/image738.png"/><Relationship Id="rId774" Type="http://schemas.openxmlformats.org/officeDocument/2006/relationships/image" Target="media/image739.png"/><Relationship Id="rId775" Type="http://schemas.openxmlformats.org/officeDocument/2006/relationships/image" Target="media/image740.png"/><Relationship Id="rId776" Type="http://schemas.openxmlformats.org/officeDocument/2006/relationships/image" Target="media/image741.png"/><Relationship Id="rId777" Type="http://schemas.openxmlformats.org/officeDocument/2006/relationships/image" Target="media/image742.png"/><Relationship Id="rId778" Type="http://schemas.openxmlformats.org/officeDocument/2006/relationships/image" Target="media/image743.png"/><Relationship Id="rId779" Type="http://schemas.openxmlformats.org/officeDocument/2006/relationships/image" Target="media/image744.png"/><Relationship Id="rId780" Type="http://schemas.openxmlformats.org/officeDocument/2006/relationships/image" Target="media/image745.png"/><Relationship Id="rId781" Type="http://schemas.openxmlformats.org/officeDocument/2006/relationships/image" Target="media/image746.png"/><Relationship Id="rId782" Type="http://schemas.openxmlformats.org/officeDocument/2006/relationships/image" Target="media/image747.png"/><Relationship Id="rId783" Type="http://schemas.openxmlformats.org/officeDocument/2006/relationships/image" Target="media/image748.png"/><Relationship Id="rId784" Type="http://schemas.openxmlformats.org/officeDocument/2006/relationships/image" Target="media/image749.png"/><Relationship Id="rId785" Type="http://schemas.openxmlformats.org/officeDocument/2006/relationships/image" Target="media/image750.png"/><Relationship Id="rId786" Type="http://schemas.openxmlformats.org/officeDocument/2006/relationships/image" Target="media/image751.png"/><Relationship Id="rId787" Type="http://schemas.openxmlformats.org/officeDocument/2006/relationships/image" Target="media/image752.png"/><Relationship Id="rId788" Type="http://schemas.openxmlformats.org/officeDocument/2006/relationships/image" Target="media/image753.png"/><Relationship Id="rId789" Type="http://schemas.openxmlformats.org/officeDocument/2006/relationships/image" Target="media/image754.png"/><Relationship Id="rId790" Type="http://schemas.openxmlformats.org/officeDocument/2006/relationships/image" Target="media/image755.png"/><Relationship Id="rId791" Type="http://schemas.openxmlformats.org/officeDocument/2006/relationships/image" Target="media/image756.png"/><Relationship Id="rId792" Type="http://schemas.openxmlformats.org/officeDocument/2006/relationships/image" Target="media/image757.png"/><Relationship Id="rId793" Type="http://schemas.openxmlformats.org/officeDocument/2006/relationships/image" Target="media/image758.png"/><Relationship Id="rId794" Type="http://schemas.openxmlformats.org/officeDocument/2006/relationships/image" Target="media/image759.png"/><Relationship Id="rId795" Type="http://schemas.openxmlformats.org/officeDocument/2006/relationships/image" Target="media/image760.png"/><Relationship Id="rId796" Type="http://schemas.openxmlformats.org/officeDocument/2006/relationships/image" Target="media/image761.png"/><Relationship Id="rId797" Type="http://schemas.openxmlformats.org/officeDocument/2006/relationships/image" Target="media/image762.png"/><Relationship Id="rId798" Type="http://schemas.openxmlformats.org/officeDocument/2006/relationships/image" Target="media/image763.png"/><Relationship Id="rId799" Type="http://schemas.openxmlformats.org/officeDocument/2006/relationships/image" Target="media/image764.png"/><Relationship Id="rId800" Type="http://schemas.openxmlformats.org/officeDocument/2006/relationships/image" Target="media/image765.png"/><Relationship Id="rId801" Type="http://schemas.openxmlformats.org/officeDocument/2006/relationships/image" Target="media/image766.png"/><Relationship Id="rId802" Type="http://schemas.openxmlformats.org/officeDocument/2006/relationships/image" Target="media/image767.png"/><Relationship Id="rId803" Type="http://schemas.openxmlformats.org/officeDocument/2006/relationships/image" Target="media/image768.png"/><Relationship Id="rId804" Type="http://schemas.openxmlformats.org/officeDocument/2006/relationships/image" Target="media/image769.png"/><Relationship Id="rId805" Type="http://schemas.openxmlformats.org/officeDocument/2006/relationships/image" Target="media/image770.png"/><Relationship Id="rId806" Type="http://schemas.openxmlformats.org/officeDocument/2006/relationships/image" Target="media/image771.png"/><Relationship Id="rId807" Type="http://schemas.openxmlformats.org/officeDocument/2006/relationships/image" Target="media/image772.png"/><Relationship Id="rId808" Type="http://schemas.openxmlformats.org/officeDocument/2006/relationships/image" Target="media/image773.png"/><Relationship Id="rId809" Type="http://schemas.openxmlformats.org/officeDocument/2006/relationships/image" Target="media/image774.png"/><Relationship Id="rId810" Type="http://schemas.openxmlformats.org/officeDocument/2006/relationships/image" Target="media/image775.png"/><Relationship Id="rId811" Type="http://schemas.openxmlformats.org/officeDocument/2006/relationships/image" Target="media/image776.png"/><Relationship Id="rId812" Type="http://schemas.openxmlformats.org/officeDocument/2006/relationships/image" Target="media/image777.png"/><Relationship Id="rId813" Type="http://schemas.openxmlformats.org/officeDocument/2006/relationships/image" Target="media/image778.png"/><Relationship Id="rId814" Type="http://schemas.openxmlformats.org/officeDocument/2006/relationships/image" Target="media/image779.png"/><Relationship Id="rId815" Type="http://schemas.openxmlformats.org/officeDocument/2006/relationships/image" Target="media/image780.png"/><Relationship Id="rId816" Type="http://schemas.openxmlformats.org/officeDocument/2006/relationships/image" Target="media/image781.png"/><Relationship Id="rId817" Type="http://schemas.openxmlformats.org/officeDocument/2006/relationships/image" Target="media/image782.png"/><Relationship Id="rId818" Type="http://schemas.openxmlformats.org/officeDocument/2006/relationships/image" Target="media/image783.png"/><Relationship Id="rId819" Type="http://schemas.openxmlformats.org/officeDocument/2006/relationships/image" Target="media/image784.png"/><Relationship Id="rId820" Type="http://schemas.openxmlformats.org/officeDocument/2006/relationships/image" Target="media/image785.png"/><Relationship Id="rId821" Type="http://schemas.openxmlformats.org/officeDocument/2006/relationships/image" Target="media/image786.png"/><Relationship Id="rId822" Type="http://schemas.openxmlformats.org/officeDocument/2006/relationships/image" Target="media/image787.png"/><Relationship Id="rId823" Type="http://schemas.openxmlformats.org/officeDocument/2006/relationships/image" Target="media/image788.png"/><Relationship Id="rId824" Type="http://schemas.openxmlformats.org/officeDocument/2006/relationships/image" Target="media/image789.png"/><Relationship Id="rId825" Type="http://schemas.openxmlformats.org/officeDocument/2006/relationships/image" Target="media/image790.png"/><Relationship Id="rId826" Type="http://schemas.openxmlformats.org/officeDocument/2006/relationships/image" Target="media/image791.png"/><Relationship Id="rId827" Type="http://schemas.openxmlformats.org/officeDocument/2006/relationships/image" Target="media/image792.png"/><Relationship Id="rId828" Type="http://schemas.openxmlformats.org/officeDocument/2006/relationships/image" Target="media/image793.png"/><Relationship Id="rId829" Type="http://schemas.openxmlformats.org/officeDocument/2006/relationships/image" Target="media/image794.png"/><Relationship Id="rId830" Type="http://schemas.openxmlformats.org/officeDocument/2006/relationships/image" Target="media/image795.png"/><Relationship Id="rId831" Type="http://schemas.openxmlformats.org/officeDocument/2006/relationships/image" Target="media/image796.png"/><Relationship Id="rId832" Type="http://schemas.openxmlformats.org/officeDocument/2006/relationships/image" Target="media/image797.png"/><Relationship Id="rId833" Type="http://schemas.openxmlformats.org/officeDocument/2006/relationships/image" Target="media/image798.png"/><Relationship Id="rId834" Type="http://schemas.openxmlformats.org/officeDocument/2006/relationships/image" Target="media/image799.png"/><Relationship Id="rId835" Type="http://schemas.openxmlformats.org/officeDocument/2006/relationships/image" Target="media/image800.png"/><Relationship Id="rId836" Type="http://schemas.openxmlformats.org/officeDocument/2006/relationships/image" Target="media/image801.png"/><Relationship Id="rId837" Type="http://schemas.openxmlformats.org/officeDocument/2006/relationships/image" Target="media/image802.png"/><Relationship Id="rId838" Type="http://schemas.openxmlformats.org/officeDocument/2006/relationships/image" Target="media/image803.png"/><Relationship Id="rId839" Type="http://schemas.openxmlformats.org/officeDocument/2006/relationships/image" Target="media/image804.png"/><Relationship Id="rId840" Type="http://schemas.openxmlformats.org/officeDocument/2006/relationships/image" Target="media/image805.png"/><Relationship Id="rId841" Type="http://schemas.openxmlformats.org/officeDocument/2006/relationships/image" Target="media/image806.png"/><Relationship Id="rId842" Type="http://schemas.openxmlformats.org/officeDocument/2006/relationships/image" Target="media/image807.png"/><Relationship Id="rId843" Type="http://schemas.openxmlformats.org/officeDocument/2006/relationships/image" Target="media/image808.png"/><Relationship Id="rId844" Type="http://schemas.openxmlformats.org/officeDocument/2006/relationships/image" Target="media/image809.png"/><Relationship Id="rId845" Type="http://schemas.openxmlformats.org/officeDocument/2006/relationships/image" Target="media/image810.png"/><Relationship Id="rId846" Type="http://schemas.openxmlformats.org/officeDocument/2006/relationships/image" Target="media/image811.png"/><Relationship Id="rId847" Type="http://schemas.openxmlformats.org/officeDocument/2006/relationships/image" Target="media/image812.png"/><Relationship Id="rId848" Type="http://schemas.openxmlformats.org/officeDocument/2006/relationships/image" Target="media/image813.png"/><Relationship Id="rId849" Type="http://schemas.openxmlformats.org/officeDocument/2006/relationships/image" Target="media/image814.png"/><Relationship Id="rId850" Type="http://schemas.openxmlformats.org/officeDocument/2006/relationships/image" Target="media/image815.png"/><Relationship Id="rId851" Type="http://schemas.openxmlformats.org/officeDocument/2006/relationships/image" Target="media/image816.png"/><Relationship Id="rId852" Type="http://schemas.openxmlformats.org/officeDocument/2006/relationships/image" Target="media/image817.png"/><Relationship Id="rId853" Type="http://schemas.openxmlformats.org/officeDocument/2006/relationships/image" Target="media/image818.png"/><Relationship Id="rId854" Type="http://schemas.openxmlformats.org/officeDocument/2006/relationships/image" Target="media/image819.png"/><Relationship Id="rId855" Type="http://schemas.openxmlformats.org/officeDocument/2006/relationships/image" Target="media/image820.png"/><Relationship Id="rId856" Type="http://schemas.openxmlformats.org/officeDocument/2006/relationships/image" Target="media/image821.png"/><Relationship Id="rId857" Type="http://schemas.openxmlformats.org/officeDocument/2006/relationships/image" Target="media/image822.png"/><Relationship Id="rId858" Type="http://schemas.openxmlformats.org/officeDocument/2006/relationships/image" Target="media/image823.png"/><Relationship Id="rId859" Type="http://schemas.openxmlformats.org/officeDocument/2006/relationships/image" Target="media/image824.png"/><Relationship Id="rId860" Type="http://schemas.openxmlformats.org/officeDocument/2006/relationships/image" Target="media/image825.png"/><Relationship Id="rId861" Type="http://schemas.openxmlformats.org/officeDocument/2006/relationships/image" Target="media/image826.png"/><Relationship Id="rId862" Type="http://schemas.openxmlformats.org/officeDocument/2006/relationships/image" Target="media/image827.png"/><Relationship Id="rId863" Type="http://schemas.openxmlformats.org/officeDocument/2006/relationships/image" Target="media/image828.png"/><Relationship Id="rId864" Type="http://schemas.openxmlformats.org/officeDocument/2006/relationships/image" Target="media/image829.png"/><Relationship Id="rId865" Type="http://schemas.openxmlformats.org/officeDocument/2006/relationships/image" Target="media/image830.png"/><Relationship Id="rId866" Type="http://schemas.openxmlformats.org/officeDocument/2006/relationships/image" Target="media/image831.png"/><Relationship Id="rId867" Type="http://schemas.openxmlformats.org/officeDocument/2006/relationships/image" Target="media/image832.png"/><Relationship Id="rId868" Type="http://schemas.openxmlformats.org/officeDocument/2006/relationships/image" Target="media/image833.png"/><Relationship Id="rId869" Type="http://schemas.openxmlformats.org/officeDocument/2006/relationships/image" Target="media/image834.png"/><Relationship Id="rId870" Type="http://schemas.openxmlformats.org/officeDocument/2006/relationships/image" Target="media/image835.png"/><Relationship Id="rId871" Type="http://schemas.openxmlformats.org/officeDocument/2006/relationships/image" Target="media/image836.jpeg"/><Relationship Id="rId872" Type="http://schemas.openxmlformats.org/officeDocument/2006/relationships/image" Target="media/image837.png"/><Relationship Id="rId873" Type="http://schemas.openxmlformats.org/officeDocument/2006/relationships/image" Target="media/image838.png"/><Relationship Id="rId874" Type="http://schemas.openxmlformats.org/officeDocument/2006/relationships/image" Target="media/image839.png"/><Relationship Id="rId875" Type="http://schemas.openxmlformats.org/officeDocument/2006/relationships/image" Target="media/image840.png"/><Relationship Id="rId876" Type="http://schemas.openxmlformats.org/officeDocument/2006/relationships/image" Target="media/image841.png"/><Relationship Id="rId877" Type="http://schemas.openxmlformats.org/officeDocument/2006/relationships/image" Target="media/image842.png"/><Relationship Id="rId878" Type="http://schemas.openxmlformats.org/officeDocument/2006/relationships/image" Target="media/image843.png"/><Relationship Id="rId879" Type="http://schemas.openxmlformats.org/officeDocument/2006/relationships/image" Target="media/image844.png"/><Relationship Id="rId880" Type="http://schemas.openxmlformats.org/officeDocument/2006/relationships/image" Target="media/image845.png"/><Relationship Id="rId881" Type="http://schemas.openxmlformats.org/officeDocument/2006/relationships/image" Target="media/image846.png"/><Relationship Id="rId882" Type="http://schemas.openxmlformats.org/officeDocument/2006/relationships/image" Target="media/image847.jpeg"/><Relationship Id="rId883" Type="http://schemas.openxmlformats.org/officeDocument/2006/relationships/image" Target="media/image848.png"/><Relationship Id="rId884" Type="http://schemas.openxmlformats.org/officeDocument/2006/relationships/image" Target="media/image849.jpeg"/><Relationship Id="rId885" Type="http://schemas.openxmlformats.org/officeDocument/2006/relationships/image" Target="media/image850.png"/><Relationship Id="rId886" Type="http://schemas.openxmlformats.org/officeDocument/2006/relationships/image" Target="media/image851.png"/><Relationship Id="rId887" Type="http://schemas.openxmlformats.org/officeDocument/2006/relationships/image" Target="media/image852.png"/><Relationship Id="rId888" Type="http://schemas.openxmlformats.org/officeDocument/2006/relationships/image" Target="media/image853.png"/><Relationship Id="rId889" Type="http://schemas.openxmlformats.org/officeDocument/2006/relationships/image" Target="media/image854.png"/><Relationship Id="rId890" Type="http://schemas.openxmlformats.org/officeDocument/2006/relationships/image" Target="media/image855.png"/><Relationship Id="rId891" Type="http://schemas.openxmlformats.org/officeDocument/2006/relationships/image" Target="media/image856.png"/><Relationship Id="rId892" Type="http://schemas.openxmlformats.org/officeDocument/2006/relationships/image" Target="media/image857.png"/><Relationship Id="rId893" Type="http://schemas.openxmlformats.org/officeDocument/2006/relationships/image" Target="media/image858.png"/><Relationship Id="rId894" Type="http://schemas.openxmlformats.org/officeDocument/2006/relationships/image" Target="media/image859.png"/><Relationship Id="rId895" Type="http://schemas.openxmlformats.org/officeDocument/2006/relationships/image" Target="media/image860.png"/><Relationship Id="rId896" Type="http://schemas.openxmlformats.org/officeDocument/2006/relationships/image" Target="media/image861.png"/><Relationship Id="rId897" Type="http://schemas.openxmlformats.org/officeDocument/2006/relationships/image" Target="media/image862.png"/><Relationship Id="rId898" Type="http://schemas.openxmlformats.org/officeDocument/2006/relationships/image" Target="media/image863.png"/><Relationship Id="rId711" Type="http://schemas.openxmlformats.org/officeDocument/2006/relationships/hyperlink" Target="https://www.sec.gov/Archives/edgar/data/1612042/000119312525025052/d937591dex11.htm" TargetMode="External"/><Relationship Id="rId712" Type="http://schemas.openxmlformats.org/officeDocument/2006/relationships/hyperlink" Target="https://www.sec.gov/Archives/edgar/data/1612042/000119312516447629/d65395dex42.htm" TargetMode="External"/><Relationship Id="rId713" Type="http://schemas.openxmlformats.org/officeDocument/2006/relationships/hyperlink" Target="https://www.sec.gov/Archives/edgar/data/1612042/000119312514446974/d744944dex103a.htm" TargetMode="External"/><Relationship Id="rId714" Type="http://schemas.openxmlformats.org/officeDocument/2006/relationships/hyperlink" Target="https://www.sec.gov/Archives/edgar/data/1612042/000119312514446974/d744944dex103b.htm" TargetMode="External"/><Relationship Id="rId715" Type="http://schemas.openxmlformats.org/officeDocument/2006/relationships/hyperlink" Target="https://www.sec.gov/Archives/edgar/data/1612042/000119312524005924/d694929dex11.htm" TargetMode="External"/><Relationship Id="rId716" Type="http://schemas.openxmlformats.org/officeDocument/2006/relationships/hyperlink" Target="https://www.sec.gov/Archives/edgar/data/1612042/000119312515012416/d744944dex105.htm" TargetMode="External"/><Relationship Id="rId717" Type="http://schemas.openxmlformats.org/officeDocument/2006/relationships/hyperlink" Target="https://www.sec.gov/Archives/edgar/data/1612042/000119312515401787/d105019dex41.htm" TargetMode="External"/><Relationship Id="rId718" Type="http://schemas.openxmlformats.org/officeDocument/2006/relationships/hyperlink" Target="https://www.sec.gov/Archives/edgar/data/1612042/000119312516447629/d65395dex101.htm" TargetMode="External"/><Relationship Id="rId719" Type="http://schemas.openxmlformats.org/officeDocument/2006/relationships/hyperlink" Target="https://www.sec.gov/Archives/edgar/data/1612042/000119312518099514/d445343dex49.htm" TargetMode="External"/><Relationship Id="rId720" Type="http://schemas.openxmlformats.org/officeDocument/2006/relationships/hyperlink" Target="https://www.sec.gov/Archives/edgar/data/1612042/000119312518099514/d445343dex410.htm" TargetMode="External"/><Relationship Id="rId721" Type="http://schemas.openxmlformats.org/officeDocument/2006/relationships/hyperlink" Target="https://www.sec.gov/Archives/edgar/data/1612042/000119312519096759/d654369dex411.htm" TargetMode="External"/><Relationship Id="rId722" Type="http://schemas.openxmlformats.org/officeDocument/2006/relationships/hyperlink" Target="https://www.sec.gov/Archives/edgar/data/1612042/000119312519096759/d654369dex412.htm" TargetMode="External"/><Relationship Id="rId724" Type="http://schemas.openxmlformats.org/officeDocument/2006/relationships/hyperlink" Target="https://www.sec.gov/Archives/edgar/data/1612042/000119312519096759/d654369dex415.htm" TargetMode="External"/><Relationship Id="rId725" Type="http://schemas.openxmlformats.org/officeDocument/2006/relationships/hyperlink" Target="https://www.sec.gov/Archives/edgar/data/1612042/000119312519096759/d654369dex416.htm" TargetMode="External"/><Relationship Id="rId726" Type="http://schemas.openxmlformats.org/officeDocument/2006/relationships/hyperlink" Target="https://www.sec.gov/Archives/edgar/data/1612042/000119312519096759/d654369dex417.htm" TargetMode="External"/><Relationship Id="rId727" Type="http://schemas.openxmlformats.org/officeDocument/2006/relationships/hyperlink" Target="https://www.sec.gov/Archives/edgar/data/1612042/000119312520096870/d841629dex416.htm" TargetMode="External"/><Relationship Id="rId728" Type="http://schemas.openxmlformats.org/officeDocument/2006/relationships/hyperlink" Target="https://www.sec.gov/Archives/edgar/data/1612042/000119312520096870/d841629dex417.htm" TargetMode="External"/><Relationship Id="rId729" Type="http://schemas.openxmlformats.org/officeDocument/2006/relationships/hyperlink" Target="https://www.sec.gov/Archives/edgar/data/1612042/000119312522062998/d232088dex416.htm" TargetMode="External"/><Relationship Id="rId730" Type="http://schemas.openxmlformats.org/officeDocument/2006/relationships/hyperlink" Target="https://www.sec.gov/Archives/edgar/data/1612042/000119312522062998/d232088dex417.htm" TargetMode="External"/><Relationship Id="rId731" Type="http://schemas.openxmlformats.org/officeDocument/2006/relationships/hyperlink" Target="https://www.sec.gov/Archives/edgar/data/1612042/000119312522062998/d232088dex418.htm" TargetMode="External"/><Relationship Id="rId732" Type="http://schemas.openxmlformats.org/officeDocument/2006/relationships/hyperlink" Target="https://www.sec.gov/Archives/edgar/data/1612042/000119312521076349/d123790dex417.htm" TargetMode="External"/><Relationship Id="rId733" Type="http://schemas.openxmlformats.org/officeDocument/2006/relationships/hyperlink" Target="https://www.sec.gov/Archives/edgar/data/1612042/000119312521076349/d123790dex418.htm" TargetMode="External"/><Relationship Id="rId734" Type="http://schemas.openxmlformats.org/officeDocument/2006/relationships/hyperlink" Target="https://www.sec.gov/Archives/edgar/data/1612042/000119312521076349/d123790dex419.htm" TargetMode="External"/><Relationship Id="rId735" Type="http://schemas.openxmlformats.org/officeDocument/2006/relationships/hyperlink" Target="https://www.sec.gov/Archives/edgar/data/1612042/000119312521076349/d123790dex420.htm" TargetMode="External"/><Relationship Id="rId736" Type="http://schemas.openxmlformats.org/officeDocument/2006/relationships/hyperlink" Target="https://www.sec.gov/Archives/edgar/data/1612042/000095017024012212/asnd-ex4_22.htm" TargetMode="External"/><Relationship Id="rId738" Type="http://schemas.openxmlformats.org/officeDocument/2006/relationships/hyperlink" Target="https://www.sec.gov/Archives/edgar/data/1612042/000119312523053801/d419347dex992.htm" TargetMode="External"/><Relationship Id="rId739" Type="http://schemas.openxmlformats.org/officeDocument/2006/relationships/hyperlink" Target="https://www.sec.gov/Archives/edgar/data/1612042/000119312524053484/d667830dex992.htm" TargetMode="External"/><Relationship Id="rId740" Type="http://schemas.openxmlformats.org/officeDocument/2006/relationships/hyperlink" Target="https://www.sec.gov/Archives/edgar/data/1612042/000095017024012212/asnd-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2025-02-12T15:34:15Z</dcterms:created>
  <dcterms:modified xsi:type="dcterms:W3CDTF">2025-02-12T15:34:15Z</dcterms:modified>
</cp:coreProperties>
</file>