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6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60"/>
        <w:spacing w:after="0"/>
        <w:rPr>
          <w:sz w:val="20"/>
          <w:szCs w:val="20"/>
          <w:color w:val="auto"/>
        </w:rPr>
      </w:pPr>
      <w:r>
        <w:rPr>
          <w:rFonts w:ascii="Arial" w:cs="Arial" w:eastAsia="Arial" w:hAnsi="Arial"/>
          <w:sz w:val="32"/>
          <w:szCs w:val="32"/>
          <w:b w:val="1"/>
          <w:bCs w:val="1"/>
          <w:color w:val="auto"/>
        </w:rPr>
        <w:t>SECURITIES AND EXCHANGE COMMISSION</w:t>
      </w:r>
    </w:p>
    <w:p>
      <w:pPr>
        <w:ind w:left="45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8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August, 2022</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68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80"/>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00"/>
        <w:spacing w:after="0" w:line="207" w:lineRule="exact"/>
        <w:tabs>
          <w:tab w:leader="none" w:pos="60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99"/>
          </w:cols>
          <w:pgMar w:left="26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report on Form 6-K shall be deemed to be incorporated by reference into the registration statements on Form S-8 (Registration</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Numbers 333-228576, 333-203040, 333-210810, 333-211512, 333-213412, 333-214843, 333-216883, 333-254101, and 333-261550)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This report contains the Company’s Unaudited Condensed Consolidated Interim Financial Statements as of June 30, 2022, including Management’s Discussion and Analysis of Financial Condition and Results of Operations for the period presented therein.</w:t>
      </w:r>
    </w:p>
    <w:p>
      <w:pPr>
        <w:sectPr>
          <w:pgSz w:w="11900" w:h="16838" w:orient="portrait"/>
          <w:cols w:equalWidth="0" w:num="1">
            <w:col w:w="10920"/>
          </w:cols>
          <w:pgMar w:left="320" w:top="486"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August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Wolff Jensen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Chief Legal Officer</w:t>
      </w:r>
    </w:p>
    <w:p>
      <w:pPr>
        <w:sectPr>
          <w:pgSz w:w="11900" w:h="16838" w:orient="portrait"/>
          <w:cols w:equalWidth="0" w:num="1">
            <w:col w:w="11060"/>
          </w:cols>
          <w:pgMar w:left="320" w:top="486"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86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4220" w:type="dxa"/>
            <w:vAlign w:val="bottom"/>
          </w:tcPr>
          <w:p>
            <w:pPr>
              <w:spacing w:after="0"/>
              <w:rPr>
                <w:sz w:val="17"/>
                <w:szCs w:val="17"/>
                <w:color w:val="auto"/>
              </w:rPr>
            </w:pPr>
          </w:p>
        </w:tc>
      </w:tr>
      <w:tr>
        <w:trPr>
          <w:trHeight w:val="534"/>
        </w:trPr>
        <w:tc>
          <w:tcPr>
            <w:tcW w:w="4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500" w:type="dxa"/>
            <w:vAlign w:val="bottom"/>
            <w:gridSpan w:val="2"/>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4220" w:type="dxa"/>
            <w:vAlign w:val="bottom"/>
          </w:tcPr>
          <w:p>
            <w:pPr>
              <w:spacing w:after="0"/>
              <w:rPr>
                <w:sz w:val="24"/>
                <w:szCs w:val="24"/>
                <w:color w:val="auto"/>
              </w:rPr>
            </w:pPr>
          </w:p>
        </w:tc>
      </w:tr>
      <w:tr>
        <w:trPr>
          <w:trHeight w:val="418"/>
        </w:trPr>
        <w:tc>
          <w:tcPr>
            <w:tcW w:w="4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9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Unaudited Condensed Consolidated Interim Financial Statements – June 30, 2022</w:t>
            </w:r>
          </w:p>
        </w:tc>
        <w:tc>
          <w:tcPr>
            <w:tcW w:w="56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196"/>
        </w:trPr>
        <w:tc>
          <w:tcPr>
            <w:tcW w:w="4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w:t>
            </w:r>
          </w:p>
        </w:tc>
        <w:tc>
          <w:tcPr>
            <w:tcW w:w="64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42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bl>
    <w:p>
      <w:pPr>
        <w:jc w:val="right"/>
        <w:spacing w:after="0" w:line="196" w:lineRule="exact"/>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8"/>
            <w:vMerge w:val="restart"/>
          </w:tcPr>
          <w:p>
            <w:pPr>
              <w:spacing w:after="0"/>
              <w:rPr>
                <w:sz w:val="20"/>
                <w:szCs w:val="20"/>
                <w:color w:val="auto"/>
              </w:rPr>
            </w:pPr>
            <w:r>
              <w:rPr>
                <w:rFonts w:ascii="Arial" w:cs="Arial" w:eastAsia="Arial" w:hAnsi="Arial"/>
                <w:sz w:val="18"/>
                <w:szCs w:val="18"/>
                <w:color w:val="0000EE"/>
                <w:w w:val="91"/>
              </w:rPr>
              <w:t>Unaudited Condensed Consolidated Interim Statements of Profit or Loss and Other Comprehensive Income / (Loss) for the Three and Six Months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10640" w:type="dxa"/>
            <w:vAlign w:val="bottom"/>
            <w:gridSpan w:val="8"/>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2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Ended June 30, 2022 and 2021</w:t>
            </w:r>
          </w:p>
        </w:tc>
        <w:tc>
          <w:tcPr>
            <w:tcW w:w="8100" w:type="dxa"/>
            <w:vAlign w:val="bottom"/>
            <w:tcBorders>
              <w:top w:val="single" w:sz="8" w:color="0000EE"/>
            </w:tcBorders>
            <w:gridSpan w:val="5"/>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sz w:val="20"/>
                <w:szCs w:val="20"/>
                <w:color w:val="auto"/>
              </w:rPr>
            </w:pPr>
            <w:r>
              <w:rPr>
                <w:rFonts w:ascii="Arial" w:cs="Arial" w:eastAsia="Arial" w:hAnsi="Arial"/>
                <w:sz w:val="18"/>
                <w:szCs w:val="18"/>
                <w:color w:val="0000EE"/>
              </w:rPr>
              <w:t>Unaudited Condensed Consolidated Interim Statements of Financial Position as of June 30, 2022 and December 31, 2021</w:t>
            </w: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75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Unaudited Condensed Consolidated Interim Statements of Changes in Equity at June 30, 2022 and 2021</w:t>
            </w:r>
          </w:p>
        </w:tc>
        <w:tc>
          <w:tcPr>
            <w:tcW w:w="1240" w:type="dxa"/>
            <w:vAlign w:val="bottom"/>
            <w:tcBorders>
              <w:top w:val="single" w:sz="8" w:color="0000EE"/>
            </w:tcBorders>
            <w:gridSpan w:val="2"/>
          </w:tcPr>
          <w:p>
            <w:pPr>
              <w:spacing w:after="0"/>
              <w:rPr>
                <w:sz w:val="17"/>
                <w:szCs w:val="17"/>
                <w:color w:val="auto"/>
              </w:rPr>
            </w:pPr>
          </w:p>
        </w:tc>
        <w:tc>
          <w:tcPr>
            <w:tcW w:w="190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Unaudited Condensed Consolidated Interim Cash Flow Statements for the Six Months Ended June 30, 2022 and 2021</w:t>
            </w:r>
          </w:p>
        </w:tc>
        <w:tc>
          <w:tcPr>
            <w:tcW w:w="216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sz w:val="20"/>
                <w:szCs w:val="20"/>
                <w:color w:val="auto"/>
              </w:rPr>
            </w:pPr>
            <w:r>
              <w:rPr>
                <w:rFonts w:ascii="Arial" w:cs="Arial" w:eastAsia="Arial" w:hAnsi="Arial"/>
                <w:sz w:val="18"/>
                <w:szCs w:val="18"/>
                <w:color w:val="0000EE"/>
              </w:rPr>
              <w:t>Notes to the Unaudited Condensed Consolidated Interim Financial Statements</w:t>
            </w: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40" w:type="dxa"/>
            <w:vAlign w:val="bottom"/>
            <w:gridSpan w:val="6"/>
          </w:tcPr>
          <w:p>
            <w:pPr>
              <w:ind w:left="298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Interim Statements of Profit or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Comprehensive Income / (Loss) for Three and Six Months Ended June 30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vMerge w:val="restart"/>
          </w:tcPr>
          <w:p>
            <w:pPr>
              <w:spacing w:after="0"/>
              <w:rPr>
                <w:sz w:val="14"/>
                <w:szCs w:val="1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June 30</w:t>
            </w: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00" w:type="dxa"/>
            <w:vAlign w:val="bottom"/>
          </w:tcPr>
          <w:p>
            <w:pPr>
              <w:spacing w:after="0"/>
              <w:rPr>
                <w:sz w:val="15"/>
                <w:szCs w:val="15"/>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 of Profit or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6,160</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12,988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Gross profit / (loss)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7,656</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90,383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83,306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173,576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171,455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35,345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104,002</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72,591</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(141,893)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(117,629)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(269,922)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(242,279)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(1,166)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(4,817)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(6,039)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23,289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71,127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84,171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23,268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Finance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14,833</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(81,366)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(134,442)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(206,623)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(197,425)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(81,319)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(134,374)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(206,818)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(197,166)</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(134,374)</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(206,818)</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6"/>
                <w:szCs w:val="6"/>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55,805,486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53,848,166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56,260,248</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53,804,300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(EUR’000)</w:t>
            </w: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(EUR’000)</w:t>
            </w:r>
          </w:p>
        </w:tc>
        <w:tc>
          <w:tcPr>
            <w:tcW w:w="0" w:type="dxa"/>
            <w:vAlign w:val="bottom"/>
          </w:tcPr>
          <w:p>
            <w:pPr>
              <w:spacing w:after="0"/>
              <w:rPr>
                <w:sz w:val="1"/>
                <w:szCs w:val="1"/>
                <w:color w:val="auto"/>
              </w:rPr>
            </w:pPr>
          </w:p>
        </w:tc>
      </w:tr>
      <w:tr>
        <w:trPr>
          <w:trHeight w:val="222"/>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 of Comprehensive Income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(81,319)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(134,374)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(206,818)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(197,166)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200" w:type="dxa"/>
            <w:vAlign w:val="bottom"/>
            <w:gridSpan w:val="2"/>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(82,076)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(134,297)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(207,150)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(195,401)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(82,076)</w:t>
            </w:r>
          </w:p>
        </w:tc>
        <w:tc>
          <w:tcPr>
            <w:tcW w:w="200" w:type="dxa"/>
            <w:vAlign w:val="bottom"/>
            <w:gridSpan w:val="2"/>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(134,297)</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(207,150)</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540" w:right="120" w:hanging="424"/>
        <w:spacing w:after="0" w:line="248" w:lineRule="auto"/>
        <w:tabs>
          <w:tab w:leader="none" w:pos="540" w:val="left"/>
        </w:tabs>
        <w:numPr>
          <w:ilvl w:val="0"/>
          <w:numId w:val="1"/>
        </w:numPr>
        <w:rPr>
          <w:rFonts w:ascii="Arial" w:cs="Arial" w:eastAsia="Arial" w:hAnsi="Arial"/>
          <w:sz w:val="6"/>
          <w:szCs w:val="6"/>
          <w:color w:val="auto"/>
        </w:rPr>
      </w:pPr>
      <w:r>
        <w:rPr>
          <w:rFonts w:ascii="Arial" w:cs="Arial" w:eastAsia="Arial" w:hAnsi="Arial"/>
          <w:sz w:val="13"/>
          <w:szCs w:val="13"/>
          <w:color w:val="auto"/>
        </w:rPr>
        <w:t>As of June 30, 2022, a total of 7,033,103 warrants outstanding, each carrying the right to subscribe for one ordinary share, and 575,000 convertible senior notes which can potentially be converted into 3,456,785 ordinary shares, can potentially dilute earnings per share in the future but have not been included in the calculation of diluted earnings per share because they are antidilutive for the periods presented. Similarly, a total of 6,065,823 warrants outstanding as of June 30, 2021, are also considered antidilutive for the periods presented and have not been included in the calculation. The weighted average number of shares takes into account the weighted average effect of changes in treasury shares during the period.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8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133,224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126,049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receivables</w:t>
            </w:r>
          </w:p>
        </w:tc>
        <w:tc>
          <w:tcPr>
            <w:tcW w:w="478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1,836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78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39,721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107,561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214,736</w:t>
            </w: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Inventories</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101,322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75,405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78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Income tax receivables</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1,128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78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Prepayments</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35,067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25,231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78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282,767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235,797</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78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672,387</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1,112,095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805,886</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1,326,831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780" w:type="dxa"/>
            <w:vAlign w:val="bottom"/>
            <w:gridSpan w:val="2"/>
            <w:shd w:val="clear" w:color="auto" w:fill="CCEEFF"/>
          </w:tcPr>
          <w:p>
            <w:pPr>
              <w:jc w:val="center"/>
              <w:ind w:left="4410"/>
              <w:spacing w:after="0"/>
              <w:rPr>
                <w:sz w:val="20"/>
                <w:szCs w:val="20"/>
                <w:color w:val="auto"/>
              </w:rPr>
            </w:pPr>
            <w:r>
              <w:rPr>
                <w:rFonts w:ascii="Arial" w:cs="Arial" w:eastAsia="Arial" w:hAnsi="Arial"/>
                <w:sz w:val="18"/>
                <w:szCs w:val="18"/>
                <w:b w:val="1"/>
                <w:bCs w:val="1"/>
                <w:color w:val="auto"/>
                <w:w w:val="79"/>
              </w:rPr>
              <w:t>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Distributable equity</w:t>
            </w:r>
          </w:p>
        </w:tc>
        <w:tc>
          <w:tcPr>
            <w:tcW w:w="4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600,193</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607,842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883,635</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478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498,130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97,966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478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102,031</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603,861</w:t>
            </w: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Borrowings</w:t>
            </w:r>
          </w:p>
        </w:tc>
        <w:tc>
          <w:tcPr>
            <w:tcW w:w="478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14,079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478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74,984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59,417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20,957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Income taxes payable</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115,128</w:t>
            </w: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718,989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201,286</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1,326,831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940" w:type="dxa"/>
            <w:vAlign w:val="bottom"/>
            <w:gridSpan w:val="3"/>
            <w:vMerge w:val="restart"/>
          </w:tcPr>
          <w:p>
            <w:pPr>
              <w:ind w:left="1340"/>
              <w:spacing w:after="0"/>
              <w:rPr>
                <w:sz w:val="20"/>
                <w:szCs w:val="20"/>
                <w:color w:val="auto"/>
              </w:rPr>
            </w:pPr>
            <w:r>
              <w:rPr>
                <w:rFonts w:ascii="Arial" w:cs="Arial" w:eastAsia="Arial" w:hAnsi="Arial"/>
                <w:sz w:val="18"/>
                <w:szCs w:val="18"/>
                <w:color w:val="auto"/>
              </w:rPr>
              <w:t>F-3</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494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Interim Statements of Changes in Equity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left="735"/>
              <w:spacing w:after="0"/>
              <w:rPr>
                <w:sz w:val="20"/>
                <w:szCs w:val="20"/>
                <w:color w:val="auto"/>
              </w:rPr>
            </w:pPr>
            <w:r>
              <w:rPr>
                <w:rFonts w:ascii="Arial" w:cs="Arial" w:eastAsia="Arial" w:hAnsi="Arial"/>
                <w:sz w:val="14"/>
                <w:szCs w:val="14"/>
                <w:b w:val="1"/>
                <w:bCs w:val="1"/>
                <w:color w:val="auto"/>
                <w:w w:val="95"/>
              </w:rPr>
              <w:t>Distributable Equity</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Share-based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2"/>
            <w:vMerge w:val="continue"/>
          </w:tcPr>
          <w:p>
            <w:pPr>
              <w:spacing w:after="0"/>
              <w:rPr>
                <w:sz w:val="12"/>
                <w:szCs w:val="12"/>
                <w:color w:val="auto"/>
              </w:rPr>
            </w:pP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Payment</w:t>
            </w:r>
          </w:p>
        </w:tc>
        <w:tc>
          <w:tcPr>
            <w:tcW w:w="1060" w:type="dxa"/>
            <w:vAlign w:val="bottom"/>
            <w:gridSpan w:val="3"/>
            <w:vMerge w:val="continue"/>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Premium</w:t>
            </w: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top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January 1, 2022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7,646</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89"/>
              </w:rPr>
              <w:t>2,107,739</w:t>
            </w:r>
          </w:p>
        </w:tc>
        <w:tc>
          <w:tcPr>
            <w:tcW w:w="18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(21,605)</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3,779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199,931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(1,413,855)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883,635</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profit / (loss) for the period</w:t>
            </w: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Other comprehensive income / (loss), net of tax</w:t>
            </w:r>
          </w:p>
        </w:tc>
        <w:tc>
          <w:tcPr>
            <w:tcW w:w="104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(332)</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(206,818)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36,770</w:t>
            </w: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treasury shares (Note 9)</w:t>
            </w:r>
          </w:p>
        </w:tc>
        <w:tc>
          <w:tcPr>
            <w:tcW w:w="104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(106,099)</w:t>
            </w: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(106,099)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Capital increase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w w:val="86"/>
              </w:rPr>
              <w:t>683</w:t>
            </w:r>
          </w:p>
        </w:tc>
        <w:tc>
          <w:tcPr>
            <w:tcW w:w="18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37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June 30, 2022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7,649</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89"/>
              </w:rPr>
              <w:t>2,108,422</w:t>
            </w:r>
          </w:p>
        </w:tc>
        <w:tc>
          <w:tcPr>
            <w:tcW w:w="18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(127,704)</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3,447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236,701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(1,620,673)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607,842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left="735"/>
              <w:spacing w:after="0"/>
              <w:rPr>
                <w:sz w:val="20"/>
                <w:szCs w:val="20"/>
                <w:color w:val="auto"/>
              </w:rPr>
            </w:pPr>
            <w:r>
              <w:rPr>
                <w:rFonts w:ascii="Arial" w:cs="Arial" w:eastAsia="Arial" w:hAnsi="Arial"/>
                <w:sz w:val="14"/>
                <w:szCs w:val="14"/>
                <w:b w:val="1"/>
                <w:bCs w:val="1"/>
                <w:color w:val="auto"/>
                <w:w w:val="95"/>
              </w:rPr>
              <w:t>Distributable Equity</w:t>
            </w: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Share-based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w:t>
            </w: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Treasury</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2"/>
            <w:vMerge w:val="continue"/>
          </w:tcPr>
          <w:p>
            <w:pPr>
              <w:spacing w:after="0"/>
              <w:rPr>
                <w:sz w:val="12"/>
                <w:szCs w:val="12"/>
                <w:color w:val="auto"/>
              </w:rPr>
            </w:pP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Payment</w:t>
            </w:r>
          </w:p>
        </w:tc>
        <w:tc>
          <w:tcPr>
            <w:tcW w:w="1060" w:type="dxa"/>
            <w:vAlign w:val="bottom"/>
            <w:gridSpan w:val="3"/>
            <w:vMerge w:val="continue"/>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Premium</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January 1, 2021</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7,217</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1,728,747</w:t>
            </w: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133,101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(1,030,278)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838,711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profit / (loss) for the period</w:t>
            </w:r>
          </w:p>
        </w:tc>
        <w:tc>
          <w:tcPr>
            <w:tcW w:w="86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6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Other comprehensive income / (loss), net of tax</w:t>
            </w:r>
          </w:p>
        </w:tc>
        <w:tc>
          <w:tcPr>
            <w:tcW w:w="104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jc w:val="center"/>
              <w:ind w:left="214"/>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1,765</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86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center"/>
              <w:ind w:left="394"/>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1,765</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(197,166)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(195,401)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0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center"/>
              <w:ind w:left="214"/>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39,396</w:t>
            </w: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39,396</w:t>
            </w:r>
          </w:p>
        </w:tc>
        <w:tc>
          <w:tcPr>
            <w:tcW w:w="0" w:type="dxa"/>
            <w:vAlign w:val="bottom"/>
          </w:tcPr>
          <w:p>
            <w:pPr>
              <w:spacing w:after="0"/>
              <w:rPr>
                <w:sz w:val="1"/>
                <w:szCs w:val="1"/>
                <w:color w:val="auto"/>
              </w:rPr>
            </w:pPr>
          </w:p>
        </w:tc>
      </w:tr>
      <w:tr>
        <w:trPr>
          <w:trHeight w:val="216"/>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4,761</w:t>
            </w: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Equity at June 30, 2021</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7,237</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1,733,508</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172,497</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(1,227,444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center"/>
              <w:ind w:left="234"/>
              <w:spacing w:after="0"/>
              <w:rPr>
                <w:sz w:val="20"/>
                <w:szCs w:val="20"/>
                <w:color w:val="auto"/>
              </w:rPr>
            </w:pPr>
            <w:r>
              <w:rPr>
                <w:rFonts w:ascii="Arial" w:cs="Arial" w:eastAsia="Arial" w:hAnsi="Arial"/>
                <w:sz w:val="18"/>
                <w:szCs w:val="18"/>
                <w:color w:val="auto"/>
                <w:w w:val="88"/>
              </w:rPr>
              <w:t>F-4</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Interim Cash Flow Statements for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w:t>
      </w:r>
    </w:p>
    <w:p>
      <w:pPr>
        <w:spacing w:after="0" w:line="202"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Six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81"/>
        </w:trPr>
        <w:tc>
          <w:tcPr>
            <w:tcW w:w="52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4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5"/>
                <w:szCs w:val="15"/>
                <w:color w:val="auto"/>
              </w:rPr>
            </w:pPr>
          </w:p>
        </w:tc>
      </w:tr>
      <w:tr>
        <w:trPr>
          <w:trHeight w:val="217"/>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4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(206,818)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(197,166)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4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(84,171)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(23,268)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4820" w:type="dxa"/>
            <w:vAlign w:val="bottom"/>
            <w:gridSpan w:val="3"/>
          </w:tcPr>
          <w:p>
            <w:pPr>
              <w:jc w:val="right"/>
              <w:ind w:right="220"/>
              <w:spacing w:after="0"/>
              <w:rPr>
                <w:sz w:val="20"/>
                <w:szCs w:val="20"/>
                <w:color w:val="auto"/>
              </w:rPr>
            </w:pPr>
            <w:r>
              <w:rPr>
                <w:rFonts w:ascii="Arial" w:cs="Arial" w:eastAsia="Arial" w:hAnsi="Arial"/>
                <w:sz w:val="18"/>
                <w:szCs w:val="18"/>
                <w:color w:val="auto"/>
              </w:rPr>
              <w:t>14,833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1,703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2"/>
              </w:rPr>
              <w:t>Reversal of gain and loss on disposal of property, plant and equipment</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Reversal of tax charge</w:t>
            </w:r>
          </w:p>
        </w:tc>
        <w:tc>
          <w:tcPr>
            <w:tcW w:w="4820" w:type="dxa"/>
            <w:vAlign w:val="bottom"/>
            <w:gridSpan w:val="3"/>
          </w:tcPr>
          <w:p>
            <w:pPr>
              <w:jc w:val="right"/>
              <w:ind w:right="220"/>
              <w:spacing w:after="0"/>
              <w:rPr>
                <w:sz w:val="20"/>
                <w:szCs w:val="20"/>
                <w:color w:val="auto"/>
              </w:rPr>
            </w:pPr>
            <w:r>
              <w:rPr>
                <w:rFonts w:ascii="Arial" w:cs="Arial" w:eastAsia="Arial" w:hAnsi="Arial"/>
                <w:sz w:val="18"/>
                <w:szCs w:val="18"/>
                <w:color w:val="auto"/>
              </w:rPr>
              <w:t>195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 (decrease) in provisions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Adjustments for non-cash items:</w:t>
            </w:r>
          </w:p>
        </w:tc>
        <w:tc>
          <w:tcPr>
            <w:tcW w:w="3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consideration relating to revenue</w:t>
            </w:r>
          </w:p>
        </w:tc>
        <w:tc>
          <w:tcPr>
            <w:tcW w:w="4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Share of profit / (loss) of associate</w:t>
            </w:r>
          </w:p>
        </w:tc>
        <w:tc>
          <w:tcPr>
            <w:tcW w:w="4820" w:type="dxa"/>
            <w:vAlign w:val="bottom"/>
            <w:gridSpan w:val="3"/>
          </w:tcPr>
          <w:p>
            <w:pPr>
              <w:jc w:val="right"/>
              <w:ind w:right="220"/>
              <w:spacing w:after="0"/>
              <w:rPr>
                <w:sz w:val="20"/>
                <w:szCs w:val="20"/>
                <w:color w:val="auto"/>
              </w:rPr>
            </w:pPr>
            <w:r>
              <w:rPr>
                <w:rFonts w:ascii="Arial" w:cs="Arial" w:eastAsia="Arial" w:hAnsi="Arial"/>
                <w:sz w:val="18"/>
                <w:szCs w:val="18"/>
                <w:color w:val="auto"/>
              </w:rPr>
              <w:t>6,039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(23,289)</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36,770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39,396</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4820" w:type="dxa"/>
            <w:vAlign w:val="bottom"/>
            <w:gridSpan w:val="3"/>
          </w:tcPr>
          <w:p>
            <w:pPr>
              <w:jc w:val="right"/>
              <w:ind w:right="220"/>
              <w:spacing w:after="0"/>
              <w:rPr>
                <w:sz w:val="20"/>
                <w:szCs w:val="20"/>
                <w:color w:val="auto"/>
              </w:rPr>
            </w:pPr>
            <w:r>
              <w:rPr>
                <w:rFonts w:ascii="Arial" w:cs="Arial" w:eastAsia="Arial" w:hAnsi="Arial"/>
                <w:sz w:val="18"/>
                <w:szCs w:val="18"/>
                <w:color w:val="auto"/>
              </w:rPr>
              <w:t>8,584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7,112</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3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(25,917)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4820" w:type="dxa"/>
            <w:vAlign w:val="bottom"/>
            <w:gridSpan w:val="3"/>
          </w:tcPr>
          <w:p>
            <w:pPr>
              <w:jc w:val="right"/>
              <w:ind w:right="160"/>
              <w:spacing w:after="0"/>
              <w:rPr>
                <w:sz w:val="20"/>
                <w:szCs w:val="20"/>
                <w:color w:val="auto"/>
              </w:rPr>
            </w:pPr>
            <w:r>
              <w:rPr>
                <w:rFonts w:ascii="Arial" w:cs="Arial" w:eastAsia="Arial" w:hAnsi="Arial"/>
                <w:sz w:val="18"/>
                <w:szCs w:val="18"/>
                <w:color w:val="auto"/>
              </w:rPr>
              <w:t>(5,698)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(4,035)</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4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(9,637)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(7,832)</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Contract liabilities (deferred income)</w:t>
            </w:r>
          </w:p>
        </w:tc>
        <w:tc>
          <w:tcPr>
            <w:tcW w:w="4820" w:type="dxa"/>
            <w:vAlign w:val="bottom"/>
            <w:gridSpan w:val="3"/>
          </w:tcPr>
          <w:p>
            <w:pPr>
              <w:jc w:val="right"/>
              <w:ind w:right="160"/>
              <w:spacing w:after="0"/>
              <w:rPr>
                <w:sz w:val="20"/>
                <w:szCs w:val="20"/>
                <w:color w:val="auto"/>
              </w:rPr>
            </w:pPr>
            <w:r>
              <w:rPr>
                <w:rFonts w:ascii="Arial" w:cs="Arial" w:eastAsia="Arial" w:hAnsi="Arial"/>
                <w:sz w:val="18"/>
                <w:szCs w:val="18"/>
                <w:color w:val="auto"/>
              </w:rPr>
              <w:t>(1,865)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accrued expenses and other payables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7,960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10,902</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37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(257,235)</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(197,887)</w:t>
            </w:r>
          </w:p>
        </w:tc>
        <w:tc>
          <w:tcPr>
            <w:tcW w:w="12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3,828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Finance expenses paid</w:t>
            </w:r>
          </w:p>
        </w:tc>
        <w:tc>
          <w:tcPr>
            <w:tcW w:w="4820" w:type="dxa"/>
            <w:vAlign w:val="bottom"/>
            <w:gridSpan w:val="3"/>
          </w:tcPr>
          <w:p>
            <w:pPr>
              <w:jc w:val="right"/>
              <w:ind w:right="160"/>
              <w:spacing w:after="0"/>
              <w:rPr>
                <w:sz w:val="20"/>
                <w:szCs w:val="20"/>
                <w:color w:val="auto"/>
              </w:rPr>
            </w:pPr>
            <w:r>
              <w:rPr>
                <w:rFonts w:ascii="Arial" w:cs="Arial" w:eastAsia="Arial" w:hAnsi="Arial"/>
                <w:sz w:val="18"/>
                <w:szCs w:val="18"/>
                <w:color w:val="auto"/>
              </w:rPr>
              <w:t>(1,242)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(699)</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4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37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(255,181)</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(196,820)</w:t>
            </w:r>
          </w:p>
        </w:tc>
        <w:tc>
          <w:tcPr>
            <w:tcW w:w="12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37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(10,187)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plant and equipment</w:t>
            </w:r>
          </w:p>
        </w:tc>
        <w:tc>
          <w:tcPr>
            <w:tcW w:w="4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(7,544)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9"/>
              </w:rPr>
              <w:t>Reimbursement from acquisition of property, plant and equipment</w:t>
            </w:r>
          </w:p>
        </w:tc>
        <w:tc>
          <w:tcPr>
            <w:tcW w:w="4820" w:type="dxa"/>
            <w:vAlign w:val="bottom"/>
            <w:gridSpan w:val="3"/>
          </w:tcPr>
          <w:p>
            <w:pPr>
              <w:jc w:val="right"/>
              <w:ind w:right="220"/>
              <w:spacing w:after="0"/>
              <w:rPr>
                <w:sz w:val="20"/>
                <w:szCs w:val="20"/>
                <w:color w:val="auto"/>
              </w:rPr>
            </w:pPr>
            <w:r>
              <w:rPr>
                <w:rFonts w:ascii="Arial" w:cs="Arial" w:eastAsia="Arial" w:hAnsi="Arial"/>
                <w:sz w:val="18"/>
                <w:szCs w:val="18"/>
                <w:color w:val="auto"/>
              </w:rPr>
              <w:t>9,535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Development expenditures (software)</w:t>
            </w:r>
          </w:p>
        </w:tc>
        <w:tc>
          <w:tcPr>
            <w:tcW w:w="37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4820" w:type="dxa"/>
            <w:vAlign w:val="bottom"/>
            <w:gridSpan w:val="3"/>
          </w:tcPr>
          <w:p>
            <w:pPr>
              <w:jc w:val="right"/>
              <w:ind w:right="160"/>
              <w:spacing w:after="0"/>
              <w:rPr>
                <w:sz w:val="20"/>
                <w:szCs w:val="20"/>
                <w:color w:val="auto"/>
              </w:rPr>
            </w:pPr>
            <w:r>
              <w:rPr>
                <w:rFonts w:ascii="Arial" w:cs="Arial" w:eastAsia="Arial" w:hAnsi="Arial"/>
                <w:sz w:val="18"/>
                <w:szCs w:val="18"/>
                <w:color w:val="auto"/>
              </w:rPr>
              <w:t>(89,700)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(76,358)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marketable securities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136,139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75,600</w:t>
            </w: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37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48,430</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(19,082)</w:t>
            </w:r>
          </w:p>
        </w:tc>
        <w:tc>
          <w:tcPr>
            <w:tcW w:w="12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Payment of principal portion of lease liabilities</w:t>
            </w:r>
          </w:p>
        </w:tc>
        <w:tc>
          <w:tcPr>
            <w:tcW w:w="4820" w:type="dxa"/>
            <w:vAlign w:val="bottom"/>
            <w:gridSpan w:val="3"/>
          </w:tcPr>
          <w:p>
            <w:pPr>
              <w:jc w:val="right"/>
              <w:ind w:right="160"/>
              <w:spacing w:after="0"/>
              <w:rPr>
                <w:sz w:val="20"/>
                <w:szCs w:val="20"/>
                <w:color w:val="auto"/>
              </w:rPr>
            </w:pPr>
            <w:r>
              <w:rPr>
                <w:rFonts w:ascii="Arial" w:cs="Arial" w:eastAsia="Arial" w:hAnsi="Arial"/>
                <w:sz w:val="18"/>
                <w:szCs w:val="18"/>
                <w:color w:val="auto"/>
              </w:rPr>
              <w:t>(3,163)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(3,371)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convertible senior notes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503,281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Proceeds from exercise of warrants</w:t>
            </w:r>
          </w:p>
        </w:tc>
        <w:tc>
          <w:tcPr>
            <w:tcW w:w="4820" w:type="dxa"/>
            <w:vAlign w:val="bottom"/>
            <w:gridSpan w:val="3"/>
          </w:tcPr>
          <w:p>
            <w:pPr>
              <w:jc w:val="right"/>
              <w:ind w:right="220"/>
              <w:spacing w:after="0"/>
              <w:rPr>
                <w:sz w:val="20"/>
                <w:szCs w:val="20"/>
                <w:color w:val="auto"/>
              </w:rPr>
            </w:pPr>
            <w:r>
              <w:rPr>
                <w:rFonts w:ascii="Arial" w:cs="Arial" w:eastAsia="Arial" w:hAnsi="Arial"/>
                <w:sz w:val="18"/>
                <w:szCs w:val="18"/>
                <w:color w:val="auto"/>
              </w:rPr>
              <w:t>686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4,782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 net of transaction costs</w:t>
            </w:r>
          </w:p>
        </w:tc>
        <w:tc>
          <w:tcPr>
            <w:tcW w:w="4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(105,304)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37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395,500</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w:t>
            </w:r>
          </w:p>
        </w:tc>
        <w:tc>
          <w:tcPr>
            <w:tcW w:w="12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188,749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(214,491)</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37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446,267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584,517</w:t>
            </w:r>
          </w:p>
        </w:tc>
        <w:tc>
          <w:tcPr>
            <w:tcW w:w="12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balances held in foreign currencies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37,371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14,513</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37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672,387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384,539</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3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Bank deposits</w:t>
            </w:r>
          </w:p>
        </w:tc>
        <w:tc>
          <w:tcPr>
            <w:tcW w:w="4820" w:type="dxa"/>
            <w:vAlign w:val="bottom"/>
            <w:gridSpan w:val="3"/>
          </w:tcPr>
          <w:p>
            <w:pPr>
              <w:jc w:val="right"/>
              <w:ind w:right="220"/>
              <w:spacing w:after="0"/>
              <w:rPr>
                <w:sz w:val="20"/>
                <w:szCs w:val="20"/>
                <w:color w:val="auto"/>
              </w:rPr>
            </w:pPr>
            <w:r>
              <w:rPr>
                <w:rFonts w:ascii="Arial" w:cs="Arial" w:eastAsia="Arial" w:hAnsi="Arial"/>
                <w:sz w:val="18"/>
                <w:szCs w:val="18"/>
                <w:color w:val="auto"/>
              </w:rPr>
              <w:t>670,244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383,073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2,143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1,466</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37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672,387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384,539</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220" w:type="dxa"/>
            <w:vAlign w:val="bottom"/>
          </w:tcPr>
          <w:p>
            <w:pPr>
              <w:spacing w:after="0"/>
              <w:rPr>
                <w:sz w:val="24"/>
                <w:szCs w:val="24"/>
                <w:color w:val="auto"/>
              </w:rPr>
            </w:pPr>
          </w:p>
        </w:tc>
        <w:tc>
          <w:tcPr>
            <w:tcW w:w="4820" w:type="dxa"/>
            <w:vAlign w:val="bottom"/>
            <w:gridSpan w:val="3"/>
          </w:tcPr>
          <w:p>
            <w:pPr>
              <w:jc w:val="right"/>
              <w:ind w:right="4420"/>
              <w:spacing w:after="0"/>
              <w:rPr>
                <w:sz w:val="20"/>
                <w:szCs w:val="20"/>
                <w:color w:val="auto"/>
              </w:rPr>
            </w:pPr>
            <w:r>
              <w:rPr>
                <w:rFonts w:ascii="Arial" w:cs="Arial" w:eastAsia="Arial" w:hAnsi="Arial"/>
                <w:sz w:val="18"/>
                <w:szCs w:val="18"/>
                <w:color w:val="auto"/>
              </w:rPr>
              <w:t>F-5</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Ascendis Pharma A/S, together with its subsidiaries, is applying its innovative TransCon technologies to build a leading, fully integrated, global biopharmaceutical company. Ascendis Pharma A/S was incorporated in 2006 and is headquartered in Hellerup, Denmark. Unless the context otherwise requires, references to the “Company,” “we,” “us,” and “our”, refer to Ascendis Pharma A/S and its subsidiaries.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On February 2, 2015, the Company completed an initial public offering which resulted in the listing of American Depositary Shares (“ADSs”), representing the Company’s ordinary shares, under the symbol “ASND” in the United States on The Nasdaq Global Select Market.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Board of Directors approved these unaudited condensed consolidated interim financial statements on August 10,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2021, and accompanying notes, which have been prepared in accordance with IFRS as issued by the International Accounting Standards Board (the “IASB”) and as adopted by the European Union (the “EU”).</w:t>
      </w:r>
    </w:p>
    <w:p>
      <w:pPr>
        <w:spacing w:after="0" w:line="17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accounting policies applied are consistent with those of the previous financial year. A description of the accounting policies is provided in the Accounting Policies section of the audited consolidated financial statements as of and for the year ended December 31, 2021. In addition, the accounting policy for convertible senior notes and derivative liabilities, applied for the first time in this reporting period, is described below.</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preparation of financial statements in conformity with IFRS requires the use of certain significant accounting estimates and requires management to exercise its judgement in the process of applying the Company’s accounting policies. The areas involving a higher degree of judgement or complexity, or areas where assumptions and estimates are significant to the unaudited condensed consolidated interim financial statements are disclosed in Note 3, “Significant Accounting Judgements and Estimates”.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Senior Notes and Derivative Liabilities</w:t>
      </w:r>
    </w:p>
    <w:p>
      <w:pPr>
        <w:spacing w:after="0" w:line="117"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Convertible senior notes (“convertible notes”) are separated into a financial liability and an embedded derivative component based on the terms and conditions of the contract. The embedded derivative component is accounted for separately if this is not deemed closely related to the financial liability.</w:t>
      </w:r>
    </w:p>
    <w:p>
      <w:pPr>
        <w:spacing w:after="0" w:line="12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convertible notes include an embedded equity conversion option which is not deemed closely related to the financial liability, and is therefore initially recognized and measured separately at fair value as a derivative liability based on the stated terms upon issuance of the convertible notes. The conversion option is classified as a foreign currency conversion option which is not convertible into a fixed number of shares for a fixed amount of cash. Accordingly, the conversion option is recognized and measured as a derivative liability at fair value through profit or loss, with any subsequent remeasurement gains or losses recognized as part of financial income or expenses.</w:t>
      </w:r>
    </w:p>
    <w:p>
      <w:pPr>
        <w:spacing w:after="0" w:line="18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addition, the convertible notes include a redemption option, which entitle the Company to redeem the notes at a cash amount equal to the principal amount of the convertible notes, plus accrued and unpaid interest. The redemption option is closely related to the financial liability, and therefore is not separately accounted for. The initial carrying amount of the financial liability component including the redemption option is the residual amount of the proceeds, net of allocated transaction costs, after separating the derivative component.</w:t>
      </w:r>
    </w:p>
    <w:p>
      <w:pPr>
        <w:spacing w:after="0" w:line="18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Transaction costs are apportioned between the financial liability and derivative component based on the allocation of proceeds when the instrument is initially recognized. Transaction costs apportioned to the financial liability component form part of the effective interest and are amortized over the expected lifetime of the liability. Transaction costs allocated to the derivative component are expensed as incurred.</w:t>
      </w:r>
    </w:p>
    <w:p>
      <w:pPr>
        <w:spacing w:after="0" w:line="16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financial liability is subsequently measured at amortized cost until it is extinguished on conversion, optional redemption or upon repayment at maturity. The financial liability is presented as part of borrowings on the statement of financial position.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86"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International Financial Reporting Standards Not Yet Effective</w:t>
      </w:r>
    </w:p>
    <w:p>
      <w:pPr>
        <w:spacing w:after="0" w:line="117"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The IASB has issued a number of new or amended standards, which have not yet become effective or have not yet been adopted by the EU. Therefore, these new standards have not been incorporated in these unaudited condensed consolidated interim financial statements.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Amendments to IAS 1, “Classification of Liabilities as Current or Non-current”</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January 2020, the IASB issued amendments to paragraphs 69 to 76 of IAS 1, “Presentation of Financial Statements”, to specify the requirements for classifying liabilities as current or non-current. The amendments clarify:</w:t>
      </w:r>
    </w:p>
    <w:p>
      <w:pPr>
        <w:spacing w:after="0" w:line="76"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is meant by a right to defer settlement;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a right to defer must exist at the end of the reporting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classification is unaffected by the likelihood that an entity will exercise its deferral right;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only if an embedded derivative in a convertible liability is itself an equity instrument would the terms of a liability not impact its classification.</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If approved by the EU, the amendments are effective for annual reporting periods beginning on or after January 1, 2023, and must be applied retrospectively. The amendments are expected to require the convertible notes (presented as part of borrowings on the statement of financial position) and derivative liabilities, both presented as non-current liabilities at June 30, 2022, to be presented as current liabilities. On June 30, 2022, the carrying amount of convertible notes and derivative liabilities were €399.0 million and €102.0 million,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financial statements are not expected to be affected by other new or amended standards.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3—Significant Accounting Judgements and Estimates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2021.</w:t>
      </w:r>
    </w:p>
    <w:p>
      <w:pPr>
        <w:spacing w:after="0" w:line="18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periods presented in the unaudited condensed consolidated interim financial statements.</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Other than as set out below, there have been no other changes to the application of significant accounting judgements, or estimation uncertainties regarding accounting estimates compared to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Embedded Derivatives</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foreign currency conversion option, embedded in the convertible notes, is accounted for separately as a derivative liability at fair value through profit or loss.</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Fair value cannot be measured based on quoted prices in active markets or other observable inputs, and accordingly, derivative liabilities are measured by using the Black-Scholes option pricing model. Subjective judgements and assumptions, which are subject to estimation uncertainties, need to be exercised in determining the appropriate unobservable input to the valuation model (Level 3 in the fair value hierarchy). These inputs include volatility of the Company’s share price for a historic period, reflecting the assumption that the historical volatility is indicative of a period similar to the expected lifetime of the option.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assumptions relating to these factors could affect the reported fair value of derivative liabilities.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40"/>
          </w:cols>
          <w:pgMar w:left="320" w:top="486" w:right="5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COVID-19 did not have a direct material impact on the unaudited condensed consolidated interim financial statements.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in the Region Surrounding Ukraine and Russia</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ongoing conflict in the region surrounding Ukraine and Russia has impacted our ability to continue clinical trial activities in those countries. The conflict did not have a direct material impact on the unaudited condensed consolidated interim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February 2022, the Company entered into a facility lease in Germany with an enforceable lease term of 15 years, which is expected to commence in 2025. Subject to changes in terms and conditions and development in interest rates, an initial lease liability and corresponding right-of-use asset of €55.2 million is expected to be recognized at the commencement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Senior Notes Offering</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In March 2022, the Company issued an aggregate principal amount of $575.0 million of fixed rate 2.25% convertible notes. The net proceeds from the offering were $557.9 million (€503.3 million), after deducting the initial purchasers’ discounts and commissions and offering expenses.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details are disclosed in Note 10, “Financial Assets and Financial Liabilities”.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Treasury Shares</w:t>
      </w:r>
    </w:p>
    <w:p>
      <w:pPr>
        <w:spacing w:after="0" w:line="117"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Company used $116.7 million (€105.3 million) of the net proceeds from the offering of the convertible notes to repurchase 1,000,000 ADSs representing the Company’s ordinary shares. Total holding of treasury shares is disclosed in Note 9, “Treasury Shares”.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960"/>
          </w:cols>
          <w:pgMar w:left="320" w:top="486" w:right="6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5—Revenue</w:t>
      </w:r>
    </w:p>
    <w:p>
      <w:pPr>
        <w:spacing w:after="0" w:line="120"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Revenue from commercial sale of products relates to sale of SKYTROFA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(lonapegsomatropin-tcgd) on the U.S. market, which is sold to specialty pharmacies and specialty distributors (“commercial customers”). Customer payment terms are typically 30 days from the transaction date. SKYTROFA (lonapegsomatropin-tcgd) was approved by the U.S. Food and Drug Administration in August 2021, and the Company began shipping products to commercial customers in the fourth quarter of 2021.</w:t>
      </w:r>
    </w:p>
    <w:p>
      <w:pPr>
        <w:spacing w:after="0" w:line="203"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Other revenue is generated primarily from three license agreements, which were entered into in 2018. The licenses grant VISEN Pharmaceuticals exclusive rights to develop and commercialize TransCon hGH, TransCon PTH and TransCon CNP in Greater China.</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9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02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r>
      <w:tr>
        <w:trPr>
          <w:trHeight w:val="181"/>
        </w:trPr>
        <w:tc>
          <w:tcPr>
            <w:tcW w:w="7020" w:type="dxa"/>
            <w:vAlign w:val="bottom"/>
          </w:tcPr>
          <w:p>
            <w:pPr>
              <w:spacing w:after="0"/>
              <w:rPr>
                <w:sz w:val="15"/>
                <w:szCs w:val="15"/>
                <w:color w:val="auto"/>
              </w:rPr>
            </w:pPr>
          </w:p>
        </w:tc>
        <w:tc>
          <w:tcPr>
            <w:tcW w:w="130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rPr>
              <w:t>(EUR’000)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9"/>
              </w:rPr>
              <w:t>(EUR’000)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Commercial sale of products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4,435</w:t>
            </w:r>
          </w:p>
        </w:tc>
        <w:tc>
          <w:tcPr>
            <w:tcW w:w="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6,323</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Rendering of services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Sale of clinical supply</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4,407</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Total revenue from external customers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6,160</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12,988</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w:t>
            </w:r>
          </w:p>
        </w:tc>
        <w:tc>
          <w:tcPr>
            <w:tcW w:w="6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Commercial customers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4,435</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913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6,323</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1,550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Collaboration partners and license agreements </w:t>
            </w:r>
            <w:r>
              <w:rPr>
                <w:rFonts w:ascii="Arial" w:cs="Arial" w:eastAsia="Arial" w:hAnsi="Arial"/>
                <w:sz w:val="6"/>
                <w:szCs w:val="6"/>
                <w:color w:val="auto"/>
              </w:rPr>
              <w:t>(1)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Total revenue from external customers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6,160</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12,988</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w:t>
            </w:r>
          </w:p>
        </w:tc>
        <w:tc>
          <w:tcPr>
            <w:tcW w:w="6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timing of recognition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Recognized over time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Recognized at a point in time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1,372</w:t>
            </w:r>
          </w:p>
        </w:tc>
      </w:tr>
      <w:tr>
        <w:trPr>
          <w:trHeight w:val="230"/>
        </w:trPr>
        <w:tc>
          <w:tcPr>
            <w:tcW w:w="7020" w:type="dxa"/>
            <w:vAlign w:val="bottom"/>
          </w:tcPr>
          <w:p>
            <w:pPr>
              <w:spacing w:after="0"/>
              <w:rPr>
                <w:sz w:val="20"/>
                <w:szCs w:val="20"/>
                <w:color w:val="auto"/>
              </w:rPr>
            </w:pPr>
            <w:r>
              <w:rPr>
                <w:rFonts w:ascii="Arial" w:cs="Arial" w:eastAsia="Arial" w:hAnsi="Arial"/>
                <w:sz w:val="18"/>
                <w:szCs w:val="18"/>
                <w:b w:val="1"/>
                <w:bCs w:val="1"/>
                <w:color w:val="auto"/>
              </w:rPr>
              <w:t>Total revenue from external customers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6,160</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12,988</w:t>
            </w: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w:t>
            </w:r>
          </w:p>
        </w:tc>
        <w:tc>
          <w:tcPr>
            <w:tcW w:w="6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by geographical location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Europe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China</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942</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r>
      <w:tr>
        <w:trPr>
          <w:trHeight w:val="27"/>
        </w:trPr>
        <w:tc>
          <w:tcPr>
            <w:tcW w:w="7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from external customers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12,988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1,767</w:t>
            </w:r>
          </w:p>
        </w:tc>
      </w:tr>
      <w:tr>
        <w:trPr>
          <w:trHeight w:val="20"/>
        </w:trPr>
        <w:tc>
          <w:tcPr>
            <w:tcW w:w="7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540" w:right="40" w:hanging="424"/>
        <w:spacing w:after="0" w:line="253" w:lineRule="auto"/>
        <w:tabs>
          <w:tab w:leader="none" w:pos="540" w:val="left"/>
        </w:tabs>
        <w:numPr>
          <w:ilvl w:val="0"/>
          <w:numId w:val="3"/>
        </w:numPr>
        <w:rPr>
          <w:rFonts w:ascii="Arial" w:cs="Arial" w:eastAsia="Arial" w:hAnsi="Arial"/>
          <w:sz w:val="7"/>
          <w:szCs w:val="7"/>
          <w:color w:val="auto"/>
        </w:rPr>
      </w:pPr>
      <w:r>
        <w:rPr>
          <w:rFonts w:ascii="Arial" w:cs="Arial" w:eastAsia="Arial" w:hAnsi="Arial"/>
          <w:sz w:val="14"/>
          <w:szCs w:val="14"/>
          <w:color w:val="auto"/>
        </w:rPr>
        <w:t>For the three months ended June 30, 2022 and 2021, and for the six month ended June 30, 2022 and 2021, “Total revenue” includes recognition of previously deferred revenue/internal profit from associate of €0.6 million and €0.6 million, and of €1.3 million and €1.2 million respectively.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Company is managed and operated as one business unit. No separate business areas or separate business units have been identified in relation to product candidates or geographical markets. Accordingly, no additional information on business segments or geographical areas is disclosed.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7—Share-based Payment</w:t>
      </w:r>
    </w:p>
    <w:p>
      <w:pPr>
        <w:spacing w:after="0" w:line="12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As an incentive to the Executive Board, employees, members of the Board of Directors and select consultants, Ascendis Pharma A/S has established warrant programs and, since December 2021, a Restricted Stock Unit program (“RSU program”), which are equity-settled share-based payment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Costs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Share-based compensation costs are determined using the grant date fair value of warrants and Restricted Stock Units (“RSUs”) granted and are recognized over the vesting period as research and development costs, selling, general and administrative expenses, or cost of sales. For the three and six months ended June 30, 2022 and 2021, share-based compensation costs recognized in the unaudited condensed consolidated interim statement of profit or loss were €16.8 million and €16.3 million, respectively, and €36.8 million and €39.4 million, respectively.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RSUs are granted by the Board of Directors in accordance with authorizations given to it by the shareholders of Ascendis Pharma A/S to the Executive Board, select employees and members of the Board of Directors (“RSU-holders”) in accordance with the Company’s RSU program adopted in December 2021. In addition, RSUs may be granted to select consultants. One RSU represents a right for the RSU-holder to receive one ADS of Ascendis Pharma A/S upon vesting if the vesting conditions are met, or waived by the Board of Directors at its discretion.</w:t>
      </w:r>
    </w:p>
    <w:p>
      <w:pPr>
        <w:spacing w:after="0" w:line="17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All RSUs are hedged by treasury shares that have been repurchased in the market. Upon vesting, the Company may at its sole discretion choose to make a cash settlement instead of delivering ADSs.</w:t>
      </w:r>
    </w:p>
    <w:p>
      <w:pPr>
        <w:sectPr>
          <w:pgSz w:w="11900" w:h="16838" w:orient="portrait"/>
          <w:cols w:equalWidth="0" w:num="1">
            <w:col w:w="11120"/>
          </w:cols>
          <w:pgMar w:left="320" w:top="486" w:right="459" w:bottom="1440" w:gutter="0" w:footer="0" w:header="0"/>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RSU Activity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specifies the number of RSUs granted, and outstanding RSUs at June 30, 2022:</w:t>
      </w: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Settled during the period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Forfeited during the period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at June 30, 2022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Specified by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December, 2023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2024</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fair value of RSUs at the date of grant was €123.46 for the year ended December 31, 2021, which was the first date of granting RSUs.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RSUs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148,148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12065</wp:posOffset>
            </wp:positionV>
            <wp:extent cx="5486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20320</wp:posOffset>
            </wp:positionV>
            <wp:extent cx="5486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132,762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24765</wp:posOffset>
            </wp:positionV>
            <wp:extent cx="5486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41910</wp:posOffset>
            </wp:positionV>
            <wp:extent cx="548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44,254</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44,254</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44,254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5715</wp:posOffset>
            </wp:positionV>
            <wp:extent cx="5486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132,762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24765</wp:posOffset>
            </wp:positionV>
            <wp:extent cx="548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41910</wp:posOffset>
            </wp:positionV>
            <wp:extent cx="548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158" w:lineRule="exact"/>
        <w:rPr>
          <w:sz w:val="20"/>
          <w:szCs w:val="20"/>
          <w:color w:val="auto"/>
        </w:rPr>
      </w:pPr>
    </w:p>
    <w:p>
      <w:pPr>
        <w:sectPr>
          <w:pgSz w:w="11900" w:h="16838" w:orient="portrait"/>
          <w:cols w:equalWidth="0" w:num="2">
            <w:col w:w="10080" w:space="340"/>
            <w:col w:w="700"/>
          </w:cols>
          <w:pgMar w:left="320" w:top="486" w:right="459" w:bottom="1440" w:gutter="0" w:footer="0" w:header="0"/>
          <w:type w:val="continuous"/>
        </w:sectPr>
      </w:pPr>
    </w:p>
    <w:p>
      <w:pPr>
        <w:ind w:left="120" w:right="280"/>
        <w:spacing w:after="0" w:line="279" w:lineRule="auto"/>
        <w:rPr>
          <w:sz w:val="20"/>
          <w:szCs w:val="20"/>
          <w:color w:val="auto"/>
        </w:rPr>
      </w:pPr>
      <w:r>
        <w:rPr>
          <w:rFonts w:ascii="Arial" w:cs="Arial" w:eastAsia="Arial" w:hAnsi="Arial"/>
          <w:sz w:val="17"/>
          <w:szCs w:val="17"/>
          <w:color w:val="auto"/>
        </w:rPr>
        <w:t>Warrants are granted by the Board of Directors in accordance with authorizations given to it by the shareholders of Ascendis Pharma A/S to all employees, members of the Board of Directors and select consultants (“warrantholders”). Each warrant carries the right to subscribe for one ordinary share of a nominal value of DKK 1. The exercise price is fixed at the fair market value of the Company’s ordinary shares at the time of grant as determined by the Board of Directors. Vested warrants may be exercised in two or four annual exercise periods.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86" w:right="4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specifies the warrant activity during the six months ended June 30,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9000" w:type="dxa"/>
            <w:vAlign w:val="bottom"/>
          </w:tcPr>
          <w:p>
            <w:pPr>
              <w:spacing w:after="0"/>
              <w:rPr>
                <w:sz w:val="12"/>
                <w:szCs w:val="12"/>
                <w:color w:val="auto"/>
              </w:rPr>
            </w:pPr>
          </w:p>
        </w:tc>
        <w:tc>
          <w:tcPr>
            <w:tcW w:w="10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0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7,085,073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860" w:type="dxa"/>
            <w:vAlign w:val="bottom"/>
          </w:tcPr>
          <w:p>
            <w:pPr>
              <w:jc w:val="right"/>
              <w:spacing w:after="0"/>
              <w:rPr>
                <w:sz w:val="20"/>
                <w:szCs w:val="20"/>
                <w:color w:val="auto"/>
              </w:rPr>
            </w:pPr>
            <w:r>
              <w:rPr>
                <w:rFonts w:ascii="Arial" w:cs="Arial" w:eastAsia="Arial" w:hAnsi="Arial"/>
                <w:sz w:val="18"/>
                <w:szCs w:val="18"/>
                <w:color w:val="auto"/>
              </w:rPr>
              <w:t>170,815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(195,409)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7,033,103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b w:val="1"/>
                <w:bCs w:val="1"/>
                <w:color w:val="auto"/>
              </w:rPr>
              <w:t>Vested at June 30, 2022</w:t>
            </w: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4,484,859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exercise prices of outstanding warrants under the Company’s warrant programs range from €6.48 to €145.5 depending on the grant dates.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share capital of Ascendis Pharma A/S consists of 56,965,058 fully paid shares at a nominal value of DKK 1, all in the same share class.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9—Treasury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holding of treasury shares is specified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Holding in</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Nominal</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Holding</w:t>
            </w:r>
          </w:p>
        </w:tc>
        <w:tc>
          <w:tcPr>
            <w:tcW w:w="160" w:type="dxa"/>
            <w:vAlign w:val="bottom"/>
            <w:vMerge w:val="restart"/>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values</w:t>
            </w:r>
          </w:p>
        </w:tc>
        <w:tc>
          <w:tcPr>
            <w:tcW w:w="16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(EUR’000)</w:t>
            </w:r>
          </w:p>
        </w:tc>
        <w:tc>
          <w:tcPr>
            <w:tcW w:w="160" w:type="dxa"/>
            <w:vAlign w:val="bottom"/>
          </w:tcPr>
          <w:p>
            <w:pPr>
              <w:spacing w:after="0"/>
              <w:rPr>
                <w:sz w:val="15"/>
                <w:szCs w:val="15"/>
                <w:color w:val="auto"/>
              </w:rPr>
            </w:pPr>
          </w:p>
        </w:tc>
        <w:tc>
          <w:tcPr>
            <w:tcW w:w="1880" w:type="dxa"/>
            <w:vAlign w:val="bottom"/>
            <w:gridSpan w:val="3"/>
          </w:tcPr>
          <w:p>
            <w:pPr>
              <w:ind w:left="6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Treasury shares</w:t>
            </w:r>
          </w:p>
        </w:tc>
        <w:tc>
          <w:tcPr>
            <w:tcW w:w="4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At January 1, 2022</w:t>
            </w:r>
          </w:p>
        </w:tc>
        <w:tc>
          <w:tcPr>
            <w:tcW w:w="5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154,837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Acquired from third-parties</w:t>
            </w:r>
          </w:p>
        </w:tc>
        <w:tc>
          <w:tcPr>
            <w:tcW w:w="4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At June 30, 2022</w:t>
            </w:r>
          </w:p>
        </w:tc>
        <w:tc>
          <w:tcPr>
            <w:tcW w:w="4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1,154,837</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5240" w:type="dxa"/>
            <w:vAlign w:val="bottom"/>
            <w:gridSpan w:val="3"/>
          </w:tcPr>
          <w:p>
            <w:pPr>
              <w:ind w:left="1680"/>
              <w:spacing w:after="0"/>
              <w:rPr>
                <w:sz w:val="20"/>
                <w:szCs w:val="20"/>
                <w:color w:val="auto"/>
              </w:rPr>
            </w:pPr>
            <w:r>
              <w:rPr>
                <w:rFonts w:ascii="Arial" w:cs="Arial" w:eastAsia="Arial" w:hAnsi="Arial"/>
                <w:sz w:val="18"/>
                <w:szCs w:val="18"/>
                <w:color w:val="auto"/>
              </w:rPr>
              <w:t>F-11</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10—Financial Assets and Financial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assets and liabilities comprise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960" w:type="dxa"/>
            <w:vAlign w:val="bottom"/>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60" w:type="dxa"/>
            <w:vAlign w:val="bottom"/>
          </w:tcPr>
          <w:p>
            <w:pPr>
              <w:spacing w:after="0"/>
              <w:rPr>
                <w:sz w:val="15"/>
                <w:szCs w:val="15"/>
                <w:color w:val="auto"/>
              </w:rPr>
            </w:pPr>
          </w:p>
        </w:tc>
        <w:tc>
          <w:tcPr>
            <w:tcW w:w="200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by category</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Trade receivables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4,369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(excluding VAT receivables)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322,488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343,358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672,387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446,267</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1,002,553</w:t>
            </w:r>
          </w:p>
        </w:tc>
        <w:tc>
          <w:tcPr>
            <w:tcW w:w="2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1,002,553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804,101</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b w:val="1"/>
                <w:bCs w:val="1"/>
                <w:color w:val="auto"/>
              </w:rPr>
              <w:t>Classified in the statement of financial position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41,557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109,369</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960,996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694,732</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1,002,553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804,101</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86" w:right="439" w:bottom="1440" w:gutter="0" w:footer="0" w:header="0"/>
        </w:sectPr>
      </w:pPr>
    </w:p>
    <w:p>
      <w:pPr>
        <w:spacing w:after="0" w:line="34" w:lineRule="exact"/>
        <w:rPr>
          <w:sz w:val="20"/>
          <w:szCs w:val="20"/>
          <w:color w:val="auto"/>
        </w:rPr>
      </w:pPr>
    </w:p>
    <w:p>
      <w:pPr>
        <w:jc w:val="center"/>
        <w:ind w:left="9260"/>
        <w:spacing w:after="0"/>
        <w:rPr>
          <w:sz w:val="20"/>
          <w:szCs w:val="20"/>
          <w:color w:val="auto"/>
        </w:rPr>
      </w:pPr>
      <w:r>
        <w:rPr>
          <w:rFonts w:ascii="Arial" w:cs="Arial" w:eastAsia="Arial" w:hAnsi="Arial"/>
          <w:sz w:val="12"/>
          <w:szCs w:val="12"/>
          <w:b w:val="1"/>
          <w:bCs w:val="1"/>
          <w:color w:val="auto"/>
        </w:rPr>
        <w:t>June 30,</w:t>
      </w:r>
    </w:p>
    <w:p>
      <w:pPr>
        <w:spacing w:after="0" w:line="21"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December 31,</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p>
    <w:p>
      <w:pPr>
        <w:sectPr>
          <w:pgSz w:w="11900" w:h="16838" w:orient="portrait"/>
          <w:cols w:equalWidth="0" w:num="2">
            <w:col w:w="9760" w:space="460"/>
            <w:col w:w="92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5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80" w:type="dxa"/>
            <w:vAlign w:val="bottom"/>
            <w:gridSpan w:val="3"/>
          </w:tcPr>
          <w:p>
            <w:pPr>
              <w:ind w:left="660"/>
              <w:spacing w:after="0"/>
              <w:rPr>
                <w:sz w:val="20"/>
                <w:szCs w:val="20"/>
                <w:color w:val="auto"/>
              </w:rPr>
            </w:pPr>
            <w:r>
              <w:rPr>
                <w:rFonts w:ascii="Arial" w:cs="Arial" w:eastAsia="Arial" w:hAnsi="Arial"/>
                <w:sz w:val="14"/>
                <w:szCs w:val="14"/>
                <w:b w:val="1"/>
                <w:bCs w:val="1"/>
                <w:color w:val="auto"/>
              </w:rPr>
              <w:t>(EUR’000)</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by category</w:t>
            </w:r>
          </w:p>
        </w:tc>
        <w:tc>
          <w:tcPr>
            <w:tcW w:w="3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Borrowings</w:t>
            </w:r>
          </w:p>
        </w:tc>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senior notes</w:t>
            </w:r>
          </w:p>
        </w:tc>
        <w:tc>
          <w:tcPr>
            <w:tcW w:w="4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399,037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4980" w:type="dxa"/>
            <w:vAlign w:val="bottom"/>
            <w:gridSpan w:val="3"/>
          </w:tcPr>
          <w:p>
            <w:pPr>
              <w:jc w:val="right"/>
              <w:ind w:right="280"/>
              <w:spacing w:after="0"/>
              <w:rPr>
                <w:sz w:val="20"/>
                <w:szCs w:val="20"/>
                <w:color w:val="auto"/>
              </w:rPr>
            </w:pPr>
            <w:r>
              <w:rPr>
                <w:rFonts w:ascii="Arial" w:cs="Arial" w:eastAsia="Arial" w:hAnsi="Arial"/>
                <w:sz w:val="18"/>
                <w:szCs w:val="18"/>
                <w:color w:val="auto"/>
              </w:rPr>
              <w:t>113,172</w:t>
            </w: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104,961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4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74,984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59,417</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38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587,193</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164,378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102,031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b w:val="1"/>
                <w:bCs w:val="1"/>
                <w:color w:val="auto"/>
                <w:w w:val="93"/>
              </w:rPr>
              <w:t>Financial liabilities measured at fair value through profit or loss</w:t>
            </w:r>
          </w:p>
        </w:tc>
        <w:tc>
          <w:tcPr>
            <w:tcW w:w="38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102,031</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4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689,224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164,378</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Classified in the statement of financial position</w:t>
            </w:r>
          </w:p>
        </w:tc>
        <w:tc>
          <w:tcPr>
            <w:tcW w:w="3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4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600,161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97,966</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89,063</w:t>
            </w: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66,412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38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689,224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164,378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5220" w:type="dxa"/>
            <w:vAlign w:val="bottom"/>
            <w:gridSpan w:val="4"/>
          </w:tcPr>
          <w:p>
            <w:pPr>
              <w:ind w:left="220"/>
              <w:spacing w:after="0"/>
              <w:rPr>
                <w:sz w:val="20"/>
                <w:szCs w:val="20"/>
                <w:color w:val="auto"/>
              </w:rPr>
            </w:pPr>
            <w:r>
              <w:rPr>
                <w:rFonts w:ascii="Arial" w:cs="Arial" w:eastAsia="Arial" w:hAnsi="Arial"/>
                <w:sz w:val="18"/>
                <w:szCs w:val="18"/>
                <w:color w:val="auto"/>
              </w:rPr>
              <w:t>F-12</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Marketable securities are measured at amortized cost, and fair values are determined based on quoted market prices. (Level 1 in the fair value hierarchy).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the portfolio is specified in the following table: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80" w:type="dxa"/>
            <w:vAlign w:val="bottom"/>
          </w:tcPr>
          <w:p>
            <w:pPr>
              <w:spacing w:after="0"/>
              <w:rPr>
                <w:sz w:val="10"/>
                <w:szCs w:val="10"/>
                <w:color w:val="auto"/>
              </w:rPr>
            </w:pPr>
          </w:p>
        </w:tc>
        <w:tc>
          <w:tcPr>
            <w:tcW w:w="106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180" w:type="dxa"/>
            <w:vAlign w:val="bottom"/>
            <w:vMerge w:val="restart"/>
          </w:tcPr>
          <w:p>
            <w:pPr>
              <w:spacing w:after="0"/>
              <w:rPr>
                <w:sz w:val="10"/>
                <w:szCs w:val="10"/>
                <w:color w:val="auto"/>
              </w:rPr>
            </w:pPr>
          </w:p>
        </w:tc>
        <w:tc>
          <w:tcPr>
            <w:tcW w:w="108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80" w:type="dxa"/>
            <w:vAlign w:val="bottom"/>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00" w:type="dxa"/>
            <w:vAlign w:val="bottom"/>
            <w:gridSpan w:val="2"/>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(EUR’000)</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U.S. Government bonds</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115,177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113,635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95,408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95,211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papers</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Corporate bonds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186,617</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184,648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226,771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226,379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20,694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20,491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18,972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322,488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318,774</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343,358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Classified based on maturity profiles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Non-current assets</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39,721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38,576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107,561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107,175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282,767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280,198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235,797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235,556</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322,488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318,774</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343,358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rate structure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Fixed rate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309,174</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305,481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323,176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322,556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Floating rate</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13,314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13,293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17,968</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Zero-coupon</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322,488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318,774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343,358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342,731</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Specified by investment grade credit rating</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High grade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156,203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154,268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144,307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144,030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Upper medium grade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163,974</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162,214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196,909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196,566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Lower medium grade</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322,488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318,774</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343,358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The Company’s marketable securities are all denominated in U.S. Dollars. At June 30, 2022 and December 31, 2021, the portfolio had a weighted average duration of 6.1 and 6.6 months for current positions, and 15.2 and 17.5 months for non-current positions, respectively. At June 30, 2022 and December 31, 2021, the entire portfolio had a weighted average duration of 7.2 months and 10.4 months, respectively.</w:t>
      </w:r>
    </w:p>
    <w:p>
      <w:pPr>
        <w:spacing w:after="0" w:line="16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86"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convertible notes accrue interest at a rate of 2.25% per annum, payable semi-annually in arrears on April 1 and October 1 of each year, beginning on October 1, 2022.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192"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157"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On June 30, 2022, the carrying amount of the convertible notes was €399.0 million, and the fair value was approximately €400.8 million. Fair value cannot be measured based on quoted prices in active markets, or other observable input, and accordingly the fair value was estimated by using an estimated market rate for an equivalent non-convertible instrument, and by excluding transaction costs (Level 3 in the fair value hierarchy).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Derivative liabilities relate to the foreign currency conversion option embedded in the convertible notes.</w:t>
      </w:r>
    </w:p>
    <w:p>
      <w:pPr>
        <w:spacing w:after="0" w:line="225"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Fair value cannot be measured based on quoted prices in active markets or other observable inputs, and accordingly, derivative liabilities are measured by using the Black-Scholes option pricing model (Level 3 in the fair value hierarchy).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 as of June 30, 2022).</w:t>
      </w:r>
    </w:p>
    <w:p>
      <w:pPr>
        <w:spacing w:after="0" w:line="188"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Derivative liabilities were recognized in March, 2022, at the initial fair value of €142.5 million. For the three and six months ended June 30, 2022, remeasurement gains recognized in the unaudited condensed consolidated interim statement of profit or loss were €39.3 million and €40.4 million,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Sensitivity Analysis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June 30, 2022, all other inputs and assumptions held constant, a 10% increase in volatility, will increase the fair value of derivative liabilities by approximately €13.8 million and indicates a decrease in profit or loss and equity before tax. Similarly, a 10% decrease in volatility indicates the opposite impact.</w:t>
      </w:r>
    </w:p>
    <w:p>
      <w:pPr>
        <w:spacing w:after="0" w:line="1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Similarly, on June 30, 2022, all other inputs and assumptions held constant, a 10% increase in the share price, will increase the fair value of derivative liabilities by approximately €18.8 million and indicates a decrease in profit or loss and equity before tax. Similarly, a 10% decrease in the share price indicates the opposite impact.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Maturity Analysis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Maturity analysis (on an undiscounted basis) for non-derivative financial liabilities recognized in the unaudited condensed consolidated statements of financial position at June 30, 2022, is specified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&lt; 1 year</w:t>
            </w: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1-5 years</w:t>
            </w: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&gt;5 years</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cash-flows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1"/>
        </w:trPr>
        <w:tc>
          <w:tcPr>
            <w:tcW w:w="58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(EUR’000)</w:t>
            </w: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2022</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Borrowings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senior notes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49,822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566,032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628,309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399,037</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11,156</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55,691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68,272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135,118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113,172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74,984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74,984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74,984</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98,595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105,513</w:t>
            </w: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634,304</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838,411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No events have occurred after the reporting date that would influence the evaluation of these unaudited condensed consolidated interim financial statements.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86"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2021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commercial availability of TransCon Growth Hormone, or TransCon hGH, and related patient support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TransCon hGH and our other product candidates, if approved;</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TransCon hGH and our other product candidates and associated devices;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TransCon hGH and our other product candidates, if approved for commercial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the potential advantages of TransCon hGH and our other product candidates over existing therapies;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1080" w:right="10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(“INDs”), or similar for such product candidates;</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86"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development plans with respect to TransCon hGH and our other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pursuit of additional indications for TransCon hGH;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TransCon hGH and our other product candidates and technologies, including global commercialization strategies;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TransCon hGH and our other product candidates;</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ability to apply our technology platform and algorithm for product innovation to develop highly differentiated product candidates to address unmet medical needs;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apply our platform technology to build a leading, fully integrated biopharmaceutical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our TransCon technologies to create new and potentially best-in-class therapies;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and projections relating to our market conditions, competitors and industry;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effects on our business of the worldwide COVID-19 pandemic and the ongoing conflict in the region surrounding Ukraine and Russia.</w:t>
      </w:r>
    </w:p>
    <w:p>
      <w:pPr>
        <w:spacing w:after="0" w:line="170"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2021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Ascendis Pharma is applying its innovative TransCon technology platform to build a leading, fully integrated biopharma company focused on making a meaningful difference in patients’ lives. Guided by our core values of patients, science and passion, we use our TransCon technologies to create new and potentially best-in-class therapies. Ascendis is headquartered in Copenhagen, Denmark, and has additional facilities in Heidelberg and Berlin, Germany; Palo Alto and Redwood City, California; and Princeton, New Jersey.</w:t>
      </w:r>
    </w:p>
    <w:p>
      <w:pPr>
        <w:spacing w:after="0" w:line="18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We have applied these TransCon technologies in combination with a clinically-validated parent drug or pathway using our algorithm for product innovation with the goal of creating product candidates with the potential to be best-in-class in endocrinology rare diseases and oncology. In addition, we plan to apply this algorithm for product innovation and selection in new therapeutic areas. We believe our approach to product innovation may reduce the risks associated with traditional drug development, and that our TransCon technologies have been validated by non-clinical and clinical programs completed to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4080510" cy="1551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8051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Through our approach, we may benefit from established clinical safety and efficacy data, which we believe increases the probability of success. As presented above, our algorithm for product innovation focuses on identifying indications that have an unmet medical need, have a clinically-validated parent drug or pathway, are suitable to our TransCon technologies, have potential for creating a clearly differentiated product, have an established development pathway and have a large potentially addressable market.</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currently have one marketed product and a diversified portfolio of five product candidates in clinical development in the areas of endocrinology rare diseases and oncology. We are also evaluating additional therapeutic areas and indications.</w:t>
      </w:r>
    </w:p>
    <w:p>
      <w:pPr>
        <w:spacing w:after="0" w:line="75" w:lineRule="exact"/>
        <w:rPr>
          <w:sz w:val="20"/>
          <w:szCs w:val="20"/>
          <w:color w:val="auto"/>
        </w:rPr>
      </w:pPr>
    </w:p>
    <w:p>
      <w:pPr>
        <w:ind w:left="1080" w:hanging="424"/>
        <w:spacing w:after="0" w:line="280"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First Approved Product – Our first marketed product is SKYTROFA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(lonapegsomatropin-tcgd), developed as TransCon Growth Hormone (“TransCon hGH”), which has received regulatory approval in the United States (“U.S.”) for the treatment of pediatric patients one year and older who weigh at least 11.5 kg and have growth failure due to inadequate secretion of endogenous growth hormone, also known as growth hormone deficiency (“GHD”) and which is now commercially available for prescription in the U.S. TransCon hGH is also approved in the European Union (“EU”) under the name Lonapegsomatropin Ascendis Pharma for the treatment of children and adolescents aged from 3 years up to 18 years with growth failure due to insufficient endogenous growth hormone secretion.</w:t>
      </w:r>
    </w:p>
    <w:p>
      <w:pPr>
        <w:spacing w:after="0" w:line="76" w:lineRule="exact"/>
        <w:rPr>
          <w:rFonts w:ascii="Arial" w:cs="Arial" w:eastAsia="Arial" w:hAnsi="Arial"/>
          <w:sz w:val="16"/>
          <w:szCs w:val="16"/>
          <w:color w:val="auto"/>
        </w:rPr>
      </w:pPr>
    </w:p>
    <w:p>
      <w:pPr>
        <w:ind w:left="1080" w:right="140" w:hanging="424"/>
        <w:spacing w:after="0" w:line="270"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Endocrinology Rare Disease Pipeline – We are developing three product candidates in our endocrinology rare disease portfolio spanning seven different clinical programs. These include TransCon hGH for pediatric GHD in Japan; TransCon hGH for adults with GHD; TransCon PTH for adults with hypoparathyroidism; the last classical hormone deficiency for which complete hormone replacement has been elusive; and TransCon CNP for achondroplasia, the most common form of dwarfism. VISEN Pharmaceuticals (“VISEN”), to which we have licensed rights to TransCon hGH, TransCon PTH, and TransCon CNP, and under certain conditions, has a First Right of Negotiation for other Endocrine product candidates for the Chinese market in case Ascendis decides to out-license such territory, is developing TransCon hGH, TransCon PTH and TransCon CNP in China. In addition, we are planning new trials in other endocrinology rare disease indications, including TransCon hGH for Turner Syndrome; TransCon PTH for children with hypoparathyroidism; and TransCon CNP for infants (age 0-2 years) with achondroplasia.</w:t>
      </w:r>
    </w:p>
    <w:p>
      <w:pPr>
        <w:spacing w:after="0" w:line="86" w:lineRule="exact"/>
        <w:rPr>
          <w:rFonts w:ascii="Arial" w:cs="Arial" w:eastAsia="Arial" w:hAnsi="Arial"/>
          <w:sz w:val="17"/>
          <w:szCs w:val="17"/>
          <w:color w:val="auto"/>
        </w:rPr>
      </w:pPr>
    </w:p>
    <w:p>
      <w:pPr>
        <w:ind w:left="1080" w:right="240" w:hanging="424"/>
        <w:spacing w:after="0" w:line="25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Oncology Pipeline – In oncology, we are leveraging our TransCon technologies in effort to enhance anti-tumor effects of clinically-validated parent 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 like receptors (“TLR”) 7 and 8 for intratumoral delivery and TransCon IL-2 ß/g for systemic delivery, which is designed for prolonged exposure to an IL-2 variant that selectively activates the IL-2Rß/g, with minimal binding to IL-2Rα. Our clinical development program for these product candidates also includes evaluation of them as a potential combination therapy.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TransCon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6111875" cy="2846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1875" cy="2846070"/>
                    </a:xfrm>
                    <a:prstGeom prst="rect">
                      <a:avLst/>
                    </a:prstGeom>
                    <a:noFill/>
                  </pic:spPr>
                </pic:pic>
              </a:graphicData>
            </a:graphic>
          </wp:anchor>
        </w:drawing>
      </w:r>
    </w:p>
    <w:p>
      <w:pPr>
        <w:sectPr>
          <w:pgSz w:w="11900" w:h="16838" w:orient="portrait"/>
          <w:cols w:equalWidth="0" w:num="1">
            <w:col w:w="11040"/>
          </w:cols>
          <w:pgMar w:left="320" w:top="48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5</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6</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7</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8</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Developed under the name TransCon hGH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development in Greater China through strategic investment in VISEN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Japanese riGHt Trial.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foresiGHt Trial.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Top-line results from the North American and European PaTHway Trial were reported on March 13,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Japanese PaTHway Japan Trial.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America, Europe, and Oceania ACcomplisH Trial.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transcendIT-101 Trial.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IL-ßeliege Trial.</w:t>
      </w:r>
    </w:p>
    <w:p>
      <w:pPr>
        <w:spacing w:after="0" w:line="200" w:lineRule="exact"/>
        <w:rPr>
          <w:sz w:val="20"/>
          <w:szCs w:val="20"/>
          <w:color w:val="auto"/>
        </w:rPr>
      </w:pPr>
    </w:p>
    <w:p>
      <w:pPr>
        <w:sectPr>
          <w:pgSz w:w="11900" w:h="16838" w:orient="portrait"/>
          <w:cols w:equalWidth="0" w:num="2">
            <w:col w:w="180" w:space="360"/>
            <w:col w:w="10500"/>
          </w:cols>
          <w:pgMar w:left="320" w:top="486" w:right="539" w:bottom="1440" w:gutter="0" w:footer="0" w:header="0"/>
          <w:type w:val="continuous"/>
        </w:sectPr>
      </w:pP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potential safety and efficacy. In addition to retaining the original mode of action of the parent drug and potentially supporting dosing frequency from daily up to six months or more, we believe that predictable release over time can improve treatment efficacy, increase the likelihood of clinical development success, and provide intellectual property benefits.</w:t>
      </w:r>
    </w:p>
    <w:p>
      <w:pPr>
        <w:spacing w:after="0" w:line="18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TransCon molecules have three components: a parent drug, an inert carrier that protects it, and a linker that temporarily binds the two. When bound, the carrier inactivates and shields the parent drug from clearance. When injected into the body, the unmodified parent drug is released in a predictable manner. Depending upon the type of TransCon carrier we employ, we can design our TransCon prodrugs for sustained localized or systemic delivery.</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86" w:right="5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4654550" cy="1739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5455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Products Candidates – Endocrinology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Growth Hormone</w:t>
      </w:r>
    </w:p>
    <w:p>
      <w:pPr>
        <w:spacing w:after="0" w:line="11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TransCon hGH is a long-acting prodrug of somatropin (“hGH”) composed of an unmodified somatropin that is transiently bound to a carrier and proprietary linker. TransCon hGH is designed to maintain the same mode of action as daily therapies by releasing the same recombinant growth hormone molecule, somatropin, as used in extensively proven daily hGH therapy which is the current standard of care for growth hormone deficiency.</w:t>
      </w:r>
    </w:p>
    <w:p>
      <w:pPr>
        <w:spacing w:after="0" w:line="14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May 2022, VISEN Pharmaceuticals announced results from its Phase 3 trial of once-weekly TransCon hGH in children with GHD in China. The trial demonstrated results that were consistent with our Phase 3 heiGHt Trial. VISEN Pharmaceuticals’ Phase 3 trial achieved its primary endpoint, with pediatric GHD patients treated with once-weekly TransCon hGH demonstrating greater annualized height velocity at 52-weeks compared to patients treated with daily growth hormone.</w:t>
      </w:r>
    </w:p>
    <w:p>
      <w:pPr>
        <w:spacing w:after="0" w:line="187"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In January 2022, the European Commission granted marketing authorization for Lonapegsomatropin Ascendis Pharma (developed under the name TransCon hGH) as a once-weekly subcutaneous injection for the treatment of children and adolescents ages 3 to 18 years with growth failure due to insufficient secretion of endogenous growth hormone.</w:t>
      </w:r>
    </w:p>
    <w:p>
      <w:pPr>
        <w:spacing w:after="0" w:line="184" w:lineRule="exact"/>
        <w:rPr>
          <w:sz w:val="20"/>
          <w:szCs w:val="20"/>
          <w:color w:val="auto"/>
        </w:rPr>
      </w:pPr>
    </w:p>
    <w:p>
      <w:pPr>
        <w:ind w:left="120" w:right="540"/>
        <w:spacing w:after="0" w:line="279" w:lineRule="auto"/>
        <w:rPr>
          <w:sz w:val="20"/>
          <w:szCs w:val="20"/>
          <w:color w:val="auto"/>
        </w:rPr>
      </w:pPr>
      <w:r>
        <w:rPr>
          <w:rFonts w:ascii="Arial" w:cs="Arial" w:eastAsia="Arial" w:hAnsi="Arial"/>
          <w:sz w:val="17"/>
          <w:szCs w:val="17"/>
          <w:color w:val="auto"/>
        </w:rPr>
        <w:t>In August 2021, the U.S. Food and Drug Administration (“FDA”), approved TransCon hGH, known by its brand name SKYTROFA (lonapegsomatropin-tcgd), for the treatment of pediatric patients one year and older who weigh at least 11.5 kg and have growth failure due to inadequate secretion of endogenous growth hormone, also known as GHD. Once-weekly SKYTROFA (lonapegsomatropin-tcgd) is the first FDA approved product that delivers somatropin, or growth hormone, by sustained release over one week.</w:t>
      </w:r>
    </w:p>
    <w:p>
      <w:pPr>
        <w:spacing w:after="0" w:line="171"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The FDA approval of SKYTROFA (lonapegsomatropin-tcgd) was based on results from the Phase 3 heiGHt Trial, a 52-week, global, randomized, open-label, active-controlled, parallel-group trial that compared once-weekly TransCon hGH to daily somatropin (Genotropin</w:t>
      </w:r>
      <w:r>
        <w:rPr>
          <w:rFonts w:ascii="Arial" w:cs="Arial" w:eastAsia="Arial" w:hAnsi="Arial"/>
          <w:sz w:val="21"/>
          <w:szCs w:val="21"/>
          <w:color w:val="auto"/>
          <w:vertAlign w:val="superscript"/>
        </w:rPr>
        <w:t>®</w:t>
      </w:r>
      <w:r>
        <w:rPr>
          <w:rFonts w:ascii="Arial" w:cs="Arial" w:eastAsia="Arial" w:hAnsi="Arial"/>
          <w:sz w:val="17"/>
          <w:szCs w:val="17"/>
          <w:color w:val="auto"/>
        </w:rPr>
        <w:t>) in 161 treatment-naïve children with GHD. The primary endpoint was annualized height velocity (“AHV”) at 52 weeks for weekly SKYTROFA (lonapegsomatropin-tcgd) and the daily hGH treatment groups. Other endpoints included adverse events, injection-site reactions, incidence of anti-hGH antibodies, annualized height velocity, change in height standard deviation score (“SDS”), proportion of subjects with IGF-1 SDS (0.0 to +2.0), PK/PD in subjects &gt; 3 years, and preference for and satisfaction with SKYTROFA (lonapegsomatropin-tcgd).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once-weekly SKYTROFA (lonapegsomatropin-tcgd) offers patients benefits compared to daily growth hormone:</w:t>
      </w:r>
    </w:p>
    <w:p>
      <w:pPr>
        <w:spacing w:after="0" w:line="131" w:lineRule="exact"/>
        <w:rPr>
          <w:sz w:val="20"/>
          <w:szCs w:val="20"/>
          <w:color w:val="auto"/>
        </w:rPr>
      </w:pPr>
    </w:p>
    <w:p>
      <w:pPr>
        <w:ind w:left="1080" w:right="3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national study has shown 66%, or 2/3 of patients miss more than one injection per week. We believe reducing injection frequency is associated with better adherence and thus may improve height velocity.</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Phase 3 clinical study, TransCon hGH demonstrated higher AHV compared to daily somatropin with similar safety profile in treatment-naïve children with GHD.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a weekly injection, patients switching from daily injections can experience up to 86% fewer injection days per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After first removed from a refrigerator, SKYTROFA (lonapegsomatropin-tcgd) can be stored at room temperature for up to six months.</w:t>
      </w:r>
    </w:p>
    <w:p>
      <w:pPr>
        <w:spacing w:after="0" w:line="23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In September 2020, we filed a Clinical Trial Notification (“CTN”), with the Pharmaceuticals and Medical Devices Agency (“PMDA”), in Japan, to initiate our Phase 3 riGHt Trial of lonapegsomatropin for the treatment of pediatric GHD. The primary objective of the riGHt Trial is to evaluate and compare the AHV of 40 Japanese prepubertal treatment naïve children with GHD treated with weekly lonapegsomatropin to that of a commercially available daily somatropin formulation at 52 weeks. We anticipate completing enrollment in the riGHt Trial by the end of 2022.</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 October 2019, we received Orphan Designation (“OD”) from the European Commission for TransCon hGH for GHD. OD is granted to therapies aimed at the treatment, prevention or diagnosis of a disease that is life-threatening or chronically debilitating, affects no more than five in 10,000 persons in the EU, or the product, without the benefits derived from orphan status, would not generate sufficient return in the EU to justify investment and for which no satisfactory method of diagnosis, prevention, or treatment has been authorized (or if such a method exists, the product would provide significant additional benefit over existing therapies). We received Orphan Drug Designation (“ODD”) from the FDA for TransCon hGH as a treatment for GHD in April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Commercialization Strategy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developed a multi-faceted commercial organization and strategy to optimize U.S. market adoption of SKYTROFA (lonapegsomatropin-tcgd).</w:t>
      </w:r>
    </w:p>
    <w:p>
      <w:pPr>
        <w:spacing w:after="0" w:line="154" w:lineRule="exact"/>
        <w:rPr>
          <w:sz w:val="20"/>
          <w:szCs w:val="20"/>
          <w:color w:val="auto"/>
        </w:rPr>
      </w:pPr>
    </w:p>
    <w:p>
      <w:pPr>
        <w:ind w:left="1080" w:right="4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Force: In the U.S., the sales team covers approximately 1,400 prescribers who represent approximately 80% of the prescription volume.</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Medical Affairs: Our Medical Affairs organization is educating stakeholders and broadening SKYTROFA (lonapegsomatropin-tcgd) awareness.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Access: Our Market Access organization engages payors and pharmacy benefit managers in an effort to garner reimbursement for SKYTROFA (lonapegsomatropin-tcgd).</w:t>
      </w:r>
    </w:p>
    <w:p>
      <w:pPr>
        <w:spacing w:after="0" w:line="17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As of December 31, 2021, the cumulative number of new patient prescriptions for SKYTROFA (lonapegsomatropin-tcgd) totaled 369 which were written by 139 prescribers. In addition, 42% of the prescribers had written prescriptions for more than one patient. As of June 30, 2022, the cumulative number of new patient prescriptions for SKYTROFA (lonapegsomatropin-tcgd) increased to 1,707 which were written by 505 prescribers. In addition, 53% of the prescribers had written prescriptions for more than one patient.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plan to commercially launch TransCon hGH in Europe during 2023.</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TransCon Growth Hormone (hGH) for Other Indications</w:t>
      </w:r>
    </w:p>
    <w:p>
      <w:pPr>
        <w:spacing w:after="0" w:line="117"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We continue to enroll patients in the foresiGHt Trial, a global Phase 3 study with the aim to demonstrate the metabolic benefits of lonapegsomatropin in adults. The ongoing conflict in the region surrounding Ukraine and Russia has impacted our ability to continue clinical trial activities in those countries. As a result, we are now targeting completion of enrollment in the foresiGHt Trial in the fourth quarter of 2022.</w:t>
      </w:r>
    </w:p>
    <w:p>
      <w:pPr>
        <w:spacing w:after="0" w:line="165"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In the second quarter of 2022, we submitted a protocol to the FDA to evaluate TransCon hGH for Turner Syndrome. In addition, we are also considering other potential indications for TransCon hGH where a long-acting hGH therapy may offer a best-in-class option for patients with rare growth disorders.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Parathyroid Hormone</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TransCon Parathyroid Hormone (“PTH”) is an investigational long-acting prodrug of PTH that is designed as a novel replacement therapy for PTH dosed once-daily to achieve and maintain a steady concentration of PTH in the bloodstream within the normal range, at levels similar to those observed in healthy individuals. TransCon PTH is designed to restore physiologic levels of PTH, 24 hours per day, thereby more fully addressing all aspects of hypoparathyroidism (HP) including normalizing serum and urinary calcium and serum phosphate levels.</w:t>
      </w:r>
    </w:p>
    <w:p>
      <w:pPr>
        <w:spacing w:after="0" w:line="17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HP is a rare endocrine disease characterized by deficient or absent PTH. The most common cause in approximately 75% of cases is inadvertent removal or damage to the parathyroid tissue during neck surgery. Patients with HP cannot adequately regulate calcium and phosphate metabolism and suffer from low calcium and elevated phosphate levels in the blood. The condition results in a diverse range of physical, cognitive and emotional symptoms, as well as a decrease in quality of life. Short term symptoms include weakness, severe muscle cramps (tetany), abnormal sensations such as tingling, burning and numbness (paresthesia), memory loss, impaired judgement and headache. Over the long term, treatment with the current conventional therapy can increase risk of major complications, such as extraskeletal calcium depositions occurring within the brain, lens of the eye, and kidneys, which can lead to impaired renal function. Patients often experience decreased quality of life.</w:t>
      </w:r>
    </w:p>
    <w:p>
      <w:pPr>
        <w:spacing w:after="0" w:line="17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Pharmacokinetic data from multiple ascending dose cohorts in our Phase 1 trial of TransCon PTH in healthy subjects demonstrated a continuous infusion-like profile of free PTH. By providing steady levels of PTH in the physiological range, we believe TransCon PTH can address the fundamental limitations of short-acting PTH molecules and become a highly differentiated therapy for HP.</w:t>
      </w:r>
    </w:p>
    <w:p>
      <w:pPr>
        <w:spacing w:after="0" w:line="184"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Current conventional therapy for HP patients primarily consists of active vitamin D and oral calcium supplementation. However, since PTH is not present at the kidney to facilitate calcium reabsorption from the urine, the goal of conventional therapy is to maintain serum calcium (“sCa”) levels just below or within the lower part of the normal range and thereby limit as much as possible the damage from excess urinary calcium excretion. Nonetheless, conventional therapy frequently leads to significant sCa fluctuations accompanied by symptomatic hyper- or hypocalcemia. In addition, conventional therapy with active vitamin D and calcium have been shown to contribute to the risk of renal disease.</w:t>
      </w:r>
    </w:p>
    <w:p>
      <w:pPr>
        <w:spacing w:after="0" w:line="176"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HP also poses a high burden on the healthcare system despite current conventional therapy. For example, one survey of 374 patients showed that 72% experienced more than ten symptoms in the preceding twelve months, with symptoms experienced for a mean of 13 ± 9 hours a day. Other studies showed that 79% of HP cases require hospitalizations and that patients with the disease results have a four-fold increase in the risk of renal disease compared to healthy controls. Patients often experience decreased quality of life. We</w:t>
      </w:r>
    </w:p>
    <w:p>
      <w:pPr>
        <w:sectPr>
          <w:pgSz w:w="11900" w:h="16838" w:orient="portrait"/>
          <w:cols w:equalWidth="0" w:num="1">
            <w:col w:w="11140"/>
          </w:cols>
          <w:pgMar w:left="320" w:top="486" w:right="439" w:bottom="1440" w:gutter="0" w:footer="0" w:header="0"/>
        </w:sectPr>
      </w:pP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40"/>
          </w:cols>
          <w:pgMar w:left="320" w:top="486" w:right="4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conducted a survey of 42 patients which found that 100% of subjects reported negative psychological impacts, interference with daily life and impact on physical functioning from HP, and that 76% were either no longer able to work or experienced interference with work productivity.</w:t>
      </w:r>
    </w:p>
    <w:p>
      <w:pPr>
        <w:spacing w:after="0" w:line="14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March 2022, we announced that top-line data from the randomized, double-blind, placebo-controlled portion of its Phase 3 PaTHway Trial of TransCon PTH in adults with hypoparathyroidism demonstrated statistically significant improvement with TransCon PTH compared to control on the primary composite endpoint and all key secondary endpoints. The primary endpoint – defined as serum calcium levels in the normal range (8.3– 10.6 mg/dL) and independence from conventional therapy (active vitamin D and &gt;600 mg/day of calcium supplements) with no increase in prescribed study drug within the 4 weeks prior to the Week 26 visit –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 2 from the placebo arm and 1 from the TransCon PTH arm. TransCon PTH-treated patients showed a mean decrease in 24-hour urine calcium excretion into the normal range.</w:t>
      </w:r>
    </w:p>
    <w:p>
      <w:pPr>
        <w:spacing w:after="0" w:line="19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Following an initial blinded study period of 26 weeks all 79 patients completing the blinded period opted to receive treatment with TransCon PTH in the ongoing open-label extension portion of the study for up to 3 years (156 weeks). As of June 30, 2022, 78 out of 79 patients continued in the open label extension portion of the PaTHway Trial.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86"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November 2021, we announced week 84 top-line data from the Phase 2 PaTH Forward Trial. Week 84 results from the PaTH Forward OLE demonstrated:</w:t>
      </w:r>
    </w:p>
    <w:p>
      <w:pPr>
        <w:spacing w:after="0" w:line="7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Mean serum calcium levels remained stable and in the normal range.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study subjects discontinued active vitamin D supplements in the earliest weeks of the trial and have remained off it since then. In addition, 93% of subjects were taking calcium supplements &lt;600 mg per day.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Mean urinary calcium excretion remained stable and in the normal range.</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TransCon PTH was well-tolerated at all doses administered. No treatment-related serious or severe adverse events occurred, and no treatment-emergent adverse events (“TEAEs”) led to discontinuation of study drug.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Injections were well-tolerated using pen injector planned for commercial presentation.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week 58, quality-of-life and bone mineral density data were collected. The data demonstrated:</w:t>
      </w:r>
    </w:p>
    <w:p>
      <w:pPr>
        <w:spacing w:after="0" w:line="131" w:lineRule="exact"/>
        <w:rPr>
          <w:sz w:val="20"/>
          <w:szCs w:val="20"/>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mean summary and subdomain SF-36 Health Survey scores continued normalization between week 26 and week 58 despite all mean scores starting below norms at baseline.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Bone mineral density Z-scores trended towards normalization and stabilization over 58 weeks in PaTH Forward.</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of June 30, 2022, 57 out of the 59 patients continued in the open-label extension portion of the trial, where they receive an individualized maintenance dose of TransCon PTH (6 to 30 µg per day). In addition, all 57 subjects have exceeded two years of follow-up in the PaTH Forward Trial. Two patients withdrew from the trial for reasons unrelated to safety or efficacy of the study drug.</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the second quarter of 2021, we submitted a CTN to the MHLW for PaTHway Japan Trial, a Phase 3 trial to evaluate the safety, tolerability, and efficacy of TransCon PTH. In July 2021, the Japanese Pharmaceuticals and Medical Devices Agency accepted the CTN for the PaTHway Japan Trial, a single-arm, Phase 3 trial of TransCon PTH in a minimum of 12 Japanese subjects with HP. Subjects will start with an 18 µg dose of TransCon PTH and be followed over a 26-week period during which they will be titrated to an optimal dose. The minimum enrollment target of 12 patients was achieved in April 2022.</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October 2020, the EC granted orphan designation to TransCon PTH for the treatment of HP.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2018, we were granted orphan drug designation by the FDA for TransCon PTH for the treatment of hypoparathyroidism.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C-Type Natriuretic Peptide</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TransCon C-Type Natriuretic Peptide (“CNP”) is an investigational long-acting prodrug of C-type natriuretic peptide designed to provide continuous CNP exposure at therapeutic levels with a well-tolerated and convenient once-weekly dose. It is being developed for the treatment of children with achondroplasia. Achondroplasia is the most common form of dwarfism, occurring in about one in 10,000 to 30,000 newborns or approximately 250,000 worldwide. Achondroplasia results in severe skeletal complications and comorbidities, including spinal stenosis due to premature fusion of the foramen magnum, sleep apnea, and chronic ear infections. Achondroplasia is caused by an autosomal dominant activating mutation in fibroblast growth factor receptor 3 (“FGFR3”) that leads to an imbalance in the effects of the FGFR3 and C-type natriuretic peptide (CNP) signaling pathways.</w:t>
      </w:r>
    </w:p>
    <w:p>
      <w:pPr>
        <w:spacing w:after="0" w:line="164"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We believe TransCon CNP offers advantages over shorter-acting CNP and CNP analogs in development that result in high Cmax levels which may cause adverse cardiovascular events. In addition, we expect a more constant CNP exposure at lower Cmax to correlate with better therapeutic outcomes.</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In July 2019, we initiated the Phase 2 ACcomplisH Trial, a randomized, double-blind, placebo-controlled, sequential rising dose trial to evaluate the safety and efficacy of TransCon CNP in approximately 60 children with achondroplasia (ages two to ten years). Subjects are randomized to receive either TransCon CNP or placebo in a 3:1 ratio. The primary efficacy endpoint is annualized height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86" w:right="5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velocity at twelve months. Key secondary and additional endpoints include body proportionality and change in BMI, both evaluated after twelve months of weekly TransCon CNP treatment, and patient reported outcome measures. In December 2021, we announced that enrollment in ACcomplisH Trial was completed. All patients in the open-label extension portion of the ACcomplisH Trial continue on drug at the 100 microgram per kilogram dose.</w:t>
      </w:r>
    </w:p>
    <w:p>
      <w:pPr>
        <w:spacing w:after="0" w:line="14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are planning regulatory submissions during the fourth quarter of 2022 for a new global randomized, double-blind, placebo-controlled Phase 2b trial in achondroplasia patients down to 2 years of age. In addition, we are assessing additional trials evaluating the safety and efficacy of TransCon CNP in achondroplasia.</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collaboration with VISEN, we are sponsoring the ACcomplisH China Trial, a randomized, double-blind, placebo-controlled, Phase 2 dose expansion trial to evaluate the safety and efficacy of TransCon CNP in subjects with achondroplasia. The primary endpoint is to evaluate the safety of treatment and its effect on 12-month annualized height velocity. In January 2021, China Center for Drug Evaluation of National Medical Products Administration approved VISEN’s IND application to conduct the ACcomplisH China Trial.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July 2020, we received orphan designation from the EC for TransCon CNP for treatment of achondroplasia.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February 2019, we were granted orphan drug designation by the FDA for TransCon CNP for the treatment of achondroplasia.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Products Candidates – Oncology</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are currently investigating two clinical-stage product candidates designed to activate the patients’ own immune system to eradicate malignant cells. We believe our approach, if successfully developed, has the potential to optimize the efficacy of systemically administered, clinically validated therapies while limiting adverse effects.</w:t>
      </w:r>
    </w:p>
    <w:p>
      <w:pPr>
        <w:spacing w:after="0" w:line="18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Our TransCon product candidates in oncology are designed to provide sustained systemic or intratumoral administration, which we believe could provide potent and durable anti-tumor efficacy. Our nonclinical studies have showed sustained activation of cytotoxic immune cells that resulted in robust anti-tumor responses by TransCon product candidates using infrequent administration.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TLR 7/8 Agonist</w:t>
      </w:r>
    </w:p>
    <w:p>
      <w:pPr>
        <w:spacing w:after="0" w:line="117"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TransCon TLR7/8 Agonist is an investigational long-acting prodrug, designed for sustained release of resiquimod, a small molecule agonist of TLR 7 and 8. It is designed to provide sustained and potent activation of the innate immune system in the tumor and tumor draining lymph node and to have a low risk of systemic toxicity for weeks or months following a single intratumoral injection. Enrollment continues in the Phase 1/2 transcendIT-101 Trial for which we submitted an IND in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IL-2 ß/</w:t>
      </w:r>
      <w:r>
        <w:rPr>
          <w:rFonts w:ascii="Arial" w:cs="Arial" w:eastAsia="Arial" w:hAnsi="Arial"/>
          <w:sz w:val="18"/>
          <w:szCs w:val="18"/>
          <w:color w:val="auto"/>
        </w:rPr>
        <w:t>g</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TransCon IL-2 ß/g is an investigational long-acting prodrug designed to improve cancer immunotherapy through sustained release of an IL-2 variant that selectively activates the IL-2Rß/g, with minimal binding to IL-2Rα. The Phase 1/2 IL-ßeliege Trial evaluating TransCon IL-2 ß/g monotherapy in patients with advanced cancer is enrolling patients in dose escalation cohorts. During the second quarter of 2022, we dosed the first patient in the combination dose escalation cohort for TransCon IL-2 ß/g and checkpoint inhibitor, in the IL-ßeliege Trial.</w:t>
      </w:r>
    </w:p>
    <w:p>
      <w:pPr>
        <w:spacing w:after="0" w:line="17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We are evaluating additional TransCon product candidates in nonclinical research studies with potential to enhance anti-tumor immune responses for the treatment of multiple tumor types. We are exploring product candidates using both systemic and intratumoral administration as monotherapies and as components of combination regimens. We believe these programs have the potential to make a positive impact to the lives of many patients with cancer.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Since COVID-19 started to spread around the world, we have closely monitored the development, and implemented several measures to accommodate impacts on our business, and to ensure the safety of our employees, including:</w:t>
      </w:r>
    </w:p>
    <w:p>
      <w:pPr>
        <w:spacing w:after="0" w:line="76" w:lineRule="exact"/>
        <w:rPr>
          <w:sz w:val="20"/>
          <w:szCs w:val="20"/>
          <w:color w:val="auto"/>
        </w:rPr>
      </w:pPr>
    </w:p>
    <w:p>
      <w:pPr>
        <w:ind w:left="1080" w:right="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Encouraging employees to work remotely, reduce travel activity and minimize face-to-face meetings, in line with governmental guidelines and recommendations;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home offices, and ensuring proper and secure IT infrastructure to improve the safety and efficiency of the remote work environment;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remote visits for patients enrolled in our clinical trials, including ensuring safe delivery of clinical drugs;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COVID-19 in relation to logistics and manufacturing at Joint Steering Committees with manufacturing partners.</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While COVID-19 had an impact on how we work and conduct our activities, we have managed to avoid significant disruptions to our clinical and manufacturing operations.</w:t>
      </w:r>
    </w:p>
    <w:p>
      <w:pPr>
        <w:spacing w:after="0" w:line="170"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As a result of governmental restrictions, field-based sales personnel primarily have worked under a remote engagement model with healthcare professionals and patient care organizations, and similarly, some patients have not been able to see their physicians. As restrictions ceases, field-based sales personnel have begun in person engagements when interacting with healthcare professionals and patient care organizations, as well as patients having easier access to their physicians. The impact on the commercial product revenue is uncertain and difficult to quantify.</w:t>
      </w:r>
    </w:p>
    <w:p>
      <w:pPr>
        <w:spacing w:after="0" w:line="17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We monitor the risks from the pandemic closely, and work with relevant stakeholders to avoid and limit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49"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color w:val="auto"/>
        </w:rPr>
        <w:t>For additional description of COVID-19 related risks, please refer to “Item 3D. Risk Factors”, set forth in our 2021 Annual Report on Form 20-F. 10</w:t>
      </w:r>
    </w:p>
    <w:p>
      <w:pPr>
        <w:sectPr>
          <w:pgSz w:w="11900" w:h="16838" w:orient="portrait"/>
          <w:cols w:equalWidth="0" w:num="1">
            <w:col w:w="11120"/>
          </w:cols>
          <w:pgMar w:left="32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Three and Six Months Ended June 30, 2022 and 2021 (unaudited)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w:t>
      </w:r>
    </w:p>
    <w:p>
      <w:pPr>
        <w:spacing w:after="0" w:line="116"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Commercialization of SKYTROFA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(lonapegsomatropin-tcgd) continues following its launch in the U.S. in the fourth quarter of 2021. SKYTROFA (lonapegsomatropin-tcgd) revenue continued to double quarter-to-quarter, reaching €4.4 million in the second quarter. As of June 30, 2022, over 1,700 patients have been prescribed SKYTROFA (lonapegsomatropin-tcgd) since launch.</w:t>
      </w:r>
    </w:p>
    <w:p>
      <w:pPr>
        <w:spacing w:after="0" w:line="204"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Selling, general and administrative expenses have increased, reflecting higher commercial costs in the U.S. following the launch of SKYTROFA (lonapegsomatropin-tcgd). Financial income and expenses are significantly affected by development in the U.S. Dollar compared to the Euro, where a strengthening of the U.S. Dollar contributed to a significant increase in finance income for the three and six months ended June 30, 2022.</w:t>
      </w:r>
    </w:p>
    <w:p>
      <w:pPr>
        <w:spacing w:after="0" w:line="14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At the end of March 2022, we completed a $575.0 million convertible senior notes offering, strengthening our balance sheet. With €994.9 million in cash, cash equivalents and marketable securities, we believe we are well-positioned to fulfill Vision 3x3 to become a sustainable, profitable biopharmaceutical company.</w:t>
      </w:r>
    </w:p>
    <w:p>
      <w:pPr>
        <w:spacing w:after="0" w:line="184"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conversion option embedded in the convertible notes is recognized and measured at fair value, where we recognized a significant non-cash fair value gain as part of finance income for the three months ended June 30, 2022. Similarly, subsequent reporting periods may result in significant non-cash finance income or expenses, as applicable.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realized a net loss of €206.8 million for the six months ended June 30, 2022, compared to €197.2 million for the same period last year.</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1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1"/>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4"/>
                <w:szCs w:val="14"/>
                <w:b w:val="1"/>
                <w:bCs w:val="1"/>
                <w:color w:val="auto"/>
                <w:w w:val="91"/>
              </w:rPr>
              <w:t>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1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(EUR’000)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2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Revenue</w:t>
            </w:r>
          </w:p>
        </w:tc>
        <w:tc>
          <w:tcPr>
            <w:tcW w:w="3580" w:type="dxa"/>
            <w:vAlign w:val="bottom"/>
            <w:gridSpan w:val="3"/>
          </w:tcPr>
          <w:p>
            <w:pPr>
              <w:jc w:val="right"/>
              <w:ind w:right="220"/>
              <w:spacing w:after="0"/>
              <w:rPr>
                <w:sz w:val="20"/>
                <w:szCs w:val="20"/>
                <w:color w:val="auto"/>
              </w:rPr>
            </w:pPr>
            <w:r>
              <w:rPr>
                <w:rFonts w:ascii="Arial" w:cs="Arial" w:eastAsia="Arial" w:hAnsi="Arial"/>
                <w:sz w:val="18"/>
                <w:szCs w:val="18"/>
                <w:color w:val="auto"/>
              </w:rPr>
              <w:t>6,160</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1,022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12,988</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b w:val="1"/>
                <w:bCs w:val="1"/>
                <w:color w:val="auto"/>
              </w:rPr>
              <w:t>Gross profit / (loss)</w:t>
            </w:r>
          </w:p>
        </w:tc>
        <w:tc>
          <w:tcPr>
            <w:tcW w:w="25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5,074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7,656</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3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90,383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83,306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173,576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171,455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5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56,584</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35,345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104,002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72,591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2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(141,893)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(117,629)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(269,922)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(242,279)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3580" w:type="dxa"/>
            <w:vAlign w:val="bottom"/>
            <w:gridSpan w:val="3"/>
          </w:tcPr>
          <w:p>
            <w:pPr>
              <w:jc w:val="right"/>
              <w:ind w:right="160"/>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(4,817)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(6,039)</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23,289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71,127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84,171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23,268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Finance expenses</w:t>
            </w:r>
          </w:p>
        </w:tc>
        <w:tc>
          <w:tcPr>
            <w:tcW w:w="25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9,434</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12,141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14,833</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2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(81,366)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(134,442)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(206,623)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(197,425)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25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2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(81,319)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(134,374)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(206,818)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(197,166)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500" w:type="dxa"/>
            <w:vAlign w:val="bottom"/>
            <w:vMerge w:val="restart"/>
          </w:tcPr>
          <w:p>
            <w:pPr>
              <w:jc w:val="right"/>
              <w:ind w:right="1110"/>
              <w:spacing w:after="0"/>
              <w:rPr>
                <w:sz w:val="20"/>
                <w:szCs w:val="20"/>
                <w:color w:val="auto"/>
              </w:rPr>
            </w:pPr>
            <w:r>
              <w:rPr>
                <w:rFonts w:ascii="Arial" w:cs="Arial" w:eastAsia="Arial" w:hAnsi="Arial"/>
                <w:sz w:val="18"/>
                <w:szCs w:val="18"/>
                <w:color w:val="auto"/>
              </w:rPr>
              <w:t>11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revenue for the three and six months ended June 30, 2022 and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9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020" w:type="dxa"/>
            <w:vAlign w:val="bottom"/>
          </w:tcPr>
          <w:p>
            <w:pPr>
              <w:spacing w:after="0"/>
              <w:rPr>
                <w:sz w:val="14"/>
                <w:szCs w:val="14"/>
                <w:color w:val="auto"/>
              </w:rPr>
            </w:pPr>
          </w:p>
        </w:tc>
        <w:tc>
          <w:tcPr>
            <w:tcW w:w="1300" w:type="dxa"/>
            <w:vAlign w:val="bottom"/>
            <w:tcBorders>
              <w:bottom w:val="single" w:sz="8" w:color="auto"/>
            </w:tcBorders>
            <w:gridSpan w:val="4"/>
          </w:tcPr>
          <w:p>
            <w:pPr>
              <w:jc w:val="center"/>
              <w:ind w:left="498"/>
              <w:spacing w:after="0"/>
              <w:rPr>
                <w:sz w:val="20"/>
                <w:szCs w:val="20"/>
                <w:color w:val="auto"/>
              </w:rPr>
            </w:pPr>
            <w:r>
              <w:rPr>
                <w:rFonts w:ascii="Arial" w:cs="Arial" w:eastAsia="Arial" w:hAnsi="Arial"/>
                <w:sz w:val="14"/>
                <w:szCs w:val="14"/>
                <w:b w:val="1"/>
                <w:bCs w:val="1"/>
                <w:color w:val="auto"/>
                <w:w w:val="91"/>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1"/>
              </w:rPr>
              <w:t>June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86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r>
      <w:tr>
        <w:trPr>
          <w:trHeight w:val="181"/>
        </w:trPr>
        <w:tc>
          <w:tcPr>
            <w:tcW w:w="7020" w:type="dxa"/>
            <w:vAlign w:val="bottom"/>
          </w:tcPr>
          <w:p>
            <w:pPr>
              <w:spacing w:after="0"/>
              <w:rPr>
                <w:sz w:val="15"/>
                <w:szCs w:val="15"/>
                <w:color w:val="auto"/>
              </w:rPr>
            </w:pPr>
          </w:p>
        </w:tc>
        <w:tc>
          <w:tcPr>
            <w:tcW w:w="1300" w:type="dxa"/>
            <w:vAlign w:val="bottom"/>
            <w:gridSpan w:val="4"/>
          </w:tcPr>
          <w:p>
            <w:pPr>
              <w:jc w:val="center"/>
              <w:ind w:left="498"/>
              <w:spacing w:after="0"/>
              <w:rPr>
                <w:sz w:val="20"/>
                <w:szCs w:val="20"/>
                <w:color w:val="auto"/>
              </w:rPr>
            </w:pPr>
            <w:r>
              <w:rPr>
                <w:rFonts w:ascii="Arial" w:cs="Arial" w:eastAsia="Arial" w:hAnsi="Arial"/>
                <w:sz w:val="14"/>
                <w:szCs w:val="14"/>
                <w:b w:val="1"/>
                <w:bCs w:val="1"/>
                <w:color w:val="auto"/>
              </w:rPr>
              <w:t>(EUR’000)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9"/>
              </w:rPr>
              <w:t>(EUR’000)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Commercial sale of products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4,435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6,323</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Rendering of services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Sale of clinical supply</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4,407</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Total revenue from external customers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12,988</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w:t>
            </w:r>
          </w:p>
        </w:tc>
        <w:tc>
          <w:tcPr>
            <w:tcW w:w="6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Revenue increased by €5.1 million and €11.2 million, respectively, for the three and six months ended June 30, 2022, which was primarily attributable to commercial sale of SKYTROFA (lonapegsomatropin-tcgd), for which we began shipping products in the fourth quarter of 2021. In addition, the six months ended June 30, 2022, included €4.2 million higher sales of clinical supply to VISEN compared to the same period last year.</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Cost of sales comprised cost of commercial products sold, and cost of clinical supply delivered to VISEN, primarily related to the first three months of 2022. Since we first began shipping products to commercial customers in the fourth quarter of 2021, no cost of sales was recognized for the comparative periods.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specifies external project costs on the development pipeline and other research and development (“R&amp;D”) costs.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9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020" w:type="dxa"/>
            <w:vAlign w:val="bottom"/>
          </w:tcPr>
          <w:p>
            <w:pPr>
              <w:spacing w:after="0"/>
              <w:rPr>
                <w:sz w:val="14"/>
                <w:szCs w:val="14"/>
                <w:color w:val="auto"/>
              </w:rPr>
            </w:pPr>
          </w:p>
        </w:tc>
        <w:tc>
          <w:tcPr>
            <w:tcW w:w="1300" w:type="dxa"/>
            <w:vAlign w:val="bottom"/>
            <w:tcBorders>
              <w:bottom w:val="single" w:sz="8" w:color="auto"/>
            </w:tcBorders>
            <w:gridSpan w:val="4"/>
          </w:tcPr>
          <w:p>
            <w:pPr>
              <w:jc w:val="center"/>
              <w:ind w:left="495"/>
              <w:spacing w:after="0"/>
              <w:rPr>
                <w:sz w:val="20"/>
                <w:szCs w:val="20"/>
                <w:color w:val="auto"/>
              </w:rPr>
            </w:pPr>
            <w:r>
              <w:rPr>
                <w:rFonts w:ascii="Arial" w:cs="Arial" w:eastAsia="Arial" w:hAnsi="Arial"/>
                <w:sz w:val="14"/>
                <w:szCs w:val="14"/>
                <w:b w:val="1"/>
                <w:bCs w:val="1"/>
                <w:color w:val="auto"/>
                <w:w w:val="91"/>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w w:val="91"/>
              </w:rPr>
              <w:t>June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8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r>
      <w:tr>
        <w:trPr>
          <w:trHeight w:val="181"/>
        </w:trPr>
        <w:tc>
          <w:tcPr>
            <w:tcW w:w="7020" w:type="dxa"/>
            <w:vAlign w:val="bottom"/>
          </w:tcPr>
          <w:p>
            <w:pPr>
              <w:spacing w:after="0"/>
              <w:rPr>
                <w:sz w:val="15"/>
                <w:szCs w:val="15"/>
                <w:color w:val="auto"/>
              </w:rPr>
            </w:pPr>
          </w:p>
        </w:tc>
        <w:tc>
          <w:tcPr>
            <w:tcW w:w="1300"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rPr>
              <w:t>(EUR’000)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9"/>
              </w:rPr>
              <w:t>(EUR’000)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External project costs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TransCon hGH</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22,927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28,622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42,867</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55,200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TransCon PTH</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22,578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16,542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TransCon CNP</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7,558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7,886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17,113</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16,196</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TransCon IL-2 ß/g</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TransCon TLR7/8</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2,191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7,648</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5,763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project costs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Total external project costs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50,481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50,242</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95,846</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101,585</w:t>
            </w:r>
          </w:p>
        </w:tc>
        <w:tc>
          <w:tcPr>
            <w:tcW w:w="6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research and development costs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Employee costs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31,353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26,626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61,771</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58,472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Depreciation</w:t>
            </w:r>
          </w:p>
        </w:tc>
        <w:tc>
          <w:tcPr>
            <w:tcW w:w="860" w:type="dxa"/>
            <w:vAlign w:val="bottom"/>
          </w:tcPr>
          <w:p>
            <w:pPr>
              <w:jc w:val="right"/>
              <w:spacing w:after="0"/>
              <w:rPr>
                <w:sz w:val="20"/>
                <w:szCs w:val="20"/>
                <w:color w:val="auto"/>
              </w:rPr>
            </w:pPr>
            <w:r>
              <w:rPr>
                <w:rFonts w:ascii="Arial" w:cs="Arial" w:eastAsia="Arial" w:hAnsi="Arial"/>
                <w:sz w:val="18"/>
                <w:szCs w:val="18"/>
                <w:color w:val="auto"/>
              </w:rPr>
              <w:t>2,705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2,754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5,425</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4,905</w:t>
            </w:r>
          </w:p>
        </w:tc>
      </w:tr>
      <w:tr>
        <w:trPr>
          <w:trHeight w:val="27"/>
        </w:trPr>
        <w:tc>
          <w:tcPr>
            <w:tcW w:w="7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research and development costs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33,064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77,730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69,870</w:t>
            </w: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90,383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83,306</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173,576</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171,455</w:t>
            </w:r>
          </w:p>
        </w:tc>
        <w:tc>
          <w:tcPr>
            <w:tcW w:w="6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R&amp;D costs increased by €7.1 million and €2.1 million, respectively, for the three and six months ended June 30, 2022, reflecting a normalization of the overall cost structure associated with the broader product portfolio as more programs progress from early-stage development. The primary drivers of the increase in R&amp;D costs include €4.6 million attributable to building up pre-launch inventories for TransCon PTH, and an increase in employee costs as a result of an increase in the number of R&amp;D related personnel. The increase was partly offset by lower external project costs for TransCon hGH following commercial launch of SKYTROFA (lonapegsomatropin-tcgd) on the U.S. market in October 2021, and lower external project costs for TranCon IL-2 ß/g due to lower manufacturing costs compared to the same periods last year and timing of phase I clinical trial studies.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Following the U.S. FDA approval of SKYTROFA (lonapegsomatropin-tcgd), manufacturing of commercial product supply is recognized as inventory, whereas such costs were recognized as research and development costs prior to the U.S. FDA approval, and as such included in the external development costs for TransCon hGH for the three and six months ended June 30,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Selling, general and administrative expenses increased by €21.2 million and €31.4 million, respectively, for the three and six months ended June 30, 2022, which was primarily attributable to additional commercial and administrative personnel following the launch of SKYTROFA (lonapegsomatropin-tcgd).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loss of associate was €1.2 million and €6.0 million, respectively, for the three and six months ended June 30, 2022, compared to a net loss of</w:t>
      </w:r>
    </w:p>
    <w:p>
      <w:pPr>
        <w:spacing w:after="0" w:line="3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€4.8 million and a net profit of €23.3 million, respectively, for the three and six months ended June 30, 2021. The net loss represents our share of net result from VISEN. For the six months ended June 30, 2021, the net profit of associate included a non-cash gain of €42.3 million as a result of the Series B financing in VISEN in January 2021.</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Net finance income increased by €73.7 million and €47.8 million, respectively, for the three and six months ended June 30, 2022, primarily due to net foreign exchange rate gains when translating and reporting U.S. Dollar denominated cash, cash equivalents, marketable securities, and convertible senior notes (“convertible notes”) into Euro. In addition, the three months ended June 30, 2022, included a net gain on derivative liabilities of €39.3 million.</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Derivative liabilities relate to the foreign currency conversion option embedded in the convertible notes, which is measured by using the Black-Scholes option pricing model, please refer to “Equity Risk” in section “Qualitative Disclosures about Market Risk” and Note 10, “Financial Assets and Financial Liabilities”. For the three months ended June 30, 2022, finance expenses included interest and amortization charges of €8.2 million, attributable to the convertible notes issued in March 2022. In addition to interest and amortization charges on the convertible notes, the six months ended June 30, 2022, included €4.2 million transaction costs representing the part of the total transaction costs that were attributable to the derivative component of the convertible notes financing.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liquidity and capital resources comprise cash, cash equivalents and marketable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2022, these amounted to €994.9 million, specified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Carrying</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3"/>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060" w:type="dxa"/>
            <w:vAlign w:val="bottom"/>
          </w:tcPr>
          <w:p>
            <w:pPr>
              <w:spacing w:after="0"/>
              <w:rPr>
                <w:sz w:val="15"/>
                <w:szCs w:val="15"/>
                <w:color w:val="auto"/>
              </w:rPr>
            </w:pPr>
          </w:p>
        </w:tc>
        <w:tc>
          <w:tcPr>
            <w:tcW w:w="1300" w:type="dxa"/>
            <w:vAlign w:val="bottom"/>
            <w:gridSpan w:val="3"/>
          </w:tcPr>
          <w:p>
            <w:pPr>
              <w:ind w:left="620"/>
              <w:spacing w:after="0"/>
              <w:rPr>
                <w:sz w:val="20"/>
                <w:szCs w:val="20"/>
                <w:color w:val="auto"/>
              </w:rPr>
            </w:pPr>
            <w:r>
              <w:rPr>
                <w:rFonts w:ascii="Arial" w:cs="Arial" w:eastAsia="Arial" w:hAnsi="Arial"/>
                <w:sz w:val="14"/>
                <w:szCs w:val="14"/>
                <w:b w:val="1"/>
                <w:bCs w:val="1"/>
                <w:color w:val="auto"/>
                <w:w w:val="99"/>
              </w:rPr>
              <w:t>(EUR’000)</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2022</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322,488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318,774</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672,387</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673,387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994,875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991,161</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Classification in consolidated statement of financial position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39,721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38,576</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955,154</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952,585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994,875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991,161</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As of June 30, 2022, marketable securities had a weighted average duration of 6.1 and 15.2 months, for current (i.e., those maturing within twelve months after the reporting date) and non-current positions, respectively. The entire portfolio of marketable securities (current and non-current) had a weighted average duration of 7.2 months.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6"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Historically, we have funded our operations primarily through issuance of preference shares, ordinary shares, including our initial public offering, follow-on offerings and exercise of warrants, convertible debt securities, and payments to us made under collaboration agreements.</w:t>
      </w:r>
    </w:p>
    <w:p>
      <w:pPr>
        <w:spacing w:after="0" w:line="12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w:t>
      </w:r>
    </w:p>
    <w:p>
      <w:pPr>
        <w:spacing w:after="0" w:line="76" w:lineRule="exact"/>
        <w:rPr>
          <w:sz w:val="20"/>
          <w:szCs w:val="20"/>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2019, with net proceeds of $539.4 million (or €480.3 million);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2020, with net proceeds of $654.6 million (or €580.5 million);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2021, with net proceeds of $436.5 million (or €367.9 million).</w:t>
      </w:r>
    </w:p>
    <w:p>
      <w:pPr>
        <w:spacing w:after="0" w:line="2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March 2022, we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and are redeemable by us no earlier than on or after April 7, 2025. Unless earlier converted or redeemed, the convertible notes will mature on April 1, 2028. For further description of the convertible notes, and a maturity analysis (on an un-discounted basis) for non-derivative financial liabilities, recognized in the unaudited condensed consolidated statements of financial position as of June 30, 2022, please refer to Note 10, “Financial Assets and Financial Liabilities”.</w:t>
      </w:r>
    </w:p>
    <w:p>
      <w:pPr>
        <w:spacing w:after="0" w:line="164"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We used $116.7 million (€105.2 million) of the net proceeds from the offering in March 2022 to repurchase 1,000,000 ADSs representing the Company’s ordinary shares. Total holding of treasury shares is disclosed in Note 9, “Treasury Shares”.</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Our operational expenditures are primarily related to research and development activities and general and administrative activities to support our therapeutic areas within endocrinology and oncology. In addition, expenditures relate to expanding our sales and marketing capabilities, and inventories, to support the commercialization of SKYTROFA (lonapegsomatropin-tcgd), as well as preparation for future product launches.</w:t>
      </w:r>
    </w:p>
    <w:p>
      <w:pPr>
        <w:spacing w:after="0" w:line="165"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through a liquidity planning tool, to ensure sufficient funds are available to settle liabilities as they become due.</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June 30, 2022, will be sufficient to meet our projected cash requirements for at least twelve months from the date of this report. However, our operating plan may change as a result of many factors currently unknown to us, and we may need to seek additional funds sooner than planned.</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additional description of our cash requirements, expense structure and commitments, please refer to “Item 5B. Liquidity and Capital Resources”, set forth in our 2021 Annual Report on Form 20-F.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31" w:lineRule="exact"/>
        <w:rPr>
          <w:sz w:val="20"/>
          <w:szCs w:val="20"/>
          <w:color w:val="auto"/>
        </w:rPr>
      </w:pPr>
    </w:p>
    <w:p>
      <w:pPr>
        <w:ind w:left="1540" w:right="180" w:hanging="33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TransCon hGH and with our other product candidates, if approved, including the cost and timing of building our sales and marketing capabilities;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TransCon hGH and any future products;</w:t>
      </w:r>
    </w:p>
    <w:p>
      <w:pPr>
        <w:spacing w:after="0" w:line="130"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TransCon hGH and for our other product candidates, if approved;</w:t>
      </w:r>
    </w:p>
    <w:p>
      <w:pPr>
        <w:spacing w:after="0" w:line="75" w:lineRule="exact"/>
        <w:rPr>
          <w:rFonts w:ascii="Arial" w:cs="Arial" w:eastAsia="Arial" w:hAnsi="Arial"/>
          <w:sz w:val="18"/>
          <w:szCs w:val="18"/>
          <w:color w:val="auto"/>
        </w:rPr>
      </w:pPr>
    </w:p>
    <w:p>
      <w:pPr>
        <w:ind w:left="1540" w:right="780" w:hanging="33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5" w:lineRule="exact"/>
        <w:rPr>
          <w:rFonts w:ascii="Arial" w:cs="Arial" w:eastAsia="Arial" w:hAnsi="Arial"/>
          <w:sz w:val="18"/>
          <w:szCs w:val="18"/>
          <w:color w:val="auto"/>
        </w:rPr>
      </w:pPr>
    </w:p>
    <w:p>
      <w:pPr>
        <w:ind w:left="1540" w:right="20" w:hanging="331"/>
        <w:spacing w:after="0" w:line="308" w:lineRule="auto"/>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540" w:right="320" w:hanging="331"/>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540" w:right="240" w:hanging="331"/>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540" w:right="40" w:hanging="331"/>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540" w:right="100" w:hanging="331"/>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progress in the successful commercialization of TransCon hGH and of our other product candidates, if approved, and our efforts to develop and commercialize our other existing product candidates; and</w:t>
      </w:r>
    </w:p>
    <w:p>
      <w:pPr>
        <w:spacing w:after="0" w:line="75" w:lineRule="exact"/>
        <w:rPr>
          <w:rFonts w:ascii="Arial" w:cs="Arial" w:eastAsia="Arial" w:hAnsi="Arial"/>
          <w:sz w:val="18"/>
          <w:szCs w:val="18"/>
          <w:color w:val="auto"/>
        </w:rPr>
      </w:pPr>
    </w:p>
    <w:p>
      <w:pPr>
        <w:ind w:left="1540" w:right="380" w:hanging="331"/>
        <w:spacing w:after="0" w:line="286" w:lineRule="auto"/>
        <w:tabs>
          <w:tab w:leader="none" w:pos="1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6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preparing for potential commercialization,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cash flows for each of the unaudited six months ended June 30, 2022 and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Six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1000" w:type="dxa"/>
            <w:vAlign w:val="bottom"/>
            <w:gridSpan w:val="2"/>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8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2"/>
                <w:szCs w:val="12"/>
                <w:color w:val="auto"/>
              </w:rPr>
            </w:pPr>
          </w:p>
        </w:tc>
      </w:tr>
      <w:tr>
        <w:trPr>
          <w:trHeight w:val="181"/>
        </w:trPr>
        <w:tc>
          <w:tcPr>
            <w:tcW w:w="78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 (used in)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Operating activities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(255,181)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(196,820)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(58,361)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48,430</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(19,082)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67,512</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Financing activities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395,500</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1,411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394,089</w:t>
            </w:r>
          </w:p>
        </w:tc>
      </w:tr>
      <w:tr>
        <w:trPr>
          <w:trHeight w:val="27"/>
        </w:trPr>
        <w:tc>
          <w:tcPr>
            <w:tcW w:w="7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188,749</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(214,491)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403,240</w:t>
            </w:r>
          </w:p>
        </w:tc>
      </w:tr>
      <w:tr>
        <w:trPr>
          <w:trHeight w:val="20"/>
        </w:trPr>
        <w:tc>
          <w:tcPr>
            <w:tcW w:w="7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from / (Used in) Operating Activities</w:t>
      </w:r>
    </w:p>
    <w:p>
      <w:pPr>
        <w:spacing w:after="0" w:line="117"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Cash flow used in operating activities represents all cash flows other than those classified as either investing or financing activities. Cash flow used in operating activities includes net loss for the period adjusted for non-cash net financial income and taxes, changes to provisions, other non-cash items, and net change in working capital items.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€58.4 million increase in cash flow used in operating activities for the six months ended June 30, 2022, compared to the same period last year, was attributable to increase in net loss for the period adjusted for non-operating financial income and expense, taxes, and non-cash items. In addition, working capital items contributed negatively to operating cash flows by €34.0 million, primarily due to higher inventories of €26.0 million following the launch of SKYTROFA (lonapegsomatropin-tcgd).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from / (Used in) Investing Activities</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€67.5 million increase in cash flow from investing activities for the six months ended June 30, 2022, compared to the same period last year, was primarily attributable to:</w:t>
      </w:r>
    </w:p>
    <w:p>
      <w:pPr>
        <w:spacing w:after="0" w:line="76" w:lineRule="exact"/>
        <w:rPr>
          <w:sz w:val="20"/>
          <w:szCs w:val="20"/>
          <w:color w:val="auto"/>
        </w:rPr>
      </w:pPr>
    </w:p>
    <w:p>
      <w:pPr>
        <w:ind w:left="1540" w:hanging="331"/>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net settlements of marketable securities of €47.2 million in line with our liquidity management strategy;</w:t>
      </w:r>
    </w:p>
    <w:p>
      <w:pPr>
        <w:spacing w:after="0" w:line="130" w:lineRule="exact"/>
        <w:rPr>
          <w:rFonts w:ascii="Arial" w:cs="Arial" w:eastAsia="Arial" w:hAnsi="Arial"/>
          <w:sz w:val="18"/>
          <w:szCs w:val="18"/>
          <w:color w:val="auto"/>
        </w:rPr>
      </w:pPr>
    </w:p>
    <w:p>
      <w:pPr>
        <w:ind w:left="1540" w:right="660" w:hanging="33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reimbursement from property, plant and equipment of €9.6 million primarily related to leasehold improvements for our U.S. facilities; and</w:t>
      </w:r>
    </w:p>
    <w:p>
      <w:pPr>
        <w:spacing w:after="0" w:line="75" w:lineRule="exact"/>
        <w:rPr>
          <w:rFonts w:ascii="Arial" w:cs="Arial" w:eastAsia="Arial" w:hAnsi="Arial"/>
          <w:sz w:val="18"/>
          <w:szCs w:val="18"/>
          <w:color w:val="auto"/>
        </w:rPr>
      </w:pPr>
    </w:p>
    <w:p>
      <w:pPr>
        <w:ind w:left="1540" w:right="320" w:hanging="331"/>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Series B investment in VISEN of €10.2 million made in January 2021, which reduced the cash flow for the six months ended June 30,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from / (Used in) Financing Activities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€394.1 million increase in cash flow from financing activities for the six months ended June 30, 2022, compared to the same period last year, was primarily attributable to proceeds from issuance of convertible notes net of paid transaction costs, of €503.3 million, partly offset by acquisition of treasury shares of €105.3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Our activities expose us to financial risks of changes in foreign currency exchange rates and interest rates. We do not enter into derivative financial instruments to manage our exposure to such risks. Further, we are exposed to credit risk, equity risk and liquidity risk. For a description of our exposure to liquidity risks and processes for managing these risks, please refer to “Liquidity and Capital Resources”, set forth above.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are exposed to foreign exchange risk arising from various currency exposures, primarily with respect to the U.S. Dollar, the Swiss Franc and the British Pound. We have received payments in U.S. Dollars under our collaboration and license agreements, and the proceeds from our Series D financing in November 2014, our initial public offering in February 2015 and our follow-on offerings were in U.S. Dollars. In addition, our outstanding convertible notes, due April 2028, are denominated in U.S. Dollars. We seek to minimize our exchange rate risk by maintaining cash positions in the currencies in which we expect to incur the majority of our future expenses and we make payments from those positions.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Outstanding convertible notes comprise a 2.25% coupon fixed rate structure. In addition, interest rate on lease liabilities is fixed at the lease commencement date. Future indebtedness including those related to lease arrangements, if any, may be subject to higher interest rates. In addition, future interest income from interest-bearing bank deposits and marketable securities may fall short of expectations due to changes in interest rates.</w:t>
      </w:r>
    </w:p>
    <w:p>
      <w:pPr>
        <w:spacing w:after="0" w:line="14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Derivative liabilities are measured at fair value through profit or loss. Accordingly, since the fair value is exposed from the development in interest rates, the profit or loss is exposed to volatility from such development.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A2/A-)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have been placed into primarily U.S. government bonds, corporate bonds and agency bonds. Our investment policy, approved by the Board of Directors, only allows investment in marketable securities having investment grade credit-ratings, assigned by international credit-rating agencies. Accordingly, the risk from probability of default is low. On each reporting date, we consider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exposed from the development in the Company’s share price, when remeasuring derivative liabilities at fair value.</w:t>
      </w:r>
    </w:p>
    <w:p>
      <w:pPr>
        <w:spacing w:after="0" w:line="22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Derivative liabilities relate to the foreign currency conversion option embedded in the convertible notes and are measured at fair value through profit or loss. Fair value cannot be measured based on quoted prices in active markets, or other observable input, and accordingly, derivative liabilities are measured by using the Black-Scholes option pricing model, where the pricing is exposed from changes in the Company’s share price. Sensitivity analysis over derivative liabilities is disclosed in Note 10, “Financial Assets and Financial Liabilities.”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sectPr>
      <w:pgSz w:w="11900" w:h="16838" w:orient="portrait"/>
      <w:cols w:equalWidth="0" w:num="1">
        <w:col w:w="11100"/>
      </w:cols>
      <w:pgMar w:left="320" w:top="48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2022-08-10T15:55:19Z</dcterms:created>
  <dcterms:modified xsi:type="dcterms:W3CDTF">2022-08-10T15:55:19Z</dcterms:modified>
</cp:coreProperties>
</file>