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0514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BIENAIME JEAN JACQUES</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Ascendis Pharma A/S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ASND</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tcBorders>
              <w:bottom w:val="single" w:sz="8" w:color="0000EE"/>
            </w:tcBorders>
          </w:tcPr>
          <w:p>
            <w:pPr>
              <w:spacing w:after="0"/>
              <w:rPr>
                <w:sz w:val="6"/>
                <w:szCs w:val="6"/>
                <w:color w:val="auto"/>
              </w:rPr>
            </w:pPr>
          </w:p>
        </w:tc>
        <w:tc>
          <w:tcPr>
            <w:tcW w:w="18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5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gridSpan w:val="2"/>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20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05/26/2026</w:t>
            </w:r>
          </w:p>
        </w:tc>
        <w:tc>
          <w:tcPr>
            <w:tcW w:w="18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ASCENDIS PHARMA A/S</w:t>
            </w: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20" w:type="dxa"/>
            <w:vAlign w:val="bottom"/>
            <w:gridSpan w:val="3"/>
            <w:vMerge w:val="continue"/>
          </w:tcPr>
          <w:p>
            <w:pPr>
              <w:spacing w:after="0"/>
              <w:rPr>
                <w:sz w:val="11"/>
                <w:szCs w:val="11"/>
                <w:color w:val="auto"/>
              </w:rPr>
            </w:pPr>
          </w:p>
        </w:tc>
        <w:tc>
          <w:tcPr>
            <w:tcW w:w="18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TUBORG BOULEVARD 12</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8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1440" w:gutter="0" w:footer="0" w:header="0"/>
          <w:type w:val="continuous"/>
        </w:sectPr>
      </w:pPr>
    </w:p>
    <w:p>
      <w:pPr>
        <w:spacing w:after="0" w:line="2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0"/>
          <w:szCs w:val="20"/>
          <w:color w:val="auto"/>
        </w:rPr>
      </w:pPr>
    </w:p>
    <w:p>
      <w:pPr>
        <w:ind w:left="120"/>
        <w:spacing w:after="0"/>
        <w:tabs>
          <w:tab w:leader="none" w:pos="1320" w:val="left"/>
        </w:tabs>
        <w:rPr>
          <w:sz w:val="20"/>
          <w:szCs w:val="20"/>
          <w:color w:val="auto"/>
        </w:rPr>
      </w:pPr>
      <w:r>
        <w:rPr>
          <w:rFonts w:ascii="Times New Roman" w:cs="Times New Roman" w:eastAsia="Times New Roman" w:hAnsi="Times New Roman"/>
          <w:sz w:val="17"/>
          <w:szCs w:val="17"/>
          <w:color w:val="0000FF"/>
        </w:rPr>
        <w:t>HELLERUP</w:t>
      </w:r>
      <w:r>
        <w:rPr>
          <w:sz w:val="20"/>
          <w:szCs w:val="20"/>
          <w:color w:val="auto"/>
        </w:rPr>
        <w:tab/>
      </w:r>
      <w:r>
        <w:rPr>
          <w:rFonts w:ascii="Times New Roman" w:cs="Times New Roman" w:eastAsia="Times New Roman" w:hAnsi="Times New Roman"/>
          <w:sz w:val="17"/>
          <w:szCs w:val="17"/>
          <w:color w:val="0000FF"/>
        </w:rPr>
        <w:t>G7</w:t>
      </w:r>
    </w:p>
    <w:p>
      <w:pPr>
        <w:spacing w:after="0" w:line="33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3"/>
          </w:tcPr>
          <w:p>
            <w:pPr>
              <w:jc w:val="center"/>
              <w:ind w:right="162"/>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102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vMerge w:val="restart"/>
          </w:tcPr>
          <w:p>
            <w:pPr>
              <w:jc w:val="center"/>
              <w:ind w:left="7"/>
              <w:spacing w:after="0"/>
              <w:rPr>
                <w:sz w:val="20"/>
                <w:szCs w:val="20"/>
                <w:color w:val="auto"/>
              </w:rPr>
            </w:pPr>
            <w:r>
              <w:rPr>
                <w:rFonts w:ascii="Arial" w:cs="Arial" w:eastAsia="Arial" w:hAnsi="Arial"/>
                <w:sz w:val="12"/>
                <w:szCs w:val="12"/>
                <w:b w:val="1"/>
                <w:bCs w:val="1"/>
                <w:color w:val="auto"/>
                <w:w w:val="99"/>
              </w:rPr>
              <w:t>(A) or</w:t>
            </w:r>
          </w:p>
        </w:tc>
        <w:tc>
          <w:tcPr>
            <w:tcW w:w="102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jc w:val="right"/>
              <w:ind w:right="89"/>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40" w:type="dxa"/>
            <w:vAlign w:val="bottom"/>
            <w:tcBorders>
              <w:bottom w:val="single" w:sz="8" w:color="2C2C2C"/>
            </w:tcBorders>
          </w:tcPr>
          <w:p>
            <w:pPr>
              <w:spacing w:after="0"/>
              <w:rPr>
                <w:sz w:val="15"/>
                <w:szCs w:val="15"/>
                <w:color w:val="auto"/>
              </w:rPr>
            </w:pPr>
          </w:p>
        </w:tc>
        <w:tc>
          <w:tcPr>
            <w:tcW w:w="16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2"/>
                <w:szCs w:val="12"/>
                <w:b w:val="1"/>
                <w:bCs w:val="1"/>
                <w:color w:val="auto"/>
              </w:rPr>
              <w:t>(D)</w:t>
            </w:r>
          </w:p>
        </w:tc>
        <w:tc>
          <w:tcPr>
            <w:tcW w:w="102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64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05/26/2026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68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200</w:t>
            </w:r>
          </w:p>
        </w:tc>
        <w:tc>
          <w:tcPr>
            <w:tcW w:w="560" w:type="dxa"/>
            <w:vAlign w:val="bottom"/>
            <w:tcBorders>
              <w:bottom w:val="single" w:sz="8" w:color="2C2C2C"/>
            </w:tcBorders>
          </w:tcPr>
          <w:p>
            <w:pPr>
              <w:jc w:val="center"/>
              <w:ind w:left="27"/>
              <w:spacing w:after="0"/>
              <w:rPr>
                <w:sz w:val="20"/>
                <w:szCs w:val="20"/>
                <w:color w:val="auto"/>
              </w:rPr>
            </w:pPr>
            <w:r>
              <w:rPr>
                <w:rFonts w:ascii="Times New Roman" w:cs="Times New Roman" w:eastAsia="Times New Roman" w:hAnsi="Times New Roman"/>
                <w:sz w:val="17"/>
                <w:szCs w:val="17"/>
                <w:color w:val="0000FF"/>
              </w:rPr>
              <w:t>A</w:t>
            </w:r>
          </w:p>
        </w:tc>
        <w:tc>
          <w:tcPr>
            <w:tcW w:w="1020" w:type="dxa"/>
            <w:vAlign w:val="bottom"/>
            <w:tcBorders>
              <w:bottom w:val="single" w:sz="8" w:color="2C2C2C"/>
            </w:tcBorders>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236.235</w:t>
            </w:r>
            <w:r>
              <w:rPr>
                <w:rFonts w:ascii="Times New Roman" w:cs="Times New Roman" w:eastAsia="Times New Roman" w:hAnsi="Times New Roman"/>
                <w:sz w:val="22"/>
                <w:szCs w:val="22"/>
                <w:color w:val="008000"/>
                <w:vertAlign w:val="superscript"/>
              </w:rPr>
              <w:t>(1)</w:t>
            </w:r>
          </w:p>
        </w:tc>
        <w:tc>
          <w:tcPr>
            <w:tcW w:w="10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200</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64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05/26/2026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68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200</w:t>
            </w:r>
          </w:p>
        </w:tc>
        <w:tc>
          <w:tcPr>
            <w:tcW w:w="560" w:type="dxa"/>
            <w:vAlign w:val="bottom"/>
            <w:tcBorders>
              <w:bottom w:val="single" w:sz="8" w:color="2C2C2C"/>
            </w:tcBorders>
          </w:tcPr>
          <w:p>
            <w:pPr>
              <w:jc w:val="center"/>
              <w:ind w:left="27"/>
              <w:spacing w:after="0"/>
              <w:rPr>
                <w:sz w:val="20"/>
                <w:szCs w:val="20"/>
                <w:color w:val="auto"/>
              </w:rPr>
            </w:pPr>
            <w:r>
              <w:rPr>
                <w:rFonts w:ascii="Times New Roman" w:cs="Times New Roman" w:eastAsia="Times New Roman" w:hAnsi="Times New Roman"/>
                <w:sz w:val="17"/>
                <w:szCs w:val="17"/>
                <w:color w:val="0000FF"/>
              </w:rPr>
              <w:t>A</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239.3675</w:t>
            </w:r>
            <w:r>
              <w:rPr>
                <w:rFonts w:ascii="Times New Roman" w:cs="Times New Roman" w:eastAsia="Times New Roman" w:hAnsi="Times New Roman"/>
                <w:sz w:val="22"/>
                <w:szCs w:val="22"/>
                <w:color w:val="008000"/>
                <w:vertAlign w:val="superscript"/>
              </w:rPr>
              <w:t>(2)</w:t>
            </w:r>
          </w:p>
        </w:tc>
        <w:tc>
          <w:tcPr>
            <w:tcW w:w="10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400</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1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$235.93 to $236.54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$239.245 to $239.490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Wolff Jensen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10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094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Jean J</w:t>
      </w:r>
      <w:r>
        <w:rPr>
          <w:sz w:val="20"/>
          <w:szCs w:val="20"/>
          <w:color w:val="auto"/>
        </w:rPr>
        <w:tab/>
      </w:r>
      <w:r>
        <w:rPr>
          <w:rFonts w:ascii="Times New Roman" w:cs="Times New Roman" w:eastAsia="Times New Roman" w:hAnsi="Times New Roman"/>
          <w:sz w:val="17"/>
          <w:szCs w:val="17"/>
          <w:color w:val="0000FF"/>
        </w:rPr>
        <w:t>05/27/2026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Bienaime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216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2164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21590" TargetMode="External"/><Relationship Id="rId14" Type="http://schemas.openxmlformats.org/officeDocument/2006/relationships/hyperlink" Target="http://www.sec.gov/cgi-bin/browse-edgar?action=getcompany&amp;CIK=00016120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2026-05-27T15:14:40Z</dcterms:created>
  <dcterms:modified xsi:type="dcterms:W3CDTF">2026-05-27T15:14:40Z</dcterms:modified>
</cp:coreProperties>
</file>