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294005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311150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97790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129540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right="100" w:firstLine="8"/>
        <w:spacing w:after="0" w:line="241" w:lineRule="auto"/>
        <w:tabs>
          <w:tab w:leader="none" w:pos="248"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0"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9" w:lineRule="exact"/>
        <w:rPr>
          <w:sz w:val="24"/>
          <w:szCs w:val="24"/>
          <w:color w:val="auto"/>
        </w:rPr>
      </w:pPr>
    </w:p>
    <w:p>
      <w:pPr>
        <w:ind w:left="340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-5715</wp:posOffset>
            </wp:positionV>
            <wp:extent cx="5689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960" cy="8255"/>
                    </a:xfrm>
                    <a:prstGeom prst="rect">
                      <a:avLst/>
                    </a:prstGeom>
                    <a:noFill/>
                  </pic:spPr>
                </pic:pic>
              </a:graphicData>
            </a:graphic>
          </wp:anchor>
        </w:drawing>
      </w:r>
    </w:p>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0" w:lineRule="exact"/>
        <w:rPr>
          <w:sz w:val="24"/>
          <w:szCs w:val="24"/>
          <w:color w:val="auto"/>
        </w:rPr>
      </w:pPr>
    </w:p>
    <w:p>
      <w:pPr>
        <w:ind w:right="360" w:firstLine="8"/>
        <w:spacing w:after="0" w:line="258" w:lineRule="auto"/>
        <w:tabs>
          <w:tab w:leader="none" w:pos="248"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121920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106680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Kingdom of Denmark</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DK-2900 Hellerup, Denmark</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Jan Møller Mikkelsen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DK-2900 Hellerup, Denmark</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+45 70 22 22 44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1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40" w:type="dxa"/>
            <w:vAlign w:val="bottom"/>
          </w:tcPr>
          <w:p>
            <w:pPr>
              <w:spacing w:after="0"/>
              <w:rPr>
                <w:sz w:val="16"/>
                <w:szCs w:val="16"/>
                <w:color w:val="auto"/>
              </w:rPr>
            </w:pPr>
          </w:p>
        </w:tc>
        <w:tc>
          <w:tcPr>
            <w:tcW w:w="4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r>
      <w:tr>
        <w:trPr>
          <w:trHeight w:val="388"/>
        </w:trPr>
        <w:tc>
          <w:tcPr>
            <w:tcW w:w="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 one ordinary share,</w:t>
            </w:r>
          </w:p>
        </w:tc>
        <w:tc>
          <w:tcPr>
            <w:tcW w:w="1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ASND</w:t>
            </w:r>
          </w:p>
        </w:tc>
        <w:tc>
          <w:tcPr>
            <w:tcW w:w="140" w:type="dxa"/>
            <w:vAlign w:val="bottom"/>
          </w:tcPr>
          <w:p>
            <w:pPr>
              <w:spacing w:after="0"/>
              <w:rPr>
                <w:sz w:val="24"/>
                <w:szCs w:val="24"/>
                <w:color w:val="auto"/>
              </w:rPr>
            </w:pPr>
          </w:p>
        </w:tc>
        <w:tc>
          <w:tcPr>
            <w:tcW w:w="43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 value DKK 1 per share</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nominal value DKK 1 per share*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20" w:type="dxa"/>
            <w:vAlign w:val="bottom"/>
          </w:tcPr>
          <w:p>
            <w:pPr>
              <w:spacing w:after="0"/>
              <w:rPr>
                <w:sz w:val="24"/>
                <w:szCs w:val="24"/>
                <w:color w:val="auto"/>
              </w:rPr>
            </w:pPr>
          </w:p>
        </w:tc>
      </w:tr>
      <w:tr>
        <w:trPr>
          <w:trHeight w:val="558"/>
        </w:trPr>
        <w:tc>
          <w:tcPr>
            <w:tcW w:w="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 w:name="page2"/>
    <w:bookmarkEnd w:id="1"/>
    <w:p>
      <w:pPr>
        <w:ind w:right="4220" w:firstLine="8"/>
        <w:spacing w:after="0" w:line="311" w:lineRule="auto"/>
        <w:tabs>
          <w:tab w:leader="none" w:pos="1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Securities registered or to be registered pursuant to Section 12(g) of the Act: None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136525</wp:posOffset>
            </wp:positionV>
            <wp:extent cx="2383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57,152,295 ordinary shares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15" w:lineRule="exact"/>
        <w:rPr>
          <w:sz w:val="20"/>
          <w:szCs w:val="20"/>
          <w:color w:val="auto"/>
        </w:rPr>
      </w:pPr>
    </w:p>
    <w:p>
      <w:pPr>
        <w:spacing w:after="0" w:line="242" w:lineRule="exact"/>
        <w:tabs>
          <w:tab w:leader="none" w:pos="8580" w:val="left"/>
        </w:tabs>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r>
        <w:rPr>
          <w:sz w:val="20"/>
          <w:szCs w:val="20"/>
          <w:color w:val="auto"/>
        </w:rPr>
        <w:tab/>
      </w:r>
      <w:r>
        <w:rPr>
          <w:rFonts w:ascii="Arial Unicode MS" w:cs="Arial Unicode MS" w:eastAsia="Arial Unicode MS" w:hAnsi="Arial Unicode MS"/>
          <w:sz w:val="18"/>
          <w:szCs w:val="18"/>
          <w:color w:val="auto"/>
        </w:rPr>
        <w:t xml:space="preserve">☒ </w:t>
      </w:r>
      <w:r>
        <w:rPr>
          <w:rFonts w:ascii="Times New Roman" w:cs="Times New Roman" w:eastAsia="Times New Roman" w:hAnsi="Times New Roman"/>
          <w:sz w:val="18"/>
          <w:szCs w:val="18"/>
          <w:color w:val="auto"/>
        </w:rPr>
        <w:t>Yes</w:t>
      </w:r>
      <w:r>
        <w:rPr>
          <w:rFonts w:ascii="Arial Unicode MS" w:cs="Arial Unicode MS" w:eastAsia="Arial Unicode MS" w:hAnsi="Arial Unicode MS"/>
          <w:sz w:val="18"/>
          <w:szCs w:val="18"/>
          <w:color w:val="auto"/>
        </w:rPr>
        <w:t xml:space="preserve">  ☐ </w:t>
      </w:r>
      <w:r>
        <w:rPr>
          <w:rFonts w:ascii="Times New Roman" w:cs="Times New Roman" w:eastAsia="Times New Roman" w:hAnsi="Times New Roman"/>
          <w:sz w:val="18"/>
          <w:szCs w:val="18"/>
          <w:color w:val="auto"/>
        </w:rPr>
        <w:t>No</w:t>
      </w:r>
    </w:p>
    <w:p>
      <w:pPr>
        <w:spacing w:after="0" w:line="57" w:lineRule="exact"/>
        <w:rPr>
          <w:sz w:val="20"/>
          <w:szCs w:val="20"/>
          <w:color w:val="auto"/>
        </w:rPr>
      </w:pPr>
    </w:p>
    <w:p>
      <w:pPr>
        <w:ind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 w:lineRule="exact"/>
        <w:rPr>
          <w:sz w:val="20"/>
          <w:szCs w:val="20"/>
          <w:color w:val="auto"/>
        </w:rPr>
      </w:pPr>
    </w:p>
    <w:p>
      <w:pPr>
        <w:ind w:right="34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2"/>
        <w:spacing w:after="0" w:line="242" w:lineRule="exact"/>
        <w:tabs>
          <w:tab w:leader="none" w:pos="260"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1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26" w:lineRule="exact"/>
        <w:rPr>
          <w:sz w:val="20"/>
          <w:szCs w:val="20"/>
          <w:color w:val="auto"/>
        </w:rPr>
      </w:pPr>
    </w:p>
    <w:p>
      <w:pPr>
        <w:ind w:left="20"/>
        <w:spacing w:after="0" w:line="242" w:lineRule="exact"/>
        <w:tabs>
          <w:tab w:leader="none" w:pos="3260" w:val="left"/>
          <w:tab w:leader="none" w:pos="5640" w:val="left"/>
          <w:tab w:leader="none" w:pos="83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124" w:lineRule="exact"/>
        <w:rPr>
          <w:sz w:val="20"/>
          <w:szCs w:val="20"/>
          <w:color w:val="auto"/>
        </w:rPr>
      </w:pPr>
    </w:p>
    <w:p>
      <w:pPr>
        <w:jc w:val="both"/>
        <w:ind w:right="2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7" w:lineRule="exact"/>
        <w:rPr>
          <w:sz w:val="20"/>
          <w:szCs w:val="20"/>
          <w:color w:val="auto"/>
        </w:rPr>
      </w:pPr>
    </w:p>
    <w:p>
      <w:pPr>
        <w:ind w:right="34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6" w:lineRule="exact"/>
        <w:rPr>
          <w:sz w:val="20"/>
          <w:szCs w:val="20"/>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36" w:right="339" w:bottom="1440" w:gutter="0" w:footer="0" w:header="0"/>
        </w:sectPr>
      </w:pPr>
    </w:p>
    <w:p>
      <w:pPr>
        <w:spacing w:after="0" w:line="1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60" w:hanging="28"/>
        <w:spacing w:after="0" w:line="234" w:lineRule="exact"/>
        <w:rPr>
          <w:sz w:val="20"/>
          <w:szCs w:val="20"/>
          <w:color w:val="auto"/>
        </w:rPr>
      </w:pPr>
      <w:r>
        <w:rPr>
          <w:rFonts w:ascii="Times New Roman" w:cs="Times New Roman" w:eastAsia="Times New Roman" w:hAnsi="Times New Roman"/>
          <w:sz w:val="17"/>
          <w:szCs w:val="17"/>
          <w:color w:val="auto"/>
        </w:rPr>
        <w:t xml:space="preserve">International Financial Reporting Standards as issued by the International Accounting Standards Board </w:t>
      </w:r>
      <w:r>
        <w:rPr>
          <w:rFonts w:ascii="Arial Unicode MS" w:cs="Arial Unicode MS" w:eastAsia="Arial Unicode MS" w:hAnsi="Arial Unicode MS"/>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338" w:lineRule="exact"/>
        <w:rPr>
          <w:sz w:val="20"/>
          <w:szCs w:val="20"/>
          <w:color w:val="auto"/>
        </w:rPr>
      </w:pPr>
    </w:p>
    <w:p>
      <w:pPr>
        <w:sectPr>
          <w:pgSz w:w="11900" w:h="16838" w:orient="portrait"/>
          <w:cols w:equalWidth="0" w:num="5">
            <w:col w:w="1780" w:space="80"/>
            <w:col w:w="1320" w:space="720"/>
            <w:col w:w="4060" w:space="720"/>
            <w:col w:w="420" w:space="80"/>
            <w:col w:w="2060"/>
          </w:cols>
          <w:pgMar w:left="320" w:top="33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7" w:lineRule="exact"/>
        <w:rPr>
          <w:sz w:val="20"/>
          <w:szCs w:val="20"/>
          <w:color w:val="auto"/>
        </w:rPr>
      </w:pPr>
    </w:p>
    <w:p>
      <w:pPr>
        <w:ind w:left="260" w:hanging="252"/>
        <w:spacing w:after="0" w:line="242" w:lineRule="exact"/>
        <w:tabs>
          <w:tab w:leader="none" w:pos="26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Item 17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Item 18</w:t>
      </w:r>
    </w:p>
    <w:p>
      <w:pPr>
        <w:ind w:right="180"/>
        <w:spacing w:after="0" w:line="242"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9"/>
              </w:rPr>
              <w:t>Auditor Firm ID:</w:t>
            </w:r>
          </w:p>
        </w:tc>
        <w:tc>
          <w:tcPr>
            <w:tcW w:w="54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Auditor Name:  Deloitte Statsautoriseret</w:t>
            </w:r>
          </w:p>
        </w:tc>
        <w:tc>
          <w:tcPr>
            <w:tcW w:w="36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Auditor Location:</w:t>
            </w:r>
          </w:p>
        </w:tc>
      </w:tr>
      <w:tr>
        <w:trPr>
          <w:trHeight w:val="242"/>
        </w:trPr>
        <w:tc>
          <w:tcPr>
            <w:tcW w:w="21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1294</w:t>
            </w:r>
          </w:p>
        </w:tc>
        <w:tc>
          <w:tcPr>
            <w:tcW w:w="540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Revisionspartnerselskab</w:t>
            </w:r>
          </w:p>
        </w:tc>
        <w:tc>
          <w:tcPr>
            <w:tcW w:w="36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Copenhagen, Denmark</w:t>
            </w:r>
          </w:p>
        </w:tc>
      </w:tr>
      <w:tr>
        <w:trPr>
          <w:trHeight w:val="27"/>
        </w:trPr>
        <w:tc>
          <w:tcPr>
            <w:tcW w:w="216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316"/>
        </w:trPr>
        <w:tc>
          <w:tcPr>
            <w:tcW w:w="21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r>
        <w:trPr>
          <w:trHeight w:val="310"/>
        </w:trPr>
        <w:tc>
          <w:tcPr>
            <w:tcW w:w="21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2" w:name="page3"/>
    <w:bookmarkEnd w:id="2"/>
    <w:p>
      <w:pPr>
        <w:jc w:val="center"/>
        <w:ind w:left="10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360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2453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5"/>
              </w:rPr>
              <w:t>PART I</w:t>
            </w:r>
          </w:p>
        </w:tc>
        <w:tc>
          <w:tcPr>
            <w:tcW w:w="1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Offer Statistics and Expected Timetable</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Key Information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Information on the Company</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4A</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7</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The Offer and Listing</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10</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11</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12</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0"/>
          </w:tcPr>
          <w:p>
            <w:pPr>
              <w:jc w:val="center"/>
              <w:ind w:right="1120"/>
              <w:spacing w:after="0"/>
              <w:rPr>
                <w:sz w:val="20"/>
                <w:szCs w:val="20"/>
                <w:color w:val="auto"/>
              </w:rPr>
            </w:pPr>
            <w:r>
              <w:rPr>
                <w:rFonts w:ascii="Times New Roman" w:cs="Times New Roman" w:eastAsia="Times New Roman" w:hAnsi="Times New Roman"/>
                <w:sz w:val="18"/>
                <w:szCs w:val="18"/>
                <w:color w:val="0000FF"/>
                <w:w w:val="95"/>
              </w:rPr>
              <w:t>PART II</w:t>
            </w:r>
          </w:p>
        </w:tc>
        <w:tc>
          <w:tcPr>
            <w:tcW w:w="0" w:type="dxa"/>
            <w:vAlign w:val="bottom"/>
          </w:tcPr>
          <w:p>
            <w:pPr>
              <w:spacing w:after="0"/>
              <w:rPr>
                <w:sz w:val="1"/>
                <w:szCs w:val="1"/>
                <w:color w:val="auto"/>
              </w:rPr>
            </w:pPr>
          </w:p>
        </w:tc>
      </w:tr>
      <w:tr>
        <w:trPr>
          <w:trHeight w:val="35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3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600" w:type="dxa"/>
            <w:vAlign w:val="bottom"/>
            <w:tcBorders>
              <w:top w:val="single" w:sz="8" w:color="0000FF"/>
            </w:tcBorders>
            <w:gridSpan w:val="6"/>
          </w:tcPr>
          <w:p>
            <w:pPr>
              <w:spacing w:after="0"/>
              <w:rPr>
                <w:sz w:val="24"/>
                <w:szCs w:val="24"/>
                <w:color w:val="auto"/>
              </w:rPr>
            </w:pPr>
          </w:p>
        </w:tc>
        <w:tc>
          <w:tcPr>
            <w:tcW w:w="1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Material Modification to the Rights of Security Holders and Use of Proceeds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15</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 and Procedures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16A</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Audit Committee Financial Expert</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16B</w:t>
            </w: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Code of Ethics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16C</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16D</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16E</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16F</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16G</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16H</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16I</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120" w:type="dxa"/>
            <w:vAlign w:val="bottom"/>
            <w:tcBorders>
              <w:left w:val="single" w:sz="8" w:color="0000EE"/>
            </w:tcBorders>
            <w:gridSpan w:val="8"/>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180" w:type="dxa"/>
            <w:vAlign w:val="bottom"/>
            <w:tcBorders>
              <w:top w:val="single" w:sz="8" w:color="0000FF"/>
            </w:tcBorders>
            <w:gridSpan w:val="10"/>
          </w:tcPr>
          <w:p>
            <w:pPr>
              <w:jc w:val="center"/>
              <w:ind w:right="360"/>
              <w:spacing w:after="0"/>
              <w:rPr>
                <w:sz w:val="20"/>
                <w:szCs w:val="20"/>
                <w:color w:val="auto"/>
              </w:rPr>
            </w:pPr>
            <w:r>
              <w:rPr>
                <w:rFonts w:ascii="Times New Roman" w:cs="Times New Roman" w:eastAsia="Times New Roman" w:hAnsi="Times New Roman"/>
                <w:sz w:val="18"/>
                <w:szCs w:val="18"/>
                <w:color w:val="0000FF"/>
                <w:w w:val="96"/>
              </w:rPr>
              <w:t>PART III</w:t>
            </w:r>
          </w:p>
        </w:tc>
        <w:tc>
          <w:tcPr>
            <w:tcW w:w="6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17</w:t>
            </w:r>
          </w:p>
        </w:tc>
        <w:tc>
          <w:tcPr>
            <w:tcW w:w="37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tcBorders>
              <w:top w:val="single" w:sz="8" w:color="0000FF"/>
            </w:tcBorders>
            <w:gridSpan w:val="8"/>
          </w:tcPr>
          <w:p>
            <w:pPr>
              <w:spacing w:after="0"/>
              <w:rPr>
                <w:sz w:val="24"/>
                <w:szCs w:val="24"/>
                <w:color w:val="auto"/>
              </w:rPr>
            </w:pPr>
          </w:p>
        </w:tc>
        <w:tc>
          <w:tcPr>
            <w:tcW w:w="10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18</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19</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vMerge w:val="continue"/>
          </w:tcPr>
          <w:p>
            <w:pPr>
              <w:spacing w:after="0"/>
              <w:rPr>
                <w:sz w:val="20"/>
                <w:szCs w:val="20"/>
                <w:color w:val="auto"/>
              </w:rPr>
            </w:pPr>
          </w:p>
        </w:tc>
        <w:tc>
          <w:tcPr>
            <w:tcW w:w="55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457200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76</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128</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128</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140</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154</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158</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159</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159</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183</w:t>
      </w:r>
    </w:p>
    <w:p>
      <w:pPr>
        <w:spacing w:after="0" w:line="4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w:t>
      </w:r>
    </w:p>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2">
            <w:col w:w="10120" w:space="720"/>
            <w:col w:w="360"/>
          </w:cols>
          <w:pgMar w:left="340" w:top="332"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used herein, references to “we”, “us”, the “company”, “Ascendis”, or “Ascendis Pharma”, or similar terms in this annual report on Form 20-F shall mean Ascendis Pharma A/S and, as the context requires, its subsidiaries.</w:t>
      </w:r>
    </w:p>
    <w:p>
      <w:pPr>
        <w:spacing w:after="0" w:line="16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Our consolidated financial statements are presented in euros except where otherwise indicated, and are prepared in accordance with International Financial Reporting Standards (“IFRS”), as issued by the International Accounting Standards Board. All references in this annual report to “Dollars”, “USD” and “$” are to U.S. Dollars, and all references to “euro”, “EUR” or “€” are to European Union euro. Throughout this annual report, references to ADSs mean ADSs or ordinary shares represented by ADSs, as the case may be.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6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w:t>
      </w:r>
    </w:p>
    <w:p>
      <w:pPr>
        <w:spacing w:after="0" w:line="115" w:lineRule="exact"/>
        <w:rPr>
          <w:rFonts w:ascii="Times New Roman" w:cs="Times New Roman" w:eastAsia="Times New Roman" w:hAnsi="Times New Roman"/>
          <w:sz w:val="18"/>
          <w:szCs w:val="18"/>
          <w:color w:val="auto"/>
        </w:rPr>
      </w:pPr>
    </w:p>
    <w:p>
      <w:pPr>
        <w:ind w:left="520" w:right="12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commercial availability of TransCon Growth Hormone (“TransCon hGH”), known by its brand name SKYTROFA® (lonapegsomatropin-tcgd), in the United States and related patient support services;</w:t>
      </w:r>
    </w:p>
    <w:p>
      <w:pPr>
        <w:spacing w:after="0" w:line="5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products and product candidates, if approved;</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of our products and product candidates and associated devices;</w:t>
      </w:r>
    </w:p>
    <w:p>
      <w:pPr>
        <w:spacing w:after="0" w:line="115" w:lineRule="exact"/>
        <w:rPr>
          <w:rFonts w:ascii="Times New Roman" w:cs="Times New Roman" w:eastAsia="Times New Roman" w:hAnsi="Times New Roman"/>
          <w:sz w:val="18"/>
          <w:szCs w:val="18"/>
          <w:color w:val="auto"/>
        </w:rPr>
      </w:pPr>
    </w:p>
    <w:p>
      <w:pPr>
        <w:ind w:left="520" w:right="6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product candidates or any other future product candidates, and conducting preclinical studies and clinical trials;</w:t>
      </w:r>
    </w:p>
    <w:p>
      <w:pPr>
        <w:spacing w:after="0" w:line="55" w:lineRule="exact"/>
        <w:rPr>
          <w:rFonts w:ascii="Times New Roman" w:cs="Times New Roman" w:eastAsia="Times New Roman" w:hAnsi="Times New Roman"/>
          <w:sz w:val="18"/>
          <w:szCs w:val="18"/>
          <w:color w:val="auto"/>
        </w:rPr>
      </w:pPr>
    </w:p>
    <w:p>
      <w:pPr>
        <w:ind w:left="520" w:right="52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oncology as our second of three independent therapeutic areas of focus and our development of a pipeline of product candidates related to oncology;</w:t>
      </w:r>
    </w:p>
    <w:p>
      <w:pPr>
        <w:spacing w:after="0" w:line="55" w:lineRule="exact"/>
        <w:rPr>
          <w:rFonts w:ascii="Times New Roman" w:cs="Times New Roman" w:eastAsia="Times New Roman" w:hAnsi="Times New Roman"/>
          <w:sz w:val="18"/>
          <w:szCs w:val="18"/>
          <w:color w:val="auto"/>
        </w:rPr>
      </w:pPr>
    </w:p>
    <w:p>
      <w:pPr>
        <w:ind w:left="520" w:right="26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ophthalmology as our third of three independent therapeutic areas of focus and our development of a pipeline of product candidates related to ophthalmology;</w:t>
      </w:r>
    </w:p>
    <w:p>
      <w:pPr>
        <w:spacing w:after="0" w:line="55" w:lineRule="exact"/>
        <w:rPr>
          <w:rFonts w:ascii="Times New Roman" w:cs="Times New Roman" w:eastAsia="Times New Roman" w:hAnsi="Times New Roman"/>
          <w:sz w:val="18"/>
          <w:szCs w:val="18"/>
          <w:color w:val="auto"/>
        </w:rPr>
      </w:pPr>
    </w:p>
    <w:p>
      <w:pPr>
        <w:ind w:left="520" w:right="56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opportunities and patient populations for our products and product candidates, if approved for commercial use;</w:t>
      </w:r>
    </w:p>
    <w:p>
      <w:pPr>
        <w:spacing w:after="0" w:line="5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products and product candidates over existing therapies;</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collaborations;</w:t>
      </w:r>
    </w:p>
    <w:p>
      <w:pPr>
        <w:spacing w:after="0" w:line="115" w:lineRule="exact"/>
        <w:rPr>
          <w:rFonts w:ascii="Times New Roman" w:cs="Times New Roman" w:eastAsia="Times New Roman" w:hAnsi="Times New Roman"/>
          <w:sz w:val="18"/>
          <w:szCs w:val="18"/>
          <w:color w:val="auto"/>
        </w:rPr>
      </w:pPr>
    </w:p>
    <w:p>
      <w:pPr>
        <w:ind w:left="520" w:right="28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develop additional product candidates using our TransCon technologies and file Investigational New Drug Applications (“INDs”) or similar for such product candidates;</w:t>
      </w:r>
    </w:p>
    <w:p>
      <w:pPr>
        <w:spacing w:after="0" w:line="55" w:lineRule="exact"/>
        <w:rPr>
          <w:rFonts w:ascii="Times New Roman" w:cs="Times New Roman" w:eastAsia="Times New Roman" w:hAnsi="Times New Roman"/>
          <w:sz w:val="18"/>
          <w:szCs w:val="18"/>
          <w:color w:val="auto"/>
        </w:rPr>
      </w:pPr>
    </w:p>
    <w:p>
      <w:pPr>
        <w:ind w:left="520" w:right="12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55" w:lineRule="exact"/>
        <w:rPr>
          <w:rFonts w:ascii="Times New Roman" w:cs="Times New Roman" w:eastAsia="Times New Roman" w:hAnsi="Times New Roman"/>
          <w:sz w:val="18"/>
          <w:szCs w:val="18"/>
          <w:color w:val="auto"/>
        </w:rPr>
      </w:pPr>
    </w:p>
    <w:p>
      <w:pPr>
        <w:ind w:left="520" w:right="180" w:hanging="512"/>
        <w:spacing w:after="0" w:line="28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our current and future collaboration partners to pursue the development of our product candidates and submit INDs or similar for such product candidates;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 w:name="page5"/>
    <w:bookmarkEnd w:id="4"/>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plans with respect to our products and product candidates;</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pursuit of additional indications for TransCon hGH;</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acquire and advance product candidates into, and successfully complete, clinical trials;</w:t>
      </w:r>
    </w:p>
    <w:p>
      <w:pPr>
        <w:spacing w:after="0" w:line="115" w:lineRule="exact"/>
        <w:rPr>
          <w:rFonts w:ascii="Times New Roman" w:cs="Times New Roman" w:eastAsia="Times New Roman" w:hAnsi="Times New Roman"/>
          <w:sz w:val="18"/>
          <w:szCs w:val="18"/>
          <w:color w:val="auto"/>
        </w:rPr>
      </w:pPr>
    </w:p>
    <w:p>
      <w:pPr>
        <w:ind w:left="520" w:right="440" w:hanging="512"/>
        <w:spacing w:after="0" w:line="28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our products and product candidates and technologies, including global commercialization strategies;</w:t>
      </w:r>
    </w:p>
    <w:p>
      <w:pPr>
        <w:spacing w:after="0" w:line="5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product candidates;</w:t>
      </w:r>
    </w:p>
    <w:p>
      <w:pPr>
        <w:spacing w:after="0" w:line="115" w:lineRule="exact"/>
        <w:rPr>
          <w:rFonts w:ascii="Times New Roman" w:cs="Times New Roman" w:eastAsia="Times New Roman" w:hAnsi="Times New Roman"/>
          <w:sz w:val="18"/>
          <w:szCs w:val="18"/>
          <w:color w:val="auto"/>
        </w:rPr>
      </w:pPr>
    </w:p>
    <w:p>
      <w:pPr>
        <w:ind w:left="520" w:hanging="512"/>
        <w:spacing w:after="0" w:line="28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apply our technology platform and algorithm for product innovation to develop highly differentiated product candidates to address unmet medical needs;</w:t>
      </w:r>
    </w:p>
    <w:p>
      <w:pPr>
        <w:spacing w:after="0" w:line="5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apply our platform technology to build a leading, fully integrated, global biopharmaceutical company;</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our TransCon technologies to create new and potentially best-in-class therapies;</w:t>
      </w:r>
    </w:p>
    <w:p>
      <w:pPr>
        <w:spacing w:after="0" w:line="12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market conditions, competitors and industry;</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economic, political, legal, compliance, social and business factors, including inflation; and</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business of the worldwide COVID-19 pandemic and the ongoing conflict in the region surrounding Ukraine and Russia.</w:t>
      </w:r>
    </w:p>
    <w:p>
      <w:pPr>
        <w:spacing w:after="0" w:line="2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annual report may turn out to be inaccurate. Factors that may cause actual results to differ materially from current expectations include, among other things, those listed under the section of this annual report titled “Item 3.D—Key Information—Risk Factors” and elsewhere in this annual report. You are urged to consider these factors carefully in evaluating the forward-looking statements. These forward-looking statements speak only as of the date of this annual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You should also review the factors and risks we describe in the reports we will file or submit from time to time with the U.S. Securities and Exchange Commission (“SEC”) after the date of this annual report. We qualify all of our forward-looking statements by these cautionary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“Item 3.D—Key Information—Risk Factors” in this annual report. You should carefully consider these risks and uncertainties when investing in our common stock. The principal risks and uncertainties affecting our business include the following:</w:t>
      </w:r>
    </w:p>
    <w:p>
      <w:pPr>
        <w:spacing w:after="0" w:line="54"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we may incur significant losses in the future, which makes it difficult to assess our future viability.</w:t>
      </w:r>
    </w:p>
    <w:p>
      <w:pPr>
        <w:spacing w:after="0" w:line="88" w:lineRule="exact"/>
        <w:rPr>
          <w:rFonts w:ascii="Times New Roman" w:cs="Times New Roman" w:eastAsia="Times New Roman" w:hAnsi="Times New Roman"/>
          <w:sz w:val="18"/>
          <w:szCs w:val="18"/>
          <w:color w:val="auto"/>
        </w:rPr>
      </w:pPr>
    </w:p>
    <w:p>
      <w:pPr>
        <w:ind w:left="520" w:right="20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additional financing to achieve our goals, and a failure to obtain this capital if needed on acceptable terms, or at all, could force us to delay, limit, scale back or cease our commercialization activities, product development or any other or all operations.</w:t>
      </w:r>
    </w:p>
    <w:p>
      <w:pPr>
        <w:spacing w:after="0" w:line="41" w:lineRule="exact"/>
        <w:rPr>
          <w:rFonts w:ascii="Times New Roman" w:cs="Times New Roman" w:eastAsia="Times New Roman" w:hAnsi="Times New Roman"/>
          <w:sz w:val="18"/>
          <w:szCs w:val="18"/>
          <w:color w:val="auto"/>
        </w:rPr>
      </w:pPr>
    </w:p>
    <w:p>
      <w:pPr>
        <w:ind w:left="520" w:right="8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products and product candidates, which may not be successful in nonclinical studies or clinical trials, receive regulatory approval or be successfully commercialized.</w:t>
      </w:r>
    </w:p>
    <w:p>
      <w:pPr>
        <w:spacing w:after="0" w:line="41" w:lineRule="exact"/>
        <w:rPr>
          <w:rFonts w:ascii="Times New Roman" w:cs="Times New Roman" w:eastAsia="Times New Roman" w:hAnsi="Times New Roman"/>
          <w:sz w:val="18"/>
          <w:szCs w:val="18"/>
          <w:color w:val="auto"/>
        </w:rPr>
      </w:pPr>
    </w:p>
    <w:p>
      <w:pPr>
        <w:ind w:left="520" w:right="48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28" w:lineRule="exact"/>
        <w:rPr>
          <w:rFonts w:ascii="Times New Roman" w:cs="Times New Roman" w:eastAsia="Times New Roman" w:hAnsi="Times New Roman"/>
          <w:sz w:val="18"/>
          <w:szCs w:val="18"/>
          <w:color w:val="auto"/>
        </w:rPr>
      </w:pPr>
    </w:p>
    <w:p>
      <w:pPr>
        <w:ind w:left="520" w:right="42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efforts may not be effective and we may not be successful in our commercial efforts.</w:t>
      </w:r>
    </w:p>
    <w:p>
      <w:pPr>
        <w:spacing w:after="0" w:line="102" w:lineRule="exact"/>
        <w:rPr>
          <w:rFonts w:ascii="Times New Roman" w:cs="Times New Roman" w:eastAsia="Times New Roman" w:hAnsi="Times New Roman"/>
          <w:sz w:val="18"/>
          <w:szCs w:val="18"/>
          <w:color w:val="auto"/>
        </w:rPr>
      </w:pPr>
    </w:p>
    <w:p>
      <w:pPr>
        <w:ind w:left="520" w:right="300" w:hanging="512"/>
        <w:spacing w:after="0" w:line="311" w:lineRule="auto"/>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4" w:lineRule="exact"/>
        <w:rPr>
          <w:rFonts w:ascii="Times New Roman" w:cs="Times New Roman" w:eastAsia="Times New Roman" w:hAnsi="Times New Roman"/>
          <w:sz w:val="17"/>
          <w:szCs w:val="17"/>
          <w:color w:val="auto"/>
        </w:rPr>
      </w:pPr>
    </w:p>
    <w:p>
      <w:pPr>
        <w:ind w:left="520" w:right="86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third-parties to manufacture preclinical, clinical and commercial supplies of our products, product candidates and their device components.</w:t>
      </w:r>
    </w:p>
    <w:p>
      <w:pPr>
        <w:spacing w:after="0" w:line="41" w:lineRule="exact"/>
        <w:rPr>
          <w:rFonts w:ascii="Times New Roman" w:cs="Times New Roman" w:eastAsia="Times New Roman" w:hAnsi="Times New Roman"/>
          <w:sz w:val="18"/>
          <w:szCs w:val="18"/>
          <w:color w:val="auto"/>
        </w:rPr>
      </w:pPr>
    </w:p>
    <w:p>
      <w:pPr>
        <w:ind w:left="520" w:right="38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drug, drug substance, drug product and other components of our products and product candidates are currently acquired from certain single-source suppliers. The loss of these suppliers, or their failure to supply could materially and adversely affect our business.</w:t>
      </w:r>
    </w:p>
    <w:p>
      <w:pPr>
        <w:spacing w:after="0" w:line="4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 and these variations may be difficult to predict.</w:t>
      </w:r>
    </w:p>
    <w:p>
      <w:pPr>
        <w:spacing w:after="0" w:line="88" w:lineRule="exact"/>
        <w:rPr>
          <w:rFonts w:ascii="Times New Roman" w:cs="Times New Roman" w:eastAsia="Times New Roman" w:hAnsi="Times New Roman"/>
          <w:sz w:val="18"/>
          <w:szCs w:val="18"/>
          <w:color w:val="auto"/>
        </w:rPr>
      </w:pPr>
    </w:p>
    <w:p>
      <w:pPr>
        <w:ind w:left="520" w:right="38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the European Medicines Agency and comparable authorities are lengthy, time consuming, and inherently unpredictable. If we are ultimately unable to obtain regulatory approval for our product candidates, our business will be substantially harmed.</w:t>
      </w:r>
    </w:p>
    <w:p>
      <w:pPr>
        <w:spacing w:after="0" w:line="54" w:lineRule="exact"/>
        <w:rPr>
          <w:rFonts w:ascii="Times New Roman" w:cs="Times New Roman" w:eastAsia="Times New Roman" w:hAnsi="Times New Roman"/>
          <w:sz w:val="18"/>
          <w:szCs w:val="18"/>
          <w:color w:val="auto"/>
        </w:rPr>
      </w:pPr>
    </w:p>
    <w:p>
      <w:pPr>
        <w:ind w:left="520" w:right="20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adequate coverage and reimbursement for our product candidates could limit our ability to market those products and decrease our ability to generate revenue.</w:t>
      </w:r>
    </w:p>
    <w:p>
      <w:pPr>
        <w:spacing w:after="0" w:line="41" w:lineRule="exact"/>
        <w:rPr>
          <w:rFonts w:ascii="Times New Roman" w:cs="Times New Roman" w:eastAsia="Times New Roman" w:hAnsi="Times New Roman"/>
          <w:sz w:val="18"/>
          <w:szCs w:val="18"/>
          <w:color w:val="auto"/>
        </w:rPr>
      </w:pPr>
    </w:p>
    <w:p>
      <w:pPr>
        <w:ind w:left="520" w:right="10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allegedly infringing intellectual property rights of third parties, it will be costly and time consuming, and an unfavorable outcome in such litigation could harm our business.</w:t>
      </w:r>
    </w:p>
    <w:p>
      <w:pPr>
        <w:spacing w:after="0" w:line="28" w:lineRule="exact"/>
        <w:rPr>
          <w:rFonts w:ascii="Times New Roman" w:cs="Times New Roman" w:eastAsia="Times New Roman" w:hAnsi="Times New Roman"/>
          <w:sz w:val="18"/>
          <w:szCs w:val="18"/>
          <w:color w:val="auto"/>
        </w:rPr>
      </w:pPr>
    </w:p>
    <w:p>
      <w:pPr>
        <w:ind w:left="520" w:right="54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geopolitical conflicts, such as the military conflict between Russia and Ukraine could materially adversely impact our business, including our clinical trials, supply chain operation, regulatory timelines and commercial activities.</w:t>
      </w:r>
    </w:p>
    <w:p>
      <w:pPr>
        <w:spacing w:after="0" w:line="41" w:lineRule="exact"/>
        <w:rPr>
          <w:rFonts w:ascii="Times New Roman" w:cs="Times New Roman" w:eastAsia="Times New Roman" w:hAnsi="Times New Roman"/>
          <w:sz w:val="18"/>
          <w:szCs w:val="18"/>
          <w:color w:val="auto"/>
        </w:rPr>
      </w:pPr>
    </w:p>
    <w:p>
      <w:pPr>
        <w:ind w:left="520" w:right="380" w:hanging="512"/>
        <w:spacing w:after="0" w:line="28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pandemic caused by COVID-19 could materially adversely impact our business, including our clinical trials, supply chain operation, regulatory timelines and commercial activities.</w:t>
      </w:r>
    </w:p>
    <w:p>
      <w:pPr>
        <w:spacing w:after="0" w:line="16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20-F,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1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faces significant risks. You should carefully consider all of the information set forth in this annual report and in our other filings with the SEC, including the following risk factors which we face and which are faced by our industry. Our business, financial condition or results of operations could be materially adversely affected by any of these risks. This report also contains forward-looking statements that involve risks and uncertainties. Our results could materially differ from those anticipated in these forward-looking statements, as a result of certain factors including the risks described below and elsewhere in this report and our other materials we file or furnish with the SEC. See “Special Note Regarding Forward-Looking Statements” above.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we may incur significant losses in the future, which makes it difficult to assess our future viability.</w:t>
      </w:r>
    </w:p>
    <w:p>
      <w:pPr>
        <w:spacing w:after="0" w:line="1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applying our innovative TransCon technologies to build a leading, fully integrated, global biopharmaceutical company and develop a pipeline of product candidates with potential best-in-class profiles to address unmet medical needs. We currently have a pipeline of multiple independent endocrinology rare disease, oncology, and ophthalmology product candidates in development. We are also working to apply our TransCon technology platform in additional therapeutic areas to address unmet medical needs. On August 25, 2021, the U.S. Food and Drug Administration (the “FDA”) approved TransCon hGH, known by its brand name SKYTROFA® and its international nonproprietary name lonapegsomatropin-tcgd in the U.S. for the treatment of pediatric patients one year and older who weigh at least 11.5 kg (25.4 lb) and have growth failure due to inadequate secretion of endogenous growth hormone. In addition, SKYTROFA (lonapegsomatropin), developed under the name TransCon hGH, was granted marketing authorisation by the European Commission (“EC”) as a once-weekly subcutaneous injection for the treatment of children and adolescents ages 3 to 18 years with growth failure due to insufficient secretion of endogenous growth hormone on January 11,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To date, we have focused substantially all of our efforts on our research and development activities relating to our product, TransCon hGH, and our lead product candidates, TransCon Parathyroid Hormone (“TransCon PTH”) and its international nonproprietary name palopegteriparatide, TransCon C-Type Natriuretic Peptide (“TransCon CNP”), our product candidates in oncology and ophthalmology and our proprietary TransCon technologies. We have also focused significant efforts on the commercialization of TransCon hGH and in planning for the commercialization of TransCon PTH, if approved. We have a limited operating history upon which our shareholders and ADS holders can evaluate our business and prospects. Going forward, we may incur significant losses from our operations. We had a net loss of €583.2 million for the year ended December 31, 2022 and a net loss of €383.6 million for the year ended December 31, 2021. Our total equity was €263.3 million as of December 31, 2022 compared to €883.6 million as of December 31, 2021. Neither the net loss nor net profit we have experienced in prior years are necessarily indicative of our future results.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Apart from the FDA’s approval of SKYTROFA and the EC’s approval of SKYTROFA, none of our other product candidates have been approved for commercial sale by the FDA, the EC or similar non-U.S. regulatory authorities. The FDA has accepted for filing and granted Priority Review to our New Drug Application (“NDA”) for use of TransCon PTH in adult patients with hypoparathyroidism and has set a Prescription Drug User Fee Act (“PDUFA”) target action date of April 30, 2023. In the European Union (“EU”), a marketing authorisation application (“MAA”) has also been submitted to the European Medicines Agency (“EMA”) for TransCon PTH for use in adult patients with hypoparathyroidism. We expect that our annual operating expenses may increase over the next several years as we expand our research and development efforts and incur additional commercialization expenses, including those related to the potential commercialization of TransCon PTH. Although we have begun to receive revenue from commercial product sales, we may incur substantial operating losses for the foreseeable future as we execute our operating plan.</w:t>
      </w:r>
    </w:p>
    <w:p>
      <w:pPr>
        <w:spacing w:after="0" w:line="18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Possible future losses would have an adverse effect on our shareholders’ equity. Further, the net losses or net income we incur may fluctuate significantly from quarter to quarter and year to year, such that a period-to-period comparison of our results of operations may not be a reliable indication of our future performance.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revenue from commercial product sales and rely significantly on our TransCon technologies and TransCon product candidates.</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limited revenue from commercial product sales of SKYTROFA in the U.S. and are yet to commercially launch SKYTROFA in the EU. Our ability to generate revenue will continue to depend significantly on our ability to successfully commercialize SKYTROFA in the U.S., to successfully launch and commercialize SKYTROFA in the EU, to successfully launch and commercialize TransCon PTH, if approved, to complete the research and development of our other product candidates and obtain the regulatory and marketing approvals necessary to commercialize such product candidates. Our ability to generate additional revenue from commercial product sales or pursuant to milestone payments or royalties from collaboration partners depends heavily on many factors, including but not limited to:</w:t>
      </w:r>
    </w:p>
    <w:p>
      <w:pPr>
        <w:spacing w:after="0" w:line="80"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preclinical and clinical development of our product candidates;</w:t>
      </w:r>
    </w:p>
    <w:p>
      <w:pPr>
        <w:spacing w:after="0" w:line="115" w:lineRule="exact"/>
        <w:rPr>
          <w:rFonts w:ascii="Times New Roman" w:cs="Times New Roman" w:eastAsia="Times New Roman" w:hAnsi="Times New Roman"/>
          <w:sz w:val="18"/>
          <w:szCs w:val="18"/>
          <w:color w:val="auto"/>
        </w:rPr>
      </w:pPr>
    </w:p>
    <w:p>
      <w:pPr>
        <w:ind w:left="1020" w:right="340" w:hanging="504"/>
        <w:spacing w:after="0" w:line="28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regulatory approvals for our products and product candidates on our own, or together with our strategic collaboration partners;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of and entering into collaboration, licensing or other arrangements;</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8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or co-promote, and/or the ability of our collaboration partners to successfully commercialize, our products and product candidates;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sustaining a scalable manufacturing process for our products and product candidates, if approved;</w:t>
      </w:r>
    </w:p>
    <w:p>
      <w:pPr>
        <w:spacing w:after="0" w:line="115" w:lineRule="exact"/>
        <w:rPr>
          <w:rFonts w:ascii="Times New Roman" w:cs="Times New Roman" w:eastAsia="Times New Roman" w:hAnsi="Times New Roman"/>
          <w:sz w:val="18"/>
          <w:szCs w:val="18"/>
          <w:color w:val="auto"/>
        </w:rPr>
      </w:pPr>
    </w:p>
    <w:p>
      <w:pPr>
        <w:ind w:left="1020" w:right="320" w:hanging="504"/>
        <w:spacing w:after="0" w:line="28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 including with respect to TransCon hGH and TransCon PTH;</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products and product candidates, if approved, as viable treatment options;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 w:name="page9"/>
    <w:bookmarkEnd w:id="8"/>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in-licensing and/or developing new product candidates;</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approvals to market one or more of our product candidates (such as the approvals we have obtained for TransCon hGH), our revenue will be dependent, in part, upon the size of the markets in the territories for which regulatory approval is granted, the accepted price for the product, the availability of competing products, the ability to get reimbursement for our products at any price and the extent of our royalty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treatment guidelines or third-party payor restrictions, we may not generate significant revenue from the sale of such product candidates, even if approved. Limitations on our ability to generate revenue from commercial product sales or pursuant to up-front or milestone payments and royalties from collaboration partners would likely depress our market value and could impair our ability to raise capital, expand our business, discover or develop other product candidates or continue our operations.</w:t>
      </w:r>
    </w:p>
    <w:p>
      <w:pPr>
        <w:spacing w:after="0" w:line="292"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seek additional financing to achieve our goals, and a failure to obtain this capital if needed on acceptable terms, or at all, could force us to delay, limit, scale back or cease our commercialization activities, product development or any other or all operations.</w:t>
      </w:r>
    </w:p>
    <w:p>
      <w:pPr>
        <w:spacing w:after="0" w:line="5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our research and development and commercialization activities. We have funded our operations primarily through issuance of preference shares, our ordinary shares and convertible debt securities and payments to us under collaboration agreements. For example, in March 2022, we received $557.9 million (€503.3 million) in net proceeds from an offering of convertible senior notes due 2028 after deducting the initial purchasers’ discounts and commissions and estimated transaction costs. As of December 31, 2022, we had cash, cash equivalents and marketable securities totaling €742.9 million. We believe that we will continue to expend substantial resources for the foreseeable future, including costs associated with research and development and commercialization activities.</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December 31, 2022 will be sufficient to meet our projected cash requirements for at least twelve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75" w:lineRule="exact"/>
        <w:rPr>
          <w:sz w:val="20"/>
          <w:szCs w:val="20"/>
          <w:color w:val="auto"/>
        </w:rPr>
      </w:pPr>
    </w:p>
    <w:p>
      <w:pPr>
        <w:ind w:left="1020" w:right="500" w:hanging="504"/>
        <w:spacing w:after="0" w:line="28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our products and product candidates, if approved, including the cost and timing of building our sales and marketing capabilities;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TransCon hGH and any future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coverage and reimbursement for our products and product candidates, if approved;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5" w:lineRule="exact"/>
        <w:rPr>
          <w:rFonts w:ascii="Times New Roman" w:cs="Times New Roman" w:eastAsia="Times New Roman" w:hAnsi="Times New Roman"/>
          <w:sz w:val="18"/>
          <w:szCs w:val="18"/>
          <w:color w:val="auto"/>
        </w:rPr>
      </w:pPr>
    </w:p>
    <w:p>
      <w:pPr>
        <w:ind w:left="1020" w:right="540" w:hanging="504"/>
        <w:spacing w:after="0" w:line="28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which are due to us from customers and collaboration partners (if any), which in turn is impacted by the financial standing of any such customers and collaboration partners;</w:t>
      </w:r>
    </w:p>
    <w:p>
      <w:pPr>
        <w:spacing w:after="0" w:line="55" w:lineRule="exact"/>
        <w:rPr>
          <w:rFonts w:ascii="Times New Roman" w:cs="Times New Roman" w:eastAsia="Times New Roman" w:hAnsi="Times New Roman"/>
          <w:sz w:val="18"/>
          <w:szCs w:val="18"/>
          <w:color w:val="auto"/>
        </w:rPr>
      </w:pPr>
    </w:p>
    <w:p>
      <w:pPr>
        <w:ind w:left="1020" w:right="700" w:hanging="504"/>
        <w:spacing w:after="0" w:line="26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and manufacturing activities for our product candidates, including the ability to enroll patients in a timely manner for clinical trials;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9" w:name="page10"/>
    <w:bookmarkEnd w:id="9"/>
    <w:p>
      <w:pPr>
        <w:ind w:left="1020" w:right="30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and the costs of post-marketing studies that could be required by regulatory authorities;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acquisition and in-licensing of other technologies, products or assets;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including further development of our TransCon platform;</w:t>
      </w:r>
    </w:p>
    <w:p>
      <w:pPr>
        <w:spacing w:after="0" w:line="115" w:lineRule="exact"/>
        <w:rPr>
          <w:rFonts w:ascii="Times New Roman" w:cs="Times New Roman" w:eastAsia="Times New Roman" w:hAnsi="Times New Roman"/>
          <w:sz w:val="18"/>
          <w:szCs w:val="18"/>
          <w:color w:val="auto"/>
        </w:rPr>
      </w:pPr>
    </w:p>
    <w:p>
      <w:pPr>
        <w:ind w:left="1020" w:right="66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55" w:lineRule="exact"/>
        <w:rPr>
          <w:rFonts w:ascii="Times New Roman" w:cs="Times New Roman" w:eastAsia="Times New Roman" w:hAnsi="Times New Roman"/>
          <w:sz w:val="18"/>
          <w:szCs w:val="18"/>
          <w:color w:val="auto"/>
        </w:rPr>
      </w:pPr>
    </w:p>
    <w:p>
      <w:pPr>
        <w:ind w:left="1020" w:right="30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5" w:lineRule="exact"/>
        <w:rPr>
          <w:rFonts w:ascii="Times New Roman" w:cs="Times New Roman" w:eastAsia="Times New Roman" w:hAnsi="Times New Roman"/>
          <w:sz w:val="18"/>
          <w:szCs w:val="18"/>
          <w:color w:val="auto"/>
        </w:rPr>
      </w:pPr>
    </w:p>
    <w:p>
      <w:pPr>
        <w:ind w:left="1020" w:right="300" w:hanging="504"/>
        <w:spacing w:after="0" w:line="28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 including with respect to TransCon PTH, and our ability to obtain market acceptance of our products and product candidates, if approved;</w:t>
      </w:r>
    </w:p>
    <w:p>
      <w:pPr>
        <w:spacing w:after="0" w:line="55" w:lineRule="exact"/>
        <w:rPr>
          <w:rFonts w:ascii="Times New Roman" w:cs="Times New Roman" w:eastAsia="Times New Roman" w:hAnsi="Times New Roman"/>
          <w:sz w:val="18"/>
          <w:szCs w:val="18"/>
          <w:color w:val="auto"/>
        </w:rPr>
      </w:pPr>
    </w:p>
    <w:p>
      <w:pPr>
        <w:ind w:left="1020" w:right="220" w:hanging="504"/>
        <w:spacing w:after="0" w:line="26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purchase ADSs prior to granting rights or awards for such shares under our equity incentive plans.</w:t>
      </w:r>
    </w:p>
    <w:p>
      <w:pPr>
        <w:spacing w:after="0" w:line="22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Furthermore, uncertainty about the interest rate environment and rising interest rates, may make it more difficult, costly or dilutive for us to secure additional financing, which may have a negative impact on earnings and cash flow.</w:t>
      </w:r>
    </w:p>
    <w:p>
      <w:pPr>
        <w:spacing w:after="0" w:line="286"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of shares or ADSs, restrict our operations or require us to relinquish rights to our products or product candidates on unfavorable terms to us.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issuance of convertible debt or equity securities, the ownership interest of our shareholders and ADS holders would be diluted, and the terms may include liquidation or other preferences that adversely affect the rights of our shareholders and ADS holders. Such financing may result in dilution to holders of shares or ADSs, imposition of debt covenants and repayment obligations, or other restrictions that may affect our business. If we raise additional funds through up-front payments or milestone payments pursuant to strategic partnerships with third-parties, we may have to relinquish valuable rights to our products or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6"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product candidates, which may not be successful in nonclinical studies or clinical trials, receive regulatory approval or be successfully commercialized.</w:t>
      </w:r>
    </w:p>
    <w:p>
      <w:pPr>
        <w:spacing w:after="0" w:line="5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To date, we have invested a significant amount of our efforts and financial resources in research and development, including with respect to our proprietary TransCon technologies, and in commercialization activities. Our near-term prospects, including the extent of revenue from commercial product sales, will depend heavily on our successful development and commercialization of our products and product candidates, if approved. The clinical and commercial success of our products and product candidates and our TransCon technologies will depend on a number of factors, including the following:</w:t>
      </w:r>
    </w:p>
    <w:p>
      <w:pPr>
        <w:spacing w:after="0" w:line="60"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successful execution of our ongoing and planned clinical trials of our products and product candidates;</w:t>
      </w:r>
    </w:p>
    <w:p>
      <w:pPr>
        <w:spacing w:after="0" w:line="115" w:lineRule="exact"/>
        <w:rPr>
          <w:rFonts w:ascii="Times New Roman" w:cs="Times New Roman" w:eastAsia="Times New Roman" w:hAnsi="Times New Roman"/>
          <w:sz w:val="18"/>
          <w:szCs w:val="18"/>
          <w:color w:val="auto"/>
        </w:rPr>
      </w:pPr>
    </w:p>
    <w:p>
      <w:pPr>
        <w:ind w:left="1020" w:right="48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to establish and maintain commercial-scale manufacturing processes for our products, product candidates and device components;</w:t>
      </w:r>
    </w:p>
    <w:p>
      <w:pPr>
        <w:spacing w:after="0" w:line="55" w:lineRule="exact"/>
        <w:rPr>
          <w:rFonts w:ascii="Times New Roman" w:cs="Times New Roman" w:eastAsia="Times New Roman" w:hAnsi="Times New Roman"/>
          <w:sz w:val="18"/>
          <w:szCs w:val="18"/>
          <w:color w:val="auto"/>
        </w:rPr>
      </w:pPr>
    </w:p>
    <w:p>
      <w:pPr>
        <w:ind w:left="1020" w:right="32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safety, purity, potency, tolerability and/or efficacy profiles will be satisfactory to the EMA, the FDA and similar regulatory authorities to warrant marketing approval;</w:t>
      </w:r>
    </w:p>
    <w:p>
      <w:pPr>
        <w:spacing w:after="0" w:line="55" w:lineRule="exact"/>
        <w:rPr>
          <w:rFonts w:ascii="Times New Roman" w:cs="Times New Roman" w:eastAsia="Times New Roman" w:hAnsi="Times New Roman"/>
          <w:sz w:val="18"/>
          <w:szCs w:val="18"/>
          <w:color w:val="auto"/>
        </w:rPr>
      </w:pPr>
    </w:p>
    <w:p>
      <w:pPr>
        <w:ind w:left="1020" w:right="38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EMA, the FDA or similar regulatory authorities will require additional clinical trials prior to approving or issuing a positive opinion in order for our product candidates to be authorized, if ever;</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our products and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adverse events that implicate the TransCon technologies, including among any out-licensed product candidates;</w:t>
      </w:r>
    </w:p>
    <w:p>
      <w:pPr>
        <w:spacing w:after="0" w:line="115"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authorizations or certifications for our product candidates and associated device components from the FDA, similar regulatory authorities and notified bodies;</w:t>
      </w:r>
    </w:p>
    <w:p>
      <w:pPr>
        <w:spacing w:after="0" w:line="55"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to successfully commercialize our products or product candidates, if approved for marketing and sale by the FDA, the EC or similar regulatory authorities, including educating physicians and patients about the benefits, administration and use of such products;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applicable regulatory requirements;</w:t>
      </w:r>
    </w:p>
    <w:p>
      <w:pPr>
        <w:spacing w:after="0" w:line="115" w:lineRule="exact"/>
        <w:rPr>
          <w:rFonts w:ascii="Times New Roman" w:cs="Times New Roman" w:eastAsia="Times New Roman" w:hAnsi="Times New Roman"/>
          <w:sz w:val="18"/>
          <w:szCs w:val="18"/>
          <w:color w:val="auto"/>
        </w:rPr>
      </w:pPr>
    </w:p>
    <w:p>
      <w:pPr>
        <w:ind w:left="1020" w:right="2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opportunities and patient populations for our products and product candidates, including with respect to TransCon PTH;</w:t>
      </w:r>
    </w:p>
    <w:p>
      <w:pPr>
        <w:spacing w:after="0" w:line="55" w:lineRule="exact"/>
        <w:rPr>
          <w:rFonts w:ascii="Times New Roman" w:cs="Times New Roman" w:eastAsia="Times New Roman" w:hAnsi="Times New Roman"/>
          <w:sz w:val="18"/>
          <w:szCs w:val="18"/>
          <w:color w:val="auto"/>
        </w:rPr>
      </w:pPr>
    </w:p>
    <w:p>
      <w:pPr>
        <w:ind w:left="1020" w:right="260" w:hanging="504"/>
        <w:spacing w:after="0" w:line="28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 acceptance of our products or product candidates, if approved, including by patients and the medical community;</w:t>
      </w:r>
    </w:p>
    <w:p>
      <w:pPr>
        <w:spacing w:after="0" w:line="115" w:lineRule="exact"/>
        <w:rPr>
          <w:rFonts w:ascii="Times New Roman" w:cs="Times New Roman" w:eastAsia="Times New Roman" w:hAnsi="Times New Roman"/>
          <w:sz w:val="18"/>
          <w:szCs w:val="18"/>
          <w:color w:val="auto"/>
        </w:rPr>
      </w:pPr>
    </w:p>
    <w:p>
      <w:pPr>
        <w:ind w:left="1020" w:right="8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 acceptance of the device components of our combination products, such as the TransCon hGH auto-injector, and of our combination product candidates, if approved, such as the TransCon PTH drug delivery device, including by patients and the medical community;</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our products and product candidates by third-party payors;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and any collaboration partners’ marketing, sales and distribution strategies and operations;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11" w:name="page12"/>
    <w:bookmarkEnd w:id="11"/>
    <w:p>
      <w:pPr>
        <w:jc w:val="both"/>
        <w:ind w:left="1020" w:right="20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any collaboration partners, or any third-party manufacturer we contract with, to manufacture supplies of our products and product candidates and to develop, validate and maintain commercially viable manufacturing processes that are compliant with current good manufacturing practice (“cGMP”), or similar requirements;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intellectual property rights in and to our products and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profiles of our products and product candidates following any potential approval.</w:t>
      </w:r>
    </w:p>
    <w:p>
      <w:pPr>
        <w:spacing w:after="0" w:line="223"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color w:val="auto"/>
        </w:rPr>
        <w:t>Many of these factors are beyond our control, including clinical development, the regulatory submission process, potential threats to our intellectual property rights and the manufacturing, marketing and sales efforts of any collaboration partners.</w:t>
      </w:r>
    </w:p>
    <w:p>
      <w:pPr>
        <w:spacing w:after="0" w:line="163"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color w:val="auto"/>
        </w:rPr>
        <w:t>We cannot be certain that we will be able to successfully commercialize any of our products or that such products will be approved in other jurisdictions, and we cannot be certain that any of our product candidates, including TransCon PTH, will ever be approved or successfully commercialized, or that we will ever generate revenue from sales of such product candidates. If we are not successful in completing the development of, obtaining approval for, and commercializing our product candidates, or are significantly delayed in doing so, our business will be harmed.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marketing efforts may not be effective and we may not be successful in our commercial efforts.</w:t>
      </w:r>
    </w:p>
    <w:p>
      <w:pPr>
        <w:spacing w:after="0" w:line="1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Prior to launching our commercial sales in 2021, as a company we had no prior experience commercializing approved products. The success of our commercialization efforts is difficult to predict and subject to the effective execution of our business plan, including, among others, the continued development of our internal sales, marketing, and distribution capabilities and our ability to navigate the significant expenses and risks involved with the development and management of such capabilities. For example, our planned commercial launch of TransCon PTH, if approved, may not develop as planned or anticipated, which may require us to, among others, adjust or amend our business plan and incur significant expenses. Further, given our limited experience commercializing products, we do not have a long track record of successfully executing commercial launches. If we are unsuccessful in accomplishing our objectives and executing on our business plan, or if our commercialization efforts do not develop as planned, we may not be able to successfully commercialize our approved products and any future approved products, we may require significant additional capital and financial resources, we may not become profitable, and we may not be able to compete against more established companies in our industry.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which may affect the success of our commercialization efforts include, but are not limited to:</w:t>
      </w:r>
    </w:p>
    <w:p>
      <w:pPr>
        <w:spacing w:after="0" w:line="116" w:lineRule="exact"/>
        <w:rPr>
          <w:sz w:val="20"/>
          <w:szCs w:val="20"/>
          <w:color w:val="auto"/>
        </w:rPr>
      </w:pPr>
    </w:p>
    <w:p>
      <w:pPr>
        <w:ind w:left="1020" w:right="840" w:hanging="504"/>
        <w:spacing w:after="0" w:line="28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required and qualified sales and marketing personnel, including in connection with any specialty sales organization for specific products or product candidates, if approved;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sufficient training to develop and strengthen the technical expertise of our sales and marketing personnel;</w:t>
      </w:r>
    </w:p>
    <w:p>
      <w:pPr>
        <w:spacing w:after="0" w:line="115" w:lineRule="exact"/>
        <w:rPr>
          <w:rFonts w:ascii="Times New Roman" w:cs="Times New Roman" w:eastAsia="Times New Roman" w:hAnsi="Times New Roman"/>
          <w:sz w:val="18"/>
          <w:szCs w:val="18"/>
          <w:color w:val="auto"/>
        </w:rPr>
      </w:pPr>
    </w:p>
    <w:p>
      <w:pPr>
        <w:ind w:left="1020" w:right="720" w:hanging="504"/>
        <w:spacing w:after="0" w:line="28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required support materials and resources to our sales personnel to help them educate physicians and healthcare providers regarding our products, including the proper administration of our products;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resources to meet and timely fulfill supply obligations to our customers.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2" w:name="page13"/>
    <w:bookmarkEnd w:id="12"/>
    <w:p>
      <w:pPr>
        <w:spacing w:after="0" w:line="254" w:lineRule="auto"/>
        <w:rPr>
          <w:sz w:val="20"/>
          <w:szCs w:val="20"/>
          <w:color w:val="auto"/>
        </w:rPr>
      </w:pPr>
      <w:r>
        <w:rPr>
          <w:rFonts w:ascii="Times New Roman" w:cs="Times New Roman" w:eastAsia="Times New Roman" w:hAnsi="Times New Roman"/>
          <w:sz w:val="18"/>
          <w:szCs w:val="18"/>
          <w:color w:val="auto"/>
        </w:rPr>
        <w:t>Additionally, we or any collaboration partners may be required to build and/or maintain marketing, sales, distribution, managerial and other non-technical capabilities or make arrangements with third-parties to perform these services, and we or any collaboration partners may not be successful in doing so. Except for our license agreements with VISEN for Greater China and certain limited sales and distribution agreements with specialty distributors and specialty pharmacies in the United States for TransCon hGH, we have no sales, marketing or distribution agreements for TransCon hGH, TransCon PTH, TransCon CNP, or our other product candidates. We may enter into arrangements with third-parties to market and sell our products and product candidates, if approved, in one or multiple geographies. However, we may not be able to enter into such arrangements with others on acceptable terms, or at all. To the extent that we enter into such arrangements with other companies, our revenues, if any, will depend on the terms of any such arrangements and the efforts of others. These efforts may turn out not to be sufficient.</w:t>
      </w:r>
    </w:p>
    <w:p>
      <w:pPr>
        <w:spacing w:after="0" w:line="288" w:lineRule="exact"/>
        <w:rPr>
          <w:sz w:val="20"/>
          <w:szCs w:val="20"/>
          <w:color w:val="auto"/>
        </w:rPr>
      </w:pPr>
    </w:p>
    <w:p>
      <w:pPr>
        <w:ind w:right="5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acceptance and commercial success of our products and product candidates, if approved, will depend, in part, upon the degree of acceptance among physicians, patients, patient advocacy groups, third-party payors and the medical community.</w:t>
      </w:r>
    </w:p>
    <w:p>
      <w:pPr>
        <w:spacing w:after="0" w:line="5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Even after obtaining FDA or other regulatory approvals, our products and product candidates, if approved, may not achieve significant market acceptance among physicians, patients, patient advocacy groups, third-party payors and the medical community. The degree of market acceptance, if any, for our products for which marketing approval is obtained will depend on a number of factors, including:</w:t>
      </w:r>
    </w:p>
    <w:p>
      <w:pPr>
        <w:spacing w:after="0" w:line="68"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and/or efficacy of the products as demonstrated in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overall safety profile of the product;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safety of the TransCon technologies;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features of the auto-injector or drug delivery device used to administer the drug;</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5" w:lineRule="exact"/>
        <w:rPr>
          <w:rFonts w:ascii="Times New Roman" w:cs="Times New Roman" w:eastAsia="Times New Roman" w:hAnsi="Times New Roman"/>
          <w:sz w:val="18"/>
          <w:szCs w:val="18"/>
          <w:color w:val="auto"/>
        </w:rPr>
      </w:pPr>
    </w:p>
    <w:p>
      <w:pPr>
        <w:ind w:left="1020" w:right="160" w:hanging="504"/>
        <w:spacing w:after="0" w:line="28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of, and acceptance by, physicians, major operators of clinics and patients of the product as a safe and effective treatment and their willingness to pay for them;</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products;</w:t>
      </w:r>
    </w:p>
    <w:p>
      <w:pPr>
        <w:spacing w:after="0" w:line="115" w:lineRule="exact"/>
        <w:rPr>
          <w:rFonts w:ascii="Times New Roman" w:cs="Times New Roman" w:eastAsia="Times New Roman" w:hAnsi="Times New Roman"/>
          <w:sz w:val="18"/>
          <w:szCs w:val="18"/>
          <w:color w:val="auto"/>
        </w:rPr>
      </w:pPr>
    </w:p>
    <w:p>
      <w:pPr>
        <w:ind w:left="1020" w:right="240" w:hanging="504"/>
        <w:spacing w:after="0" w:line="28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products over current treatment options or alternative treatments, including future alternative treatments;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supply of our products and their ability to meet market demand;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 for our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relationships with patient advocacy groups;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of government and other commercial and third-party payors.</w:t>
      </w:r>
    </w:p>
    <w:p>
      <w:pPr>
        <w:spacing w:after="0" w:line="22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If our products or product candidates that obtain regulatory approval do not achieve significant market acceptance or commercial success, this could harm our business, results of operations and prospects, and the value of our shares or ADSs.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3" w:name="page14"/>
    <w:bookmarkEnd w:id="13"/>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products and product candidates, if approved,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business plan is based in part on our estimated addressable markets and market opportunities for our products and product candidates, if approved, which are based on a variety of inputs, including data published by third parties, our own market insights and internal market intelligence, and internally generated data and assumptions. We have not independently verified any third-party information and there can be no assurance as to its accuracy or completeness. Such estimates, whether obtained or derived from third-party sources or developed internally, are subject to significant uncertainty and are based on assumptions and estimates that may not prove to be accurate. While we believe the market opportunity estimates underlying our business plan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292"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must conduct extensive clinical studies to demonstrate the safety, purity, potency and/or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w:t>
      </w:r>
    </w:p>
    <w:p>
      <w:pPr>
        <w:spacing w:after="0" w:line="18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may experience delays or setbacks in our ongoing clinical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w:t>
      </w:r>
    </w:p>
    <w:p>
      <w:pPr>
        <w:spacing w:after="0" w:line="68"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preclinical, toxicology, or other in vivo or in vitro data to support the initiation or continuation of clinical trials;</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8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consensus with regulatory authorities on study design or implementation of the clinical trials and/or obtain regulatory authorization to commence a trial;</w:t>
      </w:r>
    </w:p>
    <w:p>
      <w:pPr>
        <w:spacing w:after="0" w:line="5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contract research organizations (“CROs”) and clinical trial sites, the terms of which can be subject to extensive negotiation and may vary significantly among different CROs and trial sites;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train suitable clinical investigators;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institutional review board (“IRB”) or ethics committee approval at each site;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test, release, validate or import sufficient quantities of drug product for use in a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screen and enroll suitable patients to participate in a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patients complete a trial or return for post-treatment follow-up;</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clinical sites observe trial protocol or continue to participate in a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 w:name="page15"/>
    <w:bookmarkEnd w:id="14"/>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conflicts with new or existing laws or regulations;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w:t>
      </w: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COVID-19 pandemic has had, and may continue to have an evolving impact on the conduct of clinical trials of investigational therapeutic candidates, and any challenges which may arise, for example, from quarantines, site closures, travel limitations, interruptions to the supply chain for our product candidates, or other considerations if site personnel or trial subjects become infected with COVID-19, which may lead to difficulties in meeting protocol-specified procedures, including administering or using the product candidate or adhering to protocol-mandated visits and laboratory/diagnostic testing, unavoidable protocol deviations due to COVID-19 illness and/or COVID-19 control measures, which will likely vary depending on many factors, including the nature of disease under study, the trial design, and in what region(s) the study is being conducted.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 In addition, our Phase 3 foresiGHt Trial includes clinical sites located in Ukraine, and the invasion of Ukraine has impacted and may further impact our ability to monitor or collect data from patients at those clinical sites, which could affect the integrity of trial data obtained from those sites. We will continue to closely monitor the rapidly evolving geopolitical situation in Ukraine and Russia and its impact on our clinical trial operations and timelines.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for a product candidate, by the IRBs of the institutions in which such trials are being conducted, by an independent data safety monitoring board, for such trial or by the FDA or similar regulatory authorities. Such authorities, or we, may suspend or terminate a clinical trial due to a number of factors, including failure to conduct the clinical trial in accordance with regulatory requirements or our clinical protocols, inspection of the clinical trial operations or trial site by the FDA or similar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Further, we are conducting, and plan to conduct, clinical trials in sites outside of the United States.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In addition, the EMA or the FDA may determine that the clinical trial results obtained in foreign subjects do not establish the safety, purity, potency and/or efficacy of a product candidate when administered in EU or U.S. patients, and are thus not supportive of approval of a MAA in the EU or of an NDA, or Biologics License Application (“BLA”), in the United States. As a result, the EMA or the FDA may not accept data from clinical trials conducted outside the EU or the United States, respectively, and may require that we conduct additional clinical trials or obtain additional data before we can submit an NDA or BLA in the United States or a MAA in the EU. The EMA or the FDA may even require us to conduct additional clinical trials in the EU or the United States, respectively, before we are able submit an NDA, BLA, MAA or other marketing application for any of our product candidates.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71" w:right="379" w:bottom="1440" w:gutter="0" w:footer="0" w:header="0"/>
        </w:sectPr>
      </w:pPr>
    </w:p>
    <w:bookmarkStart w:id="15" w:name="page16"/>
    <w:bookmarkEnd w:id="15"/>
    <w:p>
      <w:pPr>
        <w:ind w:right="240"/>
        <w:spacing w:after="0" w:line="254" w:lineRule="auto"/>
        <w:rPr>
          <w:sz w:val="20"/>
          <w:szCs w:val="20"/>
          <w:color w:val="auto"/>
        </w:rPr>
      </w:pPr>
      <w:r>
        <w:rPr>
          <w:rFonts w:ascii="Times New Roman" w:cs="Times New Roman" w:eastAsia="Times New Roman" w:hAnsi="Times New Roman"/>
          <w:sz w:val="18"/>
          <w:szCs w:val="18"/>
          <w:color w:val="auto"/>
        </w:rPr>
        <w:t>If there are delays in the completion of, or termination of, any clinical trial of our product candidates or if we are required to conduct additional clinical trials in addition to those we have currently planned, the commercial prospects of our product candidates may be harmed, and our ability to generate revenue from commercial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commercial product sales. Any of these occurrences may significantly harm our business, financial condition and prospects. Clinical trial delays may also allow our competitors to bring products to market before we do, which could impair our ability to obtain orphan exclusivity for our products that potentially qualify for orphan drug designation. In addition, many of the factors that cause, or lead to, a delay in the commencement or completion of clinical trials may also ultimately lead to the denial of regulatory approval of our product candidates.</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CTR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authorisation in the EU for our product candidates on the basis of clinical trials conducted in the UK.</w:t>
      </w:r>
    </w:p>
    <w:p>
      <w:pPr>
        <w:spacing w:after="0" w:line="185"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adversely impacted.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6" w:name="page17"/>
    <w:bookmarkEnd w:id="16"/>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in various stages of preclinical development and we may not be successful in our efforts to successfully develop these products or expand our pipeline of product candidates.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pipeline of product candidates utilizing our proprietary TransCon technologies, and to advance such product candidates through clinical development. Certain of our product candidates are in preclinical development and may require significant time and additional research and development before we can submit INDs or equivalent foreign regulatory applications to regulatory authorities to begin clinical studies. Of the large number of drugs and biologics in development, only a small percentage of such drugs successfully complete the EMA or FDA regulatory approval process and are commercialized. Accordingly, even if we are able to continue to fund such development programs, our product candidates may not be advanced to clinical studies or be successfully developed or commercialized. In addition, our preclinical product candidates may not demonstrate the advantages we expect from application of our TransCon technologies in preclinical studies. In such event, we may decide not to progress any such product candidates into clinical trials.</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pure, potent and/or effective. Our research programs may initially show promise in identifying potential product candidates, yet fail to yield product candidates for clinical development or commercialization for many reasons, including the following:</w:t>
      </w:r>
    </w:p>
    <w:p>
      <w:pPr>
        <w:spacing w:after="0" w:line="75"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and our TransCon technologies may not be successful in creating potential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5"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third-parties’ intellectual property rights or other types of exclusivity and we may not be able to obtain a license from such third-party or the license terms may not be acceptable to us;</w:t>
      </w:r>
    </w:p>
    <w:p>
      <w:pPr>
        <w:spacing w:after="0" w:line="55" w:lineRule="exact"/>
        <w:rPr>
          <w:rFonts w:ascii="Times New Roman" w:cs="Times New Roman" w:eastAsia="Times New Roman" w:hAnsi="Times New Roman"/>
          <w:sz w:val="18"/>
          <w:szCs w:val="18"/>
          <w:color w:val="auto"/>
        </w:rPr>
      </w:pPr>
    </w:p>
    <w:p>
      <w:pPr>
        <w:ind w:left="1020" w:right="60" w:hanging="504"/>
        <w:spacing w:after="0" w:line="28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opportunity for a product candidate may change during our program or we may discover that such market opportunity was smaller than initially expected so that such a product may become financially unfeasible to continue to develop;</w:t>
      </w:r>
    </w:p>
    <w:p>
      <w:pPr>
        <w:spacing w:after="0" w:line="55" w:lineRule="exact"/>
        <w:rPr>
          <w:rFonts w:ascii="Times New Roman" w:cs="Times New Roman" w:eastAsia="Times New Roman" w:hAnsi="Times New Roman"/>
          <w:sz w:val="18"/>
          <w:szCs w:val="18"/>
          <w:color w:val="auto"/>
        </w:rPr>
      </w:pPr>
    </w:p>
    <w:p>
      <w:pPr>
        <w:ind w:left="1020" w:right="180" w:hanging="504"/>
        <w:spacing w:after="0" w:line="28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demonstrated to have harmful side effects or not to be effective, or otherwise not to meet other requirements for regulatory approval;</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8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or reimbursable by third-party payors, if applicable.</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we are successful in continuing to expand our pipeline, through our own research and development efforts or by pursuing in-licensing or acquisition of product candidates, the potential product candidates that we identify or acquire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commercial product sales in future periods or achieve or sustain profitability.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 w:name="page18"/>
    <w:bookmarkEnd w:id="17"/>
    <w:p>
      <w:pPr>
        <w:ind w:right="5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2"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By expending our limited resources to pursue particular product candidates and areas of focus we may fail to capitalize on product candidates or areas of focus that are more profitable or for which there is a greater likelihood of success.</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focused on research programs and product candidates within the endocrinology, oncology and ophthalmology therapeutic areas. As a result, we may forego or delay pursuit of opportunities with other product candidates or in other therapeutic areas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8" w:name="page19"/>
    <w:bookmarkEnd w:id="18"/>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nonclinical studies and clinical trials. If these third-parties do not successfully carry out their contractual duties or meet expected deadlines, we may be unable to obtain regulatory approval for, or commercialize, our product candidates.</w:t>
      </w:r>
    </w:p>
    <w:p>
      <w:pPr>
        <w:spacing w:after="0" w:line="5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do not currently have the ability to independently conduct clinical trials or IND-enabling nonclinical studies. We rely on medical institutions, clinical investigators, contract laboratories, collaboration partners and other third-parties, such as CROs, to conduct clinical trials of our products and product candidates. The third-parties with whom we contract for execution of our clinical trials play a significant role in the conduct of these trials and the subsequent collection and analysis of data. However, these third-parties are not our employees, and except for contractual duties and obligations, we control only certain aspects of their activities and have limited ability to control the amount or timing of resources that they devote to our programs. Although we rely on these third-parties to conduct our nonclinical studies and our clinical trials, we remain responsible for ensuring that each of our nonclinical studies and clinical trials is conducted in accordance with the applicable protocol, legal, regulatory and scientific standards and our reliance on third-parties does not relieve us of our regulatory responsibilities. We and these third-parties are required to comply with current good laboratory practices (“GLPs”), for nonclinical studies, and good clinical practices (“GCPs”), for clinical studies. GLPs and GCPs are regulations and guidelines enforced by the FDA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EMA, the FDA, or similar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products produced under cGMP or similar foreign regulations outside the United States. The failure of our contract manufacturers to comply with these regulations may require us to repeat clinical trials, which would delay the regulatory approval process.</w:t>
      </w:r>
    </w:p>
    <w:p>
      <w:pPr>
        <w:spacing w:after="0" w:line="2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undesirable side effects or have other properties that could delay or prevent their regulatory approval, limit the commercial profile of an approved label, or result in significant negative consequences following regulatory approval, if any. If any of our product candidates receives marketing approval and subsequently causes undesirable side effects, the ability to market the product candidates could be compromised.</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any of our approved products or product candidates could cause us or regulatory authorities to interrupt, delay or halt clinical trials and could result in a more restrictive label or the delay or denial of regulatory approval by the FDA or similar authorities. In the event that trials conducted by us or any collaboration partners, or trials we conduct with our product candidates, reveal a high and unacceptable severity and prevalence of side effects, such trials could be suspended or terminated and the FDA or similar regulatory authorities could order any collaboration partners or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and it receives marketing approval,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Foreign regulatory authorities may require us to adopt similar risk management measures.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9" w:name="page20"/>
    <w:bookmarkEnd w:id="19"/>
    <w:p>
      <w:pPr>
        <w:ind w:right="180"/>
        <w:spacing w:after="0" w:line="280" w:lineRule="auto"/>
        <w:rPr>
          <w:sz w:val="20"/>
          <w:szCs w:val="20"/>
          <w:color w:val="auto"/>
        </w:rPr>
      </w:pPr>
      <w:r>
        <w:rPr>
          <w:rFonts w:ascii="Times New Roman" w:cs="Times New Roman" w:eastAsia="Times New Roman" w:hAnsi="Times New Roman"/>
          <w:sz w:val="18"/>
          <w:szCs w:val="18"/>
          <w:color w:val="auto"/>
        </w:rPr>
        <w:t>In addition, in the event that any of our product candidates receives regulatory approval and we or others later identify undesirable side effects caused by one of our products, including TransCon hGH, a number of potentially significant negative consequences could occur, including:</w:t>
      </w:r>
    </w:p>
    <w:p>
      <w:pPr>
        <w:spacing w:after="0" w:line="55"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required to recall the product;</w:t>
      </w:r>
    </w:p>
    <w:p>
      <w:pPr>
        <w:spacing w:after="0" w:line="115"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REMS or requirements for similar actions, such as patient education, certification of health care professionals or specific monitoring;</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subject to fines, injunctions or the imposition of civil or criminal penalties;</w:t>
      </w:r>
    </w:p>
    <w:p>
      <w:pPr>
        <w:spacing w:after="0" w:line="115" w:lineRule="exact"/>
        <w:rPr>
          <w:rFonts w:ascii="Times New Roman" w:cs="Times New Roman" w:eastAsia="Times New Roman" w:hAnsi="Times New Roman"/>
          <w:sz w:val="18"/>
          <w:szCs w:val="18"/>
          <w:color w:val="auto"/>
        </w:rPr>
      </w:pPr>
    </w:p>
    <w:p>
      <w:pPr>
        <w:ind w:left="1020" w:right="420" w:hanging="504"/>
        <w:spacing w:after="0" w:line="280"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For example, a number of adverse reactions have been reported among users of daily somatropin, and we may observe and be required report similar adverse reactions for users of SKYTROFA. This reporting may result in Dear Healthcare Provider letters or other communications containing warnings or other safety information about the product.</w:t>
      </w:r>
    </w:p>
    <w:p>
      <w:pPr>
        <w:spacing w:after="0" w:line="175"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Any of the foregoing events could prevent us, or any collaboration partners, from achieving or maintaining market acceptance of our products or product candidates, if approved, and could result in the loss of significant revenue to us, which would harm our results of operations and business.</w:t>
      </w:r>
    </w:p>
    <w:p>
      <w:pPr>
        <w:spacing w:after="0" w:line="266"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markets in which we intend to compete are undergoing, and are expected to continue to undergo, rapid and significant technological changes. Some of our products and product candidates are for fields in which competitive products already exist and are established. We expect competition to intensify as technological advances are made or new drugs and biotechnology products are introduced. New developments by competitors may render our products and current or future product candidates and/or technologies non-competitive, obsolete or not economical. Our competitors’ products may be more efficacious or marketed and sold more effectively than our products and product candidates.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579" w:right="419" w:bottom="1440" w:gutter="0" w:footer="0" w:header="0"/>
        </w:sectPr>
      </w:pPr>
    </w:p>
    <w:bookmarkStart w:id="20" w:name="page21"/>
    <w:bookmarkEnd w:id="20"/>
    <w:p>
      <w:pPr>
        <w:spacing w:after="0" w:line="262" w:lineRule="auto"/>
        <w:rPr>
          <w:sz w:val="20"/>
          <w:szCs w:val="20"/>
          <w:color w:val="auto"/>
        </w:rPr>
      </w:pPr>
      <w:r>
        <w:rPr>
          <w:rFonts w:ascii="Times New Roman" w:cs="Times New Roman" w:eastAsia="Times New Roman" w:hAnsi="Times New Roman"/>
          <w:sz w:val="17"/>
          <w:szCs w:val="17"/>
          <w:color w:val="auto"/>
        </w:rPr>
        <w:t>We are aware of several pharmaceutical and biopharmaceutical companies that have commenced clinical studies of products or have successfully commercialized products addressing areas that we are targeting. A permanently PEGylated long-acting growth hormone (brand name Jintrolong) developed by GeneScience Pharmaceuticals Co., Ltd. is available in China and the Somatropin Biopartners product (LB03002), is available in Korea. Novo Nordisk has received regulatory approval in the United States, Japan, and Europe of once-weekly somapacitan (brand name Sogroya) for replacement of endogenous growth hormone in adult patients with GHD and filed somapacitan in the United States, Japan, and Europe for pediatric GHD. Pfizer (in collaboration with OPKO Health Inc.) has received regulatory approval of once-weekly somatrogon (brand name NGENLA) in the EU, Canada, Australia, Japan, Taiwan, the United Arab Emirates and Brazil for pediatric GHD. In January 2022, Pfizer (in collaboration with OPKO Health) announced the FDA issued a Complete Response Letter for the BLA for somatrogon. Other experimental growth hormone therapies based on permanent modification are in different stages of clinical development by various companies, including GeneScience Pharmaceuticals Co., Ltd., Genexine Inc., I-MAB, and JCR Pharmaceuticals Co., Ltd. In addition, Shire-NPS Pharmaceuticals Inc., a Takeda company owns the rights to parathyroid hormone (brand name NATPARA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 treatment for hypoparathyroidism. Parathyroid hormone was voluntarily recalled in September 2019 in the U.S. and is now only available to a limited number of patients through a Special Use Program offered by its manufacturer, Shire-NPS Pharmaceuticals Inc., a Takeda company. In October 2022, Takeda announced manufacturing of all strengths of NATPARA will be discontinued globally at the end of 2024. In addition, we are aware of several academic groups and companies working on making longer-acting agonists of the PTH receptor, or PTH1R. Other companies and groups are developing or commercializing therapies for hypoparathyroidism, including Entera Bio, Extend Biosciences, Massachusetts General Hospital, Amolyt Pharma, MBX Biosciences and Eli Lilly and Company. Other companies are developing therapies for achondroplasia, including BioMarin, and QED Therapeutics. BioMarin Pharmaceutical, Inc. has received regulatory approval for vosoritide (brand name VOXZOGO) in the United States, EU and Japan for the treatment of achondroplasia. Rainier Therapeutics, Inc., QED Therapeutics, Sanofi, Ribomic, ProLynx, and Astellas, PhaseBio have achondroplasia programs in various clinical stages.</w:t>
      </w:r>
    </w:p>
    <w:p>
      <w:pPr>
        <w:spacing w:after="0" w:line="18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Other companies are developing toll like receptor agonists for cancer immunotherapy including: CureVac N.V., Seven and Eight Biopharmaceuticals Inc., Idera Pharmaceuticals, Inc., Checkmate Pharmaceuticals, Inc., Exicure, Inc., Bolt Therapeutics, Inc., and Silverback Therapeutics, Inc. In addition to product-based competition, our TransCon technologies face technology-based competition as we believe other companies are developing or evaluating enhanced drug delivery and sustained release technologies. In particular, we believe Nektar Therapeutics, OPKO Health, Inc., ProLynx LLC, MBX Biosciences and Serina Therapeutics, Inc. are developing technologies that use reversible linkers and that may be competitive with our TransCon technologies.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TransCon hGH is approved by the FDA in the U.S. under the brand name SKYTROFA for the treatment of pediatric patients one year and older who weigh at least 11.5 kg (25.4 lb) and have growth failure due to inadequate secretion of endogenous growth hormone. In addition, the EC has granted a marketing authorisation for SKYTROFA, developed under the name TransCon hGH, as a once weekly subcutaneous injection for the treatment of children and adolescents ages 3 to 18 years with growth failure due to insufficient secretion of endogenous growth hormone. However, it is also possible that our competitors will commercialize competing drugs or treatments before we can launch any other product candidates that are ultimately approved by regulatory authorities. We also anticipate that we will face increased competition in the future as new companies enter into our current and target markets.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1" w:name="page22"/>
    <w:bookmarkEnd w:id="21"/>
    <w:p>
      <w:pPr>
        <w:ind w:right="100"/>
        <w:spacing w:after="0" w:line="265" w:lineRule="auto"/>
        <w:rPr>
          <w:sz w:val="20"/>
          <w:szCs w:val="20"/>
          <w:color w:val="auto"/>
        </w:rPr>
      </w:pPr>
      <w:r>
        <w:rPr>
          <w:rFonts w:ascii="Times New Roman" w:cs="Times New Roman" w:eastAsia="Times New Roman" w:hAnsi="Times New Roman"/>
          <w:sz w:val="18"/>
          <w:szCs w:val="18"/>
          <w:color w:val="auto"/>
        </w:rPr>
        <w:t>Furthermore, to the extent we are developing TransCon product candidates that incorporate already approved drugs, we face competition from the pharmaceutical companies which are currently marketing such approved products. These pharmaceutical companies can generally be expected to seek to delay the introduction of competing products through a variety of means including:</w:t>
      </w:r>
    </w:p>
    <w:p>
      <w:pPr>
        <w:spacing w:after="0" w:line="68"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new formulation patent applications on drugs whose original patent protection is about to expire;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 increasing number of patent applications that are more complex and costly to challenge;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suits for alleged patent infringement that automatically delay FDA or foreign regulatory authorities’ approval;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suits that challenge our marketing and promotion efforts;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patented controlled-release or other “next-generation” products, which may compete with TransCon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exclusive contracts with third-party payors;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claims and product labeling.</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Any one of these strategies may increase the costs and risks associated with our efforts to develop and commercialize our products and product candidates and may delay or altogether prevent such development or commercialization.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competitors have:</w:t>
      </w:r>
    </w:p>
    <w:p>
      <w:pPr>
        <w:spacing w:after="0" w:line="116" w:lineRule="exact"/>
        <w:rPr>
          <w:sz w:val="20"/>
          <w:szCs w:val="20"/>
          <w:color w:val="auto"/>
        </w:rPr>
      </w:pPr>
    </w:p>
    <w:p>
      <w:pPr>
        <w:ind w:left="1020" w:hanging="504"/>
        <w:spacing w:after="0" w:line="26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 financial, marketing, research, drug portfolios, drug development and technical and human resources than we have at every stage of the discovery, development, manufacturing and commercialization process and additional mergers and acquisitions in the biotechnology industries may result in even more resources being concentrated in our competitors;</w:t>
      </w:r>
    </w:p>
    <w:p>
      <w:pPr>
        <w:spacing w:after="0" w:line="67"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experience in commercializing drugs, conducting preclinical testing, conducting clinical studies, obtaining regulatory approvals, challenging patents and in manufacturing and marketing pharmaceutical products;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been approved or are in late stages of development;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arrangements in our target markets with leading companies and research institutions.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products and product candidates that we successfully develop, we will face competition based on many different factors, including:</w:t>
      </w:r>
    </w:p>
    <w:p>
      <w:pPr>
        <w:spacing w:after="0" w:line="116"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effectiveness of such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specific circumstances relating to regulatory approvals for these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manufacturing, marketing and sales capabilities;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capabilities;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third-party reimbursement for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patent position.</w:t>
      </w:r>
    </w:p>
    <w:p>
      <w:pPr>
        <w:spacing w:after="0" w:line="223"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w:t>
      </w:r>
    </w:p>
    <w:p>
      <w:pPr>
        <w:spacing w:after="0" w:line="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579" w:right="499" w:bottom="1440" w:gutter="0" w:footer="0" w:header="0"/>
        </w:sectPr>
      </w:pPr>
    </w:p>
    <w:bookmarkStart w:id="22" w:name="page23"/>
    <w:bookmarkEnd w:id="22"/>
    <w:p>
      <w:pPr>
        <w:ind w:right="20"/>
        <w:spacing w:after="0" w:line="265"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in regard to any of these factors. Our competitors may therefore be more successful in commercializing their products than we are, which could adversely affect our business, results of operations and prospects, and the value of our shares or ADSs.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TransCon technologies include a new approach to extending the residence time and duration of action of a variety of drug products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TransCon technologies have been developed to improve the delivery of a variety of drug products. TransCon hGH is approved by the FDA in the U.S. under the brand name SKYTROFA (lonapegsomatropin-tcgd) for the treatment of pediatric patients one year and older who weigh at least 11.5 kg (25.4 lb) and have growth failure due to inadequate secretion of endogenous growth hormone. The EC has granted a marketing authorisation for SKYTROFA, developed under the name TransCon hGH, as a once weekly subcutaneous injection for the treatment of children and adolescents ages 3 to 18 years with growth failure due to insufficient secretion of endogenous growth hormone. However, we cannot be certain that any of our other products or product candidates using our TransCon technologies will be deemed safe or efficacious (or that TransCon hGH will be deemed safe or effective for other indications), nor that any aspects of our TransCon technologies will yield additional product candidates that could be commercially valuable. Further, one of our two carrier systems, the TransCon hydrogel carrier system, has limited experience in humans. As a result, our TransCon hydrogel carriers, when dosed extensively in humans, may fail to perform as we expect. Failure of any of our product candidates to be successfully developed, approved and commercialized may result in our TransCon technologies being viewed as an ineffective approach to developing drug products which would harm our business and prospects.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apply our TransCon technologies to both approved and unapproved parent drugs to extend the half-life of such drugs in the body, and to enhance the overall benefit of a given therapy. Even when applied to approved parent drugs, we have generated limited clinical data on our product candidates using our systemic TransCon technologies with respect to safety and efficacy for long-term treatment in humans. The long-term safety and efficacy of our TransCon technologies and the extended life in the body of our product candidates utilizing TransCon technologies is unknown, and it is possible that our product candidates may have an increased risk of unforeseen reactions following extended treatment relative to other approved products. If extended treatment with our products or product candidates utilizing TransCon in our ongoing or future clinical trials results in any concerns about the safety or efficacy of our TransCon technologies, we may be unable to successfully develop or commercialize our products or product candidates.</w:t>
      </w:r>
    </w:p>
    <w:p>
      <w:pPr>
        <w:spacing w:after="0" w:line="292"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limited clinical data on product candidates utilizing our TransCon technologies to indicate whether they are safe or effective for long-term use in humans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products and product candidates are designed to transiently link a parent drug molecule to select TransCon carriers via our TransCon linkers. Once injected, we believe that our prodrugs predictably release the unmodified parent drug molecule over time, thus preserving the parent drug’s original mode of action, and, we believe, the parent drug’s original safety and efficacy profile. We believe that our TransCon carriers remain bound to our TransCon linkers and that they are cleared from the body predominantly by renal filtration and biliary transport with fecal excretion. We have limited clinical data regarding utilizing the systemic TransCon technologies to indicate whether they are safe, pure, potent and/or effective for long-term use in humans, including the safety of any degradation products that may result after the TransCon carrier and TransCon linker are cleaved from the parent drug molecule. If treatment with any of our product candidates in our clinical trials results in concerns about their safety or efficacy, we and any collaboration partners may be unable to successfully develop or commercialize any or all of our TransCon technologies based on such product candidates or enter into collaborations with respect to our product candidates.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3" w:name="page24"/>
    <w:bookmarkEnd w:id="23"/>
    <w:p>
      <w:pPr>
        <w:ind w:right="2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collaboration partners to develop and conduct clinical studies with, obtain regulatory approvals for, market and sell product candidates, and if such collaboration partners fail to perform as expected, or are unable to obtain the required regulatory approvals for such product candidates, the potential of such product candidates would be significantly reduced and our business would be significantly harmed.</w:t>
      </w:r>
    </w:p>
    <w:p>
      <w:pPr>
        <w:spacing w:after="0" w:line="6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rely on our collaboration partners to conduct certain clinical studies. For example, in November 2018, we announced the formation of VISEN Pharmaceuticals (“VISEN”), a company established to develop, manufacture, and commercialize our endocrinology rare disease therapy candidates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may also enter into collaboration agreements with other parties in the future relating to our other product candidates.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our collaboration partners do not perform in the manner we expect or fulfill their responsibilities in a timely manner, or at all, if our agreements with them terminate or if the quality or accuracy of the clinical data they obtain is compromised, the clinical development, regulatory approval and commercialization efforts related to our collaboration product candidates could be delayed or terminated and it could become necessary for us to assume the responsibility at our own expense for the clinical development of such product candidates. In that event, we would likely be required to limit the size and scope of efforts for the development and commercialization of such product candidate, to seek additional financing to fund further development, or to identify alternative collaboration partners, and our potential to generate future revenue from royalties and milestone payments from such product candidate would be significantly reduced or delayed and our business would be harmed. Our existing collaborations and any future collaboration arrangements that we may enter into with third-parties may not be scientifically or commercially successful. In addition to the risks inherent in the development of a drug product candidate, factors that may affect the success of our collaborations include the following:</w:t>
      </w:r>
    </w:p>
    <w:p>
      <w:pPr>
        <w:spacing w:after="0" w:line="81" w:lineRule="exact"/>
        <w:rPr>
          <w:sz w:val="20"/>
          <w:szCs w:val="20"/>
          <w:color w:val="auto"/>
        </w:rPr>
      </w:pPr>
    </w:p>
    <w:p>
      <w:pPr>
        <w:ind w:left="1020" w:right="260" w:hanging="504"/>
        <w:spacing w:after="0" w:line="259"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have the unilateral ability to choose not to develop a collaboration product for one or more indications for which such product has been or is currently being evaluated, and our collaboration partners may choose to pursue an indication that is not in our strategic best interest or to forego an indication that they believe does not provide significant market potential even if clinical data is supportive of further development for such indication;</w:t>
      </w:r>
    </w:p>
    <w:p>
      <w:pPr>
        <w:spacing w:after="0" w:line="7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choose not to develop and commercialize our collaboration products in certain relevant markets;</w:t>
      </w:r>
    </w:p>
    <w:p>
      <w:pPr>
        <w:spacing w:after="0" w:line="115"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take considerably more time advancing our product candidates through the clinical and regulatory process than we currently anticipate, which could materially delay the achievement of milestones and, consequently the receipt of milestone payments from our collaboration partners;</w:t>
      </w:r>
    </w:p>
    <w:p>
      <w:pPr>
        <w:spacing w:after="0" w:line="67" w:lineRule="exact"/>
        <w:rPr>
          <w:rFonts w:ascii="Times New Roman" w:cs="Times New Roman" w:eastAsia="Times New Roman" w:hAnsi="Times New Roman"/>
          <w:sz w:val="18"/>
          <w:szCs w:val="18"/>
          <w:color w:val="auto"/>
        </w:rPr>
      </w:pPr>
    </w:p>
    <w:p>
      <w:pPr>
        <w:ind w:left="1020" w:right="60" w:hanging="504"/>
        <w:spacing w:after="0" w:line="311"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collaboration partners have substantial discretion under their respective agreements regarding how they structure their efforts and allocate resources to fulfill their obligations to diligently develop, obtain regulatory approval for and commercialize our collaboration products;</w:t>
      </w:r>
    </w:p>
    <w:p>
      <w:pPr>
        <w:spacing w:after="0" w:line="31"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control all aspects of commercialization efforts under their respective license agreements and may change the focus of their development and commercialization efforts or pursue higher-priority programs and, accordingly, reduce the efforts and resources allocated to their collaborations with us;</w:t>
      </w:r>
    </w:p>
    <w:p>
      <w:pPr>
        <w:spacing w:after="0" w:line="67" w:lineRule="exact"/>
        <w:rPr>
          <w:rFonts w:ascii="Times New Roman" w:cs="Times New Roman" w:eastAsia="Times New Roman" w:hAnsi="Times New Roman"/>
          <w:sz w:val="18"/>
          <w:szCs w:val="18"/>
          <w:color w:val="auto"/>
        </w:rPr>
      </w:pPr>
    </w:p>
    <w:p>
      <w:pPr>
        <w:ind w:left="1020" w:right="20" w:hanging="504"/>
        <w:spacing w:after="0" w:line="271"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collaboration partners are solely responsible for obtaining and maintaining all regulatory approvals and we or our collaboration partners may fail to develop a commercially viable formulation or manufacturing process for our product candidates, and we or our collaboration partners may fail to manufacture or supply sufficient drug substance for commercial use, if approved, which could result in lost revenue under</w:t>
      </w:r>
    </w:p>
    <w:p>
      <w:pPr>
        <w:spacing w:after="0" w:line="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such collaborations;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4" w:name="page25"/>
    <w:bookmarkEnd w:id="24"/>
    <w:p>
      <w:pPr>
        <w:ind w:left="1020" w:right="80" w:hanging="504"/>
        <w:spacing w:after="0" w:line="28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not comply with all applicable regulatory requirements or may fail to report safety data in accordance with all applicable regulatory requirements;</w:t>
      </w:r>
    </w:p>
    <w:p>
      <w:pPr>
        <w:spacing w:after="0" w:line="55"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agreements with our collaboration partners terminate, we will no longer have any rights to receive potential revenue under such agreement, in which case we would need to identify alternative means to continue the development, manufacture and commercialization of the affected product candidates, alone or with others;</w:t>
      </w:r>
    </w:p>
    <w:p>
      <w:pPr>
        <w:spacing w:after="0" w:line="67" w:lineRule="exact"/>
        <w:rPr>
          <w:rFonts w:ascii="Times New Roman" w:cs="Times New Roman" w:eastAsia="Times New Roman" w:hAnsi="Times New Roman"/>
          <w:sz w:val="18"/>
          <w:szCs w:val="18"/>
          <w:color w:val="auto"/>
        </w:rPr>
      </w:pPr>
    </w:p>
    <w:p>
      <w:pPr>
        <w:ind w:left="1020" w:right="540" w:hanging="504"/>
        <w:spacing w:after="0" w:line="280"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have the discretion to sublicense their rights with respect to our collaboration technology in connection with collaboration product candidates to one or more third-parties without our consent; and</w:t>
      </w:r>
    </w:p>
    <w:p>
      <w:pPr>
        <w:spacing w:after="0" w:line="55"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may be pursuing alternative technologies or developing alternative products, either on their own or in collaboration with others, that may be competitive with products on which they are collaborating with us or which could affect our collaboration partners’ commitment to the collaboration.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timing and amount of any milestone and royalty payments we may receive under agreements with collaboration partners and the value of any equity we own in our collaboration partners (such as the equity we own in VISEN) will depend on, among other things, the efforts, allocation of resources, and successful development and commercialization of our product candidates by our collaboration partners. We cannot be certain that any development and regulatory milestones will be achieved or that we will receive any future milestone payments under agreements we may enter into with collaboration partners. In addition, in certain circumstances we may believe that we have achieved a particular milestone and the applicable collaboration partner may disagree with our belief. In that case, receipt of that milestone payment may be delayed or may never be received, which may require us to adjust our operating plans. We also cannot be certain that any equity we own in our collaboration partners (such as the equity we own in VISEN) will maintain its value or grow in value.</w:t>
      </w:r>
    </w:p>
    <w:p>
      <w:pPr>
        <w:spacing w:after="0" w:line="288"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form additional strategic collaborations in the future with respect to our proprietary programs, but we may not realize the benefits of such collaborations.</w:t>
      </w:r>
    </w:p>
    <w:p>
      <w:pPr>
        <w:spacing w:after="0" w:line="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may form strategic collaborations, create joint ventures or enter into licensing arrangements with third-parties with respect to our independent programs that we believe will complement or augment our existing business. We have historically engaged, and intend to continue to engage, in partnering discussions with a range of biopharmaceutical companies and could enter into new collaborations at any time. For example, in November 2018, we announced the formation of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face significant competition in seeking appropriate strategic partners, and the negotiation process to secure appropriate terms is time-consuming and complex. Any delays in identifying suitable development partners and entering into agreements to develop our product candidates could also delay the commercialization of our product candidates, which may reduce their competitiveness even if they reach the market. Moreover, we may not be successful in our efforts to establish such a strategic partnership for any future product candidates and programs on terms that are acceptable to us, or at all. This may be for a number of reasons. For example, under our collaboration with VISEN, VISEN has a right of first negotiation to develop certain of our endocrinology product candidates in Greater China, so our ability to negotiate such a collaboration with suitable third-parties may be hampered by such rights we granted to VISEN. Additionally, our product candidates and programs may be deemed to be at too early of a stage of development for collaborative effort, our research and development pipeline may be viewed as insufficient, and/or third-parties may not view our product candidates and programs as having sufficient potential for commercialization, including the likelihood of an adequate safety and efficacy profile. Even if we are successful in entering into a strategic alliance or license arrangement, there is no guarantee that the collaboration will be successful, or that any future collaboration partner will commit sufficient resources to the development, regulatory approval, and commercialization of our product candidates, or that such alliances will result in us achieving revenues that justify such transactions.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25" w:name="page26"/>
    <w:bookmarkEnd w:id="25"/>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designation for some of our product candidates and we may be unsuccessful, or may be unable to maintain the benefits associated with orphan designation, including the potential for market exclusivity, for product candidates for which we obtain orphan designation.</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Orphan designation must be requested before submitting a BLA or NDA in the United States or a MAA in the EU.</w:t>
      </w:r>
    </w:p>
    <w:p>
      <w:pPr>
        <w:spacing w:after="0" w:line="19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If a drug or biologic with an orphan designation subsequently receives the first marketing approval for the indication for which it has such designation, the drug or biologic is entitled to a period of marketing exclusivity, which precludes the FDA from approving another marketing application for the same drug or biologic for the same disease or condition for a seven-year period, except in limited circumstances. If our competitors are able to obtain orphan drug exclusivity prior to us, for products that constitute the “same drug” and treat the same diseases or conditions as our product candidates, we may not be able to have competing products approved by the applicable regulatory authority for a significant period of time. The applicable period is seven years in the United States. The applicable exclusivity period is ten years in the EU, but such exclusivity period can be reduced to six years if, at the end of the fifth year, a product no longer meets the criteria for orphan designation or if the product is sufficiently profitable so that market exclusivity is no longer justified.</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intend to pursue orphan designation for certain of our product candidates. For example, in June 2018, we were granted orphan drug designation by the FDA for TransCon PTH for the treatment of hypoparathyroidism, in February 2019, we were granted orphan drug designation by the FDA for TransCon CNP for the treatment of achondroplasia, and in April 2020, we were granted orphan drug designation by the FDA for TransCon hGH for the treatment of GHD. Additionally, in July 2020, we were granted orphan designation by the EC for TransCon CNP for the treatment of achondroplasia and in October 2020, we were granted orphan designation by the EC for TransCon PTH for treatment of hypoparathyroidism. In October 2019, we were granted orphan designation by the EC for TransCon hGH for GHD. In July 2021, we were granted orphan drug designation from the Japanese Ministry of Health, Labour and Welfare for TransCon PTH. However, we may be unsuccessful in obtaining additional orphan designations, and may be unable to maintain the benefits associated with orphan designation, such as orphan drug exclusivity.</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foreign regulatory authorities from approving the same or a different drug in another indication. Even after an orphan drug is granted orphan exclusivity and approved, the FDA or foreign regulatory authorities can subsequently approve a later application for the same drug for the same condition before the expiration of the exclusivity period if the FDA or foreign regulatory authorities conclude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and in foreign jurisdictions may be lost if the FDA or foreign regulatory authorities later determine that the request for designation was materially defective or if we are unable to manufacture sufficient quantities of the product to meet the needs of patients with the rare disease or condition. Orphan designation neither shortens the development time or regulatory review time of a drug nor gives the drug any advantage in the regulatory review or approval process.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Any biological product for which we intend to seek approval may face competition sooner than anticipated.</w:t>
      </w:r>
    </w:p>
    <w:p>
      <w:pPr>
        <w:spacing w:after="0" w:line="12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believe that any of our future biological product candidates approved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preclinical, clinical, and commercial supplies of our products, product candidates and their device components.</w:t>
      </w:r>
    </w:p>
    <w:p>
      <w:pPr>
        <w:spacing w:after="0" w:line="12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We do not own facilities for manufacturing our products and product candidates. We depend on third-parties to manufacture and provide analytical services with respect to our products and product candidates and their respective device components.</w:t>
      </w:r>
    </w:p>
    <w:p>
      <w:pPr>
        <w:spacing w:after="0" w:line="16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to produce the quantities necessary to meet anticipated market demand, we and/or any collaboration partners will need to secure sufficient manufacturing capacity with third-party manufacturers. For TransCon hGH, we believe we have secured agreements to provide for sufficient manufacturing capacity with third-party manufacturers; however, our estimates of market demand may be inaccurate and third-party manufacturers may fail to produce sufficient quantities on a timely basis or at all. If we and/or any collaboration partners are unable to produce our products and product candidates in sufficient quantities to meet the requirements for the launch of the product or to meet future demand, our revenues and gross margins would be adversely affected. For example, public health epidemics or pandemics, such as COVID-19 currently impacting multiple jurisdictions worldwide may impact the ability of our existing or future manufacturers to perform their obligations under our manufacturing agreements with such parties. Such failure or substantial delay could materially harm our business. To be successful, our products and product candidates must be manufactured in commercial quantities in compliance with regulatory requirements and at acceptable costs. We and/or any collaboration partners will regularly need to maintain access to facilities to manufacture commercial supplies of our products and product candidates, if approved. All of this will require additional funds and successful completion of inspection or audits and approval by the FDA, other regulatory authorities and by notified bodies with respect to the device components. If we and/or any collaboration partners are unable to establish and maintain a manufacturing capacity within our planned time and cost parameters, the development and sales of our products and product candidates as well as our business, results of operations and prospects, and the value of our shares or ADSs could be adversely affected.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We and/or any collaboration partners may encounter problems with aspects of manufacturing our products and product candidates, including the following:</w:t>
      </w:r>
    </w:p>
    <w:p>
      <w:pPr>
        <w:spacing w:after="0" w:line="127"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yields;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FDA and foreign regulations;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costs;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advanced manufacturing techniques and process controls.</w:t>
      </w:r>
    </w:p>
    <w:p>
      <w:pPr>
        <w:spacing w:after="0" w:line="22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We evaluate our options for clinical study supplies and commercial production of our products and product candidates on a regular basis, which may include use of third-party manufacturers, or entering into a manufacturing joint venture relationship with a third party. We are aware of only a limited number of companies on a worldwide basis who operate manufacturing facilities in which our products and product candidates can be manufactured under cGMP or similar foreign regulations, a requirement for all pharmaceutical products. We cannot be certain that we will be able to contract with any of these companies on acceptable terms, if at all, all of which could harm our business, results of operations and prospects, and the value of our shares or ADSs.</w:t>
      </w:r>
    </w:p>
    <w:p>
      <w:pPr>
        <w:spacing w:after="0" w:line="1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we, as well as any third-party manufacturer, will be required to register such manufacturing facilities with the FDA (and have a U.S. agent for the facility, if outside the United States) and other regulatory authorities. The facilities will be subject to inspections confirming compliance with the FDA, and other regulatory authority cGMP or similar foreign requirements. We do not control the manufacturing process of our product candidates, and we are dependent on our contract manufacturing partners for compliance with cGMPs or similar regulations for manufacture of both active drug substances and finished drug products. If we or any third-party manufacturer fails to maintain regulatory compliance, our business, financial condition and results of operations may be harmed, and the FDA or other regulatory authorities can impose regulatory sanctions that range from a warning letter to withdrawal of approval to seeking product seizures, injunctions and, where appropriate, criminal prosecution. Pursuant to our agreements with VISEN, we have and may in the future supply material to VISEN for use in clinical trials and commercial applications. In order to fulfill these supply, we rely on third-party manufacturers over which we have no or very limited control or power.</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our contract manufacturers cannot successfully manufacture material that conforms to our specifications and the strict regulatory requirements of the FDA or similar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similar regulatory authority does not approve these facilities for the manufacture of our products or product candidates or if it withdraws any such approval in the future, we may need to find alternative manufacturing facilities, which would significantly impact our ability to develop, obtain regulatory approval for or market our products or product candidates, if approved.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28" w:name="page29"/>
    <w:bookmarkEnd w:id="28"/>
    <w:p>
      <w:pPr>
        <w:ind w:right="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on our manufacturers to purchase from third-party suppliers the materials necessary to produce our products and product candidates. Any significant delay or discontinuation in the supply of such materials would delay commercialization and the completion of our clinical studies and harm our business.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are a limited number of suppliers for raw materials that we use to manufacture our products and product candidates, and there may be a need to identify alternate suppliers to prevent a possible disruption of the manufacture of the materials necessary to produce our products or product candidates for commercial sale and/or our clinical studies.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and we currently envision that VISEN, which relies on us for clinical supply of our product candidates, would do the same, any significant delay or discontinuity in the supply of a product candidate, or the raw material components thereof, for a clinical study due to the need to replace a third-party manufacturer could considerably delay completion of our or VISEN’s clinical studies, product testing, and potential regulatory approval of our product candidates, which could harm our business and results of operations.</w:t>
      </w:r>
    </w:p>
    <w:p>
      <w:pPr>
        <w:spacing w:after="0" w:line="18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Any inability to obtain suppliers, including an inability to obtain, or delay in obtaining, approval of a supplier from the FDA or other regulatory authorities, would delay or prevent the clinical development and commercialization of our products and product candidates.</w:t>
      </w:r>
    </w:p>
    <w:p>
      <w:pPr>
        <w:spacing w:after="0" w:line="266"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products and product candidates.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which are inherent in research and development, preclinical and clinical studies, manufacturing, marketing and use of our products and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Product liability claims may be expensive to defend and may result in judgements against us which are potentially punitive. If we cannot successfully defend ourselves against product liability claims, we may incur substantial liabilities or be required to limit commercialization of our products and product candidates. Even successful defense would require significant financial and management resources. Regardless of the merits or eventual outcome, liability claims may result in:</w:t>
      </w:r>
    </w:p>
    <w:p>
      <w:pPr>
        <w:spacing w:after="0" w:line="77"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and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co-promote our products or product candidates.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29" w:name="page30"/>
    <w:bookmarkEnd w:id="29"/>
    <w:p>
      <w:pPr>
        <w:spacing w:after="0" w:line="252" w:lineRule="auto"/>
        <w:rPr>
          <w:sz w:val="20"/>
          <w:szCs w:val="20"/>
          <w:color w:val="auto"/>
        </w:rPr>
      </w:pPr>
      <w:r>
        <w:rPr>
          <w:rFonts w:ascii="Times New Roman" w:cs="Times New Roman" w:eastAsia="Times New Roman" w:hAnsi="Times New Roman"/>
          <w:sz w:val="18"/>
          <w:szCs w:val="18"/>
          <w:color w:val="auto"/>
        </w:rPr>
        <w:t>It is generally necessary for us to secure certain levels of insurance as a condition for the conduct of clinical studies. We believe that our product liability insurance for clinical studies is sufficient to cover claims. We currently maintain liability insurance with certain specified coverage limits. We cannot be certain that the insurance policies will be sufficient to cover all claims that may be made against us. 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$20 million in the aggregate on our primary insurance policy and $100 million in the aggregate on our excess insurance policy. Any claim that may be brought against us could result in a court judgement or settlement in an amount that is not covered, in whole or in part, by our insurance or that is in excess of the limits of our insurance coverage. Our insurance policies also have various limits, exclusions and deductibles, and given these various limits, exclusions and deductibles,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Product liability insurance is expensive, difficult to obtain and may not be available in the future on acceptable terms.</w:t>
      </w:r>
    </w:p>
    <w:p>
      <w:pPr>
        <w:spacing w:after="0" w:line="294"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significantly increase the size of our organization and we may have difficulties in managing our growth and expanding our operations successfully.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2022, we had 797 employees worldwide, with key facilities in Denmark, Germany, and the United States. As we advance our products and product candidates through the development and commercialization process, we will need to expand managerial, operational, financial, sales and marketing and other resources to manage our operations, preclinical and clinical trials, research and development activities, regulatory filings, manufacturing and supply activities, and any marketing and commercialization activities or contract with other organizations to provide these capabilities for us. As operations expand, we expect that we will need to manage additional relationships with various suppliers and other organizations. Our ability to manage our operations and growth requires us to continue to improve our operational, financial and management controls, reporting systems and procedures across a global organization. Such growth could place a strain on our administrative and operational infrastructure. We may not be able to make improvements to our management information and control systems in an efficient or timely manner and may discover deficiencies in existing systems and controls. Our management, personnel, systems and facilities currently in place may not be adequate to support this future growth. Our need to effectively execute our growth strategy requires that we either internally, together with collaboration partners or through third-party contractors, as applicable:</w:t>
      </w:r>
    </w:p>
    <w:p>
      <w:pPr>
        <w:spacing w:after="0" w:line="78"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general and administrative functions;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screen, retain, incentivize and integrate additional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third-parties;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build a marketing and commercial organization;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legal, financial, compliance and management controls, reporting systems and procedures.</w:t>
      </w:r>
    </w:p>
    <w:p>
      <w:pPr>
        <w:spacing w:after="0" w:line="223" w:lineRule="exact"/>
        <w:rPr>
          <w:sz w:val="20"/>
          <w:szCs w:val="20"/>
          <w:color w:val="auto"/>
        </w:rPr>
      </w:pPr>
    </w:p>
    <w:p>
      <w:pPr>
        <w:jc w:val="both"/>
        <w:ind w:right="620"/>
        <w:spacing w:after="0" w:line="256" w:lineRule="auto"/>
        <w:rPr>
          <w:sz w:val="20"/>
          <w:szCs w:val="20"/>
          <w:color w:val="auto"/>
        </w:rPr>
      </w:pPr>
      <w:r>
        <w:rPr>
          <w:rFonts w:ascii="Times New Roman" w:cs="Times New Roman" w:eastAsia="Times New Roman" w:hAnsi="Times New Roman"/>
          <w:sz w:val="18"/>
          <w:szCs w:val="18"/>
          <w:color w:val="auto"/>
        </w:rPr>
        <w:t>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0" w:name="page31"/>
    <w:bookmarkEnd w:id="30"/>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Our senior management and other personnel need to devote a substantial amount of time to ensure that we maintain compliance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members of our senior management, or to obtain certain types of insurance, including directors’ and officers’ insurance, on acceptable terms.</w:t>
      </w:r>
    </w:p>
    <w:p>
      <w:pPr>
        <w:spacing w:after="0" w:line="18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 which generally require our senior management and independent registered public accounting firm to report on the effectiveness of our internal control over financial reporting. Section 404 requires an annual management assessment of the effectiveness of our internal control over financial reporting, and we are required to include an opinion from our independent registered public accounting firm on the effectiveness of our internal controls over financial reporting.</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we grow our business and enter into new activities, and as the reporting requirements increase,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the ADSs to fall. In addition, as a public company we are required to file accurate and timely annual reports with the SEC under the Exchange Act. Any failure to report our financial results on an accurate and timely basis could result in sanctions, lawsuits, delisting of the ADSs from The Nasdaq Global Select Market or other adverse consequences that would harm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vary significantly from period to period and these variations may be difficult to predict.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expected to vary significantly from period to period due to a number of factors. Many of these factors are outside of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w:t>
      </w:r>
    </w:p>
    <w:p>
      <w:pPr>
        <w:spacing w:after="0" w:line="97"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for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from product sales;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opportunities and patient populations for our products and product candidates, including with respect to TransCon PTH;</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intellectual property litigation by third-parties or by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relating to the expansion of our business operations and facilities;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commencement, completion or termination of collaboration agreements;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to us under collaboration agreements, if any;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and services by us, collaboration partners or our competitors;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preclinical testing and clinical studies;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studies;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1" w:name="page32"/>
    <w:bookmarkEnd w:id="31"/>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preclinical testing and clinical studies;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regional and global effect of inflation;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multiple interest rate increases implemented and forecasted by the U.S. Federal Reserve;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license fees for the right to use third-party proprietary rights, if any.</w:t>
      </w:r>
    </w:p>
    <w:p>
      <w:pPr>
        <w:spacing w:after="0" w:line="22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Our revenues in any particular period may be lower than we anticipate and, if we are unable to reduce spending in that period, our operating results will be harmed.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consider strategic transactions, such as acquisitions of companies, asset purchases, and in-licensing or out-licensing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spacing w:after="0" w:line="80" w:lineRule="exact"/>
        <w:rPr>
          <w:sz w:val="20"/>
          <w:szCs w:val="20"/>
          <w:color w:val="auto"/>
        </w:rPr>
      </w:pPr>
    </w:p>
    <w:p>
      <w:pPr>
        <w:ind w:left="1020" w:right="26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55" w:lineRule="exact"/>
        <w:rPr>
          <w:rFonts w:ascii="Times New Roman" w:cs="Times New Roman" w:eastAsia="Times New Roman" w:hAnsi="Times New Roman"/>
          <w:sz w:val="18"/>
          <w:szCs w:val="18"/>
          <w:color w:val="auto"/>
        </w:rPr>
      </w:pPr>
    </w:p>
    <w:p>
      <w:pPr>
        <w:ind w:left="1020" w:right="78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 including potential indemnification claims from a potential spin-off or out-license of certain of our intellectual property rights;</w:t>
      </w:r>
    </w:p>
    <w:p>
      <w:pPr>
        <w:spacing w:after="0" w:line="55" w:lineRule="exact"/>
        <w:rPr>
          <w:rFonts w:ascii="Times New Roman" w:cs="Times New Roman" w:eastAsia="Times New Roman" w:hAnsi="Times New Roman"/>
          <w:sz w:val="18"/>
          <w:szCs w:val="18"/>
          <w:color w:val="auto"/>
        </w:rPr>
      </w:pPr>
    </w:p>
    <w:p>
      <w:pPr>
        <w:ind w:left="1020" w:right="66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to develop acquired products, product candidates or technologies;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15" w:lineRule="exact"/>
        <w:rPr>
          <w:rFonts w:ascii="Times New Roman" w:cs="Times New Roman" w:eastAsia="Times New Roman" w:hAnsi="Times New Roman"/>
          <w:sz w:val="18"/>
          <w:szCs w:val="18"/>
          <w:color w:val="auto"/>
        </w:rPr>
      </w:pPr>
    </w:p>
    <w:p>
      <w:pPr>
        <w:ind w:left="1020" w:right="58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lower-than-expected benefits, from out-licensing or selling our technology, intellectual property or any of our subsidiaries or, from in-licensing intellectual property or purchasing assets;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or separating the operations and personnel of any acquired or sold businesses with our existing operations and personnel;</w:t>
      </w:r>
    </w:p>
    <w:p>
      <w:pPr>
        <w:spacing w:after="0" w:line="55"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disagree with our strategic partners about decisions affecting the business, which could result in litigation or arbitration that increases our expenses, distracts our officers and directors and disrupts the day-to-day operations of the strategic venture, including by delaying important decisions until the dispute is resolved;</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 may take actions that we oppose;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partners might experience financial distress or become bankrupt;</w:t>
      </w:r>
    </w:p>
    <w:p>
      <w:pPr>
        <w:spacing w:after="0" w:line="115" w:lineRule="exact"/>
        <w:rPr>
          <w:rFonts w:ascii="Times New Roman" w:cs="Times New Roman" w:eastAsia="Times New Roman" w:hAnsi="Times New Roman"/>
          <w:sz w:val="18"/>
          <w:szCs w:val="18"/>
          <w:color w:val="auto"/>
        </w:rPr>
      </w:pPr>
    </w:p>
    <w:p>
      <w:pPr>
        <w:ind w:left="1020" w:right="60" w:hanging="504"/>
        <w:spacing w:after="0" w:line="28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or sold businesses due to changes in our senior management and ownership;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32" w:name="page33"/>
    <w:bookmarkEnd w:id="32"/>
    <w:p>
      <w:pPr>
        <w:ind w:right="80"/>
        <w:spacing w:after="0" w:line="257" w:lineRule="auto"/>
        <w:rPr>
          <w:sz w:val="20"/>
          <w:szCs w:val="20"/>
          <w:color w:val="auto"/>
        </w:rPr>
      </w:pPr>
      <w:r>
        <w:rPr>
          <w:rFonts w:ascii="Times New Roman" w:cs="Times New Roman" w:eastAsia="Times New Roman" w:hAnsi="Times New Roman"/>
          <w:sz w:val="18"/>
          <w:szCs w:val="18"/>
          <w:color w:val="auto"/>
        </w:rPr>
        <w:t>In addition, to the extent we enter into a strategic transaction that includes ongoing operations or shared ownership and management, our strategic partners may take actions that we oppose or we may disagree with our strategic partners about decisions affecting the business, which could result in litigation or arbitration, distract our officers and directors and otherwise disrupt the day-to-day operations of our business and the business of the strategic partner or entity. Furthermore, to the extent that our directors and officers serve on the boards of our strategic partners, such directors may be required to abstain from board decision-making in the event of a conflict of interest;</w:t>
      </w:r>
    </w:p>
    <w:p>
      <w:pPr>
        <w:spacing w:after="0" w:line="183"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7"/>
          <w:szCs w:val="17"/>
          <w:color w:val="auto"/>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or abandonment of the euro currency may harm our results of operations and financial condition.</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Due to the international scope of our operations, fluctuations in exchange rates, particularly between the Euro, the Danish Krone and the U.S. Dollar, may adversely affect us. Although we are based in Denmark, we source research and development, manufacturing, consulting and other services from several countries. Further, potential future revenue may be derived from abroad, including from the United States. We currently attempt to limit our exposure to exchange rate risks by maintaining cash positions in the currencies in which we expect to incur the majority of our future expenses; however, for a variety of reasons we may be unable to maintain cash positions in the currencies in which we expect to incur the majority of our future expenses and we may fail to predict the currency of our future expenses, accurately or at all. As a result, our business and the price of the ADSs may be affected by fluctuations in foreign exchange rates between the Euro and these other currencies, which may also have a significant impact on our reported results of operations and cash flows from period to period. We currently do not enter into foreign exchange contracts to cover our exposure to exchange rate fluctuations, or any other form of exchange rate hedging arrangements. If we fail to manage foreign exchange risk adequately our business, results of operations and prospects, and the value of our shares or ADSs may be adversely affected.</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the possible abandonment of the Euro by one or more members of the EU could harm our business in the future. Despite measures taken by the EU to provide funding to certain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The effects on our business of a potential dissolution of the EU, the exit of one or more EU member states from the EU or the abandonment of the Euro as a currency, are impossible to predict with certainty, and any such events could harm our business, financial condition and results of operations.</w:t>
      </w:r>
    </w:p>
    <w:p>
      <w:pPr>
        <w:spacing w:after="0" w:line="291"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have a negative effect on global economic conditions, financial markets and our business.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United Kingdom (“UK”) left the EU on January 31, 2020, following which existing EU legislation continued to apply in the UK during a transition period under the terms of the EU-UK Withdrawal Agreement. The transition period, which ended on December 31, 2020, maintained access to the EU single market and to global trade deals negotiated by the EU on behalf of its members. The transition period provided time for the UK and EU to negotiate a framework for partnership for the future, which was then crystallized in the Trade and Cooperation Agreement (“Trade and Cooperation Agreement”) which became effective on January 1, 2021. The Trade and Cooperation Agreement includes specific provisions concerning pharmaceuticals, which include the mutual recognition of GMP inspections of manufacturing facilities for medicinal products and GMP documents issued, but does not foresee wholesale mutual recognition of UK and EU pharmaceutical regulations.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t>The long-term effects of Brexit on our business in the UK, the EU and worldwide will depend on the implementation and application of the Trade and Cooperation Agreement and any other relevant agreements between the UK and the EU. EU laws which have been transposed into UK law through secondary legislation continue to be applicable as “retained EU law”.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In addition, new EU legislation will not be applicable in Great Britain. The UK government has passed a new Medicines and Medical Devices Act 2021, which introduces delegated powers in favor of the Secretary of State or an ‘appropriate authority’ to amend or supplement existing regulations in the area of medicines and medical devices. This allows new rules to be introduced in the future by way of secondary legislation, which aims to allow flexibility in addressing regulatory gaps. There is a possibility that over time, national laws will be amended and that consequently the regulatory framework in Great Britain will diverge from that of the EU. As of January 1, 2021, the MHRA is the UK’s standalone medicines and medical devices regulator. As a result of the Northern Ireland protocol, different rules will apply in Northern Ireland than in England, Wales, and Scotland, together, Great Britain; broadly, Northern Ireland will continue to follow the EU regulatory regime, but its national competent authority will remain the MHRA.</w:t>
      </w:r>
    </w:p>
    <w:p>
      <w:pPr>
        <w:spacing w:after="0" w:line="19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Brexit has resulted in the relocation of the EMA from the UK to the Netherlands. This relocation has caused, and may continue to cause, disruption in the administrative and medical scientific links between the EMA and the MHRA, including delays in granting clinical trial authorisation or marketing authorisation,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authorisation and commercialization of products in the EU and/or the UK.</w:t>
      </w:r>
    </w:p>
    <w:p>
      <w:pPr>
        <w:spacing w:after="0" w:line="1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ADSs.</w:t>
      </w:r>
    </w:p>
    <w:p>
      <w:pPr>
        <w:spacing w:after="0" w:line="286"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international operations, including seeking and obtaining approval to commercialize our product candidates in foreign jurisdictions, could harm our business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engage extensively in international operations, which include seeking marketing approval for certain of our product candidates in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we are or will be subject to additional risks related to entering into these international business markets and relationships, including:</w:t>
      </w:r>
    </w:p>
    <w:p>
      <w:pPr>
        <w:spacing w:after="0" w:line="97"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drug import and export rules;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foreign countries;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5" w:lineRule="exact"/>
        <w:rPr>
          <w:rFonts w:ascii="Times New Roman" w:cs="Times New Roman" w:eastAsia="Times New Roman" w:hAnsi="Times New Roman"/>
          <w:sz w:val="18"/>
          <w:szCs w:val="18"/>
          <w:color w:val="auto"/>
        </w:rPr>
      </w:pPr>
    </w:p>
    <w:p>
      <w:pPr>
        <w:ind w:left="1020" w:right="400" w:hanging="504"/>
        <w:spacing w:after="0" w:line="280"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4" w:name="page35"/>
    <w:bookmarkEnd w:id="34"/>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work conducted by these distributors;</w:t>
      </w:r>
    </w:p>
    <w:p>
      <w:pPr>
        <w:spacing w:after="0" w:line="115" w:lineRule="exact"/>
        <w:rPr>
          <w:rFonts w:ascii="Times New Roman" w:cs="Times New Roman" w:eastAsia="Times New Roman" w:hAnsi="Times New Roman"/>
          <w:sz w:val="18"/>
          <w:szCs w:val="18"/>
          <w:color w:val="auto"/>
        </w:rPr>
      </w:pPr>
    </w:p>
    <w:p>
      <w:pPr>
        <w:ind w:left="1020" w:right="200" w:hanging="504"/>
        <w:spacing w:after="0" w:line="280"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Foreign Corrupt Practices Act, its books and records provisions, or its anti-bribery provisions;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we originally planned to conduct the Phase 3 foresiGHt trial utilizing sites in Belarus and Russia, but instead we engaged alternative sites for the study following the outbreak of conflict in Ukraine, which adversely affected patient enrollment. In addition, the manufacture of our products and product candidates is dependent upon third-party manufacturers that are based in other parts of the world, including the United States, Europe (including the UK and Switzerland), Japan and China. This manufacturing process requires that the components used in our products and product candidates are transported long distances, through multiple countries, which increases the risk that issues in the global supply chain or other disruptions to the international marketplace could harm our business.</w:t>
      </w:r>
    </w:p>
    <w:p>
      <w:pPr>
        <w:spacing w:after="0" w:line="291" w:lineRule="exact"/>
        <w:rPr>
          <w:sz w:val="20"/>
          <w:szCs w:val="20"/>
          <w:color w:val="auto"/>
        </w:rPr>
      </w:pPr>
    </w:p>
    <w:p>
      <w:pPr>
        <w:ind w:right="4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parent drug, drug substance, drug product and other components of our products and product candidates are currently acquired from certain single-source suppliers. The loss of these suppliers, or their failure to supply could materially and adversely affect our business.</w:t>
      </w:r>
    </w:p>
    <w:p>
      <w:pPr>
        <w:spacing w:after="0" w:line="5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Our growth hormone parent drug as well as our TransCon hGH drug substance are supplied by Fujifilm Diosynth Biotechnologies UK Limited (“Fujifilm”), pursuant to our agreement with Fujifilm. TransCon hGH drug product in vials is manufactured by Vetter Pharma Fertigung (“Vetter”), pursuant to our agreement with Vetter. TransCon hGH drug product in dual chamber cartridges is supplied by Vetter for use in our drug delivery device made by Philips Medisize A/S (formerly Medicom Innovation Partner A/S). The intermediates of our proprietary TransCon linkers are made by CARBOGEN AMCIS AG under an agreement with CARBOGEN AMCIS AG and accompanying purchase orders. For products that utilize soluble TransCon carriers, NOF Corporation (Japan) (“NOF”), supplies PEGs. Furthermore, NOF is responsible for coupling the TransCon linker used for TransCon hGH to methoxy PEG, under manufacturing agreements and accompanying purchase orders. Our PTH as well as our TransCon PTH drug substance is supplied by Bachem, Switzerland, pursuant to our agreement with Bachem. Vetter manufactures the TransCon PTH drug product in cartridges and assembles the cartridges with a drug delivery device made by Ypsomed AG. CNP drug substance is supplied by Wacker Biotech, Germany. Our TransCon CNP drug product in vials is manufactured by Vetter pursuant to our agreement with Vetter. With the exception of Lonza, who will be supplying TransCon hGH drug substance, we do not currently have any other suppliers for the drug substance, drug product or other components of our TransCon hGH, TransCon PTH and TransCon CNP, although we believe that there are alternate sources of supply that could satisfy our clinical and commercial requirements, we cannot provide assurance that identifying alternate sources and establishing relationships with such sources would not result in significant delays in the commercialization or development of our products and product candidates. Additionally, we may not be able to enter into supply arrangements with alternative suppliers on commercially reasonable terms or at all. A delay in the commercialization or development of our products or product candidates or having to enter into a new agreement with a different third-party on less favorable terms than we have with our current suppliers could have a material adverse impact upon on our business.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additional product candidates based on our TransCon technologies.</w:t>
      </w:r>
    </w:p>
    <w:p>
      <w:pPr>
        <w:spacing w:after="0" w:line="120" w:lineRule="exact"/>
        <w:rPr>
          <w:sz w:val="20"/>
          <w:szCs w:val="20"/>
          <w:color w:val="auto"/>
        </w:rPr>
      </w:pPr>
    </w:p>
    <w:p>
      <w:pPr>
        <w:jc w:val="both"/>
        <w:ind w:right="540"/>
        <w:spacing w:after="0" w:line="265" w:lineRule="auto"/>
        <w:rPr>
          <w:sz w:val="20"/>
          <w:szCs w:val="20"/>
          <w:color w:val="auto"/>
        </w:rPr>
      </w:pPr>
      <w:r>
        <w:rPr>
          <w:rFonts w:ascii="Times New Roman" w:cs="Times New Roman" w:eastAsia="Times New Roman" w:hAnsi="Times New Roman"/>
          <w:sz w:val="18"/>
          <w:szCs w:val="18"/>
          <w:color w:val="auto"/>
        </w:rPr>
        <w:t>An important element of our strategy is to develop new products and product candidates based on our TransCon technologies. Research programs to identify new product candidates require substantial technical, financial and human resources. These research programs may initially show promise in identifying potential product candidates, yet fail to yield product candidates for clinical development for a number of reasons, including that:</w:t>
      </w:r>
    </w:p>
    <w:p>
      <w:pPr>
        <w:spacing w:after="0" w:line="68"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 or</w:t>
      </w:r>
    </w:p>
    <w:p>
      <w:pPr>
        <w:spacing w:after="0" w:line="115" w:lineRule="exact"/>
        <w:rPr>
          <w:rFonts w:ascii="Times New Roman" w:cs="Times New Roman" w:eastAsia="Times New Roman" w:hAnsi="Times New Roman"/>
          <w:sz w:val="18"/>
          <w:szCs w:val="18"/>
          <w:color w:val="auto"/>
        </w:rPr>
      </w:pPr>
    </w:p>
    <w:p>
      <w:pPr>
        <w:jc w:val="both"/>
        <w:ind w:left="1020" w:right="620" w:hanging="504"/>
        <w:spacing w:after="0" w:line="265"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inadequate efficacy, harmful side effects or other characteristics suggesting that they are unlikely to be effective or safe products, or that they may not be sufficiently differentiated or offer substantial improvement over the currently available treatment options or standard of care in a given therapeutic category.</w:t>
      </w:r>
    </w:p>
    <w:p>
      <w:pPr>
        <w:spacing w:after="0" w:line="175"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If we are unable to develop suitable product candidates through internal research programs or otherwise, we will not be able to increase our revenues in future periods, which could harm our business, results of operations and prospects, and the value of our shares or ADSs.</w:t>
      </w:r>
    </w:p>
    <w:p>
      <w:pPr>
        <w:spacing w:after="0" w:line="266"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President and Chief Executive Officer, Jan Møller Mikkelsen, and if we are not able to retain this member of our senior management or recruit additional management, clinical and scientific personnel, our business will suffer.</w:t>
      </w:r>
    </w:p>
    <w:p>
      <w:pPr>
        <w:spacing w:after="0" w:line="51"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personnel. We may not be able to attract or retain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In particular, we are highly dependent upon Jan Møller Mikkelsen, our President and Chief Executive Officer. The loss of services of this individual could result in delays in product development and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difficulties in attracting and retaining key personnel, and if we fail to do so our business may suffer.</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are highly dependent on the principal members of our senior management and scientific staff, the loss of whose services could adversely affect the achievement of planned development objectives. In addition, we could experience difficulties attracting and retaining qualified employees in the future. For example, competition for qualified personnel in the biotechnology and pharmaceuticals field is intense due to the limited number of individuals who possess the skills and experience required by our industry. As such, we could have difficulty attracting experienced personnel to our company and may be required to expend significant financial resources in our employee recruitment and retention efforts.</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us to further expand our product development plans, we will need to hire additional qualified scientific personnel to perform research and development. We will also need to hire personnel with expertise in clinical testing, government regulation, sales and marketing, and finance, and might need to hire personnel with expertise in manufacturing.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personnel, there can be no assurance that we will be able to attract and retain such personnel on acceptable terms given the competition for experienced scientists from numerous pharmaceutical and chemical companies, specialized biotechnology firms, universities and other research institutions. Our failure to do so could adversely affect our business, results of operations and prospects, and the value of our shares or ADSs.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6" w:name="page37"/>
    <w:bookmarkEnd w:id="36"/>
    <w:p>
      <w:pPr>
        <w:jc w:val="both"/>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may fail or suffer in the event of information technology system failures, cyberattacks or deficiencies in our cybersecurity, which could result in a material disruption of our product development programs and other critical business functions.</w:t>
      </w:r>
    </w:p>
    <w:p>
      <w:pPr>
        <w:spacing w:after="0" w:line="6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those of our CROs and other contractors and consultants are vulnerable to attack and damage from computer viruses and malware (e.g., ransomware), unauthorized access, natural disasters, terrorism, war, telecommunication and electrical failures, malfeasance by external or internal parties, human error (e.g., social engineering,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employees who are working remotely, which may create additional opportunities for cybercriminals to exploit vulnerabilities.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may from time to time be subject to cyberattacks and security incidents. While we do not believe that we have experienced any significant system failure, accident or security breach to date, if such an event were to occur and cause interruptions in our and our critical third parties’ operations, it could result in a material disruption of our programs, our operations, and ultimately, our financial results. For example, the loss of clinical trial data from completed or ongoing clinical trials for our products or product candidates could result in delays in our regulatory approval efforts, and the loss of research data could result in delays of our research and development efforts and it would be expensive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products or product candidates could be delayed.</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applicable privacy and security laws. 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Laws around cybersecurity are also developing, and changes in such laws may require additional compliance costs. For example, in the EU, more stringent rules around cybersecurity are being adopted, such as the NIS2 Directive, which requires in-scope entities to implement heightened cybersecurity measures and responses, including with respect to security incident handling and reporting obligations.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We maintain cyber liability insurance ; however, this insurance may not be sufficient to cover the financial, legal, business or reputational losses that may result from an interruption or breach of our systems.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7" w:name="page38"/>
    <w:bookmarkEnd w:id="37"/>
    <w:p>
      <w:pPr>
        <w:ind w:right="6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global pandemic caused by COVID-19 could materially adversely impact our business, including our clinical trials, supply chain operation, regulatory timelines and commercial activities.</w:t>
      </w:r>
    </w:p>
    <w:p>
      <w:pPr>
        <w:spacing w:after="0" w:line="5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 December 2019, a novel strain of coronavirus, COVID-19, was reported to have surfaced in Wuhan, China. Since then, the COVID-19 coronavirus has been declared by WHO to be a worldwide pandemic. As a result of the rapidly growing spread of COVID-19 throughout the areas we operate, we may experience disruptions that could severely impact our business, clinical trials and commercialization activities, including:</w:t>
      </w:r>
    </w:p>
    <w:p>
      <w:pPr>
        <w:spacing w:after="0" w:line="68" w:lineRule="exact"/>
        <w:rPr>
          <w:sz w:val="20"/>
          <w:szCs w:val="20"/>
          <w:color w:val="auto"/>
        </w:rPr>
      </w:pPr>
    </w:p>
    <w:p>
      <w:pPr>
        <w:ind w:left="1020" w:right="200" w:hanging="504"/>
        <w:spacing w:after="0" w:line="28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 which could potentially have a negative impact on clinical trial timelines;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5" w:lineRule="exact"/>
        <w:rPr>
          <w:rFonts w:ascii="Times New Roman" w:cs="Times New Roman" w:eastAsia="Times New Roman" w:hAnsi="Times New Roman"/>
          <w:sz w:val="18"/>
          <w:szCs w:val="18"/>
          <w:color w:val="auto"/>
        </w:rPr>
      </w:pPr>
    </w:p>
    <w:p>
      <w:pPr>
        <w:ind w:left="1020" w:right="640" w:hanging="504"/>
        <w:spacing w:after="0" w:line="28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expenses required to manage impacts to our business to complete our planned operations within our projected timelines;</w:t>
      </w:r>
    </w:p>
    <w:p>
      <w:pPr>
        <w:spacing w:after="0" w:line="55" w:lineRule="exact"/>
        <w:rPr>
          <w:rFonts w:ascii="Times New Roman" w:cs="Times New Roman" w:eastAsia="Times New Roman" w:hAnsi="Times New Roman"/>
          <w:sz w:val="18"/>
          <w:szCs w:val="18"/>
          <w:color w:val="auto"/>
        </w:rPr>
      </w:pPr>
    </w:p>
    <w:p>
      <w:pPr>
        <w:ind w:left="1020" w:right="20" w:hanging="504"/>
        <w:spacing w:after="0" w:line="28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5" w:lineRule="exact"/>
        <w:rPr>
          <w:rFonts w:ascii="Times New Roman" w:cs="Times New Roman" w:eastAsia="Times New Roman" w:hAnsi="Times New Roman"/>
          <w:sz w:val="18"/>
          <w:szCs w:val="18"/>
          <w:color w:val="auto"/>
        </w:rPr>
      </w:pPr>
    </w:p>
    <w:p>
      <w:pPr>
        <w:ind w:left="1020" w:right="440" w:hanging="504"/>
        <w:spacing w:after="0" w:line="28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5" w:lineRule="exact"/>
        <w:rPr>
          <w:rFonts w:ascii="Times New Roman" w:cs="Times New Roman" w:eastAsia="Times New Roman" w:hAnsi="Times New Roman"/>
          <w:sz w:val="18"/>
          <w:szCs w:val="18"/>
          <w:color w:val="auto"/>
        </w:rPr>
      </w:pPr>
    </w:p>
    <w:p>
      <w:pPr>
        <w:ind w:left="1020" w:right="440" w:hanging="504"/>
        <w:spacing w:after="0" w:line="311"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in employee resources that would otherwise be focused on the conduct of our clinical trials and commercialization activities, including because of sickness of employees or their families or the desire of employees to avoid contact with large groups of people;</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115" w:lineRule="exact"/>
        <w:rPr>
          <w:rFonts w:ascii="Times New Roman" w:cs="Times New Roman" w:eastAsia="Times New Roman" w:hAnsi="Times New Roman"/>
          <w:sz w:val="18"/>
          <w:szCs w:val="18"/>
          <w:color w:val="auto"/>
        </w:rPr>
      </w:pPr>
    </w:p>
    <w:p>
      <w:pPr>
        <w:ind w:left="1020" w:right="360" w:hanging="504"/>
        <w:spacing w:after="0" w:line="28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storage and shipping that may affect the supply of TransCon hGH or the transport of clinical trial materials, such as comparator drugs used in certain of our clinical trials;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global supply chain with regards to clinical trials and commercial supply;</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8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55" w:lineRule="exact"/>
        <w:rPr>
          <w:rFonts w:ascii="Times New Roman" w:cs="Times New Roman" w:eastAsia="Times New Roman" w:hAnsi="Times New Roman"/>
          <w:sz w:val="18"/>
          <w:szCs w:val="18"/>
          <w:color w:val="auto"/>
        </w:rPr>
      </w:pPr>
    </w:p>
    <w:p>
      <w:pPr>
        <w:ind w:left="1020" w:right="280" w:hanging="504"/>
        <w:spacing w:after="0" w:line="28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regulatory authorities to accept data from clinical trials in these affected geographies;</w:t>
      </w:r>
    </w:p>
    <w:p>
      <w:pPr>
        <w:spacing w:after="0" w:line="115" w:lineRule="exact"/>
        <w:rPr>
          <w:rFonts w:ascii="Times New Roman" w:cs="Times New Roman" w:eastAsia="Times New Roman" w:hAnsi="Times New Roman"/>
          <w:sz w:val="18"/>
          <w:szCs w:val="18"/>
          <w:color w:val="auto"/>
        </w:rPr>
      </w:pPr>
    </w:p>
    <w:p>
      <w:pPr>
        <w:ind w:left="1020" w:right="160" w:hanging="504"/>
        <w:spacing w:after="0" w:line="280"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conducting our clinical trials, suppliers may experience delays in providing necessary equipment, consumables and services, which could cause temporary delays in clinical trial activities;</w:t>
      </w:r>
    </w:p>
    <w:p>
      <w:pPr>
        <w:spacing w:after="0" w:line="55"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demand for COVID-19 vaccines or COVID-19 therapeutics could result in contract manufacturers not having sufficient capacity to meet scheduled manufacturing. In addition, sourcing of certain types of raw materials, consumables and equipment could result in scheduled manufacturing being delayed or postponed;</w:t>
      </w:r>
    </w:p>
    <w:p>
      <w:pPr>
        <w:spacing w:after="0" w:line="67"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and local outbreaks of COVID-19 could restrict authorities from performing site inspections in connection with their review procedures of marketing applications for TransCon products and product candidates, which could potentially delay the commercial launch in areas outside of the United States; and</w:t>
      </w:r>
    </w:p>
    <w:p>
      <w:pPr>
        <w:spacing w:after="0" w:line="67" w:lineRule="exact"/>
        <w:rPr>
          <w:rFonts w:ascii="Times New Roman" w:cs="Times New Roman" w:eastAsia="Times New Roman" w:hAnsi="Times New Roman"/>
          <w:sz w:val="18"/>
          <w:szCs w:val="18"/>
          <w:color w:val="auto"/>
        </w:rPr>
      </w:pPr>
    </w:p>
    <w:p>
      <w:pPr>
        <w:jc w:val="both"/>
        <w:ind w:left="1020" w:right="20" w:hanging="504"/>
        <w:spacing w:after="0" w:line="275"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launch strategy, including for TransCon hGH, could be negatively impacted by patients not being able to see their physicians, and similarly, our commercial team not being able to meet in-person with physicians and payors, which could both have a negative impact on</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commercial launch strategy.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38" w:name="page39"/>
    <w:bookmarkEnd w:id="38"/>
    <w:p>
      <w:pPr>
        <w:ind w:right="320"/>
        <w:spacing w:after="0" w:line="265" w:lineRule="auto"/>
        <w:rPr>
          <w:sz w:val="20"/>
          <w:szCs w:val="20"/>
          <w:color w:val="auto"/>
        </w:rPr>
      </w:pPr>
      <w:r>
        <w:rPr>
          <w:rFonts w:ascii="Times New Roman" w:cs="Times New Roman" w:eastAsia="Times New Roman" w:hAnsi="Times New Roman"/>
          <w:sz w:val="18"/>
          <w:szCs w:val="18"/>
          <w:color w:val="auto"/>
        </w:rPr>
        <w:t>In addition, the pandemic has caused, and may cause further, disruption to global financial markets. This may reduce our ability to access capital on favorable terms or to access capital at all. Furthermore, sustained adverse market events (such as a recession or depression) resulting from the pandemic could materially and adversely affect our business and the price of our ADSs.</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extent to which the COVID-19 pandemic further impacts our business and clinical trials will depend on future developments, which are highly uncertain and cannot be predicted with confidence, such as the speed and extent of geographic spread of the disease, the duration of the outbreak, travel restrictions and social distancing in the affected areas, business closures or business disruptions and the effectiveness of actions taken in the affected areas to contain and treat the disease.</w:t>
      </w:r>
    </w:p>
    <w:p>
      <w:pPr>
        <w:spacing w:after="0" w:line="286"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and regional economic, political, health, climate and other conditions and events could adversely affect our business, financial condition or results of operations.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or regional economic, political, health, climate and other conditions and events. A global financial crisis or global or regional political and economic instability, wars, terrorism, civil unrest, outbreaks of disease, such as COVID-19, and other unexpected events, such as natural disasters, internet security threats, and damage to global communication networks, could cause extreme volatility, disrupt our business and increase our costs and expenses. Business disruptions could include, among others, disruptions to clinical enrollment, clinical site availability, patient accessibility, conduct of our clinical trials and commercialization activities, as well as temporary closures of our facilities and the facilities of suppliers or manufacturers in our supply chain.</w:t>
      </w:r>
    </w:p>
    <w:p>
      <w:pPr>
        <w:spacing w:after="0" w:line="1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For example, trade policies and geopolitical disputes (including as a result of China-Taiwan geo-political instability) and other international conflicts can result in tariffs, sanctions and other measures that restrict international trade, and can materially adversely affect our business, particularly if these measures occur in regions where our third-party contract manufacturers operate. Countries may also adopt measures, such as controls on imports or exports of goods, technology or data, that could adversely impact the Company’s operations and supply chain. These geopolitical risks could also adversely affect VISEN's activities in China.</w:t>
      </w:r>
    </w:p>
    <w:p>
      <w:pPr>
        <w:spacing w:after="0" w:line="18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For example, the military conflict between Russia and Ukraine has increased the likelihood of supply interruptions and made it difficult to conduct business operations, including clinical trials, in the region and in nearby countries. We originally planned to conduct the Phase 3 foresiGHt trial utilizing sites in Belarus and Russia, but instead we engaged with alternative sites for the study following the outbreak of conflict in Ukraine, which adversely affected patient enrollment. Such developments could negatively impact such operations or require use to delay or suspend clinical trial activities, which may increase product development costs and harm our business. In addition, the COVID-19 outbreak, including developments involving subsequent COVID-19 variants, significantly affected the financial markets of many countries and resulted and may in the future result in a variety of regulatory orders, guidance and restrictions. Similarly, global climate change could result in certain types of natural disasters occurring more frequently or with more intense effects. Some of our corporate and operational functions, including certain of our oncology research facilities, are located in California, which has experienced severe earthquakes, droughts, fires and other natural disasters in the past. We do not have multiple-site capacity for all of our operations in the event of a business disruption. Furthermore, parties in our supply chain and our customers are similarly vulnerable to these global or regional economic, political, health, climate and other conditions and events. Global or regional economic, political, health, climate and other conditions and events could result in a variety of risks to our business, including our ability to raise capital when needed on acceptable terms, if at all. Any of the foregoing could harm our business and we cannot anticipate all of the ways in which such conditions and events could adversely impact our business.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Regulatory and Legal Requirements</w:t>
      </w:r>
    </w:p>
    <w:p>
      <w:pPr>
        <w:spacing w:after="0" w:line="116"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EMA, the FDA and comparable authorities are lengthy, time consuming, and inherently unpredictable. If we are ultimately unable to obtain regulatory approval for our product candidates, our business will be substantially harmed.</w:t>
      </w:r>
    </w:p>
    <w:p>
      <w:pPr>
        <w:spacing w:after="0" w:line="5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are subject to extensive regulation by the FDA, EU legislative bodies and other regulatory authorities in the United States, the EU and other jurisdictions, which regulations differ from country to country. We are not permitted to market any drug product in the United States until we receive marketing approval from the FDA. Equally, we are not permitted to market any drug product in the EU until we receive a marketing authorisation from the EC or EU member state competent authorities.</w:t>
      </w:r>
    </w:p>
    <w:p>
      <w:pPr>
        <w:spacing w:after="0" w:line="183" w:lineRule="exact"/>
        <w:rPr>
          <w:sz w:val="20"/>
          <w:szCs w:val="20"/>
          <w:color w:val="auto"/>
        </w:rPr>
      </w:pPr>
    </w:p>
    <w:p>
      <w:pPr>
        <w:jc w:val="both"/>
        <w:ind w:right="120"/>
        <w:spacing w:after="0" w:line="311" w:lineRule="auto"/>
        <w:rPr>
          <w:sz w:val="20"/>
          <w:szCs w:val="20"/>
          <w:color w:val="auto"/>
        </w:rPr>
      </w:pPr>
      <w:r>
        <w:rPr>
          <w:rFonts w:ascii="Times New Roman" w:cs="Times New Roman" w:eastAsia="Times New Roman" w:hAnsi="Times New Roman"/>
          <w:sz w:val="17"/>
          <w:szCs w:val="17"/>
          <w:color w:val="auto"/>
        </w:rPr>
        <w:t>Obtaining regulatory approval of an NDA, BLA or MAA, can be a lengthy, expensive and uncertain process. In addition, failure to comply with FDA and other applicable U.S., EU and foreign regulatory requirements may subject us to administrative or judicially imposed sanctions or other actions, including:</w:t>
      </w:r>
    </w:p>
    <w:p>
      <w:pPr>
        <w:spacing w:after="0" w:line="31"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of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15" w:lineRule="exact"/>
        <w:rPr>
          <w:rFonts w:ascii="Times New Roman" w:cs="Times New Roman" w:eastAsia="Times New Roman" w:hAnsi="Times New Roman"/>
          <w:sz w:val="18"/>
          <w:szCs w:val="18"/>
          <w:color w:val="auto"/>
        </w:rPr>
      </w:pPr>
    </w:p>
    <w:p>
      <w:pPr>
        <w:ind w:left="1020" w:right="460" w:hanging="504"/>
        <w:spacing w:after="0" w:line="280"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NDAs or BLAs, MAA, or supplements to approved NDAs or BLAs or extensions or variations to marketing authorizations.</w:t>
      </w:r>
    </w:p>
    <w:p>
      <w:pPr>
        <w:spacing w:after="0" w:line="16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Prior to obtaining approval to commercialize a drug or biological product candidate in the United States, the EU or other regions, we must demonstrate with substantial evidence from well-controlled clinical trials, and to the satisfaction of the EMA, the FDA or other similar regulatory authorities, that any drug product candidates are safe and effective for their intended uses, and that any biological product candidates are safe, pure and potent for their intended uses. The number of nonclinical studies and clinical trials that will be required for FDA, or EMA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Administering drug or biological product candidates to humans may produce undesirable side effects, which could interrupt, delay or halt clinical trials and result in the FDA or other regulatory authorities denying approval of a product candidate for any or all targeted indications.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authorities is unpredictable, typically takes many years following the commencement of clinical studies, and depends upon numerous factors. The EMA, the FDA and comparable authorities have substantial discretion in the approval process and we may encounter matters with the EMA, the FDA or such comparable authorities that requires us to expend additional time and resources and delay or prevent the approval of our product candidates. For example, the FDA or EMA may require us to conduct additional studies or trials for drug or biological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or Europe.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78" w:lineRule="exact"/>
        <w:rPr>
          <w:sz w:val="20"/>
          <w:szCs w:val="20"/>
          <w:color w:val="auto"/>
        </w:rPr>
      </w:pPr>
    </w:p>
    <w:p>
      <w:pPr>
        <w:ind w:left="1020" w:right="68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FDA or other comparable foreign regulatory authorities may disagree with the design or implementation of our, or any collaboration partners’, clinical studies;</w:t>
      </w:r>
    </w:p>
    <w:p>
      <w:pPr>
        <w:spacing w:after="0" w:line="55" w:lineRule="exact"/>
        <w:rPr>
          <w:rFonts w:ascii="Times New Roman" w:cs="Times New Roman" w:eastAsia="Times New Roman" w:hAnsi="Times New Roman"/>
          <w:sz w:val="18"/>
          <w:szCs w:val="18"/>
          <w:color w:val="auto"/>
        </w:rPr>
      </w:pPr>
    </w:p>
    <w:p>
      <w:pPr>
        <w:ind w:left="1020" w:right="10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approval is sought;</w:t>
      </w:r>
    </w:p>
    <w:p>
      <w:pPr>
        <w:spacing w:after="0" w:line="55"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the FDA or comparable foreign regulatory authorities may disagree with the interpretation of data from preclinical studies or clinical studies;</w:t>
      </w:r>
    </w:p>
    <w:p>
      <w:pPr>
        <w:spacing w:after="0" w:line="55"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an NDA or BLA, MAA, or other submission or to obtain regulatory approval in the United States, the EU or elsewhere;</w:t>
      </w:r>
    </w:p>
    <w:p>
      <w:pPr>
        <w:spacing w:after="0" w:line="55" w:lineRule="exact"/>
        <w:rPr>
          <w:rFonts w:ascii="Times New Roman" w:cs="Times New Roman" w:eastAsia="Times New Roman" w:hAnsi="Times New Roman"/>
          <w:sz w:val="18"/>
          <w:szCs w:val="18"/>
          <w:color w:val="auto"/>
        </w:rPr>
      </w:pPr>
    </w:p>
    <w:p>
      <w:pPr>
        <w:ind w:left="1020" w:right="32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collaboration partners, may be unable to demonstrate to the EMA, the FDA or comparable foreign regulatory authorities that a product candidate’s risk-benefit ratio for its proposed indication is acceptable;</w:t>
      </w:r>
    </w:p>
    <w:p>
      <w:pPr>
        <w:spacing w:after="0" w:line="55" w:lineRule="exact"/>
        <w:rPr>
          <w:rFonts w:ascii="Times New Roman" w:cs="Times New Roman" w:eastAsia="Times New Roman" w:hAnsi="Times New Roman"/>
          <w:sz w:val="18"/>
          <w:szCs w:val="18"/>
          <w:color w:val="auto"/>
        </w:rPr>
      </w:pPr>
    </w:p>
    <w:p>
      <w:pPr>
        <w:ind w:left="1020" w:right="8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55"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A proposal for revision of several legislative instruments related to medicinal products (potentially revising the duration of regulatory exclusivity, eligibility for expedited pathways, etc.) is currently expected to be adopted by the EC by Q1 2023. The proposed revisions, once they are agreed and adopted by the European Parliament and European Council (not expected before the end of 2024) may have a significant impact on the pharmaceutical industry in the long term.</w:t>
      </w:r>
    </w:p>
    <w:p>
      <w:pPr>
        <w:spacing w:after="0" w:line="1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studies, may result in our failure to obtain regulatory approval to market any of our product candidates, which would significantly harm our business, results of operations, and prospects. Additionally, if the EMA, the FDA or comparable foreign regulatory authorities require that we conduct additional clinical studies, place limitations on our label, delay approval to market our product candidates or limit the use of our products, our business and results of operations may be harmed.</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even if we ultimately obtain approval for any product candidate, regulatory authorities may approve any of our product candidates for fewer or more limited indications than we request, may not approve the price we intend to charge for our products, may grant approval contingent on the performance of costly post-marketing clinical trials, may impose a REMS or similar risk management measures,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marketing authorizations for any of our product candidates that we develop as combination products.</w:t>
      </w:r>
    </w:p>
    <w:p>
      <w:pPr>
        <w:spacing w:after="0" w:line="1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developing a pen-injector device with Ypsomed to facilitate patient administration of TransCon PTH. We anticipate that, if successfully developed and approved, the pen-injector version of TransCon PTH would be regulated as a combination product by the FDA and other regulatory authorities. Combination products require coordination within the FDA and within comparable regulatory agencies for review of their drug and device components. For example, we expect the FDA’s review of the TransCon PTH NDA will include the participation of both the FDA’s Center for Drug Evaluation and Research and the FDA’s Center for Devices and Radiological Health. 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MAA must include – where available – the results of the assessment of the conformity of the device part with the EU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19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Although the FDA and comparable foreign agencies have or may have systems in place for the review and approval of combination products, we may experience additional delays in the development and commercialization of such product candidates due to regulatory timing constraints and uncertainties in the product development and approval process. Moreover, although we anticipate that the device component of any combination product candidates we develop will be reviewed within the usual time frames expected for the underlying drug component application, and that no separate marketing application for the device components of such product candidates will be required in the United States, the FDA or comparable regulatory authorities may delay approval or require additional studies with the device which may delay the approval of the combination product.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42" w:name="page43"/>
    <w:bookmarkEnd w:id="42"/>
    <w:p>
      <w:pPr>
        <w:jc w:val="both"/>
        <w:ind w:right="1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Even after a regulatory approval for a product candidate, we are subject to ongoing regulatory obligations and review, which may result in significant additional expenses. Additionally, our products and product candidates, if approved, could be subject to labeling and other restrictions and we may be subject to penalties if we fail to comply with regulatory requirements or experience unanticipated problems with our products.</w:t>
      </w:r>
    </w:p>
    <w:p>
      <w:pPr>
        <w:spacing w:after="0" w:line="6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governmental regulation of the development of products, including SKYTROFA (lonapegsomatropin-tcgd) in the U.S., SKYTROFA (lonapegsomatropin) in the EU, and our other product candidates extend beyond clinical studies to approval required for their sale and monitoring of such products after sale. This regulation, approval and monitoring is the responsibility of numerous authorities in the United States, the EU and authorities in other territories. Following any regulatory approval of a product candidate, we, any collaboration partners and the manufacturers of our products will be subject to continuing regulatory obligations, including safety reporting requirements, regulatory oversight of product promotion and marketing, and cGMP or similar requirements. Furthermore, the manufacturing processes, labeling, packaging, distribution, adverse event reporting, storage, advertising, promotion and recordkeeping for the product will be subject to extensive and ongoing regulatory requirements. These regulations cover all aspects of manufacturing, testing, quality control and recordkeeping of our products. If we or any collaboration partners or manufacturers fail to comply with applicable regulatory requirements, we may be subject to fines, suspension or withdrawal of regulatory approvals, product recalls, seizure of products, operating restrictions and criminal prosecution. These requirements include submissions of safety and other post-marketing information and reports, registration, as well as continued compliance with cGMPs or similar requirements and GCPs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addition, under the Federal Food, Drug, and Cosmetic Act, particular restrictions are placed on the distribution of human growth hormone products, including TransCon hGH. The distribution of product samples to physicians must also comply with the requirements of the Prescription Drug Marketing Act. Manufacturing facilities for our products remain subject to periodic inspection by regulatory authorities and must continue to adhere to International Conference on Harmonisation of Technical Requirements for Registration of Pharmaceuticals for Human Use and the FDA’s cGMP requirements. Application holders must obtain FDA approval for many product and manufacturing changes, depending on the nature of the change. Sales, marketing, and scientific/educational grant programs must comply with the U.S. Anti-Kickback Statute, the False Claims Act, as amended and similar state laws. Certain payments and other transfers of value to U.S. licensed physicians (as defined under statute) and teaching hospitals must be reported under the Physician Payments Sunshine Act.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U.S. consumer protection and unfair competition laws.</w:t>
      </w:r>
    </w:p>
    <w:p>
      <w:pPr>
        <w:spacing w:after="0" w:line="1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FDA or foreign regulatory authorities, and to comply with requirements concerning advertising and promotion for our products. Promotional communications with respect to prescription pharmaceutical products are subject to a variety of legal and regulatory restrictions and must be consistent with the information in the product’s approved label. As such, we may not promote our products for indications or uses for which they do not have FDA or foreign regulatory authorities approval.</w:t>
      </w:r>
    </w:p>
    <w:p>
      <w:pPr>
        <w:spacing w:after="0" w:line="18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5"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or holds on clinical trials;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60"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43" w:name="page44"/>
    <w:bookmarkEnd w:id="43"/>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existing regulatory approvals;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future or ongoing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or our contract manufacturers’ operations;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addition, the FDA’s and foreign regulatory authorities’ policies may change and additional government laws or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Within the EU, once a marketing authorisation is obtained, numerous post-approval requirements similar to the above ones also apply, and as in the United States, advertising and promotional activities for the product must be consistent with the approved summary of product characteristics and therefore off-label promotion of medicinal products is not permitted. Furthermore, the advertising and promotion of medicinal products is also subject to laws concerning promotion of medicinal products, interactions with physicians, misleading and comparative advertising and unfair commercial practices. Direct-to-consumer advertising of prescription medicines is also prohibited in the EU. The requirements are regulated by both EU regulations as well as national applicable regulations.</w:t>
      </w:r>
    </w:p>
    <w:p>
      <w:pPr>
        <w:spacing w:after="0" w:line="18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The regulatory requirements relating to the manufacturing, testing, marketing and sale of pharmaceutical products are subject to periodic change. This may impact our development plans. Changes in the regulations governing us could increase costs and adversely affect our business.</w:t>
      </w:r>
    </w:p>
    <w:p>
      <w:pPr>
        <w:spacing w:after="0" w:line="16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Furthermore, companies developing pharmaceutical products are facing increased demands to publish clinical trial results. Any such publication by us may, in addition to the additional cost of the publication, may lead to investors misinterpreting the published data due to its technical and scientific nature, which, in turn, may adversely affect our business, results of operations and prospects and the value of our shares or ADSs.</w:t>
      </w:r>
    </w:p>
    <w:p>
      <w:pPr>
        <w:spacing w:after="0" w:line="27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medical devices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at domestic and foreign manufacturing facilities from March 2020 until July 2021.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may lead to further inspectional delays. Regulatory authorities outside the United States have adopted similar restrictions or other policy measures in response to the COVID-19 pandemic.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8"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in the United States are essential for most patients to be able to afford treatments such as our products or product candidates, if approved. Our ability to achieve acceptable levels of coverage and reimbursement for drug treatments by governmental authorities, private health insurers and other organizations will have an effect on our ability to successfully commercialize our products, and potentially attract additional collaboration partners to invest in the development of our product candidates. We cannot be sure that adequate coverage and reimbursement in the United States, the EU or elsewhere will be available for our products or any products that we may develop, and any reimbursement that may become available may be decreased or eliminated in the future. 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products or product candidates, if approved, and the generic or biosimilar parent drug as substitutable and only offer to reimburse patients for the generic drug. Even if we show improved efficacy or improved convenience of administration with our products or product candidates, if approved, pricing of the existing parent drug may limit the amount we will be able to charge for such product. If reimbursement is not available or is available only at limited levels, we may not be able to successfully commercialize our products or product candidates, and may not be able to obtain a satisfactory financial return on products that we may develop.</w:t>
      </w:r>
    </w:p>
    <w:p>
      <w:pPr>
        <w:spacing w:after="0" w:line="18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products or product candidates.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5" w:name="page46"/>
    <w:bookmarkEnd w:id="45"/>
    <w:p>
      <w:pPr>
        <w:spacing w:after="0" w:line="251"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products and product candidates, if approved, and on related parent drugs. In many countries, the prices of medical products are subject to varying price control mechanisms as part of national health systems. Many countries, including the EU member states, established complex and lengthy procedures to obtain price approvals, coverage and reimbursement. These procedures vary from country to country but are commonly initiated after grant of the related marketing authorisation. More particularly, in the EU, potential reductions in prices and changes in reimbursement levels could be the result of different factors, including reference pricing systems.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 Other countries allow companies to fix their own prices for medical products, but monitor and control company profits. Additional foreign price controls or other changes in pricing regulation could restrict the amount that we are able to charge for our products or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198"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products or product candidates. We expect to experience pricing pressures in connection with the sale of our products and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46" w:name="page47"/>
    <w:bookmarkEnd w:id="46"/>
    <w:p>
      <w:pPr>
        <w:ind w:right="820"/>
        <w:spacing w:after="0" w:line="316" w:lineRule="auto"/>
        <w:rPr>
          <w:sz w:val="20"/>
          <w:szCs w:val="20"/>
          <w:color w:val="auto"/>
        </w:rPr>
      </w:pPr>
      <w:r>
        <w:rPr>
          <w:rFonts w:ascii="Times New Roman" w:cs="Times New Roman" w:eastAsia="Times New Roman" w:hAnsi="Times New Roman"/>
          <w:sz w:val="17"/>
          <w:szCs w:val="17"/>
          <w:b w:val="1"/>
          <w:bCs w:val="1"/>
          <w:i w:val="1"/>
          <w:iCs w:val="1"/>
          <w:color w:val="auto"/>
        </w:rPr>
        <w:t>We and contract manufacturers are subject to significant regulation with respect to manufacturing our products and product candidates. The manufacturing facilities on which we rely may not continue to meet regulatory requirements or may not be able to meet supply demands.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depend on third-parties to manufacture products employing our TransCon technologies. Components of a finished therapeutic product approved for commercial sale or used in late-stage clinical studies must be manufactured in accordance with cGMP or similar requirements outside the United States. These regulations govern manufacturing processes and procedures (including record keeping) and the implementation and operation of quality systems to control and assure the quality of investigational products and products approved for sale. All entities involved in the preparation of our products and product candidates for clinical studies or commercial sale, including our existing contract manufacturers for our products and product candidates, are subject to extensive regulation. Manufacturing facilities are subject to pre-approval and ongoing periodic inspection by the FDA and other corresponding governmental authorities, including unannounced inspections, and must be licensed before they can be used in commercial manufacturing of products employing our TransCon technologies. After regulatory approvals or licensure are obtained, the subsequent discovery of previously unknown manufacturing, quality control or regulatory documentation problems or failure to maintain compliance with the regulatory requirements may result in restrictions on the marketing of a product, revocation of the license, withdrawal of the product from the market, seizures, injunctions, or criminal sanctions.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BLA, MAA or comparable regulatory filing on a timely basis and must adhere to cGMP or similar regulations enforced by the FDA and other regulatory authorities through their facilities inspection programs. Some of our contract manufacturers have never produced a commercially approved pharmaceutical product and therefore have not obtained the requisite regulatory authority approvals to do so.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suspension of production or closure of a facility. Any such remedial measures imposed upon us or third-parties with whom we contract could harm our business.</w:t>
      </w:r>
    </w:p>
    <w:p>
      <w:pPr>
        <w:spacing w:after="0" w:line="18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pharmaceutical product, withdrawal of an approval, or suspension of production. As a result, our business, financial condition, and results of operations may be harmed.</w:t>
      </w:r>
    </w:p>
    <w:p>
      <w:pPr>
        <w:spacing w:after="0" w:line="175"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submission and subsequent approval of a supplemental NDA or BLA, a marketing authorization variation application or equivalent foreign regulatory filing,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 Furthermore, interruption or delay in supplies from one contract manufacturer may cause delays further down the supply chain, as certain contract manufacturers may rely on delivery of materials from other contract manufacturers.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7" w:name="page48"/>
    <w:bookmarkEnd w:id="47"/>
    <w:p>
      <w:pPr>
        <w:spacing w:after="0" w:line="265"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79"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hazardous materials and we and third-parties with whom we contract must comply with environmental laws and regulations, which can be expensive and restrict how we do business.</w:t>
      </w:r>
    </w:p>
    <w:p>
      <w:pPr>
        <w:spacing w:after="0" w:line="5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the event of an accident or environmental discharge, we may be held liable for any consequential damage and any resulting claims for damages, which may exceed our financial resources and may materially adversely affect our business, results of operations and prospects, and the value of our shares or ADSs.</w:t>
      </w:r>
    </w:p>
    <w:p>
      <w:pPr>
        <w:spacing w:after="0" w:line="2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ongoing developments and expectations relating to environmental, social and governance matters, including related social expectations and concerns, may impose unexpected costs on us or result in reputational or other harm to us that could have a material adverse effect on our business, financial condition and results of operations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There is an increasing focus and rapid and ongoing developments and changing expectations from certain investors, customers, consumers, employees and other stakeholders concerning environmental, social and corporate governance (“ESG”) matters. Additionally, public interest and legislative pressure related to public companies’ ESG practices continue to grow, which may result in increased regulatory, social or other scrutiny on us.</w:t>
      </w:r>
    </w:p>
    <w:p>
      <w:pPr>
        <w:spacing w:after="0" w:line="175"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spacing w:after="0" w:line="18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may be required to make investments in matters related to ESG, which could be significant. Our failure or perceived failure to meet the standards set by various constituencies could damage our reputation and our relationships with investors, governments, customers, employees, third parties and the communities in which we operate and expose us to increased regulatory risk, put us at a commercial disadvantage relative to our peers and materially adversely affect our business, financial condition, results of operations, ability to participate in debt and equity markets and the value of our shares or ADSs.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8" w:name="page49"/>
    <w:bookmarkEnd w:id="48"/>
    <w:p>
      <w:pPr>
        <w:ind w:right="6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EU, FDA and other local regulations related to the promotion of our products for unapproved uses, we could be subject to criminal penalties, substantial fines or other sanctions and damage awards.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and other regulatory authorities, as well as courts. Our first product SKYTROFA (lonapegsomatropin-tcgd) was approved by the FDA on August 25, 2021 for the treatment of pediatric patients 1 year and older who weigh at least 11.5 kg and have growth failure due to inadequate secretion of endogenous growth hormone, and we are restricted from marketing SKYTROFA and any other product candidate that receives marketing approval outside of its approved labeling, also referred to as off-label promotion. However, physicians may nevertheless lawfully prescribe an approved product to their patients in a manner that is inconsistent with the approved label, which is an off-label use. The FDA or other government authorities may allege or find that our practices constitute prohibited promotion of TransCon hGH for unapproved uses.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9" w:name="page50"/>
    <w:bookmarkEnd w:id="49"/>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(1) FDA or similar foreign regulations, including those laws that require the reporting of true, complete and accurate information to the FDA or foreign regulatory authorities; (2) manufacturing standards; (3) U.S. federal and state fraud and abuse and other healthcare laws and regulations including foreign requirements;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or falsification of clinical trial data, which could result in regulatory sanctions and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or non U.S. healthcare programs, imprisonment, contractual damages, reputational harm, diminished profits and future earnings, and curtailment of our operations, any of which could adversely affect our ability to operate our business and our results of operations.</w:t>
      </w:r>
    </w:p>
    <w:p>
      <w:pPr>
        <w:spacing w:after="0" w:line="298"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global anti-corruption laws, including but not limited to the U.S. Foreign Corrupt Practices Act, and non-compliance with such laws can subject us to criminal or civil liability and harm our business, financial condition and results of operations.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activities may be subject to the Foreign Corrupt Practices Act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w:t>
      </w:r>
    </w:p>
    <w:p>
      <w:pPr>
        <w:spacing w:after="0" w:line="18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There is no certainty that all of our employees, agents, contractors, or collaborators, or those of our affiliates, will comply with all applicable laws and regulations, particularly given the high level of complexity of these requirements. We have adopted a code of conduct, but it is not always possible to identify and deter employee misconduct, and the precautions we take to detect and prevent this activity may be ineffective in controlling unknown or unmanaged risks or losses or in protecting us from allegations, governmental investigations or other actions or lawsuits stemming from a failure to comply with these requirements. If any such actions are instituted against us, and we are not successful in defending ourselves or asserting our rights, those actions could have a significant impact on our business,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Investigations of alleged violations can also be disruptive and cause us to incur significant legal and investigatory fees.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0" w:name="page51"/>
    <w:bookmarkEnd w:id="50"/>
    <w:p>
      <w:pPr>
        <w:ind w:right="8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288"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August 2012, the SEC adopted a rule requiring disclosures of specified minerals, known as conflict minerals, that are necessary to the functionality or production of products manufactured or contracted to be manufactured by U.S.-listed companies. The conflict minerals rule requires companies annually to diligence, disclose and report whether or not such minerals originate from the Democratic Republic of Congo and/or adjoining countries of Angola, Burundi, Central African Republic, the Republic of the Congo, Rwanda, South Sudan, Tanzania, Uganda, and Zambia. The rule could affect sourcing at competitive prices and availability in sufficient quantities of certain minerals, including gold and tin, which are necessary to the functionality of our products, including our TransCon hGH auto-injector.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Due to the depth and complexity of the supply chain, we may not be able to sufficiently verify the origins of the relevant minerals used in our products through the due diligence procedures that we implement or the information that we receive from our suppliers may be inaccurate or inadequate, which may harm our reputation or subject us to SEC enforcement risks. In addition, we may encounter challenges to satisfy those customers who require that all of the components of our products be certified as conflict-free, which could place us at a competitive disadvantage if we are unable to do so.</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non-U.S. jurisdictions would prevent us from marketing our products outside of the United States.</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order to market our products outside of the United States, we, or any potential partner, must obtain separate regulatory approvals and comply with numerous and varying regulatory requirements of other countries regarding safety and efficacy and governing, among other things, clinical trials and commercial sales, pricing and distribution of our products. The time required to obtain approval in other countries might differ from and be longer than that required to obtain FDA approval. The regulatory approval process in other countries may include all of the risks detailed in these “Risk Factors”, as well as other risks.</w:t>
      </w:r>
    </w:p>
    <w:p>
      <w:pPr>
        <w:spacing w:after="0" w:line="1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 marketing authorisation. For additional information, see “Item 4 B. Information on the Company – Business Overview – Foreign Regulation.”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51" w:name="page52"/>
    <w:bookmarkEnd w:id="51"/>
    <w:p>
      <w:pPr>
        <w:ind w:right="40"/>
        <w:spacing w:after="0" w:line="254" w:lineRule="auto"/>
        <w:rPr>
          <w:sz w:val="20"/>
          <w:szCs w:val="20"/>
          <w:color w:val="auto"/>
        </w:rPr>
      </w:pPr>
      <w:r>
        <w:rPr>
          <w:rFonts w:ascii="Times New Roman" w:cs="Times New Roman" w:eastAsia="Times New Roman" w:hAnsi="Times New Roman"/>
          <w:sz w:val="18"/>
          <w:szCs w:val="18"/>
          <w:color w:val="auto"/>
        </w:rPr>
        <w:t>Outside the U.S. and the EU, approval procedures vary among countries and can involve additional clinical testing, and the time required to obtain approval may differ from that required to obtain FDA or EU approval. Clinical trials conducted in one country may not be accepted by regulatory authorities in other countries. Approval by the FDA, EC, or EU member state competent authorities does not ensure approval by regulatory authorities in other countries, and approval by one or more foreign regulatory authorities does not ensure approval by regulatory authorities in other foreign countries or by the FDA, EC, or EU member states competent authorities. However, a failure or delay in obtaining regulatory approval in one country may have a negative effect on the regulatory process in others. The foreign regulatory approval process may include all of the risks associated with obtaining FDA approval, EC, or EU member states competent authority. We may not be able to file for regulatory approvals or to do so on a timely basis, and even if we do file, we may not receive necessary approvals to commercialize our products in any market.</w:t>
      </w:r>
    </w:p>
    <w:p>
      <w:pPr>
        <w:spacing w:after="0" w:line="28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regulation and enforcement; our failure to comply with these laws could harm our results of operations and financial conditions.</w:t>
      </w:r>
    </w:p>
    <w:p>
      <w:pPr>
        <w:spacing w:after="0" w:line="5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We are subject to healthcare, statutory and regulatory requirements and enforcement by the U.S. federal government and the states and foreign governments in which we conduct our business. The laws that affect our ability to operate include:</w:t>
      </w:r>
    </w:p>
    <w:p>
      <w:pPr>
        <w:spacing w:after="0" w:line="55" w:lineRule="exact"/>
        <w:rPr>
          <w:sz w:val="20"/>
          <w:szCs w:val="20"/>
          <w:color w:val="auto"/>
        </w:rPr>
      </w:pPr>
    </w:p>
    <w:p>
      <w:pPr>
        <w:ind w:left="1020" w:right="100" w:hanging="504"/>
        <w:spacing w:after="0" w:line="257"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Anti-Kickback Statute, which prohibits, among other things,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U.S. federal healthcare programs such as the Medicare and Medicaid programs.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1020" w:right="140" w:hanging="504"/>
        <w:spacing w:after="0" w:line="259"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U.S.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auto"/>
        </w:rPr>
      </w:pPr>
    </w:p>
    <w:p>
      <w:pPr>
        <w:ind w:left="1020" w:right="160" w:hanging="504"/>
        <w:spacing w:after="0" w:line="280"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criminal laws that prohibit executing a scheme to defraud any healthcare benefit program or making false statements relating to healthcare matters;</w:t>
      </w:r>
    </w:p>
    <w:p>
      <w:pPr>
        <w:spacing w:after="0" w:line="55" w:lineRule="exact"/>
        <w:rPr>
          <w:rFonts w:ascii="Times New Roman" w:cs="Times New Roman" w:eastAsia="Times New Roman" w:hAnsi="Times New Roman"/>
          <w:sz w:val="18"/>
          <w:szCs w:val="18"/>
          <w:color w:val="auto"/>
        </w:rPr>
      </w:pPr>
    </w:p>
    <w:p>
      <w:pPr>
        <w:ind w:left="1020" w:right="80" w:hanging="504"/>
        <w:spacing w:after="0" w:line="257"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100" w:hanging="504"/>
        <w:spacing w:after="0" w:line="287"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52" w:lineRule="exact"/>
        <w:rPr>
          <w:rFonts w:ascii="Times New Roman" w:cs="Times New Roman" w:eastAsia="Times New Roman" w:hAnsi="Times New Roman"/>
          <w:sz w:val="17"/>
          <w:szCs w:val="17"/>
          <w:color w:val="auto"/>
        </w:rPr>
      </w:pPr>
    </w:p>
    <w:p>
      <w:pPr>
        <w:ind w:left="1020" w:right="20" w:hanging="504"/>
        <w:spacing w:after="0" w:line="276"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Physician Payments Sunshine Act, which requires certain manufacturers of drugs, devices, biologics, and medical supplies to report annually to the Centers for Medicare &amp; Medicaid Services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under statute) and their immediate family members;</w:t>
      </w:r>
    </w:p>
    <w:p>
      <w:pPr>
        <w:spacing w:after="0" w:line="59"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harm consumers;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2" w:name="page53"/>
    <w:bookmarkEnd w:id="52"/>
    <w:p>
      <w:pPr>
        <w:ind w:left="1020" w:right="20" w:hanging="504"/>
        <w:spacing w:after="0" w:line="280"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U.S. federal laws, such as anti-kickback and false claims laws which may apply to items or services reimbursed by any third-party payor, including commercial insurers;</w:t>
      </w:r>
    </w:p>
    <w:p>
      <w:pPr>
        <w:spacing w:after="0" w:line="55"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U.S. federal government, or otherwise restrict payments that may be made to healthcare providers and other potential referral sources;</w:t>
      </w:r>
    </w:p>
    <w:p>
      <w:pPr>
        <w:spacing w:after="0" w:line="67"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 and pricing information; and</w:t>
      </w:r>
    </w:p>
    <w:p>
      <w:pPr>
        <w:spacing w:after="0" w:line="55" w:lineRule="exact"/>
        <w:rPr>
          <w:rFonts w:ascii="Times New Roman" w:cs="Times New Roman" w:eastAsia="Times New Roman" w:hAnsi="Times New Roman"/>
          <w:sz w:val="18"/>
          <w:szCs w:val="18"/>
          <w:color w:val="auto"/>
        </w:rPr>
      </w:pPr>
    </w:p>
    <w:p>
      <w:pPr>
        <w:ind w:left="1020" w:right="660" w:hanging="504"/>
        <w:spacing w:after="0" w:line="280"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regulation regarding advertising of medicinal products and reporting requirements detailing interactions with and payments to healthcare providers.</w:t>
      </w:r>
    </w:p>
    <w:p>
      <w:pPr>
        <w:spacing w:after="0" w:line="16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activities being found in violation of these laws is increased by the fact that many of them have not been fully interpreted by the regulatory authorities or the courts, and their provisions are open to a variety of interpretations.</w:t>
      </w:r>
    </w:p>
    <w:p>
      <w:pPr>
        <w:spacing w:after="0" w:line="16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significant penalties, including civil and criminal penalties, damages, fines, the curtailment or restructuring of our operations, the exclusion from participation in U.S. federal and state and/or foreign healthcare programs and imprisonment, any of which could adversely affect our ability to market our products and adversely impact our financial results.</w:t>
      </w:r>
    </w:p>
    <w:p>
      <w:pPr>
        <w:spacing w:after="0" w:line="287"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Complying with these numerous, complex and often changing regulations is expensive and difficult, and any failure or perceived failure to comply with any data privacy laws or security laws, our policies and procedures, our contracts governing our processing of personal information or any security incident or breach involving the misappropriation, loss or other unauthorized use or disclosure of sensitive or confidential patient or consumer information, whether by us, one of our partners or another third-party, could adversely affect our business, financial condition and results of operations, and could result in negative publicity, government investigations and enforcement actions, claims by third-parties and damage to our reputation, any of which could have a material adverse effect on our operations, financial performance and business.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53" w:name="page54"/>
    <w:bookmarkEnd w:id="53"/>
    <w:p>
      <w:pPr>
        <w:spacing w:after="0" w:line="251"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Similar laws have passed in Virginia, Connecticut, Utah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when HIPAA or a state law does not apply, according to the Federal Trade Commission (the “FTC”), violating consumers’ privacy rights or failing to take appropriate steps to keep consumers’ personal information secure may constitute unfair and/or deceptive acts or practices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4" w:name="page55"/>
    <w:bookmarkEnd w:id="54"/>
    <w:p>
      <w:pPr>
        <w:spacing w:after="0" w:line="250" w:lineRule="auto"/>
        <w:rPr>
          <w:sz w:val="20"/>
          <w:szCs w:val="20"/>
          <w:color w:val="auto"/>
        </w:rPr>
      </w:pPr>
      <w:r>
        <w:rPr>
          <w:rFonts w:ascii="Times New Roman" w:cs="Times New Roman" w:eastAsia="Times New Roman" w:hAnsi="Times New Roman"/>
          <w:sz w:val="18"/>
          <w:szCs w:val="18"/>
          <w:color w:val="auto"/>
        </w:rPr>
        <w:t>In Europe, the General Data Protection Regulation (the “GDPR”) imposes strict requirements for processing the personal data of individuals within the EEA, including clinical trial data. For example, the GDPR requires us to make detailed disclosures to data subjects, requires disclosure of the legal basis on which we can process personal data, makes it harder for us to obtain valid consent for processing and in other cases prevents the use of consent as legal basis for processing of personal data, requires the appointment of data protection officers when sensitive personal data, such as health data, is processed on a large scale, provides robust rights for data subjects, imposes mandatory data breach notification through the EU and EEA,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greater of €20 million or up to 4% of our total global annual revenue in the event of a significant breach. In addition, we may be the subject of litigation and/or adverse publicity, which could adversely affect our business, results of operations and financial condition. The law in this area is also developing rapidly. For example, in July 2020, the Court of Justice of the EU (“CJEU”) invalidated the Privacy Shield, limiting how organizations could lawfully transfer personal data from the EEA to the U.S.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The EC also issued revised SCCs on June 4, 2021 to account for the decision of the CJEU and recommendations made by the European Data Protection Board. The revised SCCs must be used for relevant new data transfers from September 27, 2021; existing SCC arrangements must be migrated to the revised clauses by December 27, 2022. The new SCCs apply only to the transfer of personal data outside of the EEA and not the UK. The UK’s Information Commissioner’s Office has published new data transfer standard contracts for transfers from the UK under the United Kingdom GDPR (“UK GDPR”). This new documentation will be mandatory for relevant data transfers from September 21, 2022; existing standard contractual clauses arrangements must be migrated to the new documentation by March 21, 2024.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Relatedly, from January 1, 2021, companies have had to comply with both the GDPR and the UK GDPR, the latter regime having the ability to separately fine up to the greater of £17.5 million or 4% of global turnover. The relationship between the UK and the EU in relation to certain aspects of data protection law remains unclear, for example around how data can lawfully be transferred between each jurisdiction, which exposes us to further compliance risk. The EC has adopted an adequacy decision in favor of the UK, enabling data transfers from EU member states to the UK without additional safeguards. However, the UK adequacy decision will automatically expire in June 2025 unless the EC re-assesses and renews or extends that decision. In September 2021, the UK government launched a consultation on its proposals for wide-ranging reform of the UK’s data protection laws following Brexit and the response to this consultation was published in June 2022. There is a risk that any material changes which are made to the UK data protection regime could result in the EC reviewing the UK adequacy decision, and the UK losing its adequacy decision if the EC deems the UK to no longer provide adequate protection for personal data. As we continue to expand into other foreign countries and jurisdictions, we may be subject to additional laws and regulations that may affect how we conduct business.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55" w:name="page56"/>
    <w:bookmarkEnd w:id="55"/>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the Council of the European Union adopted the NIS2 Directive on November 28, 2022, which replaced and repealed the existing EU Directive on the Security of Network and Information Systems. The NIS2 Directive establishes cybersecurity risk management measures and reporting requirements for highly critical sectors, including for manufacturers of medical devices. This includes requirements to implement appropriate technical and operational measures to manage security risks, including measures with respect to business continuity, incident handling, encryption, and data access control. Important entities and essential entities will also be required to report cybersecurity incidents within specified timeframes. The NIS2 Directive was published in the Official Journal of the European Union on December 27, 2022, and will become effective on the twentieth day following its publication, with EU member states having 21 months from such effective date to then incorporate the NIS2 Directive into their national law. The NIS2 Directive requires EU members states to impose administrative fines for breaches of the NIS2 Directive of up to €7 million or 1.4% of the total worldwide turnover of the entity for the preceding financial year, whichever is greater for certain “important entities”. Other entities, considered “essential entities” may be subject to administrative fines for breaches of the NIS2 Directive of up to €10 million or 2% of the total worldwide turnover of the entity for the preceding financial year, whichever is greater.</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criminal or civil sanctions, all of which may harm our business, financial condition and results of operations.</w:t>
      </w:r>
    </w:p>
    <w:p>
      <w:pPr>
        <w:spacing w:after="0" w:line="29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United States and in foreign jurisdictions may make it more difficult and costly for us to obtain regulatory clearance or approval of our product candidates in the United States and in foreign jurisdictions and to produce, market and distribute our products in the United States and in foreign jurisdictions after clearance or approval is obtained.</w:t>
      </w:r>
    </w:p>
    <w:p>
      <w:pPr>
        <w:spacing w:after="0" w:line="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U.S.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Similar risks exist in foreign jurisdictions. We cannot determine what effect changes in regulations, statutes, legal interpretation or policies, when and if promulgated, enacted or adopted may have on our business in the future. Such changes could, among other things, require:</w:t>
      </w:r>
    </w:p>
    <w:p>
      <w:pPr>
        <w:spacing w:after="0" w:line="76" w:lineRule="exact"/>
        <w:rPr>
          <w:sz w:val="20"/>
          <w:szCs w:val="20"/>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22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6" w:name="page57"/>
    <w:bookmarkEnd w:id="56"/>
    <w:p>
      <w:pPr>
        <w:ind w:right="60"/>
        <w:spacing w:after="0" w:line="252" w:lineRule="auto"/>
        <w:rPr>
          <w:sz w:val="20"/>
          <w:szCs w:val="20"/>
          <w:color w:val="auto"/>
        </w:rPr>
      </w:pPr>
      <w:r>
        <w:rPr>
          <w:rFonts w:ascii="Times New Roman" w:cs="Times New Roman" w:eastAsia="Times New Roman" w:hAnsi="Times New Roman"/>
          <w:sz w:val="18"/>
          <w:szCs w:val="18"/>
          <w:color w:val="auto"/>
        </w:rPr>
        <w:t>In addition, the trend toward managed healthcare in the United States and the changes in health insurance programs, as well as legislative proposals to reform healthcare or reduce government insurance programs, may result in lower prices for pharmaceutical products, including any products that may be offered by us. In addition, any future regulatory change regarding the healthcare industry or third-party coverage and reimbursement may affect demand for any products that we may develop and could harm our sales and profitability. For example,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addressed a new methodology by which rebates owed by manufacturers under the Medicaid Drug Rebate Program are calculated for drugs that are inhaled, infused, instilled, implanted or injected, established annual fees and taxes on manufacturers of certain branded prescription drugs and medical devices, and created a new Medicare Part D coverage gap discount program, in which manufacturers must agree to offer 50% point-of-sale discounts, which, through subsequent legislative amendments, was increased to 70%, starting in 2019, off negotiated prices of applicable brand drugs to eligible beneficiaries during their coverage gap period as a condition for the manufacturer’s outpatient drugs to be covered under Medicare Part D.</w:t>
      </w:r>
    </w:p>
    <w:p>
      <w:pPr>
        <w:spacing w:after="0" w:line="1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provisions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will impact our business.</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including reductions in Medicare payments to providers, which went into effect on April 1, 2013 and will stay in effect through 2032, with the exception of a temporary suspension from May 1, 2020 through March 31, 2022, unless additional Congressional action is taken. Further, the American Taxpayer Relief Act of 2012 reduced Medicare payments to several types of providers, including hospitals, and increased the statute of limitations period for the government to recover overpayments to providers from three to five years. Further, in March 2021, the American Rescue Plan Act of 2021 was signed into law,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 These new laws may result in additional reductions in Medicare and other healthcare funding and otherwise affect the prices we may obtain for our products.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7" w:name="page58"/>
    <w:bookmarkEnd w:id="57"/>
    <w:p>
      <w:pPr>
        <w:ind w:right="160"/>
        <w:spacing w:after="0" w:line="252" w:lineRule="auto"/>
        <w:rPr>
          <w:sz w:val="20"/>
          <w:szCs w:val="20"/>
          <w:color w:val="auto"/>
        </w:rPr>
      </w:pPr>
      <w:r>
        <w:rPr>
          <w:rFonts w:ascii="Times New Roman" w:cs="Times New Roman" w:eastAsia="Times New Roman" w:hAnsi="Times New Roman"/>
          <w:sz w:val="18"/>
          <w:szCs w:val="18"/>
          <w:color w:val="auto"/>
        </w:rPr>
        <w:t>Recently, there has also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 Most recently, in August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and the impact of the IRA on our business and the pharmaceutical industry cannot yet be fully determined. Individual states in the United States have also become increasingly active in passing legislation and implementing regulations designed to control pharmaceutical product pricing, including through constraints on reimbursement, imposition of mandatory discounts, discounts, restrictions on access to certain products, transparency measures, and programs for importation from other countries or bulk purchasing.</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additional U.S. local and national healthcare reform measures will be adopted within and outside the United States in the future, any of which could limit the amounts that governments will pay for healthcare products and services, which could result in reduced demand for our products or product candidates or additional pricing pressures. The continuing efforts of the U.S. government, insurance companies, managed care organizations and other payors of healthcare services to contain or reduce costs of healthcare may adversely affect the demand for any drug products for which we may obtain regulatory approval, including TransCon hGH,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8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amending Directive 2011/24/EU, was adopted. This regulation, which entered into force in January 2022 and will become applicable from January 12, 2025 onwards, intends to boost cooperation among EU member states in assessing health technologies, including new medicinal products,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our products and product candidates is not adequate, we may not be able to compete effectively in our market.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depends in part on our ability to:</w:t>
      </w:r>
    </w:p>
    <w:p>
      <w:pPr>
        <w:spacing w:after="0" w:line="116" w:lineRule="exact"/>
        <w:rPr>
          <w:sz w:val="20"/>
          <w:szCs w:val="20"/>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obtain, maintain and enforce patents;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upon the proprietary rights of others.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will be able to protect our proprietary technologies from unauthorized use by third-parties only to the extent that such proprietary rights are covered by valid and enforceable patents or are effectively maintained as trade secrets. Any non-confidential disclosure to or misappropriation by third-parties of our confidential or proprietary information could enable competitors to quickly duplicate or surpass our technological achievements, thus eroding our competitive position in our market. Where we elect to pursue patent protection on our proprietary technologies, we file, prosecute and maintain international and other national patent applications covering such technologies, including in the United States, Europe, China, and other jurisdictions.</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As of December 31, 2022, 42 patents have been issued to us in the United States, 19 of which are directed to our TransCon technologies, seven of which are directed to TransCon hGH and seven of which are directed to TransCon CNP. In addition, as of December 31, 2022, we have over 238 issued patents in jurisdictions outside of the United States, at least 102 of which are directed to our TransCon technologies, and 85 of which are directed to TransCon hGH and/or our other product candidates. For additional information, see “Item 4 B. Information on the Company – Business Overview – Intellectual Property.” We are not aware of any challenge to our issued patents, in the United States, Europe or in any other jurisdiction.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although we are unaware of any such defects. If we or our current licensors or licensees, or any future licensors or licensees, fail to establish, maintain or protect such patents and other intellectual property rights, including due to the impact of the COVID-19 pandemic on our or our licensors’ business operations, such rights may be reduced or eliminated.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third-parties, which may harm our business.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It is expected that in 2023 European patent applications will have the option, upon grant of a patent, of becoming a Unitary Patent which will be subject to the jurisdiction of the Unified Patent Court (“UPC”). In addition, conventional European patents, both already granted at the time the new system starts and granted thereafter, will be subject to the jurisdiction of the UPC, unless actively opted out. This will be a significant change in European patent practice and deciding whether to opt-in or opt-out of Unitary Patent practice will entail strategic and cost considerations. As the UPC is a new court system, there is no precedent for the court, increasing the uncertainty of any litigation before the UPC. Moreover, the decision whether to opt-in or opt-out of Unitary Patent status will require coordinating with co-applicants, if any, adding complexity to any such decision.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9" w:name="page60"/>
    <w:bookmarkEnd w:id="59"/>
    <w:p>
      <w:pPr>
        <w:spacing w:after="0" w:line="251"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highly uncertain. The patent applications that we own or license may fail to result in issued patents in the United States or in other countries. Even if patents do issue on such patent applications, third-parties may challenge the validity, enforceability or scope thereof, which may result in such patents being narrowed, invalidated or held unenforceable. For example, U.S. patents can be challenged by any person before the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and in the United States, Europe and other jurisdictions third-parties can raise questions of validity with a patent office even before a patent has been granted. Furthermore, even if they are unchallenged, our patents and patent applications may not adequately protect our intellectual property or prevent others from designing around our claims. For example, a third-party may develop a competitive product that provides therapeutic benefits similar to one or more of our products or product candidates but that has a different composition that falls outside the scope of our patent protection. If the breadth or strength of protection provided by the patents and patent applications we hold or pursue with respect to our products or product candidates is successfully challenged, then our ability to commercialize our products or product candidates could be negatively affected, and we may face unexpected competition that could harm our business. Further, patents have a limited lifespan and patent terms may be inadequate to protect our competitive position on our product candidates for an adequate amount of time. In the United States, if all maintenance fees are paid timely, the natural expiration of a patent is generally 20 years after its first effective filing date excluding U.S. provisional patent applications. Given the amount of time required for the development, testing and regulatory review of new product candidates, patents protecting such candidates might expire before or shortly after such product candidates are commercialized. Although various extensions may be available, the life of a patent, and the protection it affords, is limited. If we encounter delays in our clinical trials, the period of time during which we could market our products or product candidates under patent protection would be reduced. If we do not have sufficient patent life to protect our products, our business and results of operations will be adversely affected.</w:t>
      </w:r>
    </w:p>
    <w:p>
      <w:pPr>
        <w:spacing w:after="0" w:line="192"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55" w:lineRule="exact"/>
        <w:rPr>
          <w:sz w:val="20"/>
          <w:szCs w:val="20"/>
          <w:color w:val="auto"/>
        </w:rPr>
      </w:pPr>
    </w:p>
    <w:p>
      <w:pPr>
        <w:ind w:left="1020" w:right="400" w:hanging="504"/>
        <w:spacing w:after="0" w:line="280"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invent or the first to file the inventions covered by each of our pending patent applications and issued patents;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5"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we obtain or our in-licensed issued patents may not encompass commercially viable products, may not provide us with any competitive advantages or may be challenged by third-parties;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we obtain or our in-licensed issued patents may not be valid or enforceable;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If we or our current licensors or licensees, or any future licensors or licensees, fail to prosecute, maintain and enforce patent protection for our products or product candidates, our ability to develop and commercialize our products or product candidates could be harmed and we might not be able to prevent competitors from making, using and selling competing products. This failure to properly protect the intellectual property rights relating to our products or product candidates could harm our business, financial condition and operating results. Moreover, our competitors may independently develop equivalent knowledge, methods and know-how.</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60" w:name="page61"/>
    <w:bookmarkEnd w:id="60"/>
    <w:p>
      <w:pPr>
        <w:ind w:right="100"/>
        <w:spacing w:after="0" w:line="252"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were to initiate legal proceedings against a third-party to enforce a patent covering one of our products or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our products or product candidates, we would lose at least part, and perhaps all, of the patent protection on such product or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292"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license intellectual property rights from third-parties. Such licenses may be subject to early termination if we fail to comply with our obligations in our licenses with third-parties, which could result in the loss of rights or technology that are material to our business.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or may become a party to licenses that give us rights to third-party intellectual property or technology that is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using the licensed technology. If we fail to comply with these obligations, including due to the impact of the COVID-19 pandemic on our business operations or our use of the intellectual property licensed to us in an unauthorized manner,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products or product candidates.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to or from third-parties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61" w:name="page62"/>
    <w:bookmarkEnd w:id="61"/>
    <w:p>
      <w:pPr>
        <w:spacing w:after="0" w:line="252"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The failure to obtain or in-license any compositions, methods of use, processes or other third-party intellectual property rights at a reasonable cost or on reasonable terms, could harm our business. If we fail to obtain licenses to necessary third-party intellectual property rights, we may need to cease use of the compositions or methods covered by such third-party intellectual property rights. Furthermore, we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prevent disclosure of our trade secrets or other confidential information to third-parties, our competitive position may be impaired.</w:t>
      </w:r>
    </w:p>
    <w:p>
      <w:pPr>
        <w:spacing w:after="0" w:line="1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We seek protection, in part, through confidentiality and proprietary information clauses in agreements with our collaboration partners, employees, consultants, outside scientific collaboration partners and sponsored researchers and other advisors. Although we generally require all of our employees, consultants, advisors and any third-parties who have access to our proprietary know-how, information or technology to assign or grant similar rights to their inventions to us, and endeavor to execute confidentiality agreements with all such parties,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Costly and time-consuming litigation could be necessary to enforce and determine the scope of our proprietary rights, and failure to obtain or maintain trade secret protection could adversely affect our competitive business position. Furthermore, the laws of some foreign countries do not protect proprietary rights to the same extent or in the same manner as the laws of the United States.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The failure to obtain or maintain trade secret protection could adversely affect our competitive business position.</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62" w:name="page63"/>
    <w:bookmarkEnd w:id="62"/>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allegedly infringing intellectual property rights of third parties, it will be costly and time consuming, and an unfavorable outcome in such litigation could harm our business.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violating or misappropriating the patents and other proprietary rights of third-parties. Our own technologies may infringe, violate or misappropriate the patents or other proprietary rights of third-parties, or we may be subject to third-party claims of such infringement. Numerous U.S. and foreign issued patents and pending patent applications owned by third-parties exist in the fields in which we are developing our products and product candidates. For example, we are aware of several issued patents related to auto-injection devices that may be relevant to our auto-injection device developed with Phillips-Medisize A/S (formerly Medicom Innovation Partner A/S); however, we believe that these (i) are invalid, and/or (ii) do not and will not cover our product or device. Additionally, we are aware of patents owned by a competitor that are related to CNP variants. Although we believe that these patents are not infringed by us and/or are invalid, we could be wrong in our assessment. We cannot be certain that our products and product candidates will not infringe these or other existing or future patents.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Additionally,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products or product candidates or our TransCon technologies. We may not be aware of patents that have already issued that a third-party might assert are infringed by our products or product candidates. It is also possible that patents of which we are aware, but which we do not believe are relevant to our products or product candidates, could nevertheless be found to be infringed by our products or product candidates. Moreover, we may face patent infringement claims from non-practicing entities that have no relevant product revenue and against whom our own patent portfolio may thus have no deterrent effect.</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addition, we may face costly and time-consuming intellectual property litigation with the NDA holders, BLA holders and Orange Book patentees of the products in respect of which we seek to obtain FDA approval. Companies that produce branded pharmaceutical products for which there are listed patents in the FDA’s Orange Book routinely bring patent infringement litigation against applicants seeking FDA approval to manufacture and market branded and/or generic forms of their products. Accordingly, we may face patent litigation as a result of our submission of NDA and BLA applications to the FDA or as a result of submitting an MAA with the EMA.</w:t>
      </w:r>
    </w:p>
    <w:p>
      <w:pPr>
        <w:spacing w:after="0" w:line="18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Intellectual property litigation involves many risks and uncertainties, and there is no assurance that we will prevail in any lawsuit brought against us. Third-parties making claims against us for infringement, violation or misappropriation of their intellectual property rights may seek and obtain injunctive or other equitable relief, which could effectively block our ability to further develop and commercialize our products and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third-parties and we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may be restricted or prevented from manufacturing and selling products employing our technologies. These adverse results, if they occur, could adversely affect our business, results of operations and prospects, and the value of our shares or ADSs.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3" w:name="page64"/>
    <w:bookmarkEnd w:id="63"/>
    <w:p>
      <w:pPr>
        <w:ind w:right="4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may be necessary to:</w:t>
      </w:r>
    </w:p>
    <w:p>
      <w:pPr>
        <w:spacing w:after="0" w:line="116" w:lineRule="exact"/>
        <w:rPr>
          <w:sz w:val="20"/>
          <w:szCs w:val="20"/>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enforce our patents and any future patents issuing on our patent applications;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or clarify the terms of the licenses we have granted or may be granted in the future;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enforce trade secrets, know-how and other proprietary rights that we own or have licensed, or may license in the future;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third-parties and defend against alleged patent infringement.</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Competitors may infringe our intellectual property. As a result, we may be required to file infringement claims to stop third-party infringement or unauthorized use. This can be expensive, particularly for a company of our size, and time-consuming. We may not have sufficient financial or other resources to adequately conduct such litigation or proceedings and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products or product candidates or to prevent others from marketing similar products.</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third-parties. Even if we are successful, domestic or foreign litigation or USPTO or foreign patent office proceedings may result in substantial costs and distraction to our management and scientific personnel. We may not be able, alone or with our licensors or potential collaboration partners, to prevent misappropriation of our proprietary rights, particularly in countries where the laws may not protect such rights as fully as in the United States.</w:t>
      </w:r>
    </w:p>
    <w:p>
      <w:pPr>
        <w:spacing w:after="0" w:line="18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these kind of proceedings, there could be public announcements of the results of hearings, motions or other interim proceedings or developments or public access to related documents. If investors perceive these results to be negative, the market price for the ADSs could be significantly harmed.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4" w:name="page65"/>
    <w:bookmarkEnd w:id="64"/>
    <w:p>
      <w:pPr>
        <w:ind w:right="2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in the United States and other countries, including the Leahy-Smith America Invents Act (the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Leahy-Smith Act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technologies or our ability to enforce our proprietary technologies.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expected that in 2023 European patent applications will have the option, upon grant of a patent, of becoming a</w:t>
      </w:r>
    </w:p>
    <w:p>
      <w:pPr>
        <w:spacing w:after="0" w:line="2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Unitary Patent which will be subject to the jurisdiction of the UPC. For additional information, see “If our intellectual property related to our products and product candidates is not adequate, we may not be able to compete effectively in our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employees and patents are subject to German law.</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2022, 115 of our employees work in Germany and are subject to German employment law. Ideas, developments, discoveries and inventions made by such employees are generally subject to the provisions of the German Act on Employees’ Inventions, which regulates the ownership of, and compensation for, inventions made by employees. Under this act, we face the risk that we may be required to pay additional compensation for assigned patent rights and disputes can occur between us and our employees or ex-employees pertaining to alleged non-adherence to the provisions of this act that may be costly to defend and consume our management’s time and efforts whether we prevail or fail in such dispute. In addition, under the German Act on Employees’ Inventions, certain employees may have retained rights to patents they invented or co-invented before October 2009. Although substantially all of these employees have assigned their interest in these patents to us, to the extent permitted by law, there is a risk that the compensation we provided to them may be deemed to be insufficient and we may be required under German law to increase the compensation due to such employees for the use of the patents. In those cases, where employees have not assigned their interests to us, we may need to pay compensation for the use of those patents. If we are required to pay additional compensation or face other disputes under the German Act on Employees’ Inventions, our results of operations could be adversely affected.</w:t>
      </w:r>
    </w:p>
    <w:p>
      <w:pPr>
        <w:spacing w:after="0" w:line="296" w:lineRule="exact"/>
        <w:rPr>
          <w:sz w:val="20"/>
          <w:szCs w:val="20"/>
          <w:color w:val="auto"/>
        </w:rPr>
      </w:pPr>
    </w:p>
    <w:p>
      <w:pPr>
        <w:jc w:val="both"/>
        <w:ind w:right="5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Although an inadvertent lapse, including due to the effect of the COVID-19 pandemic on us or our patent maintenance vendors, can in many cases be cured by payment of a late fee or by other means in accordance with the applicable rules, there are situations in which noncompliance with these requirements can result in abandonment or lapse of a patent or patent application, resulting in partial or complete loss of patent rights in the relevant jurisdiction.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color w:val="auto"/>
        </w:rPr>
        <w:t>Losing our patent rights could enable competitors to enter the market earlier than would otherwise have been the case.</w:t>
      </w:r>
    </w:p>
    <w:p>
      <w:pPr>
        <w:spacing w:after="0" w:line="327"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Failure to secure trademark registrations for a commercial trade name for our products or product candidates in the United States or elsewhere could adversely affect our business.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use various trademark rights in our business, including, Ascendis, Ascendis Pharma, TransCon and SKYTROFA. A trademark application for TransCon PTH has been filed in U.S. as well as the EU and other countries across the globe. However, our current or future trademarks and trade names may be challenged, infringed, circumvented or declared generic or determined to be infringing on other marks, and we may not be able to obtain trademark protection in other territories that we consider of significant importance to us. Furthermore, other than for TransCon hGH, we have not yet registered trademarks for a commercial trade name for any other of our product candidates in the United States or elsewhere.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third-parties can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 advertising and marketing our products under new brands. We may license our trademarks and trade names to third-parties,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FDA has approved the use of SKYTROFA for TransCon hGH in the United States; however, any name we propose to use with TransCon PTH, or our other product candidates in the United States or any other country must be approved by the FDA, EMA or any other relevant health authority regardless of whether we have registered it, or applied to register it, as a trademark. For example, the FDA has approved the use of SKYTROFA in the United States and the EC has granted a marketing authorisation for the SKYTROFA in the EU. The FDA as well as EMA typically conducts a review of proposed product names, including an evaluation of potential for confusion with other product names. If the FDA, EMA or any other relevant approval authority objects to any of our proposed proprietary product names, we may be required to expend significant additional resources in an effort to identify a suitable substitute name that would qualify under applicable trademark laws, not infringe the existing rights of third-parties and be acceptable to the FDA, EMA or any other relevant approval authority.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0"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7"/>
          <w:szCs w:val="17"/>
          <w:color w:val="auto"/>
        </w:rPr>
        <w:t>Patents are of national or regional effect, and filing, prosecuting and defending patents on our products or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Additionally, laws of some countries outside of the United States and Europe do not afford intellectual property protection to the same extent as the laws of the United States and Europe. For example, patents with claims directed to dry pharmaceutical formulations of TransCon hGH have issued in the United States, Europe, and other jurisdictions, but related claims were rejected in China. An initial appeal upheld the rejection. We appealed this decision and vigorously advocate for the patentability of these claims. However, we may be unsuccessful, and our patent protection for TransCon hGH may expire sooner in China than in other jurisdictions. Many companies have encountered significant problems in protecting and defending intellectual property rights in certain foreign jurisdictions. The legal systems of some countries, including India, China and certain developing countries, do not favor the enforcement of patents and other intellectual property rights. This could make it difficult for us to stop the infringement of our patents or the misappropriation of our other intellectual property rights in such countries. For example, many foreign countries have compulsory licensing laws under which a patent owner must grant licenses to third-parties. Consequently, we may not be able to prevent third-parties from practicing our inventions in certain countries outside the United States and many countries in Europe.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66" w:name="page67"/>
    <w:bookmarkEnd w:id="66"/>
    <w:p>
      <w:pPr>
        <w:ind w:right="40"/>
        <w:spacing w:after="0" w:line="311" w:lineRule="auto"/>
        <w:rPr>
          <w:sz w:val="20"/>
          <w:szCs w:val="20"/>
          <w:color w:val="auto"/>
        </w:rPr>
      </w:pPr>
      <w:r>
        <w:rPr>
          <w:rFonts w:ascii="Times New Roman" w:cs="Times New Roman" w:eastAsia="Times New Roman" w:hAnsi="Times New Roman"/>
          <w:sz w:val="17"/>
          <w:szCs w:val="17"/>
          <w:color w:val="auto"/>
        </w:rPr>
        <w:t>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w:t>
      </w:r>
    </w:p>
    <w:p>
      <w:pPr>
        <w:spacing w:after="0" w:line="31" w:lineRule="exact"/>
        <w:rPr>
          <w:sz w:val="20"/>
          <w:szCs w:val="20"/>
          <w:color w:val="auto"/>
        </w:rPr>
      </w:pPr>
    </w:p>
    <w:p>
      <w:pPr>
        <w:ind w:right="20" w:firstLine="45"/>
        <w:spacing w:after="0" w:line="280" w:lineRule="auto"/>
        <w:rPr>
          <w:sz w:val="20"/>
          <w:szCs w:val="20"/>
          <w:color w:val="auto"/>
        </w:rPr>
      </w:pPr>
      <w:r>
        <w:rPr>
          <w:rFonts w:ascii="Times New Roman" w:cs="Times New Roman" w:eastAsia="Times New Roman" w:hAnsi="Times New Roman"/>
          <w:sz w:val="18"/>
          <w:szCs w:val="18"/>
          <w:color w:val="auto"/>
        </w:rPr>
        <w:t>These products may compete with our products, and our patents or other intellectual property rights may not be effective or sufficient to prevent them from competing.</w:t>
      </w:r>
    </w:p>
    <w:p>
      <w:pPr>
        <w:spacing w:after="0" w:line="1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86"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third-party, or claiming ownership of what we regard as our own intellectual property.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have wrongfully hired an employee from a competitor or that we or these employees, consultants and contractors have used or disclosed such third-party intellectual property, including know-how, trade secrets or other proprietary information. 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third-parties involved in developing our products or product candidates or as a result of questions regarding co-ownership of potential joint inventions. For example, we may have inventorship disputes arise from conflicting obligations of consultants or others who are involved in developing our products or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71" w:right="379" w:bottom="1440" w:gutter="0" w:footer="0" w:header="0"/>
        </w:sectPr>
      </w:pPr>
    </w:p>
    <w:bookmarkStart w:id="67" w:name="page68"/>
    <w:bookmarkEnd w:id="67"/>
    <w:p>
      <w:pPr>
        <w:spacing w:after="0" w:line="259" w:lineRule="auto"/>
        <w:rPr>
          <w:sz w:val="20"/>
          <w:szCs w:val="20"/>
          <w:color w:val="auto"/>
        </w:rPr>
      </w:pPr>
      <w:r>
        <w:rPr>
          <w:rFonts w:ascii="Times New Roman" w:cs="Times New Roman" w:eastAsia="Times New Roman" w:hAnsi="Times New Roman"/>
          <w:sz w:val="18"/>
          <w:szCs w:val="18"/>
          <w:color w:val="auto"/>
        </w:rPr>
        <w:t>We or our licensors may have relied on third-party consultants or collaborators or on funds from third-parties, such as national governments, such that we or our licensors are not the sole and exclusive owners of the patents we in-licensed. If other third-parties have ownership rights or other rights to our patents, including in-licensed patents, they may be able to license such patents to our competitors, and our competitors could market competing products and technology.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color w:val="auto"/>
        </w:rPr>
        <w:t>This could have a material adverse effect on our competitive position, business, financial conditions, results of operations, and prospects.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116" w:lineRule="exact"/>
        <w:rPr>
          <w:sz w:val="20"/>
          <w:szCs w:val="20"/>
          <w:color w:val="auto"/>
        </w:rPr>
      </w:pPr>
    </w:p>
    <w:p>
      <w:pPr>
        <w:ind w:right="5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Convertible Notes.</w:t>
      </w:r>
    </w:p>
    <w:p>
      <w:pPr>
        <w:spacing w:after="0" w:line="5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As of December 31, 2022, we had $575 million principal amount of indebtedness as a result of the 2.25% Convertible Senior Notes due 2028 (“Convertible Notes”) offering. We may also incur additional indebtedness to meet future financing needs. Our indebtedness could have significant negative consequences for our shareholders and our business, results of operations, and financial condition by, among other things:</w:t>
      </w:r>
    </w:p>
    <w:p>
      <w:pPr>
        <w:spacing w:after="0" w:line="68" w:lineRule="exact"/>
        <w:rPr>
          <w:sz w:val="20"/>
          <w:szCs w:val="20"/>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15" w:lineRule="exact"/>
        <w:rPr>
          <w:rFonts w:ascii="Times New Roman" w:cs="Times New Roman" w:eastAsia="Times New Roman" w:hAnsi="Times New Roman"/>
          <w:sz w:val="18"/>
          <w:szCs w:val="18"/>
          <w:color w:val="auto"/>
        </w:rPr>
      </w:pPr>
    </w:p>
    <w:p>
      <w:pPr>
        <w:ind w:left="1020" w:right="460" w:hanging="504"/>
        <w:spacing w:after="0" w:line="280"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shareholders as a result of issuing ADSs upon conversion of the Convertible Notes and the ordinary shares represented by such ADSs;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Convertible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92"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redeem the Convertible Notes for cash following a fundamental change, and our future indebtedness may limit our ability to redeem the Convertible Notes in connection with such fundamental change.</w:t>
      </w:r>
    </w:p>
    <w:p>
      <w:pPr>
        <w:spacing w:after="0" w:line="5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Holders of the Convertible Notes may, subject to a limited exception described in the indenture, require us to redeem their Convertible Notes following a fundamental change under the indenture at a cash fundamental change redemption price generally equal to the principal amount of the Convertible Notes to be redeemed in connection with such fundamental change, plus accrued and unpaid interest, if any. We may not have enough available cash or be able to obtain financing at the time we are required to redeem the Convertible Notes in connection with a fundamental change. In addition, applicable law, regulatory authorities and the agreements governing our other indebtedness may restrict our ability to redeem the Convertible Notes in connection with a fundamental change. Our failure to redeem Convertible Notes in connection with a fundamental change when required will constitute a default under the indenture. A default under the indenture or the fundamental change itself could also lead to a default under agreements governing our other consolidated indebtedness (if any), which may result in that other indebtedness becoming immediately payable in full. If the repayment of such other indebtedness were to be accelerated after any applicable notice or grace periods, then we may not have sufficient funds to repay that indebtedness and redeem the Convertible Notes in connection with such fundamental change.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12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Certain provisions in the Convertible Notes and the indenture could make a third party attempt to acquire us more difficult or expensive. For example, a takeover will under certain circumstances constitute a fundamental change, and the noteholders will then have the right to require us to redeem their Convertible Notes for cash. In addition, if a takeover constitutes a make-whole fundamental change, then we may be required to temporarily increase the conversion rate. In either case, and in other cases, our obligations under the Convertible Notes and the indenture could increase the cost of acquiring us or otherwise discourage a third party from acquiring us or removing incumbent management, including in a transaction that noteholders or holders of the ADSs or our ordinary shares may view as favorable.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Notes could adversely affect our reported financial condition and results.</w:t>
      </w:r>
    </w:p>
    <w:p>
      <w:pPr>
        <w:spacing w:after="0" w:line="12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The Convertible Notes are treated as a compound financial instrument with a foreign currency financial liability component ("host"), and an embedded derivative ("derivative") related to a written option to exchange a fixed number of our own shares for a fixed amount of Convertible Notes that is denominated in a foreign currency. The derivative is not closely related to the host, because it is exposed to dissimilar risks, such as volatility from the Company's own share price. Accordingly, the derivative is accounted for separately at fair value through profit or loss.</w:t>
      </w:r>
    </w:p>
    <w:p>
      <w:pPr>
        <w:spacing w:after="0" w:line="1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initial fair value of the host was the residual amount after separating the embedded derivative at fair value, net of transaction costs attributable to the host component. Transaction costs were allocated to the host and the derivative in proportion to the allocation of proceeds. Transaction costs attributable to the derivative were recognized immediately in the profit or loss as a financial expense.</w:t>
      </w:r>
    </w:p>
    <w:p>
      <w:pPr>
        <w:spacing w:after="0" w:line="17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difference between the principal amount of the Convertible Notes and the initial fair value of the host is amortized into interest expense over the expected lifetime of the Convertible Notes using the effective interest method. As a result of this amortization, the interest expense that we expect to recognize for the Convertible Notes for accounting purposes will be greater than the cash interest payments we will pay on the Convertible Notes, which will result in lower reported income or higher reported loss. The lower reported income or higher reported loss resulting from this accounting treatment could depress the trading price of our common stock and the Convertible Notes.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fair value of the derivative cannot be measured based on quoted prices in active markets, or other observable input, and accordingly, the derivative is measured by using the Black-Scholes option pricing model, where the pricing is exposed from changes in the Company’s share price. Since the fair value is exposed to development in the Company's share price, the profit or loss is exposed to volatility from such development, which could result in lower reported income or higher reported loss. The lower reported income or higher reported loss resulting from this accounting treatment could have a negative effect on the trading price of the ADSs.</w:t>
      </w:r>
    </w:p>
    <w:p>
      <w:pPr>
        <w:spacing w:after="0" w:line="183"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In addition, the accounting method for reflecting the ordinary shares represented by ADSs underlying the Convertible Notes in our diluted earnings per share may adversely affect our reported earnings and financial condition. We expect that, under applicable accounting principles, the ordinary shares represented by ADSs underlying the Convertible Notes will be reflected in our diluted earnings per share assuming that all the Convertible Notes were converted into ADSs at the beginning of the reporting period (or, if later, the date the Convertible Notes are first issued), unless the result would be antidilutive. Accounting for the Convertible Notes in this manner may reduce our diluted earnings per share.</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 and ADSs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ADSs may be volatile and the holders of the ADSs may not be able to resell ADSs at or above the price they paid.</w:t>
      </w:r>
    </w:p>
    <w:p>
      <w:pPr>
        <w:spacing w:after="0" w:line="12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The trading price of the ADSs has been and could continue to be highly volatile and could be subject to wide fluctuations in response to various factors, some of which are beyond our control. These factors include:</w:t>
      </w:r>
    </w:p>
    <w:p>
      <w:pPr>
        <w:spacing w:after="0" w:line="55" w:lineRule="exact"/>
        <w:rPr>
          <w:sz w:val="20"/>
          <w:szCs w:val="20"/>
          <w:color w:val="auto"/>
        </w:rPr>
      </w:pPr>
    </w:p>
    <w:p>
      <w:pPr>
        <w:ind w:left="1020" w:right="140" w:hanging="504"/>
        <w:spacing w:after="0" w:line="280"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or obtain regulatory approval for our products or product candidates, or delays in commercializing or obtaining regulatory approval;</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products or product candidates;</w:t>
      </w:r>
    </w:p>
    <w:p>
      <w:pPr>
        <w:spacing w:after="0" w:line="115" w:lineRule="exact"/>
        <w:rPr>
          <w:rFonts w:ascii="Times New Roman" w:cs="Times New Roman" w:eastAsia="Times New Roman" w:hAnsi="Times New Roman"/>
          <w:sz w:val="18"/>
          <w:szCs w:val="18"/>
          <w:color w:val="auto"/>
        </w:rPr>
      </w:pPr>
    </w:p>
    <w:p>
      <w:pPr>
        <w:ind w:left="1020" w:right="80" w:hanging="504"/>
        <w:spacing w:after="0" w:line="280"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apply our TransCon technologies to therapeutic areas other than endocrinology, including the therapeutic areas of oncology and ophthalmology;</w:t>
      </w:r>
    </w:p>
    <w:p>
      <w:pPr>
        <w:spacing w:after="0" w:line="55" w:lineRule="exact"/>
        <w:rPr>
          <w:rFonts w:ascii="Times New Roman" w:cs="Times New Roman" w:eastAsia="Times New Roman" w:hAnsi="Times New Roman"/>
          <w:sz w:val="18"/>
          <w:szCs w:val="18"/>
          <w:color w:val="auto"/>
        </w:rPr>
      </w:pPr>
    </w:p>
    <w:p>
      <w:pPr>
        <w:ind w:left="1020" w:right="680" w:hanging="504"/>
        <w:spacing w:after="0" w:line="280"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a complete response letter to our product candidates, or specific label indications or patient populations for use, or changes or delays in the regulatory review process;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current or future collaborations or joint ventures;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parent drugs that we use in developing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actions taken by regulatory authorities with respect to our clinical trials, manufacturing supply chain or sales and marketing activities;</w:t>
      </w:r>
    </w:p>
    <w:p>
      <w:pPr>
        <w:spacing w:after="0" w:line="127"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products or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any manufacturers or suppliers;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license or discover additional products or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5" w:lineRule="exact"/>
        <w:rPr>
          <w:rFonts w:ascii="Times New Roman" w:cs="Times New Roman" w:eastAsia="Times New Roman" w:hAnsi="Times New Roman"/>
          <w:sz w:val="18"/>
          <w:szCs w:val="18"/>
          <w:color w:val="auto"/>
        </w:rPr>
      </w:pPr>
    </w:p>
    <w:p>
      <w:pPr>
        <w:ind w:left="1020" w:right="80" w:hanging="504"/>
        <w:spacing w:after="0" w:line="280"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FDA or other similar regulatory actions affecting us or our industry or other healthcare reform measures in the EU, United States or in other markets;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w:t>
      </w:r>
    </w:p>
    <w:p>
      <w:pPr>
        <w:spacing w:after="0" w:line="115" w:lineRule="exact"/>
        <w:rPr>
          <w:rFonts w:ascii="Times New Roman" w:cs="Times New Roman" w:eastAsia="Times New Roman" w:hAnsi="Times New Roman"/>
          <w:sz w:val="18"/>
          <w:szCs w:val="18"/>
          <w:color w:val="auto"/>
        </w:rPr>
      </w:pPr>
    </w:p>
    <w:p>
      <w:pPr>
        <w:ind w:left="1020" w:right="900" w:hanging="504"/>
        <w:spacing w:after="0" w:line="280"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ordinary shares and/or ADSs by us, our senior management and board members, holders of the ADSs or our shareholders in the future;</w:t>
      </w:r>
    </w:p>
    <w:p>
      <w:pPr>
        <w:spacing w:after="0" w:line="5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United States and international equity markets, including deteriorating market conditions due to investor concerns regarding inflation and hostilities between Russia and Ukraine;</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business, operating results, prospects and financial condition of the worldwide COVID-19 pandemic;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71" w:name="page72"/>
    <w:bookmarkEnd w:id="71"/>
    <w:p>
      <w:pPr>
        <w:spacing w:after="0" w:line="255"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ADSs. In the past, when the market price of a stock has been volatile, holders of that stock have sometimes instituted securities class action litigation against the issuer. If any of the holders of ordinary shares or ADSs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do not directly hold our ordinary shares and do not have the rights of a holder of our ordinary shares.</w:t>
      </w:r>
    </w:p>
    <w:p>
      <w:pPr>
        <w:spacing w:after="0" w:line="12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Danish law governs shareholder rights. Our depositary, Bank of New York Mellon, is the holder of the ordinary shares underlying our ADSs. The deposit agreement among us, the depositary, and all other persons directly and indirectly holding ADSs, sets out ADS holder rights as well as the rights and obligations of the depositary. In addition, our depositary charges certain fees to holders of our ADSs.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may not be able to exercise their right to vote the ordinary shares underlying their ADSs.</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Holders of ADSs may exercise voting rights with respect to the ordinary shares represented by the ADSs only in accordance with the provisions of the deposit agreement and not as a direct shareholder in the Company.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(1) the notice of the meeting or solicitation of consent or proxy sent by us and (2) a statement as to the manner in which instructions may be given by the holders. However, we may not request the depositary to distribute this information which could effectively limit the ability of ADS holders to direct voting of the ordinary shares underlying their ADSs.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ADS holders may instruct the depositary of their ADSs to vote the ordinary shares underlying their ADSs. Otherwise, ADS holders are not able to exercise their right to vote, unless they withdraw the ordinary shares underlying the ADSs they hold. However, they may not know about the meeting far enough in advance to withdraw those ordinary shares. If we ask for instructions from ADS holders, the depositary, upon timely notice from us, will notify the ADS holders of the upcoming vote and arrange to deliver our voting materials to the ADS holders. We cannot guarantee that ADS holders will receive the voting materials in time to ensure that such holders can instruct the depositary to vote the ordinary shares underlying their ADSs or to withdraw the ordinary shares underlying their ADSs so that they can vote such shares directly. If the depositary does not receive timely voting instructions from an ADS holder, the depositary may give a proxy to a person designated by us to vote the ordinary shares underlying ADSs. In addition, the depositary and its agents are not responsible for failing to carry out voting instructions or for the manner of carrying out voting instructions. This means that ADS holders may not be able to exercise any right to vote, and there may be nothing an ADS holder can do if the ordinary shares underlying their ADSs are not voted as they requested.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An ADS holder may be subject to limitations on the transfer of their ADSs and the withdrawal of the underlying ordinary shares.</w:t>
      </w:r>
    </w:p>
    <w:p>
      <w:pPr>
        <w:spacing w:after="0" w:line="12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ADSs, which may be evidenced by American Depositary Receipts,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an ADS holders’ right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an ADS holder may not be able to cancel their ADS and withdraw the underlying ordinary shares when such holder owes money for fees, taxes and similar charges and when it is necessary to prohibit withdrawals to comply with any laws or governmental regulations that apply to ADSs or to the withdrawal of ordinary shares or other deposited securities.</w:t>
      </w:r>
    </w:p>
    <w:p>
      <w:pPr>
        <w:spacing w:after="0" w:line="289"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issue shares or ADSs in future financings, shareholders or holders of ADSs may experience immediate dilution and, as a result, the price of our ADSs may decline.</w:t>
      </w:r>
    </w:p>
    <w:p>
      <w:pPr>
        <w:spacing w:after="0" w:line="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may from time to time issue additional shares or ADS at a discount from the trading price of our ADSs. As a result, our shareholders and holders of ADSs would experience immediate dilution upon the issuance of ADSs at such discount. In addition, as opportunities present themselves, we may enter into financing or similar arrangements in the future, including the issuance of debt securities, preference shares, ADSs or ordinary shares. If we issue shares or securities convertible into shares of our share capital, our ordinary shareholders and holders of ADSs would experience additional dilution and, as a result, the price of our ADSs may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ordinary shares or ADSs in the public market could cause the price of the ADSs to fall.</w:t>
      </w:r>
    </w:p>
    <w:p>
      <w:pPr>
        <w:spacing w:after="0" w:line="1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our existing shareholders or holders of ADSs sell, or indicate an intention to sell, substantial amounts of our ordinary shares or ADSs representing our ordinary shares in the public market, the trading price of our ADSs could decline. If our outstanding warrants are exercised or ADS subject to restricted stock units vest, additional ordinary shares or ADSs may become eligible for sale in the public market to the extent permitted by the provisions of various vesting schedules and Rule 144 and Rule 701 under the Securities Act. If these additional ordinary shares or ADSs are sold, or if it is perceived that they will be sold, in the public market, the trading price of the ADSs could decline. Any sales of securities by these security holders could have a negative effect on the trading price of the ADSs.</w:t>
      </w:r>
    </w:p>
    <w:p>
      <w:pPr>
        <w:spacing w:after="0" w:line="291"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principal shareholders and senior management own a significant percentage of our shares and are able to exert significant control over matters subject to shareholder approval.</w:t>
      </w:r>
    </w:p>
    <w:p>
      <w:pPr>
        <w:spacing w:after="0" w:line="5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of February 1, 2023, our senior management, board members, holders of 5% or more of our share capital and their respective affiliates beneficially own approximately 70.6% of our outstanding voting securities. See “Item 7 A. Major Shareholders and Related Party Transactions - Major Shareholders” for information relating to the determination of the number of shares beneficially owned by an entity or a person. As a result, these security holders have the ability either alone or voting together as a group to determine and/or significantly influence the outcome of matters submitted to our shareholders for approval, including the election and removal of board members, payment of dividends, amendments to our articles of association, including changes to our share capital or any mergers, demergers, liquidations and similar transactions. This may prevent or discourage unsolicited acquisition proposals or offers for our ordinary shares or ADSs that our shareholders or ADS holders may feel are in their best interest as a shareholder or holder of ADSs. In addition, this group of shareholders may have the ability to control our management and affairs. Such control and concentration of ownership may affect the market price of the ADSs and may discourage certain types of transactions, including those involving actual or potential change of control of us (whether through merger, consolidation, take-over or other business combination), which might otherwise have a positive effect on the market price of the ADSs.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be different from the rights of shareholders in companies governed by the laws of U.S. jurisdictions.</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Our corporate affairs are governed by our articles of association and by the laws governing companies incorporated in Denmark, including the Danish Companies Act. The rights of shareholders and the responsibilities of members of our board of directors may be different from the rights and obligations of shareholders in companies governed by the laws of U.S. jurisdictions. In the performance of its duties, our board of directors is required by Danish law to consider the interests of our company, its shareholders and its creditors. It is possible that some of these parties will have interests that are different from, or in addition to, the interests of our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120"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18"/>
          <w:szCs w:val="18"/>
          <w:color w:val="auto"/>
        </w:rPr>
        <w:t>We are incorporated under the laws of Denmark. Substantially all of our assets are located outside the United States. A significant portion of our board members and employees reside outside the United States. As a result, it may not be possible for investors to effect service of process within the United States upon such persons or to enforce against them or us in U.S. courts, including judgements predicated upon the civil liability provisions of the U.S. securities laws of the United States.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United States and Denmark currently do not have a treaty providing for the reciprocal recognition and enforcement of judgements, other than arbitration awards, in civil and commercial matters. Consequently, a final judgement for payment given by a court in the United States, whether or not predicated solely upon U.S. securities laws, would not automatically be recognized or enforceable in Denmark. To obtain a judgement which is enforceable in Denmark, the party in whose favor a final and conclusive judgement of the U.S. court has been rendered will be required to file its claim with a court of competent jurisdiction in Denmark. Such party may submit to the Danish court the final judgement rendered by the U.S. court. If and to the extent that the Danish court finds that the jurisdiction of the U.S. court has been based on grounds which are internationally acceptable and that proper legal procedures have been observed, the Danish court should, in principle, give binding effect to the judgement of the U.S. court, unless such judgement contravenes principles of public policy of Denmark. Danish courts are likely to deny the recognition and enforcement of punitive damages or other awards. Moreover, a Danish court may reduce the amount of damages granted by a U.S. court and recognize damages only to the extent that they are necessary to compensate for actual losses or damages. Enforcement and recognition of judgements of U.S. courts in Denmark are solely governed by the provisions of the Danish Administration of Justice Act.</w:t>
      </w:r>
    </w:p>
    <w:p>
      <w:pPr>
        <w:spacing w:after="0" w:line="1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Based on the lack of a treaty as described above, U.S. investors may not be able to enforce against us or members of our board of directors, our executive board, our senior management or certain experts named herein who are residents of Denmark or countries other than the United States any judgements obtained in U.S. courts in civil and commercial matters, including judgements under the U.S. federal securities laws.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4" w:name="page75"/>
    <w:bookmarkEnd w:id="74"/>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U.S. proxy rules and are not subject to certain Exchange Act reporting obligations that, to some extent, are more lenient and less frequent than those of a U.S. domestic public company.</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and although we are subject to Danish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large accelerated filers are required to file their annual report on Form 10-K within 60 days after the end of each fiscal year. Foreign private issuers are also exempt from the Regulation Fair Disclosure, aimed at preventing issuers from making selective disclosures of material information. As a result of the above, our shareholders and the holders of our ADS may not have the same protections afforded to shareholders of companies that are not foreign private issuers.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 “foreign private issuer” allows us to adopt IFRS accounting principles, which are different than accounting principles under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Generally Accepted Accounting Principles (“U.S. GAAP”).</w:t>
      </w:r>
    </w:p>
    <w:p>
      <w:pPr>
        <w:spacing w:after="0" w:line="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adopted and presented our consolidated financial statements in accordance with IFRS as issued by the International Accounting Standards Board and as adopted by the EU. IFRS is an internationally recognized body of accounting principles that are used by many companies outside of the United States to prepare their financial statements; and the SEC permits foreign private issuers such as our company to prepare and file their financial statements in accordance with IFRS rather than U.S. GAAP. IFRS accounting principles are different from those of U.S. GAAP, and SEC rules do not require us to provide a reconciliation of IFRS accounting principles to those of U.S. GAAP. Investors who are not familiar with IFRS may misunderstand certain information presented in our consolidated financial statements. Accordingly, we suggest that readers of our consolidated financial statements familiarize themselves with the provisions of IFRS accounting principles to better understand the differences between these two sets of principles.</w:t>
      </w:r>
    </w:p>
    <w:p>
      <w:pPr>
        <w:spacing w:after="0" w:line="292" w:lineRule="exact"/>
        <w:rPr>
          <w:sz w:val="20"/>
          <w:szCs w:val="20"/>
          <w:color w:val="auto"/>
        </w:rPr>
      </w:pPr>
    </w:p>
    <w:p>
      <w:pPr>
        <w:ind w:right="7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The Nasdaq Global Select Market, we rely on certain home country governance practices rather than the corporate governance requirements of The Nasdaq Global Select Market.</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a foreign private issuer, in accordance with the listing requirements of The Nasdaq Global Select Market, we rely on home country governance requirements and certain exemptions thereunder rather than relying on the corporate governance requirements of The Nasdaq Global Select Market. For instance, the Listing Rules for The Nasdaq Stock Market, or The Nasdaq Listing Rules, for domestic U.S. issuers require listed companies to have, among other things, a majority of their board members be independent, and to have independent director oversight of executive compensation, nomination of board members and corporate governance matters. As a foreign private issuer, however, while we intend to comply with these requirements, we are permitted to follow home country practice in lieu of the above requirements. Danish law does not require that a majority of our board consist of independent directors or the implementation of a remuneration committee or nominating and corporate governance committee, and our board may thus in the future not include, or include fewer, independent directors than would be required if we were subject to The Nasdaq Listing Rules, or they may decide that it is in our interest not to have a remuneration committee or nominating and corporate governance committee, or have such committees governed by practices that would not comply with The Nasdaq Listing Rules. Since a majority of our board of directors may not consist of independent directors, if we decide to rely on the foreign private issuer exemption to The Nasdaq Listing Rules, our board’s approach may, therefore, be different from that of a board with a majority of independent directors, and as a result, the management oversight of our company could, in the future, be more limited than if we were subject to The Nasdaq Listing Rules. We intend to follow home country practice with regard to, among other things, quorum requirements generally applicable to general meetings of shareholders.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75" w:name="page76"/>
    <w:bookmarkEnd w:id="75"/>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Danish law does not have a regulatory regime for the solicitation of proxies and the solicitation of proxies is not a generally accepted business practice in Denmark, thus our practice varies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To this extent, our practice varies from the requirements of Nasdaq Rule 5635, which generally requires an issuer to obtain shareholder approval for the issuance of securities in connection with such events. Accordingly, our shareholders and holders of our ADS may not have the same protections afforded to shareholders of companies that are subject to these Nasdaq requirements.</w:t>
      </w:r>
    </w:p>
    <w:p>
      <w:pPr>
        <w:spacing w:after="0" w:line="292"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qualify as a foreign private issuer and therefore we are not required to comply with all of the periodic disclosure and current reporting requirements of the Exchange Act applicable to U.S. domestic issuers. We may no longer be a foreign private issuer as of June 30, 2023, which would require us to comply with all of the periodic disclosure and current reporting requirements of the Exchange Act applicable to U.S. domestic issuers as of January 1, 2024. To maintain our current status as a foreign private issuer, either (a) a majority of our ordinary shares or ADSs must be either directly or indirectly owned of record by non-residents of the United States or (b) (i) a majority of our executive officers or directors may not be U.S. citizens or residents, (ii) more than 50% of our assets cannot be located in the United States and (iii) our business must not be administered principally inside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 and members of our senior management.</w:t>
      </w:r>
    </w:p>
    <w:p>
      <w:pPr>
        <w:spacing w:after="0" w:line="30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ordinary shares or ADSs, and, consequently, our shareholders’ and ADS holders’ ability to achieve a return on their investment will depend on appreciation in the price of the ADSs or our ordinary shares.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ordinary shares for the foreseeable future. We currently intend to invest our future earnings, if any, to fund our growth. Therefore, our shareholders and ADS holders are not likely to receive any dividends on their investment for the foreseeable future. Because we do not intend to pay dividends, our shareholders’ and ADS holders’ ability to receive a return on their investment will depend on any future appreciation in the market value of our ADSs. There is no guarantee that our ordinary shares or ADSs will appreciate or even maintain the price at which our holders have acquired them.</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76" w:name="page77"/>
    <w:bookmarkEnd w:id="76"/>
    <w:p>
      <w:pPr>
        <w:ind w:right="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Investors should be aware that the rights provided to our shareholders and holders of ADSs under Danish corporate law and our articles of association differ in certain respects from the rights that would typically be provided to a shareholder of a U.S. company under applicable U.S. federal and state laws.</w:t>
      </w:r>
    </w:p>
    <w:p>
      <w:pPr>
        <w:spacing w:after="0" w:line="6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Under Danish corporate law, except in certain limited circumstances (which require as a minimum that a proposal for inspection has been supported by a minimum of 25% of the shareholders voting and being present at a general meeting), our shareholders may not ask for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to enforce a right of our company, in case we fail to enforce such right ourselves, other than in certain cases of board member or management liability under limited circumstances. In addition, a majority of our shareholders may release a board member or manager from any claim of liability we may have, including if such board member or manager has acted in bad faith or has breached his or her duty of loyalty and only if a minority of at least 10% of the shareholders represented at the relevant general meeting have opposed the decision, may a shareholder bring a derivative action on behalf of our company. In contrast, most U.S. federal and state laws prohibit a company or its shareholders from releasing a board member from liability altogether if such board member has acted in bad faith or has breached such board member’s duty of loyalty to our company. Additionally, distribution of dividends from Danish companies to foreign companies and individuals may be subject to non-refundable withholding tax, which may not be creditable or deductible under the tax laws of the country in which the recipient shareholder is resident for tax purposes. Also, the rights as a creditor may not be as strong under Danish insolvency law, as under U.S. law or other insolvency law, and consequently creditors may recover less in the event our company is subject to insolvency compared to a similar case including a U.S. debtor. In addition, the use of the tax asset consisting of the accumulated tax deficit requires that we are able to generate positive taxable income and can be restricted by future amendments to Danish tax law. Further, repurchases of ordinary shares or ADSs by Ascendis Pharma A/S may have adverse tax consequences to the Company or shareholders under applicable Danish law. Finally, Danish corporate law may not provide appraisal rights in the case of a business combination equivalent to those generally afforded a shareholder of a U.S. company under applicable U.S. laws. As a result of these differences between Danish corporate law and our articles of association, on the one hand, and U.S. federal and state laws, on the other hand, in certain instances, shareholders and ADS holders could receive less protection as an equity holder of our company than they would as a shareholder of a U.S. company.</w:t>
      </w:r>
    </w:p>
    <w:p>
      <w:pPr>
        <w:spacing w:after="0" w:line="294"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or ADSs may not be able to exercise their pre-emptive subscription rights and may suffer dilution of their equity holding in the event of future issuances of our shares.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the Danish Companies Act, our shareholders benefit from a pre-emptive subscription right on the issuance of ordinary shares for cash consideration only and not in the event of issuance of shares against non-cash contribution or debt conversion. Even the shareholders’ pre-emptive subscription rights in the event of issuances of shares against cash payment may be disapplied by a resolution of the shareholders at a general meeting of our shareholders and/or the shares or ADSs may be issued on the basis of an authorization granted to the board of directors pursuant to which the board may disapply the shareholders’ pre-emptive subscription rights. Such shares or ADSs may be issued above, or at market value. In addition, a shareholder may not be able to exercise the shareholder’s pre-emptive right on a timely basis or at all, unless the shareholder complies with the Danish Companies Act and applicable laws in the jurisdiction in which the shareholder is resident. Furthermore, the use of pre-emptive subscription rights in relation to future capital increases in our company can be restricted for U.S. residents according to U.S. securities law. As a result, the shareholding or holding of ADSs of such shareholders or ADS holders may be materially diluted in the event shares or ADSs are issued in the future. Shares or ADSs may be issued at a discount to market price in rights offerings provided that the resolution is approved by two-thirds of the votes cast and the share capital represented at the general meeting and in these cases a restriction on the ability to exercise pre-emptive rights may materially dilute the value of the ordinary shares or ADSs held by the shareholder or ADS holder in question. Rights issues may also be carried out by the board of directors according to valid authorizations in our articles of association.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77" w:name="page78"/>
    <w:bookmarkEnd w:id="77"/>
    <w:p>
      <w:pPr>
        <w:ind w:right="60"/>
        <w:spacing w:after="0" w:line="252" w:lineRule="auto"/>
        <w:rPr>
          <w:sz w:val="20"/>
          <w:szCs w:val="20"/>
          <w:color w:val="auto"/>
        </w:rPr>
      </w:pPr>
      <w:r>
        <w:rPr>
          <w:rFonts w:ascii="Times New Roman" w:cs="Times New Roman" w:eastAsia="Times New Roman" w:hAnsi="Times New Roman"/>
          <w:sz w:val="18"/>
          <w:szCs w:val="18"/>
          <w:color w:val="auto"/>
        </w:rPr>
        <w:t>However, our ADS holders in the United States are not entitled to exercise or sell such pre-emptive subscription rights related to the ordinary shares, which they represent unless we register the pre-emptive subscription rights and the securities to which the pre-emptive subscription rights relate under the Securities Act or an exemption from the registration requirements is available. In addition, the deposit agreement provides that the depositary will not make rights available to ADS holders unless the distribution to ADS holders or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our shareholders and ADS holders will receive no value for these rights.</w:t>
      </w:r>
    </w:p>
    <w:p>
      <w:pPr>
        <w:spacing w:after="0" w:line="294"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ordinary shares or ADSs, the price of the ADSs and trading volume could decline.</w:t>
      </w:r>
    </w:p>
    <w:p>
      <w:pPr>
        <w:spacing w:after="0" w:line="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trading market for the ADSs may be influenced by the research and reports that industry or securities analysts publish about us or our business. If any of the analysts who cover us issue an adverse or misleading opinion regarding us, our business model, our intellectual property or performance of the ADSs, or if our commercial sales, clinical trials or operating results fail to meet the expectations of analysts, the price of the ADSs would likely decline. If one or more of these analysts cease coverage of us or fail to publish reports on us regularly, we could lose visibility in the financial markets, which in turn could cause the price of the ADSs or trading volume to decline.</w:t>
      </w:r>
    </w:p>
    <w:p>
      <w:pPr>
        <w:spacing w:after="0" w:line="287"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for U.S. federal income tax purposes for our current taxable year and future taxable years, which could result in adverse U.S. federal income tax consequences to U.S. investors.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the Internal Revenue Code of 1986, as amended (the “Code”), and U.S. Treasury Regulations, the determination of passive foreign investment company (“PFIC”) status is fact-specific, and generally cannot be made until after the close of the taxable year in question. Based on our market capitalization and the composition of our income, assets and operations, we do not believe we were a PFIC for U.S. federal income tax purposes for our taxable year ended December 31, 2022. However, this is a factual determination, and the application of the PFIC rules is subject to uncertainty in several respects, and we cannot assure you we will not be a PFIC for any taxable year. A non-U.S. corporation will be considered a PFIC for any taxable year if, after the application of certain look-through rules, either (1) at least 75% of its gross income for such taxable year is passive income (as defined in the relevant provisions of the Code) or (2) at least 50% of the value of its assets (generally based on an average of the quarterly values of the assets) during such year is attributable to assets that produce or are held for the production of passive income. A separate determination must be made each taxable year as to whether we are a PFIC (after the close of each such taxable year). If we are a PFIC for any taxable year during which a U.S. Holder (as defined in “Taxation —Material U.S. Federal Income Tax Consequences to U.S. Holders”) holds ordinary shares or ADSs, the U.S. Holder may be subject to adverse tax consequences, including (i) the treatment of all or a portion of any gain on disposition as ordinary income, (ii) the application of an interest charge with respect to such gain and certain dividends and (iii) compliance with certain reporting requirements. Although we do not believe we were a PFIC for U.S. federal income tax purposes for our taxable year ended December 31, 2022, the application of the PFIC rules is subject to uncertainty in several respects. Whether we will be a PFIC in any year depends on the composition of our income and assets, and the relative fair market value of our assets from time to time, which we expect may vary substantially over time. In addition, because the value of our assets, including unbooked goodwill, for purposes of the asset test will generally be determined by reference to the market price of the ADSs, our PFIC status will depend in large part on the market price of the ADSs, which may fluctuate significantly. For these reasons, we cannot assure you we will not be a PFIC for any taxable year.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8" w:name="page79"/>
    <w:bookmarkEnd w:id="78"/>
    <w:p>
      <w:pPr>
        <w:ind w:right="400"/>
        <w:spacing w:after="0" w:line="280" w:lineRule="auto"/>
        <w:rPr>
          <w:sz w:val="20"/>
          <w:szCs w:val="20"/>
          <w:color w:val="auto"/>
        </w:rPr>
      </w:pPr>
      <w:r>
        <w:rPr>
          <w:rFonts w:ascii="Times New Roman" w:cs="Times New Roman" w:eastAsia="Times New Roman" w:hAnsi="Times New Roman"/>
          <w:sz w:val="18"/>
          <w:szCs w:val="18"/>
          <w:color w:val="auto"/>
        </w:rPr>
        <w:t>Each U.S. Holder is strongly urged to consult its tax advisor regarding these issues. See “Item 10 E. Additional Information—Taxation—Material U.S. Federal Income Tax Consequences to U.S. Holders.”</w:t>
      </w:r>
    </w:p>
    <w:p>
      <w:pPr>
        <w:spacing w:after="0" w:line="266"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or ADSs, such holder may be subject to adverse U.S. federal income tax consequences.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a U.S. Holder (as defined in “Item 10 E. Additional Information—Taxation—Material U.S. Federal Income Tax Consequences to U.S. Holders.”) is treated as owning (directly, indirectly or constructively) at least 10% of the value or voting power of our ordinary shares or ADSs, such U.S. Holder will be treated as a “United States shareholder” with respect to each “controlled foreign corporation” in our group. Because our group includes one or more U.S. subsidiaries, certain of our non-U.S. subsidiaries will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from starting with respect to such shareholder’s U.S. federal income tax return for the year for which reporting was due. Further,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ordinary shares or ADSs.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6"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were organized under the laws of the Kingdom of Denmark in September 2006 as a private limited liability company (</w:t>
      </w:r>
      <w:r>
        <w:rPr>
          <w:rFonts w:ascii="Times New Roman" w:cs="Times New Roman" w:eastAsia="Times New Roman" w:hAnsi="Times New Roman"/>
          <w:sz w:val="18"/>
          <w:szCs w:val="18"/>
          <w:i w:val="1"/>
          <w:iCs w:val="1"/>
          <w:color w:val="auto"/>
        </w:rPr>
        <w:t>Anpartsselskab</w:t>
      </w:r>
      <w:r>
        <w:rPr>
          <w:rFonts w:ascii="Times New Roman" w:cs="Times New Roman" w:eastAsia="Times New Roman" w:hAnsi="Times New Roman"/>
          <w:sz w:val="18"/>
          <w:szCs w:val="18"/>
          <w:color w:val="auto"/>
        </w:rPr>
        <w:t>, or ApS) and then transformed into a public limited liability company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w:t>
      </w:r>
    </w:p>
    <w:p>
      <w:pPr>
        <w:spacing w:after="0" w:line="18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Our registered office and principal executive offices are located at Tuborg Boulevard 12, DK-2900 Hellerup, Denmark and our telephone number is +45 70 22 22 44. Our agent for service of process in the United States is Ascendis Pharma, Inc. Our corporate website address is www.ascendispharma.com. The information on, or that can be accessed through, our website is not part of and should not be incorporated by reference into this annual report or any other report we file or furnish to the U.S. Securities and Exchange Commission (“SEC”). We have included our website address as an inactive textual reference only. Our ADSs are traded on The Nasdaq Global Select Market under the symbol “ASND”.</w:t>
      </w:r>
    </w:p>
    <w:p>
      <w:pPr>
        <w:spacing w:after="0" w:line="18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SEC maintains an internet site at www.sec.gov that contains reports, proxy and information statements, and other information regarding issuers that file electronically with the SEC.</w:t>
      </w:r>
    </w:p>
    <w:p>
      <w:pPr>
        <w:spacing w:after="0" w:line="16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7"/>
          <w:szCs w:val="17"/>
          <w:color w:val="auto"/>
        </w:rPr>
        <w:t>For additional information relating to the development of our company, see “Item 4 B. Information on the Company – Business Overview.” For additional information relating to the Company’s capital expenditures, see “Item 5 A. Operating and Financial Review and Prospects—Operating Results.”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79" w:name="page80"/>
    <w:bookmarkEnd w:id="79"/>
    <w:p>
      <w:pPr>
        <w:ind w:right="9200" w:firstLine="8"/>
        <w:spacing w:after="0" w:line="376" w:lineRule="auto"/>
        <w:tabs>
          <w:tab w:leader="none" w:pos="51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spacing w:after="0" w:line="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are applying our innovative TransCon platform to build a leading, fully integrated, global biopharma company, focused on making a meaningful difference in patients’ lives. Guided by our core values of patients, science, and passion, we use our TransCon technologies to create new and potentially best-in-class therapies.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2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As announced in January 2019, Vision 3x3 is our vision to build a leading fully integrated, global, biopharma company and achieve sustainable growth through multiple approaches. This includes:</w:t>
      </w:r>
    </w:p>
    <w:p>
      <w:pPr>
        <w:spacing w:after="0" w:line="55" w:lineRule="exact"/>
        <w:rPr>
          <w:sz w:val="20"/>
          <w:szCs w:val="20"/>
          <w:color w:val="auto"/>
        </w:rPr>
      </w:pPr>
    </w:p>
    <w:p>
      <w:pPr>
        <w:ind w:left="1020" w:hanging="50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three independent Endocrinology Rare Disease products</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hGH for pediatric growth hormone deficiency</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PTH for adult hypoparathyroidism</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for achondroplasia</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Endocrinology Rare Disease pipeline through</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clinical reach</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9 total indications, label optimization, and life cycle management</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endocrinology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global commercial presence for our Endocrinology Rare Disease area</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integrated commercial organization in North America and select European countries</w:t>
      </w:r>
    </w:p>
    <w:p>
      <w:pPr>
        <w:spacing w:after="0" w:line="11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global commercial presence through partners with local expertise and infrastructure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 high-value oncology pipeline with one investigational new drug (“IND”) or similar submission each year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third independent therapeutic area with a diversified pipeline</w:t>
      </w:r>
    </w:p>
    <w:p>
      <w:pPr>
        <w:spacing w:after="0" w:line="223"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Our product candidates combine our TransCon technologies with clinically validated parent drugs and pathways, with the goal of optimizing efficacy, safety, tolerability and convenience.</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have applied these technologies in combination with clinically validated parent drugs or pathways using our algorithm with the goal of creating product candidates with the potential to be best-in-class in endocrinology rare diseases, oncology, and ophthalmology. In addition, we plan to apply this algorithm for product innovation in new therapeutic areas. We believe our approach to product innovation may reduce the risks associated with traditional drug development, and that our TransCon technologies have been validated by non-clinical and clinical programs completed to date.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Ascendis Algorithm for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330190" cy="128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3019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80" w:name="page81"/>
    <w:bookmarkEnd w:id="80"/>
    <w:p>
      <w:pPr>
        <w:spacing w:after="0" w:line="257" w:lineRule="auto"/>
        <w:rPr>
          <w:sz w:val="20"/>
          <w:szCs w:val="20"/>
          <w:color w:val="auto"/>
        </w:rPr>
      </w:pPr>
      <w:r>
        <w:rPr>
          <w:rFonts w:ascii="Times New Roman" w:cs="Times New Roman" w:eastAsia="Times New Roman" w:hAnsi="Times New Roman"/>
          <w:sz w:val="18"/>
          <w:szCs w:val="18"/>
          <w:color w:val="auto"/>
        </w:rPr>
        <w:t>When we apply our TransCon technologies to clinically validated parent drugs or pathways, we may benefit from established clinical safety and efficacy data, which we believe increases the probability of success compared to traditional drug development. As presented above, our algorithm for product innovation focuses on identifying indications that have an unmet medical need, have a clinically validated parent drug or pathway, are suitable to our TransCon technologies, have potential for creating a clearly differentiated product, have a potential established development pathway and have the potential to address a large market.</w:t>
      </w:r>
    </w:p>
    <w:p>
      <w:pPr>
        <w:spacing w:after="0" w:line="183"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We currently have one marketed product and a diversified portfolio of five product candidates in clinical development in the areas of endocrinology rare diseases, and oncology and we are working to apply our TransCon technology platform in additional therapeutic areas, including ophthalmology.</w:t>
      </w:r>
    </w:p>
    <w:p>
      <w:pPr>
        <w:spacing w:after="0" w:line="67" w:lineRule="exact"/>
        <w:rPr>
          <w:sz w:val="20"/>
          <w:szCs w:val="20"/>
          <w:color w:val="auto"/>
        </w:rPr>
      </w:pPr>
    </w:p>
    <w:p>
      <w:pPr>
        <w:ind w:left="1020" w:hanging="504"/>
        <w:spacing w:after="0" w:line="250"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First Marketed Product </w:t>
      </w:r>
      <w:r>
        <w:rPr>
          <w:rFonts w:ascii="Times New Roman" w:cs="Times New Roman" w:eastAsia="Times New Roman" w:hAnsi="Times New Roman"/>
          <w:sz w:val="18"/>
          <w:szCs w:val="18"/>
          <w:color w:val="auto"/>
        </w:rPr>
        <w:t>– Our first marketed product is SKYTROFA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(lonapegsomatropin-tcgd), developed as TransCon Growth Hormone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(“TransCon hGH”), which has received regulatory approval in the United States for the treatment of pediatric patients one year and older who weigh at least 11.5 kg and have growth failure due to inadequate secretion of endogenous growth hormone, also known as growth hormone deficiency (“GHD”) and which is now commercially available for prescription in the United States. In addition, in the European Union (“EU”), TransCon hGH was granted marketing authorisation by the European Commission (“EC”) as a once-weekly subcutaneous injection for the treatment of children and adolescents ages 3 to 18 years with growth failure due to insufficient secretion of endogenous growth hormone, known by its brand name SKYTROFA (lonapegsomatropin). In Europe, we plan to commercially launch SKYTROFA in Germany during the third quarter of 2023.</w:t>
      </w:r>
    </w:p>
    <w:p>
      <w:pPr>
        <w:spacing w:after="0" w:line="80" w:lineRule="exact"/>
        <w:rPr>
          <w:rFonts w:ascii="Times New Roman" w:cs="Times New Roman" w:eastAsia="Times New Roman" w:hAnsi="Times New Roman"/>
          <w:sz w:val="18"/>
          <w:szCs w:val="18"/>
          <w:color w:val="auto"/>
        </w:rPr>
      </w:pPr>
    </w:p>
    <w:p>
      <w:pPr>
        <w:ind w:left="1020" w:right="20" w:hanging="504"/>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Endocrinology Rare Disease Pipeline </w:t>
      </w:r>
      <w:r>
        <w:rPr>
          <w:rFonts w:ascii="Times New Roman" w:cs="Times New Roman" w:eastAsia="Times New Roman" w:hAnsi="Times New Roman"/>
          <w:sz w:val="18"/>
          <w:szCs w:val="18"/>
          <w:color w:val="auto"/>
        </w:rPr>
        <w:t>– We are developing three product candidates in our endocrinology rare disease portfolio spanning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indications across multiple geographies. These include TransCon hGH for pediatric GHD, adult GHD, and Turner Syndrome; TransCon PTH for adult patients with hypoparathyroidism; and TransCon CNP for achondroplasia (“ACH”).</w:t>
      </w:r>
    </w:p>
    <w:p>
      <w:pPr>
        <w:spacing w:after="0" w:line="65" w:lineRule="exact"/>
        <w:rPr>
          <w:rFonts w:ascii="Times New Roman" w:cs="Times New Roman" w:eastAsia="Times New Roman" w:hAnsi="Times New Roman"/>
          <w:sz w:val="18"/>
          <w:szCs w:val="18"/>
          <w:color w:val="auto"/>
        </w:rPr>
      </w:pPr>
    </w:p>
    <w:p>
      <w:pPr>
        <w:ind w:left="1020" w:right="20" w:hanging="504"/>
        <w:spacing w:after="0" w:line="25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Oncology </w:t>
      </w:r>
      <w:r>
        <w:rPr>
          <w:rFonts w:ascii="Times New Roman" w:cs="Times New Roman" w:eastAsia="Times New Roman" w:hAnsi="Times New Roman"/>
          <w:sz w:val="18"/>
          <w:szCs w:val="18"/>
          <w:color w:val="auto"/>
        </w:rPr>
        <w:t>– In oncology, we are leveraging our TransCon technologies in effort to enhance anti-tumor effects of clinically-validated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drugs and pathways and to provide sustained modulation of tumor microenvironments and activate cytotoxic immune cells. We have initiated clinical development of two product candidates: TransCon TLR7/8 Agonist, an investigational, long-acting prodrug of resiquimod, a small molecule agonist of Toll like receptors (“TLR”) 7 and 8 for intratumoral delivery and TransCon IL-2 ß/  for systemic delivery, which is designed for prolonged exposure to an IL-2 variant that selectively activates the IL-2Rß/ , with minimal binding to IL-2Rα. Our clinical development program for these product candidates also includes evaluation of them as a potential combination therapy.</w:t>
      </w:r>
    </w:p>
    <w:p>
      <w:pPr>
        <w:spacing w:after="0" w:line="74" w:lineRule="exact"/>
        <w:rPr>
          <w:rFonts w:ascii="Times New Roman" w:cs="Times New Roman" w:eastAsia="Times New Roman" w:hAnsi="Times New Roman"/>
          <w:sz w:val="18"/>
          <w:szCs w:val="18"/>
          <w:color w:val="auto"/>
        </w:rPr>
      </w:pPr>
    </w:p>
    <w:p>
      <w:pPr>
        <w:ind w:left="1020" w:right="180" w:hanging="504"/>
        <w:spacing w:after="0" w:line="257"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Ophthalmology </w:t>
      </w:r>
      <w:r>
        <w:rPr>
          <w:rFonts w:ascii="Times New Roman" w:cs="Times New Roman" w:eastAsia="Times New Roman" w:hAnsi="Times New Roman"/>
          <w:sz w:val="18"/>
          <w:szCs w:val="18"/>
          <w:color w:val="auto"/>
        </w:rPr>
        <w:t>- In January 2023, we announced that we are establishing ophthalmology as our third independent therapeutic area of focus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TransCon technologies. Ophthalmology intravitreal treatments (“IVT”) represent an established, well-understood, and high-value therapeutic area, characterized by high unmet medical need. We are leveraging our TransCon hydrogel technology to create highly</w:t>
      </w:r>
    </w:p>
    <w:p>
      <w:pPr>
        <w:spacing w:after="0" w:line="1" w:lineRule="exact"/>
        <w:rPr>
          <w:sz w:val="20"/>
          <w:szCs w:val="20"/>
          <w:color w:val="auto"/>
        </w:rPr>
      </w:pPr>
    </w:p>
    <w:p>
      <w:pPr>
        <w:ind w:left="1020" w:right="60"/>
        <w:spacing w:after="0" w:line="249" w:lineRule="auto"/>
        <w:rPr>
          <w:sz w:val="20"/>
          <w:szCs w:val="20"/>
          <w:color w:val="auto"/>
        </w:rPr>
      </w:pPr>
      <w:r>
        <w:rPr>
          <w:rFonts w:ascii="Times New Roman" w:cs="Times New Roman" w:eastAsia="Times New Roman" w:hAnsi="Times New Roman"/>
          <w:sz w:val="18"/>
          <w:szCs w:val="18"/>
          <w:color w:val="auto"/>
        </w:rPr>
        <w:t>differentiated product candidates designed to provide continuous local release of clinically validated parent drugs over a period of months. TransCon RBZ (ranibizumab) is our first investigational pipeline candidate being developed to address vision loss caused by abnormal blood vessel growth and/or fluid build-up in the back of the eye. Our ophthalmology development pipeline includes other opportunities in various stages of development.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TransCon Products and Product Candidates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5330190" cy="22212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019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Not yet marketed in the EU</w:t>
      </w:r>
    </w:p>
    <w:p>
      <w:pPr>
        <w:spacing w:after="0" w:line="115"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riGHt Trial</w:t>
      </w:r>
    </w:p>
    <w:p>
      <w:pPr>
        <w:spacing w:after="0" w:line="115"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foresiGHt Trial</w:t>
      </w:r>
    </w:p>
    <w:p>
      <w:pPr>
        <w:spacing w:after="0" w:line="115"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InsiGHts Trial</w:t>
      </w:r>
    </w:p>
    <w:p>
      <w:pPr>
        <w:spacing w:after="0" w:line="115"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NDA submitted to the FDA, PDUFA action date April 30, 2023; European MAA submitted November 2022, decision anticipated Q4 2023</w:t>
      </w:r>
    </w:p>
    <w:p>
      <w:pPr>
        <w:spacing w:after="0" w:line="115"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PaTHway Japan Trial</w:t>
      </w:r>
    </w:p>
    <w:p>
      <w:pPr>
        <w:spacing w:after="0" w:line="115"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ApproaCH Trial</w:t>
      </w:r>
    </w:p>
    <w:p>
      <w:pPr>
        <w:spacing w:after="0" w:line="115"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transcendIT-101 Trial, includes 4 indication specific cohorts currently enrolling patients</w:t>
      </w:r>
    </w:p>
    <w:p>
      <w:pPr>
        <w:spacing w:after="0" w:line="115"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IL-ßelie  e Trial</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an intellectual property portfolio comprising 282 issued patents and approximately 520 patent applications as of December 31, 2022 with claims directed to composition of matter, process, formulation and/or methods-of-use for our product candidates, including a product-specific device and core TransCon technologies. Other than the rights we have granted to VISEN Pharmaceuticals (“VISEN”) as noted in this report, we hold worldwide rights to our TransCon technologies and owe no third-party royalty or milestone payment obligations with respect to our TransCon technologies, TransCon hGH or any of our other product candidates. While our TransCon prodrugs may incorporate already approved parent drugs, TransCon hGH and each of our other product candidates is a new molecular entity and is therefore eligible to be granted new intellectual property rights, including new composition of matter patents.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Commercialization Strategy</w:t>
      </w:r>
    </w:p>
    <w:p>
      <w:pPr>
        <w:spacing w:after="0" w:line="1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establishing a global presence to commercialize TransCon product candidates, if approved, to address patients' unmet medical needs. We have established a multi-faceted organization in the U.S. to support the ongoing commercialization of SKYTROFA which will also serve as the foundation for future endocrinology rare disease product launches in the U.S. We are expanding our presence in Europe by building integrated organizations in select countries beginning with the planned launch of SKYTROFA in Germany and through established distribution channels in others. In other markets, we plan to establish commercial presence through partners with local expertise and infrastructure.</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TransCon Technologies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TransCon technologies are designed to combine the benefits of conventional prodrug and sustained release technologies to solve the fundamental limitations seen in other approaches to extending duration of a drug’s action in the body with the goal of developing highly differentiated product candidates based on efficacy, safety, tolerability and convenience. In addition to retaining the original mode of action of the parent drug and potentially supporting dosing frequency from daily up to six months or more, we believe that predictable release over time can improve treatment efficacy, increase the likelihood of clinical development success, and provide intellectual property benefits.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TransCon molecules have three components: a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Depending upon the type of TransCon carrier we employ, we can design our TransCon prodrugs for sustained localized or systemic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5279390" cy="1964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79390"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TransCon Technology Components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TransCon Carriers</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TransCon technologies incorporate two carrier platforms that can be used for providing sustained localized or systemic drug exposure. These biocompatible carrier platforms include our TransCon systemic carriers, and our TransCon localized carriers, which are self-eliminating hydrogels. Our carriers inactivate and protect the drug through a shielding effect, which may prevent rapid excretion and degradation of the parent drug and enable benefits that include improved injection site tolerability, reduced systemic adverse effects and low immunogenicity.</w:t>
      </w:r>
    </w:p>
    <w:p>
      <w:pPr>
        <w:spacing w:after="0" w:line="73" w:lineRule="exact"/>
        <w:rPr>
          <w:sz w:val="20"/>
          <w:szCs w:val="20"/>
          <w:color w:val="auto"/>
        </w:rPr>
      </w:pPr>
    </w:p>
    <w:p>
      <w:pPr>
        <w:ind w:left="1020" w:right="280" w:hanging="504"/>
        <w:spacing w:after="0" w:line="25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Systemic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systemic carriers are used for providing systemic drug exposure and are based on soluble compounds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methoxy polyethylene glycol (“mPEG”), or other natural or synthetic polymers. Prodrugs created using our systemic carriers are readily absorbed into the bloodstream after administration, thus minimizing exposure of the subcutaneous tissue to active drug, which we believe may improve injection site tolerability. TransCon hGH, TransCon PTH and TransCon CNP, utilize mPEG as a carrier molecule. mPEG is widely used to improve the pharmacokinetic or pharmacodynamic properties of marketed therapeutics. Below is an illustration of our systemic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-7620</wp:posOffset>
            </wp:positionV>
            <wp:extent cx="3963670" cy="1298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63670" cy="129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40" w:hanging="504"/>
        <w:spacing w:after="0" w:line="256"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Localized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TransCon localized carriers include TransCon hydrogels based on PEG, hyaluronic acid, or other biopolymers. TransCon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hydrogel is designed to self-eliminate to soluble, biocompatible molecules after the drug payload has been released. When applied for localized delivery, the TransCon hydrogel enables the release of parent drug at high local concentrations within the target area while minimizing systemic exposure. We believe this may widen the therapeutic window for parent drugs that suffer from significant systemic side effects and toxicities, facilitating the development of highly efficacious product candidates with improved safety and tolerability profiles. Below is an illustration of our hydrogel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60325</wp:posOffset>
            </wp:positionV>
            <wp:extent cx="3827145" cy="13925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27145"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09"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TransCon Linkers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reversible TransCon linkers are designed to enable the transient conjugation of a broad range of therapeutics, including proteins, peptides and small molecules, to our TransCon carriers. We have a large library of TransCon linkers that may be applicable to various types of parent drugs, and that can be tailored to potentially achieve half-life extension enabling daily, weekly, monthly, and half-yearly dosing, and customize the potential pharmacokinetic profile for each individual product candidate with the goal of optimizing the potential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are designed to predictably release an unmodified active parent drug at predetermined rates governed by physiological pH and temperature conditions, which are tightly regulated in the body. Consequently, we believe we can design our prodrugs to release the unmodified parent drug at predictable rates.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Parent Drugs</w:t>
      </w:r>
    </w:p>
    <w:p>
      <w:pPr>
        <w:spacing w:after="0" w:line="11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TransCon technologies are applicable across a broad range of therapeutic classes and are currently used to create potentially best-in-class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the desired profile in non-clinical models. Furthermore, based on the established translational relationships between preclinical animal models and clinical efficacy, we believe experimental results generated in animal models are highly predictive of clinical results and reduce the development risk of our TransCon prodrugs. This strategy is designed to reduce risk and increase productivity.</w:t>
      </w:r>
    </w:p>
    <w:p>
      <w:pPr>
        <w:spacing w:after="0" w:line="18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This approach has enabled us to generate a pipeline of product candidates to address significant unmet medical needs and to become potential sources of significant revenue for our company. Because our TransCon technologies leverage clinically validated parent drugs or pathways, we believe we may benefit from a higher development and regulatory success rate as compared to development of drug compounds without established biology.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Products – Endocrinology Rare Disease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Recombinant Human Growth Hormone</w:t>
      </w:r>
    </w:p>
    <w:p>
      <w:pPr>
        <w:spacing w:after="0" w:line="11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GHD is a serious orphan disease that affects both children and adults. Children with GHD are characterized by short stature, metabolic and cardiovascular abnormalities, cognitive deficiencies, and poor quality of life. GHD in adults is associated with increased adiposity, or fat mass, as well as psychiatric-cognitive, cardiovascular, muscular, metabolic and skeletal abnormalities. The current standard of care for GHD is daily subcutaneous injections of somatropin, a recombinant human growth hormone ("hGH"). Daily therapy with hGH has been shown to increase growth in children, and improve metabolic effects, including reducing adiposity and improving cardiovascular health in both children and adults. These daily hGH therapies have been shown to be safe and well-tolerated.</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both therapy-compliant children and adults with GHD, daily subcutaneous injections of hGH have resulted in improved body composition parameters, bone density, cardiovascular outcomes and quality of life. Growth hormone-deficient children who are fully adherent with their daily hGH treatment regimen may achieve a height in adulthood that is comparable to that of their family members and national norms.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spacing w:after="0" w:line="272" w:lineRule="auto"/>
        <w:rPr>
          <w:sz w:val="20"/>
          <w:szCs w:val="20"/>
          <w:color w:val="auto"/>
        </w:rPr>
      </w:pPr>
      <w:r>
        <w:rPr>
          <w:rFonts w:ascii="Times New Roman" w:cs="Times New Roman" w:eastAsia="Times New Roman" w:hAnsi="Times New Roman"/>
          <w:sz w:val="17"/>
          <w:szCs w:val="17"/>
          <w:color w:val="auto"/>
        </w:rPr>
        <w:t xml:space="preserve">Despite the demonstrated benefits of daily hGH therapy, many GHD patients are not adequately treated and adherence continues to be a challenge as reported in a 2021 paper published by Kaplowitz et al. in the </w:t>
      </w:r>
      <w:r>
        <w:rPr>
          <w:rFonts w:ascii="Times New Roman" w:cs="Times New Roman" w:eastAsia="Times New Roman" w:hAnsi="Times New Roman"/>
          <w:sz w:val="17"/>
          <w:szCs w:val="17"/>
          <w:i w:val="1"/>
          <w:iCs w:val="1"/>
          <w:color w:val="auto"/>
        </w:rPr>
        <w:t>Journal of Managed Care and Specialty Pharmacy.</w:t>
      </w:r>
      <w:r>
        <w:rPr>
          <w:rFonts w:ascii="Times New Roman" w:cs="Times New Roman" w:eastAsia="Times New Roman" w:hAnsi="Times New Roman"/>
          <w:sz w:val="17"/>
          <w:szCs w:val="17"/>
          <w:color w:val="auto"/>
        </w:rPr>
        <w:t xml:space="preserve"> The observational retrospective cohort analysis utilized administrative claims data from two databases on over 20,000 pediatric patients diagnosed with GHD. Approximately 68% of commercial patients and approximately 63% of Medicaid patients received daily growth hormone treatment, whereas approximately 32% of commercial patients and approximately 37% of Medicaid patients were untreated. In addition, mean adherence as measured by proportions of days covered which is defined as the number of days covered by any daily growth hormone prescription during the follow-up period was approximately 60% in the commercial cohort and approximately 50% in the Medicaid cohort. Only 32% of commercial and 18% of Medicaid patients reported adherence rates greater than 80%.</w:t>
      </w:r>
    </w:p>
    <w:p>
      <w:pPr>
        <w:spacing w:after="0" w:line="17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Reducing injection frequency is associated with better adherence and thus may improve height velocity (“HV”) for pediatric patients experiencing poor adherence with daily hGH injections. As shown in the figure below, for patients missing two or more injections per week, there was a clinically relevant reduction in their change in HV standard deviation score (“HVSDS”) compared to high-compliance patients. A greater HVSDS indicates more rapid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59690</wp:posOffset>
            </wp:positionV>
            <wp:extent cx="4288155" cy="3365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8155"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i w:val="1"/>
          <w:iCs w:val="1"/>
          <w:color w:val="auto"/>
        </w:rPr>
        <w:t>Figure: Negative impact of poor compliance on growth 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Patients missing two or more injections per week had a statistically significant reduction in height velocity; N=175. (Cutfield et al, 2011)</w:t>
      </w:r>
    </w:p>
    <w:p>
      <w:pPr>
        <w:spacing w:after="0" w:line="16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Since the introduction of hGH in 1981, a number of the world’s largest pharmaceutical companies have developed and now market daily-prescribed hGH products. All currently marketed daily hGH products in the United States, Norditropin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(Novo Nordisk A/S), Humatrope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(Eli Lilly and Company), Nutropin AQ</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(Genentech), Genotropin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(Pfizer Inc.), Zomacton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(Ferring Pharmaceuticals, Inc.) and Omnitrope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(Sandoz GmbH), contain unmodified somatropin (hGH) and are administered by subcutaneous injections. The global market for daily hGH products is dominated by Novo Nordisk, Pfizer, Eli Lilly, Sandoz, Merck KGaA and Roche, which together account for most of the global market share.</w:t>
      </w: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579" w:right="439" w:bottom="1440" w:gutter="0" w:footer="0" w:header="0"/>
        </w:sectPr>
      </w:pPr>
    </w:p>
    <w:bookmarkStart w:id="86" w:name="page87"/>
    <w:bookmarkEnd w:id="86"/>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We estimate pediatric indications comprise up to 90% of the total hGH market, of which approximately half is for GHD.</w:t>
      </w:r>
    </w:p>
    <w:p>
      <w:pPr>
        <w:spacing w:after="0" w:line="17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Global annual sales from currently marketed hGH products are currently estimated at approximately $4 billion. We believe a significant market opportunity exists for a once-weekly hGH product with comparable efficacy, safety and tolerability as daily hGH products.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Landscape for Long-Acting Growth Hormone Therapies</w:t>
      </w:r>
    </w:p>
    <w:p>
      <w:pPr>
        <w:spacing w:after="0" w:line="118" w:lineRule="exact"/>
        <w:rPr>
          <w:sz w:val="20"/>
          <w:szCs w:val="20"/>
          <w:color w:val="auto"/>
        </w:rPr>
      </w:pPr>
    </w:p>
    <w:p>
      <w:pPr>
        <w:jc w:val="both"/>
        <w:ind w:right="500"/>
        <w:spacing w:after="0" w:line="265" w:lineRule="auto"/>
        <w:rPr>
          <w:sz w:val="20"/>
          <w:szCs w:val="20"/>
          <w:color w:val="auto"/>
        </w:rPr>
      </w:pPr>
      <w:r>
        <w:rPr>
          <w:rFonts w:ascii="Times New Roman" w:cs="Times New Roman" w:eastAsia="Times New Roman" w:hAnsi="Times New Roman"/>
          <w:sz w:val="18"/>
          <w:szCs w:val="18"/>
          <w:color w:val="auto"/>
        </w:rPr>
        <w:t>Since the 1990s, the pharmaceutical industry has employed various approaches to develop long-acting growth hormone products to reduce the patient burden of daily injections and increase patient compliance with the dosing regimen. These approaches generally fall into two categories: unmodified somatropin (hGH) and permanent modification of growth hormone:</w:t>
      </w:r>
    </w:p>
    <w:p>
      <w:pPr>
        <w:spacing w:after="0" w:line="68" w:lineRule="exact"/>
        <w:rPr>
          <w:sz w:val="20"/>
          <w:szCs w:val="20"/>
          <w:color w:val="auto"/>
        </w:rPr>
      </w:pPr>
    </w:p>
    <w:p>
      <w:pPr>
        <w:ind w:left="1020" w:right="120" w:hanging="504"/>
        <w:spacing w:after="0" w:line="253"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Unmodified somatropin (hGH): Two long-acting growth hormone products using encapsulation technologies have previously received regulatory approval in U.S. and Europe and were subsequently discontinued due to commercial challenges. These include Nutropin Depot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formerly marketed by Genentech, and Somatropin Biopartners, developed by LG Life Sciences and Biopartners GmbH. Nutropin Depot was approved in 1999 and later withdrawn; Somatropin Biopartners (LB03002), was approved by the European Medicines Agency (“EMA”) in 2013, and later withdrawn. We believe that the lack of market acceptance is a result of the various safety and tolerability issues that tend to arise with encapsulation technologies.</w:t>
      </w:r>
    </w:p>
    <w:p>
      <w:pPr>
        <w:spacing w:after="0" w:line="79" w:lineRule="exact"/>
        <w:rPr>
          <w:rFonts w:ascii="Times New Roman" w:cs="Times New Roman" w:eastAsia="Times New Roman" w:hAnsi="Times New Roman"/>
          <w:sz w:val="18"/>
          <w:szCs w:val="18"/>
          <w:color w:val="auto"/>
        </w:rPr>
      </w:pPr>
    </w:p>
    <w:p>
      <w:pPr>
        <w:ind w:left="1020" w:hanging="504"/>
        <w:spacing w:after="0" w:line="25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modification of growth hormone: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(hGH) and may also negatively impact the drug’s safety.</w:t>
      </w:r>
    </w:p>
    <w:p>
      <w:pPr>
        <w:spacing w:after="0" w:line="183"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Novo Nordisk has received regulatory approval in the United States, Japan, and EU of once-weekly somapacitan (SOGROYA) for replacement of endogenous growth hormone in adult patients with GHD and submitted marketing applications seeking approval for somapacitan in the United States, Japan, and Europe for pediatric GHD.</w:t>
      </w:r>
    </w:p>
    <w:p>
      <w:pPr>
        <w:spacing w:after="0" w:line="17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Pfizer (in collaboration with OPKO Health Inc.) has received regulatory approval of once-weekly somatrogon (NGENLA) in the EU, Canada, Australia, Japan, Taiwan, the United Arab Emirates and Brazil for pediatric GHD. In January 2022, Pfizer (in collaboration with OPKO Health) announced the U.S. Food and Drug Administration ("FDA") issued a Complete Response Letter for the Biologics License Application (“BLA”) for somatrogon.</w:t>
      </w:r>
    </w:p>
    <w:p>
      <w:pPr>
        <w:spacing w:after="0" w:line="17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A permanently PEGylated long-acting growth hormone developed by GeneScience Pharmaceuticals Co., Ltd. (Jintrolong) is available in China and the Somatropin Biopartners product (LB03002) is available in Korea. Other experimental growth hormone therapies based on permanent modification are in different stages of clinical development by various companies, including GeneScience Pharmaceuticals Co., Ltd., Genexine Inc., I-MAB, and JCR Pharmaceuticals Co., Ltd.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hGH</w:t>
      </w:r>
    </w:p>
    <w:p>
      <w:pPr>
        <w:spacing w:after="0" w:line="11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TransCon hGH is a long-acting prodrug of somatropin (hGH) composed of an unmodified somatropin that is transiently bound to a carrier and proprietary linker. TransCon hGH is designed to maintain the same mode of action as daily therapies by releasing the same recombinant growth hormone molecule, somatropin, as used in extensively proven daily hGH therapy that is the current standard of care.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7" w:name="page88"/>
    <w:bookmarkEnd w:id="87"/>
    <w:p>
      <w:pPr>
        <w:jc w:val="both"/>
        <w:ind w:right="140"/>
        <w:spacing w:after="0" w:line="251" w:lineRule="auto"/>
        <w:rPr>
          <w:sz w:val="20"/>
          <w:szCs w:val="20"/>
          <w:color w:val="auto"/>
        </w:rPr>
      </w:pPr>
      <w:r>
        <w:rPr>
          <w:rFonts w:ascii="Times New Roman" w:cs="Times New Roman" w:eastAsia="Times New Roman" w:hAnsi="Times New Roman"/>
          <w:sz w:val="18"/>
          <w:szCs w:val="18"/>
          <w:color w:val="auto"/>
        </w:rPr>
        <w:t>On August 25, 2021, the FDA approved TransCon hGH, known by its brand name SKYTROFA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(lonapegsomatropin-tcgd), for the treatment of pediatric patients one year and older who weigh at least 11.5 kg and have growth failure due to inadequate secretion of endogenous growth hormone, also known as GHD. SKYTROFA is the first FDA approved product that delivers somatropin, or growth hormone, by sustained release over one week.</w:t>
      </w:r>
    </w:p>
    <w:p>
      <w:pPr>
        <w:spacing w:after="0" w:line="18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FDA approval of SKYTROFA (lonapegsomatropin-tcgd) was based on results from the Phase 3 heiGHt Trial, a 52-week, global, randomized, open-label, active-controlled, parallel-group trial that compared once-weekly TransCon hGH to daily somatropin (Genotropin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in 161 treatment-naïve children with GHD. The primary endpoint was annualized height velocity (“AHV”) at 52 weeks for weekly SKYTROFA (lonapegsomatropin-tcgd) and daily hGH treatment groups. Other endpoints included adverse events, injection-site reactions, incidence of anti-hGH antibodies, annualized height velocity, change in height standard deviation score (“SDS”), proportion of subjects with IGF-1 SDS (0.0 to +2.0), PK/PD in subjects &lt; 3 years, and preference for and satisfaction with SKYTROFA (lonapegsomatropin-tcgd).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SKYTROFA (lonapegsomatropin-tcgd) offers patients benefits compared to daily growth hormone:</w:t>
      </w:r>
    </w:p>
    <w:p>
      <w:pPr>
        <w:spacing w:after="0" w:line="116" w:lineRule="exact"/>
        <w:rPr>
          <w:sz w:val="20"/>
          <w:szCs w:val="20"/>
          <w:color w:val="auto"/>
        </w:rPr>
      </w:pPr>
    </w:p>
    <w:p>
      <w:pPr>
        <w:ind w:left="1020" w:right="560" w:hanging="504"/>
        <w:spacing w:after="0" w:line="280"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study has shown 66%, or 2/3 of patients miss more than one injection per week. We believe reducing injection frequency is associated with better adherence and thus may improve height velocity.</w:t>
      </w:r>
    </w:p>
    <w:p>
      <w:pPr>
        <w:spacing w:after="0" w:line="55" w:lineRule="exact"/>
        <w:rPr>
          <w:rFonts w:ascii="Times New Roman" w:cs="Times New Roman" w:eastAsia="Times New Roman" w:hAnsi="Times New Roman"/>
          <w:sz w:val="18"/>
          <w:szCs w:val="18"/>
          <w:color w:val="auto"/>
        </w:rPr>
      </w:pPr>
    </w:p>
    <w:p>
      <w:pPr>
        <w:ind w:left="1020" w:right="140" w:hanging="504"/>
        <w:spacing w:after="0" w:line="280"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Phase 3 clinical study, TransCon hGH demonstrated higher AHV compared to daily somatropin with similar safety profile in treatment-naïve children with GHD.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weekly injection, patients switching from daily injections can experience up to 86% fewer injection days per year.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first removed from a refrigerator, SKYTROFA (lonapegsomatropin-tcgd) can be stored at room temperature for up to six months.</w:t>
      </w:r>
    </w:p>
    <w:p>
      <w:pPr>
        <w:spacing w:after="0" w:line="2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January 11, 2022, the EC granted a marketing authorisation for SKYTROFA (lonapegsomatropin), developed under the name TransCon hGH, as a once-weekly subcutaneous injection for the treatment of children and adolescents ages 3 to 18 years with growth failure due to insufficient secretion of endogenous growth hormone.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October 2019, we received Orphan Designation (“OD”) from the EC for TransCon hGH for GHD. OD is granted to medicinal products that are (1) intended for the treatment, prevention or diagnosis of a disease that is life-threatening or chronically debilitating, (2) provided that either (a) the disease affects no more than five in 10,000 persons in the EU, or (b) the product, without the benefits derived from orphan status, would not generate sufficient return in the EU to justify investment and (3) for which no satisfactory method of diagnosis, prevention, or treatment has been authorized for marketing in the EU (or if such a method exists, the product would provide significant additional benefit over existing therapies). We received Orphan Drug Designation (“ODD”) from the FDA for TransCon hGH as a treatment for GHD in April 2020.</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from the Phase 3 heiGHt Trial in Pediatric Subjects with GHD</w:t>
      </w:r>
    </w:p>
    <w:p>
      <w:pPr>
        <w:spacing w:after="0" w:line="11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heiGHt Trial was a randomized, open-label, active-controlled Phase 3 registrational trial that enrolled 161 children with GHD who had not previously been treated. Subjects received either once-weekly TransCon hGH (0.24 mg/kg/week) or daily injections of Genotropin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at 34 µg/kg/day (0.24 mg/kg/week) with a 2:1 randomization. The primary endpoint was AHV at 52 weeks, with a non-inferiority analysis comparing the difference between the two treatment groups, followed by a test of superiority if non-inferiority was met. Two subjects, one from each arm, withdrew from the trial prior to the final visit.</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Results showed that once-weekly TransCon hGH was superior to once-daily hGH on the primary endpoint of AHV at 52 weeks. In the primary analysis of the intent-to-treat population using least squared mean (“LS Mean”) results from an ANCOVA model, TransCon hGH was associated with an AHV of 11.2 cm/year compared to 10.3 cm/year for the daily hGH. The treatment difference was 0.86 cm/year with a 95% confidence interval of 0.22 to 1.50 cm/year. The AHV for TransCon hGH was significantly greater than the daily hGH (p=0.0088).</w:t>
      </w:r>
    </w:p>
    <w:p>
      <w:pPr>
        <w:spacing w:after="0" w:line="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88" w:name="page89"/>
    <w:bookmarkEnd w:id="88"/>
    <w:p>
      <w:pPr>
        <w:ind w:right="220"/>
        <w:spacing w:after="0" w:line="265" w:lineRule="auto"/>
        <w:rPr>
          <w:sz w:val="20"/>
          <w:szCs w:val="20"/>
          <w:color w:val="auto"/>
        </w:rPr>
      </w:pPr>
      <w:r>
        <w:rPr>
          <w:rFonts w:ascii="Times New Roman" w:cs="Times New Roman" w:eastAsia="Times New Roman" w:hAnsi="Times New Roman"/>
          <w:sz w:val="18"/>
          <w:szCs w:val="18"/>
          <w:color w:val="auto"/>
        </w:rPr>
        <w:t>Results from the trial indicated that TransCon hGH was generally safe and well-tolerated, with adverse events consistent with the type and frequency observed with daily hGH therapy and comparable between arms of the trial. No serious adverse events related to study drug were observed in either arm. No treatment-emergent adverse events leading to discontinuation of study drug were observed in either arm.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Clinical Trials of TransCon hGH in Pediatric Subjects with GHD</w:t>
      </w:r>
    </w:p>
    <w:p>
      <w:pPr>
        <w:spacing w:after="0" w:line="11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our ongoing Phase 3 riGHt Trial we are evaluating TransCon hGH in Japanese subjects for the treatment for pediatric GHD. The primary objective of the riGHt Trial is to evaluate and compare the annualized height velocity of 40 Japanese prepubertal treatment naïve children with GHD treated with weekly TransCon hGH to that of a commercially available daily hGH formulation at 52 weeks.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Auto-injector</w:t>
      </w:r>
    </w:p>
    <w:p>
      <w:pPr>
        <w:spacing w:after="0" w:line="11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SKYTROFA includes the SKYTROFA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Auto-Injector and cartridges. The auto-injector provides for room temperature storage, includes an empty-all design and is expected to last for at least four years. The device has a single, low-volume injection for the majority of patients of less than 0.6 mL and requires a thin,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63500</wp:posOffset>
            </wp:positionV>
            <wp:extent cx="1759585" cy="2947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59585" cy="294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Our state-of-the-art auto-injector is designed to improve treatment compliance for children with GHD.</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TransCon Product Candidates – Endocrinology Rare Diseases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Growth Hormone (hGH) for Other Indications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in Adults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currently conducting foresiGHt Trial, a global Phase 3 trial with the aim to demonstrate the metabolic benefits of TransCon hGH in adults and with the primary objective to evaluate change in trunk fat percentage. Patients in the trial are randomized in a 1:1:1 ratio into the three arms of the study— treatment with once-weekly TransCon hGH, once-weekly placebo, or daily hGH. The primary endpoint of the trial is a change from baseline in percentage trunk fat at 38 weeks. Following the 38-week main trial period, all patients will be eligible to receive once-weekly TransCon hGH during the 52-week open-label extension. During the fourth quarter, 2022, we completed recruitment into the Phase 3 foresiGHt Trial. Topline results from foresiGHt are expected in the fourth quarter of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 Plans</w:t>
      </w:r>
    </w:p>
    <w:p>
      <w:pPr>
        <w:spacing w:after="0" w:line="11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June 2022, we submitted a trial protocol to the FDA to evaluate TransCon hGH in Turner Syndrome. We are evaluating higher doses of TransCon hGH and daily hGH for Turner Syndrome compared to those doses for pediatric or adult GHD. In addition, we are also considering other potential indications for TransCon hGH where we believe a long-acting hGH therapy may offer benefits to patients with rare growth disorders.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Hypoparathyroidism</w:t>
      </w:r>
    </w:p>
    <w:p>
      <w:pPr>
        <w:spacing w:after="0" w:line="11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Hypoparathyroidism is a rare endocrine disorder characterized by insufficient levels of parathyroid hormone ("PTH"). Most hypoparathyroidism patients develop the condition following damage to or accidental removal of the parathyroid glands during thyroid surgery. Conventional therapy with calcium supplements and active vitamin D (also called calcitriol) does not effectively address the short-term symptoms, long-term complications, or quality-of-life impacts of hypoparathyroidism.</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Short-term symptoms include weakness, severe muscle cramps (tetany), abnormal sensations such as tingling, burning and numbness (paresthesia), memory loss, impaired judgment, and headache. Patients often experience decreased quality of life, and, over the long term, prolonged use of conventional therapy may increase risk of major complications, such as calcium deposits in the brain, blood vessels, eye, and other soft tissues – including the kidneys, which can lead to impaired renal function. Hypoparathyroidism remains among the few hormonal insufficiency states without a replacement therapy that restores the missing hormone at physiologic levels.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Hypoparathyroidism also poses a high burden on the healthcare system despite current conventional therapy. For example, one survey of 374 patients showed that 72% experienced more than ten symptoms in the preceding twelve months, with symptoms experienced for a mean of 13 ± 9 hours a day. Other studies showed that 79% of HP cases require hospitalizations and that patients with the disease results have a four-fold increase in the risk of renal disease compared to healthy controls. Patients often experience decreased quality of life. We conducted a survey of 42 patients which found that 100% of subjects reported negative psychological impacts, interference with daily life and impact on physical functioning from HP, and that 76% were either no longer able to work or experienced interference with work productivity.</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latest clinical practice guideline addressing the prevention, diagnosis, and management of hypoparathyroidism was published in September 2022 in the Journal of Bone and Mineral Research and authored by leading clinicians from North America, Europe, and Asia. The authors suggest consideration of PTH replacement therapy in patients whose hypoparathyroidism is inadequately controlled with conventional therapy. Inadequate control is considered to be any one of the following: symptomatic hypocalcemia, hyperphosphatemia, renal insufficiency, hypercalciuria, or poor quality of life. In addition, the guideline indicate that individuals with poor compliance, malabsorption or who are intolerant of large dose of calcium and active vitamin D may also benefit from PTH replacement therapy. Based on this current guideline, we believe PTH replacement therapy could be applicable to most patients with hypoparathyroidism.</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90" w:name="page91"/>
    <w:bookmarkEnd w:id="90"/>
    <w:p>
      <w:pPr>
        <w:spacing w:after="0" w:line="261" w:lineRule="auto"/>
        <w:rPr>
          <w:sz w:val="20"/>
          <w:szCs w:val="20"/>
          <w:color w:val="auto"/>
        </w:rPr>
      </w:pPr>
      <w:r>
        <w:rPr>
          <w:rFonts w:ascii="Times New Roman" w:cs="Times New Roman" w:eastAsia="Times New Roman" w:hAnsi="Times New Roman"/>
          <w:sz w:val="18"/>
          <w:szCs w:val="18"/>
          <w:color w:val="auto"/>
        </w:rPr>
        <w:t>Currently, an effective PTH replacement therapy that fully addresses the condition is not widely available to patients with hypoparathyroidism in the U.S. In 2015, NATPARA (parathyroid hormone) for injection, was approved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Shire-NPS Pharmaceuticals Inc., a Takeda company. In October 2022, Takeda announced that it will discontinue manufacturing NATPARA/NATPAR globally at the end of 2024.</w:t>
      </w:r>
    </w:p>
    <w:p>
      <w:pPr>
        <w:spacing w:after="0" w:line="17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are also aware of several academic groups and companies working on making longer-acting agonists of the PTH receptor (“PTH1R”). In addition, other companies and groups are developing or commercializing therapies for hypoparathyroidism, including Entera Bio, Extend Biosciences, Massachusetts General Hospital, Amolyt Pharma, MBX Biosciences, and Eli Lilly and Company.</w:t>
      </w:r>
    </w:p>
    <w:p>
      <w:pPr>
        <w:spacing w:after="0" w:line="1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Teriparatide, PTH(1-34), approved since 2002 for the treatment of osteoporosis, has sometimes been used for treatment of hypoparathyroidism using multiple daily injections, despite not being approved for this indication. Clinical research conducted by the National Institutes of Health ("NIH") of subjects receiving continuous exposure to PTH(1-34), administered by an infusion pump, has demonstrated simultaneous normalization of sCa and urinary calcium, as well as normalization of bone turnover.</w:t>
      </w:r>
    </w:p>
    <w:p>
      <w:pPr>
        <w:spacing w:after="0" w:line="183"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color w:val="auto"/>
        </w:rPr>
        <w:t>Hypoparathyroidism affects approximately 200,000 patients in the U.S., Europe, and Japan. In the U.S., we estimate hypoparathyroidism affects approximately 70,000 to 90,000 patients including 4,000 to 5,000 patients which we estimate have previously been treated with PTH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46355</wp:posOffset>
            </wp:positionV>
            <wp:extent cx="5330190" cy="18878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30190"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w:t>
      </w:r>
    </w:p>
    <w:p>
      <w:pPr>
        <w:spacing w:after="0" w:line="116"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Ascendis internal estimates and Symphony Metys data</w:t>
      </w:r>
    </w:p>
    <w:p>
      <w:pPr>
        <w:spacing w:after="0" w:line="115" w:lineRule="exact"/>
        <w:rPr>
          <w:rFonts w:ascii="Times New Roman" w:cs="Times New Roman" w:eastAsia="Times New Roman" w:hAnsi="Times New Roman"/>
          <w:sz w:val="18"/>
          <w:szCs w:val="18"/>
          <w:i w:val="1"/>
          <w:iCs w:val="1"/>
          <w:color w:val="auto"/>
        </w:rPr>
      </w:pPr>
    </w:p>
    <w:p>
      <w:pPr>
        <w:ind w:left="520" w:right="220" w:hanging="512"/>
        <w:spacing w:after="0" w:line="282" w:lineRule="auto"/>
        <w:tabs>
          <w:tab w:leader="none" w:pos="52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 prevalence literature review and epi meta-analysis (Powers, Clarke, Milliman project, ipm.ai claims project; HCUPnet, Healthcare Cost and Utilization Project. Agency for Healthcare Research and Quality, Rockville, MD. for surgical cohort projection).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PTH</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TransCon PTH (palopegteriparatide) is an investigational prodrug of parathyroid hormone that is designed to be dosed once-daily to achieve and maintain a steady concentration of PTH in the bloodstream within the normal range, at levels similar to those observed in healthy individuals. TransCon PTH is designed to restore physiologic levels of PTH 24 hours per day, thereby more fully addressing all aspects of the disease including normalizing serum and urinary calcium and serum phosphate levels. Pharmacokinetic data from our Phase 1 trial of TransCon PTH in healthy subjects demonstrated a half-life of approximately 60 hours, supporting an infusion-like profile with daily administration.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91" w:name="page92"/>
    <w:bookmarkEnd w:id="91"/>
    <w:p>
      <w:pPr>
        <w:ind w:right="40"/>
        <w:spacing w:after="0" w:line="257" w:lineRule="auto"/>
        <w:rPr>
          <w:sz w:val="20"/>
          <w:szCs w:val="20"/>
          <w:color w:val="auto"/>
        </w:rPr>
      </w:pPr>
      <w:r>
        <w:rPr>
          <w:rFonts w:ascii="Times New Roman" w:cs="Times New Roman" w:eastAsia="Times New Roman" w:hAnsi="Times New Roman"/>
          <w:sz w:val="18"/>
          <w:szCs w:val="18"/>
          <w:color w:val="auto"/>
        </w:rPr>
        <w:t>With once-daily dosing, we believe this substantial half-life extension of PTH could more closely reflect the physiological levels of PTH observed in healthy individuals thereby maintaining blood calcium levels and normalizing urinary calcium excretion. Pharmacokinetic data from multiple ascending dose cohorts in our Phase 1 trial of TransCon PTH in healthy subjects demonstrated an infusion-like profile of free PTH. By providing steady levels of PTH in the physiological range, we believe TransCon PTH can address the fundamental limitations of short-acting PTH molecules and become a highly differentiated therapy for HP.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PTH for Adult Hypoparathyroidism</w:t>
      </w:r>
    </w:p>
    <w:p>
      <w:pPr>
        <w:spacing w:after="0" w:line="118"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Our ongoing Phase 3 PaTHway Trial, Phase 3 PaTHway Japan Trial, and Phase 2 PaTH Forward Trial evaluated TransCon PTH in adult patients with hypoparathyroidism. Following the primary outcome period, all three trials continue in the extension portion to collect long term data.</w:t>
      </w:r>
    </w:p>
    <w:p>
      <w:pPr>
        <w:spacing w:after="0" w:line="16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In January 2023, we announced topline data from PaTHway Japan Trial, a single-arm Phase 3 trial to evaluate the safety, tolerability, and efficacy of TransCon PTH. The study achieved its primary objective with topline results consistent with our trials in North America and EU. Twelve out of thirteen patients met the primary composite endpoint which was defined as serum calcium levels in the normal range (8.3–10.6 mg/dL) and independence from conventional therapy (active vitamin D and &gt;600 mg/day of calcium supplements). TransCon PTH was generally well-tolerated, with no discontinuations related to study drug. Twelve patients continue in the ongoing 3-year extension portion of the PaTHway Japan Trial.</w:t>
      </w:r>
    </w:p>
    <w:p>
      <w:pPr>
        <w:spacing w:after="0" w:line="18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In December 2022, the FDA allowed Ascendis to initiate an expanded access program (“EAP”) for TransCon PTH, for adult patients with hypoparathyroidism. To qualify for the EAP, patients must be adults diagnosed with hypoparathyroidism who live in the U.S., have prior PTH treatment experience, and meet other criteria. Requests for access to TransCon PTH under the U.S. EAP must be made by the treating physician. In January 2023, the online portal for physicians to request access to TransCon PTH through the U.S. EAP was opened.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November 2022, we submitted a marketing authorisation application (“MAA”) to the EMA for TransCon PTH in adult patients with hypoparathyroidism.</w:t>
      </w:r>
    </w:p>
    <w:p>
      <w:pPr>
        <w:spacing w:after="0" w:line="23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October 2022, the FDA accepted for Priority Review our New Drug Application (“NDA”) for TransCon PTH in adult patients with hypoparathyroidism and has set a Prescription Drug User Fee Act target action date of April 30, 2023. If approved by the PDUFA date, we expect U.S. commercial launch of TransCon PTH by the end of the second quarter of 2023.</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September 2022, we announced new Week 110 data from the Phase 2 PaTH Forward Trial showing that long-term therapy with TransCon PTH provided a durable response in adult patients with hypoparathyroidism, as evidenced by continued normalization of mean serum calcium levels and 93% of patients achieving independence from conventional therapy with active vitamin D and therapeutic levels of calcium. As of December 31, 2022, 57 out of the 59 patients continued in the open-label extension portion of the trial, where they receive a customized maintenance dose of TransCon PTH. In addition, all 57 subjects have exceeded two and a half years of follow-up in the PaTH Forward Trial. Two patients withdrew from the trial for reasons unrelated to safety or efficacy of the study drug.</w:t>
      </w:r>
    </w:p>
    <w:p>
      <w:pPr>
        <w:spacing w:after="0" w:line="18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In March 2022, we announced that top-line data from the randomized, double-blind, placebo-controlled portion of its Phase 3 PaTHway Trial of TransCon PTH in adults with hypoparathyroidism demonstrated statistically significant improvement with TransCon PTH compared to control on the primary composite endpoint and all key secondary endpoints. The primary endpoint, defined as serum calcium levels in the normal range (8.3–10.6 mg/dL) and independence from conventional therapy (active vitamin D and &gt;600 mg/day of calcium supplements) with no increase in prescribed study drug within the 4 weeks prior to the Week 26 visit, was achieved by 78.7% of TransCon PTH-treated patients (48 of 61), compared to 4.8% for patients (1 of 21) in control group (p-value &lt;0.0001). In addition, all key pre-specified secondary endpoints were met with statistical significance. TransCon PTH was generally well tolerated, with no discontinuations related to study drug. Three patients discontinued during the treatment period, two from the placebo arm and one from the TransCon PTH arm. TransCon PTH-treated patients showed a mean decrease in 24-hour urine calcium excretion into the normal range.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2" w:name="page93"/>
    <w:bookmarkEnd w:id="92"/>
    <w:p>
      <w:pPr>
        <w:spacing w:after="0" w:line="265" w:lineRule="auto"/>
        <w:rPr>
          <w:sz w:val="20"/>
          <w:szCs w:val="20"/>
          <w:color w:val="auto"/>
        </w:rPr>
      </w:pPr>
      <w:r>
        <w:rPr>
          <w:rFonts w:ascii="Times New Roman" w:cs="Times New Roman" w:eastAsia="Times New Roman" w:hAnsi="Times New Roman"/>
          <w:sz w:val="18"/>
          <w:szCs w:val="18"/>
          <w:color w:val="auto"/>
        </w:rPr>
        <w:t>Following an initial blinded study period of 26 weeks all 79 patients completing the blinded period opted to receive treatment with TransCon PTH in the ongoing open-label extension portion of the study for up to 3 years (156 weeks). As of December 31, 2022, 77 out of 79 patients continued in the open label extension (“OLE”) portion of the PaTHway Trial.</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April 2020, we announced top-line data from the four-week fixed dose, double-blinded portion of PaTH Forward, a global Phase 2 trial evaluating the safety, tolerability and efficacy of TransCon PTH in adult subjects with hypoparathyroidism. A total of 59 subjects were randomized in a blinded manner to receive fixed doses of TransCon PTH at 15, 18 or 21 µg/day or placebo for four weeks using a ready-to-use prefilled pen injector planned for commercial presentation. All doses of TransCon PTH were well-tolerated, and no serious or severe treatment-related adverse events (“TEAEs”), were observed at any point. No treatment-emergent adverse events led to discontinuation of study drug, and the overall incidence of TEAEs was comparable between TransCon PTH and placebo. Additionally, there were no drop-outs during the four-week fixed dose period.</w:t>
      </w:r>
    </w:p>
    <w:p>
      <w:pPr>
        <w:spacing w:after="0" w:line="18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June 2018, we were granted ODD by the FDA, for TransCon PTH for the treatment of hypoparathyroidism. In October 2020, we were granted OD by the EC for TransCon PTH for the treatment of hypoparathyroidism. In July 2021, the Ministry of Health, Labour and Welfare granted ODD to TransCon PTH for the treatment of hypoparathyroidism.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Achondroplasia</w:t>
      </w:r>
    </w:p>
    <w:p>
      <w:pPr>
        <w:spacing w:after="0" w:line="118"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ACH is the most common form of dwarfism, occurring in about one in 10,000 to 30,000 newborns or approximately 250,000 worldwide. ACH results in severe skeletal complications and comorbidities, including spinal stenosis due to premature fusion of the foramen magnum, sleep apnea, and chronic ear infections. Patients often face multiple surgeries to alleviate its many complications.</w:t>
      </w:r>
    </w:p>
    <w:p>
      <w:pPr>
        <w:spacing w:after="0" w:line="17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ACH is caused by an autosomal dominant activating mutation in fibroblast growth factor receptor 3 (“FGFR3”) that leads to an imbalance in the effects of the FGFR3 and C-type natriuretic peptide (“CNP”) signaling pathways. In ACH, mutations in FGFR3 result in constitutive activation, suppressing the proliferation and differentiation of chondrocytes resulting in improper cartilage to bone conversion in the growth plate.</w:t>
      </w:r>
    </w:p>
    <w:p>
      <w:pPr>
        <w:spacing w:after="0" w:line="175"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Preclinical and clinical data show that the CNP pathway stimulates growth and increased CNP helps to counteract the effects of the FGFR3 mutation downstream.</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93" w:name="page94"/>
    <w:bookmarkEnd w:id="93"/>
    <w:p>
      <w:pPr>
        <w:ind w:right="120"/>
        <w:spacing w:after="0" w:line="233" w:lineRule="auto"/>
        <w:rPr>
          <w:sz w:val="20"/>
          <w:szCs w:val="20"/>
          <w:color w:val="auto"/>
        </w:rPr>
      </w:pPr>
      <w:r>
        <w:rPr>
          <w:rFonts w:ascii="Times New Roman" w:cs="Times New Roman" w:eastAsia="Times New Roman" w:hAnsi="Times New Roman"/>
          <w:sz w:val="18"/>
          <w:szCs w:val="18"/>
          <w:color w:val="auto"/>
        </w:rPr>
        <w:t>In November 2021 BioMarin Pharmaceutical, Inc’s VOXZOGO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(vosoritide) was approved by FDA and is indicated to increase linear growth in pediatric patients with ACH who are 5 years of age and older with open epiphyses. Other companies that are developing therapies for ACH include QED Therapeutics, Sanofi, Ribomic, PhaseBio, Astellas, and ProLynx.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330190" cy="22637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3019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The role of a defect in the FGFR3 signaling pathway in the development of ACH is well understood.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CNP</w:t>
      </w:r>
    </w:p>
    <w:p>
      <w:pPr>
        <w:spacing w:after="0" w:line="11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TransCon CNP is an investigational long-acting prodrug of C-type natriuretic peptide designed to provide continuous CNP exposure at therapeutic levels with a well-tolerated and convenient once-weekly dose. It is being developed for the treatment of children with ACH.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Shorter acting CNP and CNP analogs in development have resulted in high C</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xml:space="preserve"> levels that may cause adverse cardiovascular events. We believe the therapeutically sustained release of TransCon CNP offers advantages that may mitigate this issue, leading to more constant CNP exposure at lower C</w:t>
      </w:r>
      <w:r>
        <w:rPr>
          <w:rFonts w:ascii="Times New Roman" w:cs="Times New Roman" w:eastAsia="Times New Roman" w:hAnsi="Times New Roman"/>
          <w:sz w:val="24"/>
          <w:szCs w:val="24"/>
          <w:color w:val="auto"/>
          <w:vertAlign w:val="subscript"/>
        </w:rPr>
        <w:t>max</w:t>
      </w:r>
      <w:r>
        <w:rPr>
          <w:rFonts w:ascii="Times New Roman" w:cs="Times New Roman" w:eastAsia="Times New Roman" w:hAnsi="Times New Roman"/>
          <w:sz w:val="18"/>
          <w:szCs w:val="18"/>
          <w:color w:val="auto"/>
        </w:rPr>
        <w:t xml:space="preserve"> to correlate with better therapeutic outcomes.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of TransCon CNP for ACH</w:t>
      </w:r>
    </w:p>
    <w:p>
      <w:pPr>
        <w:spacing w:after="0" w:line="11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TransCon CNP is currently being evaluated in a global Phase 2 trial, known as the ACcomplisH Trial, which is designed to evaluate the safety and efficacy of TransCon CNP in children (ages two to ten years) with ACH.</w:t>
      </w:r>
    </w:p>
    <w:p>
      <w:pPr>
        <w:spacing w:after="0" w:line="163"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In November 2022, we announced topline results from ACcomplisH, a Phase 2 randomized, double-blind, placebo-controlled, dose-escalation trial evaluating the safety and efficacy of once-weekly TransCon CNP compared to placebo in children with ACH aged two to ten years old.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85" w:right="359" w:bottom="1440" w:gutter="0" w:footer="0" w:header="0"/>
        </w:sectPr>
      </w:pPr>
    </w:p>
    <w:bookmarkStart w:id="94" w:name="page95"/>
    <w:bookmarkEnd w:id="94"/>
    <w:p>
      <w:pPr>
        <w:ind w:right="320"/>
        <w:spacing w:after="0" w:line="259" w:lineRule="auto"/>
        <w:rPr>
          <w:sz w:val="20"/>
          <w:szCs w:val="20"/>
          <w:color w:val="auto"/>
        </w:rPr>
      </w:pPr>
      <w:r>
        <w:rPr>
          <w:rFonts w:ascii="Times New Roman" w:cs="Times New Roman" w:eastAsia="Times New Roman" w:hAnsi="Times New Roman"/>
          <w:sz w:val="18"/>
          <w:szCs w:val="18"/>
          <w:color w:val="auto"/>
        </w:rPr>
        <w:t>The ACcomplisH Trial evaluated 57 children with ACH aged 2 to 10 years old, randomized in a 3:1 ratio to receive either sequential ascending doses of once-weekly TransCon CNP or placebo for 52 weeks. All 57 randomized children completed the blinded portion of ACcomplisH and are currently continuing in the open label extension at the 100 µg/kg/week dose. The trial met its primary objectives, demonstrating that TransCon CNP at 100 µg/kg/week met the primary efficacy endpoint of AHV at 52 weeks (p=0.0218).</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378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TransCon CNP Dose Group </w:t>
            </w:r>
            <w:r>
              <w:rPr>
                <w:rFonts w:ascii="Times New Roman" w:cs="Times New Roman" w:eastAsia="Times New Roman" w:hAnsi="Times New Roman"/>
                <w:sz w:val="18"/>
                <w:szCs w:val="18"/>
                <w:color w:val="auto"/>
              </w:rPr>
              <w:t>(n)</w:t>
            </w:r>
          </w:p>
        </w:tc>
        <w:tc>
          <w:tcPr>
            <w:tcW w:w="3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AHV (cm/year)</w:t>
            </w:r>
          </w:p>
        </w:tc>
        <w:tc>
          <w:tcPr>
            <w:tcW w:w="3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p-value</w:t>
            </w:r>
          </w:p>
        </w:tc>
        <w:tc>
          <w:tcPr>
            <w:tcW w:w="0" w:type="dxa"/>
            <w:vAlign w:val="bottom"/>
          </w:tcPr>
          <w:p>
            <w:pPr>
              <w:spacing w:after="0"/>
              <w:rPr>
                <w:sz w:val="1"/>
                <w:szCs w:val="1"/>
                <w:color w:val="auto"/>
              </w:rPr>
            </w:pPr>
          </w:p>
        </w:tc>
      </w:tr>
      <w:tr>
        <w:trPr>
          <w:trHeight w:val="193"/>
        </w:trPr>
        <w:tc>
          <w:tcPr>
            <w:tcW w:w="3780" w:type="dxa"/>
            <w:vAlign w:val="bottom"/>
            <w:tcBorders>
              <w:left w:val="single" w:sz="8" w:color="auto"/>
              <w:right w:val="single" w:sz="8" w:color="auto"/>
            </w:tcBorders>
            <w:vMerge w:val="continue"/>
          </w:tcPr>
          <w:p>
            <w:pPr>
              <w:spacing w:after="0"/>
              <w:rPr>
                <w:sz w:val="16"/>
                <w:szCs w:val="16"/>
                <w:color w:val="auto"/>
              </w:rPr>
            </w:pPr>
          </w:p>
        </w:tc>
        <w:tc>
          <w:tcPr>
            <w:tcW w:w="37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LS Mean [95% CI]</w:t>
            </w:r>
          </w:p>
        </w:tc>
        <w:tc>
          <w:tcPr>
            <w:tcW w:w="37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(TransCon CNP vs. Pooled Placebo)</w:t>
            </w:r>
          </w:p>
        </w:tc>
        <w:tc>
          <w:tcPr>
            <w:tcW w:w="0" w:type="dxa"/>
            <w:vAlign w:val="bottom"/>
          </w:tcPr>
          <w:p>
            <w:pPr>
              <w:spacing w:after="0"/>
              <w:rPr>
                <w:sz w:val="1"/>
                <w:szCs w:val="1"/>
                <w:color w:val="auto"/>
              </w:rPr>
            </w:pPr>
          </w:p>
        </w:tc>
      </w:tr>
      <w:tr>
        <w:trPr>
          <w:trHeight w:val="215"/>
        </w:trPr>
        <w:tc>
          <w:tcPr>
            <w:tcW w:w="3780" w:type="dxa"/>
            <w:vAlign w:val="bottom"/>
            <w:tcBorders>
              <w:left w:val="single" w:sz="8" w:color="auto"/>
              <w:right w:val="single" w:sz="8" w:color="auto"/>
            </w:tcBorders>
          </w:tcPr>
          <w:p>
            <w:pPr>
              <w:spacing w:after="0"/>
              <w:rPr>
                <w:sz w:val="18"/>
                <w:szCs w:val="18"/>
                <w:color w:val="auto"/>
              </w:rPr>
            </w:pPr>
          </w:p>
        </w:tc>
        <w:tc>
          <w:tcPr>
            <w:tcW w:w="3720" w:type="dxa"/>
            <w:vAlign w:val="bottom"/>
            <w:tcBorders>
              <w:right w:val="single" w:sz="8" w:color="auto"/>
            </w:tcBorders>
            <w:vMerge w:val="continue"/>
          </w:tcPr>
          <w:p>
            <w:pPr>
              <w:spacing w:after="0"/>
              <w:rPr>
                <w:sz w:val="18"/>
                <w:szCs w:val="18"/>
                <w:color w:val="auto"/>
              </w:rPr>
            </w:pPr>
          </w:p>
        </w:tc>
        <w:tc>
          <w:tcPr>
            <w:tcW w:w="37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780" w:type="dxa"/>
            <w:vAlign w:val="bottom"/>
            <w:tcBorders>
              <w:left w:val="single" w:sz="8" w:color="auto"/>
              <w:bottom w:val="single" w:sz="8" w:color="auto"/>
              <w:right w:val="single" w:sz="8" w:color="auto"/>
            </w:tcBorders>
          </w:tcPr>
          <w:p>
            <w:pPr>
              <w:spacing w:after="0"/>
              <w:rPr>
                <w:sz w:val="23"/>
                <w:szCs w:val="23"/>
                <w:color w:val="auto"/>
              </w:rPr>
            </w:pPr>
          </w:p>
        </w:tc>
        <w:tc>
          <w:tcPr>
            <w:tcW w:w="3720" w:type="dxa"/>
            <w:vAlign w:val="bottom"/>
            <w:tcBorders>
              <w:bottom w:val="single" w:sz="8" w:color="auto"/>
              <w:right w:val="single" w:sz="8" w:color="auto"/>
            </w:tcBorders>
          </w:tcPr>
          <w:p>
            <w:pPr>
              <w:spacing w:after="0"/>
              <w:rPr>
                <w:sz w:val="23"/>
                <w:szCs w:val="23"/>
                <w:color w:val="auto"/>
              </w:rPr>
            </w:pPr>
          </w:p>
        </w:tc>
        <w:tc>
          <w:tcPr>
            <w:tcW w:w="37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7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6 µg/kg/week </w:t>
            </w:r>
            <w:r>
              <w:rPr>
                <w:rFonts w:ascii="Times New Roman" w:cs="Times New Roman" w:eastAsia="Times New Roman" w:hAnsi="Times New Roman"/>
                <w:sz w:val="18"/>
                <w:szCs w:val="18"/>
                <w:color w:val="auto"/>
              </w:rPr>
              <w:t>(n=10)</w:t>
            </w:r>
          </w:p>
        </w:tc>
        <w:tc>
          <w:tcPr>
            <w:tcW w:w="3720" w:type="dxa"/>
            <w:vAlign w:val="bottom"/>
            <w:tcBorders>
              <w:right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4.09</w:t>
            </w:r>
          </w:p>
        </w:tc>
        <w:tc>
          <w:tcPr>
            <w:tcW w:w="374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0.6004</w:t>
            </w:r>
          </w:p>
        </w:tc>
        <w:tc>
          <w:tcPr>
            <w:tcW w:w="0" w:type="dxa"/>
            <w:vAlign w:val="bottom"/>
          </w:tcPr>
          <w:p>
            <w:pPr>
              <w:spacing w:after="0"/>
              <w:rPr>
                <w:sz w:val="1"/>
                <w:szCs w:val="1"/>
                <w:color w:val="auto"/>
              </w:rPr>
            </w:pPr>
          </w:p>
        </w:tc>
      </w:tr>
      <w:tr>
        <w:trPr>
          <w:trHeight w:val="412"/>
        </w:trPr>
        <w:tc>
          <w:tcPr>
            <w:tcW w:w="378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[3.34, 4.84]</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20 µg/kg/week </w:t>
            </w:r>
            <w:r>
              <w:rPr>
                <w:rFonts w:ascii="Times New Roman" w:cs="Times New Roman" w:eastAsia="Times New Roman" w:hAnsi="Times New Roman"/>
                <w:sz w:val="18"/>
                <w:szCs w:val="18"/>
                <w:color w:val="auto"/>
              </w:rPr>
              <w:t>(n=11)</w:t>
            </w:r>
          </w:p>
        </w:tc>
        <w:tc>
          <w:tcPr>
            <w:tcW w:w="37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4.52</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0.7022</w:t>
            </w:r>
          </w:p>
        </w:tc>
        <w:tc>
          <w:tcPr>
            <w:tcW w:w="0" w:type="dxa"/>
            <w:vAlign w:val="bottom"/>
          </w:tcPr>
          <w:p>
            <w:pPr>
              <w:spacing w:after="0"/>
              <w:rPr>
                <w:sz w:val="1"/>
                <w:szCs w:val="1"/>
                <w:color w:val="auto"/>
              </w:rPr>
            </w:pPr>
          </w:p>
        </w:tc>
      </w:tr>
      <w:tr>
        <w:trPr>
          <w:trHeight w:val="415"/>
        </w:trPr>
        <w:tc>
          <w:tcPr>
            <w:tcW w:w="378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[3.82, 5.22]</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50 µg/kg/week </w:t>
            </w:r>
            <w:r>
              <w:rPr>
                <w:rFonts w:ascii="Times New Roman" w:cs="Times New Roman" w:eastAsia="Times New Roman" w:hAnsi="Times New Roman"/>
                <w:sz w:val="18"/>
                <w:szCs w:val="18"/>
                <w:color w:val="auto"/>
              </w:rPr>
              <w:t>(n=10)</w:t>
            </w:r>
          </w:p>
        </w:tc>
        <w:tc>
          <w:tcPr>
            <w:tcW w:w="37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5.16</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0.0849</w:t>
            </w:r>
          </w:p>
        </w:tc>
        <w:tc>
          <w:tcPr>
            <w:tcW w:w="0" w:type="dxa"/>
            <w:vAlign w:val="bottom"/>
          </w:tcPr>
          <w:p>
            <w:pPr>
              <w:spacing w:after="0"/>
              <w:rPr>
                <w:sz w:val="1"/>
                <w:szCs w:val="1"/>
                <w:color w:val="auto"/>
              </w:rPr>
            </w:pPr>
          </w:p>
        </w:tc>
      </w:tr>
      <w:tr>
        <w:trPr>
          <w:trHeight w:val="415"/>
        </w:trPr>
        <w:tc>
          <w:tcPr>
            <w:tcW w:w="378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[4.43, 5.90]</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100 µg/kg/week </w:t>
            </w:r>
            <w:r>
              <w:rPr>
                <w:rFonts w:ascii="Times New Roman" w:cs="Times New Roman" w:eastAsia="Times New Roman" w:hAnsi="Times New Roman"/>
                <w:sz w:val="18"/>
                <w:szCs w:val="18"/>
                <w:color w:val="auto"/>
              </w:rPr>
              <w:t>(n=11)</w:t>
            </w:r>
          </w:p>
        </w:tc>
        <w:tc>
          <w:tcPr>
            <w:tcW w:w="37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5.42</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0.0218</w:t>
            </w:r>
          </w:p>
        </w:tc>
        <w:tc>
          <w:tcPr>
            <w:tcW w:w="0" w:type="dxa"/>
            <w:vAlign w:val="bottom"/>
          </w:tcPr>
          <w:p>
            <w:pPr>
              <w:spacing w:after="0"/>
              <w:rPr>
                <w:sz w:val="1"/>
                <w:szCs w:val="1"/>
                <w:color w:val="auto"/>
              </w:rPr>
            </w:pPr>
          </w:p>
        </w:tc>
      </w:tr>
      <w:tr>
        <w:trPr>
          <w:trHeight w:val="415"/>
        </w:trPr>
        <w:tc>
          <w:tcPr>
            <w:tcW w:w="3780" w:type="dxa"/>
            <w:vAlign w:val="bottom"/>
            <w:tcBorders>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[4.74, 6.11]</w:t>
            </w: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Pooled Placebo </w:t>
            </w:r>
            <w:r>
              <w:rPr>
                <w:rFonts w:ascii="Times New Roman" w:cs="Times New Roman" w:eastAsia="Times New Roman" w:hAnsi="Times New Roman"/>
                <w:sz w:val="18"/>
                <w:szCs w:val="18"/>
                <w:color w:val="auto"/>
              </w:rPr>
              <w:t>(n=15)</w:t>
            </w:r>
          </w:p>
        </w:tc>
        <w:tc>
          <w:tcPr>
            <w:tcW w:w="37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4.35</w:t>
            </w:r>
          </w:p>
        </w:tc>
        <w:tc>
          <w:tcPr>
            <w:tcW w:w="3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08"/>
        </w:trPr>
        <w:tc>
          <w:tcPr>
            <w:tcW w:w="37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[3.75, 4.94]</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highlights:</w:t>
            </w:r>
          </w:p>
        </w:tc>
        <w:tc>
          <w:tcPr>
            <w:tcW w:w="3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demonstrated a consistent dose-dependent increase in AHV across the four dose groups.</w:t>
      </w:r>
    </w:p>
    <w:p>
      <w:pPr>
        <w:spacing w:after="0" w:line="115" w:lineRule="exact"/>
        <w:rPr>
          <w:rFonts w:ascii="Times New Roman" w:cs="Times New Roman" w:eastAsia="Times New Roman" w:hAnsi="Times New Roman"/>
          <w:sz w:val="18"/>
          <w:szCs w:val="18"/>
          <w:color w:val="auto"/>
        </w:rPr>
      </w:pPr>
    </w:p>
    <w:p>
      <w:pPr>
        <w:ind w:left="1020" w:right="20" w:hanging="504"/>
        <w:spacing w:after="0" w:line="280"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improvements in AHV for TransCon CNP-treated patients were consistent across age groups &lt;5 years and &gt;5 years, with dose response established.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at 100 µg/kg/week improved change in ACH-specific height SDS compared to placebo (p=0.0283).</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TransCon CNP was generally well tolerated, with no discontinuations.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adverse events (“SAEs”) related to treatment were reported; two unrelated SAEs were reported.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Injections were generally well tolerated with low frequency of injection site reactions (“ISRs”):</w:t>
      </w:r>
    </w:p>
    <w:p>
      <w:pPr>
        <w:spacing w:after="0" w:line="11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11 mild ISRs (in 8 patients) out of &gt;2,000 injections.</w:t>
      </w:r>
    </w:p>
    <w:p>
      <w:pPr>
        <w:spacing w:after="0" w:line="115" w:lineRule="exact"/>
        <w:rPr>
          <w:rFonts w:ascii="Times New Roman" w:cs="Times New Roman" w:eastAsia="Times New Roman" w:hAnsi="Times New Roman"/>
          <w:sz w:val="18"/>
          <w:szCs w:val="18"/>
          <w:color w:val="auto"/>
        </w:rPr>
      </w:pPr>
    </w:p>
    <w:p>
      <w:pPr>
        <w:ind w:left="1020" w:right="380" w:hanging="504"/>
        <w:spacing w:after="0" w:line="280"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treated ≥6 months at 100 µg/kg/week in the blinded or OLE period demonstrated a consistent and sustained response, with mean AHV of 5.39 cm/year (n=40).</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year data from the OLE portion of the ACcomplisH Trial are expected during the fourth quarter of 2023.</w:t>
      </w:r>
    </w:p>
    <w:p>
      <w:pPr>
        <w:spacing w:after="0" w:line="223" w:lineRule="exact"/>
        <w:rPr>
          <w:sz w:val="20"/>
          <w:szCs w:val="20"/>
          <w:color w:val="auto"/>
        </w:rPr>
      </w:pPr>
    </w:p>
    <w:p>
      <w:pPr>
        <w:jc w:val="both"/>
        <w:ind w:right="260"/>
        <w:spacing w:after="0" w:line="280" w:lineRule="auto"/>
        <w:rPr>
          <w:sz w:val="20"/>
          <w:szCs w:val="20"/>
          <w:color w:val="auto"/>
        </w:rPr>
      </w:pPr>
      <w:r>
        <w:rPr>
          <w:rFonts w:ascii="Times New Roman" w:cs="Times New Roman" w:eastAsia="Times New Roman" w:hAnsi="Times New Roman"/>
          <w:sz w:val="18"/>
          <w:szCs w:val="18"/>
          <w:color w:val="auto"/>
        </w:rPr>
        <w:t>In October 2022, we submitted protocols to initiate ApproaCH, global randomized, double-blind, placebo-controlled Phase 2b trial in children ages 2–11 years with ACH. The trial targets enrollment of ~80 patients. During the second quarter of 2023, we expect to complete enrollment in ApproaCH.</w:t>
      </w:r>
    </w:p>
    <w:p>
      <w:pPr>
        <w:spacing w:after="0" w:line="163"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We are conducting the ACHieve Study, a multi-center natural history study designed to gain insight into the experiences of pediatric subjects with ACH. ACHieve will study growth velocity, body proportionality, and comorbidities over time in children with ACH up to eight years old. No study medication will be administered.</w:t>
      </w:r>
    </w:p>
    <w:p>
      <w:pPr>
        <w:spacing w:after="0" w:line="17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In addition, we are planning a trial to evaluate TransCon CNP in children under the age of 2 years. We plan to submit an IND or similar application for this trial in the third quarter of 2023.</w:t>
      </w:r>
    </w:p>
    <w:p>
      <w:pPr>
        <w:spacing w:after="0" w:line="163"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color w:val="auto"/>
        </w:rPr>
        <w:t>In February 2019, we were granted ODD by the FDA for TransCon CNP for the treatment of ACH. In July 2020, we received OD from the EC for TransCon CNP for the treatment of ACH.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TransCon Product Candidates—Oncology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Oncology</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Efficacy of many cancer treatments remains suboptimal and the incidence of cancer continues to rise. Improved understanding of the cellular and molecular mechanisms involved in anti-tumor immune responses has fueled the rapid growth of immuno-oncology therapeutics. Immune checkpoint inhibitors, such as anti-PD-(L)1 and anti-CTLA-4 antibodies, have provided new therapeutic options for patients. Supported by these and other advancements, oncology is now the largest therapy class in terms of revenue in pharmaceutical industry, with worldwide prescription drug and over-the-counter sales of $124 billion in 2018 and projected growth to $237 billion in 2024.</w:t>
      </w:r>
    </w:p>
    <w:p>
      <w:pPr>
        <w:spacing w:after="0" w:line="183"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Despite recent advances, a high need for new treatment options remains for patients who do not respond or respond inadequately to current therapies. In addition to insufficient efficacy, many current treatments are limited by toxicities that result in dose reductions, treatment discontinuations, or long-term health risks to patients.</w:t>
      </w:r>
    </w:p>
    <w:p>
      <w:pPr>
        <w:spacing w:after="0" w:line="17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believe that one approach to improving efficacy while limiting adverse events is to create long-acting product candidates using our sustained systemic release TransCon technology, allowing for more consistent circulating drug levels and potentially avoiding high peak concentrations that often associate with toxicity.</w:t>
      </w:r>
    </w:p>
    <w:p>
      <w:pPr>
        <w:spacing w:after="0" w:line="17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Another approach is to target the drug activity into tumors via intratumoral injection using our sustained localized release TransCon technology, aiming for high activity in the tumor microenvironment while limiting systemic adverse events. While one intratumoral treatment has been approved for the local treatment of recurrent melanoma, the overall success of intratumoral treatments has been limited to date. This is likely at least partly due to the short intratumoral retention of injected molecules, and, hence, the need for frequent, impractical dosing schedules.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Technologies for Oncology</w:t>
      </w:r>
    </w:p>
    <w:p>
      <w:pPr>
        <w:spacing w:after="0" w:line="11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We believe prolonging the therapeutic activity and targeting the drug activity to the relevant cell types and tissues have the potential to improve treatment outcomes. We believe TransCon is well-suited to improve cancer treatments given the large number of validated targets with known limitations. By applying our unique algorithm for product innovation to clinically validated targets and pathways, we believe TransCon has the potential to improve outcomes currently limited by suboptimal efficacy and systemic toxicity.</w:t>
      </w:r>
    </w:p>
    <w:p>
      <w:pPr>
        <w:spacing w:after="0" w:line="183"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We believe TransCon technologies may have the potential to increase the efficacy of small molecules, peptides and proteins without increasing toxicity, which could offer the potential to treat more patients with new combination and multi-agent regimens that would not otherwise be feasible.</w:t>
      </w:r>
    </w:p>
    <w:p>
      <w:pPr>
        <w:spacing w:after="0" w:line="16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We are currently investigating two clinical-stage product candidates designed to activate the patient’s own immune system to eradicate malignant cells. We believe our approach, if successfully developed, has the potential to optimize the efficacy of systemically administered, clinically validated therapies while limiting adverse effects.</w:t>
      </w:r>
    </w:p>
    <w:p>
      <w:pPr>
        <w:spacing w:after="0" w:line="17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Similarly, with the potential to achieve sustained local release at predictable levels, we believe TransCon product candidates may allow for improved efficacy and reduced dosing frequency of intratumorally administered therapies, potentially enabling treatments of multiple tumor types, including those that cannot be easily accessed for frequent injection.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TransCon Product Candidates in Oncology</w:t>
      </w:r>
    </w:p>
    <w:p>
      <w:pPr>
        <w:spacing w:after="0" w:line="11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Our TransCon product candidates in oncology are designed to provide sustained systemic or intratumoral administration, which we believe could provide potent and durable anti-tumor efficacy. Our nonclinical studies have showed sustained activation of cytotoxic immune cells that resulted in robust anti-tumor responses by TransCon product candidates using infrequent administration.</w:t>
      </w:r>
    </w:p>
    <w:p>
      <w:pPr>
        <w:spacing w:after="0" w:line="175" w:lineRule="exact"/>
        <w:rPr>
          <w:sz w:val="20"/>
          <w:szCs w:val="20"/>
          <w:color w:val="auto"/>
        </w:rPr>
      </w:pPr>
    </w:p>
    <w:p>
      <w:pPr>
        <w:ind w:left="5540" w:right="2080" w:hanging="5526"/>
        <w:spacing w:after="0" w:line="280" w:lineRule="auto"/>
        <w:rPr>
          <w:sz w:val="20"/>
          <w:szCs w:val="20"/>
          <w:color w:val="auto"/>
        </w:rPr>
      </w:pPr>
      <w:r>
        <w:rPr>
          <w:rFonts w:ascii="Times New Roman" w:cs="Times New Roman" w:eastAsia="Times New Roman" w:hAnsi="Times New Roman"/>
          <w:sz w:val="18"/>
          <w:szCs w:val="18"/>
          <w:color w:val="auto"/>
        </w:rPr>
        <w:t>Two of our oncology product candidates, TransCon TLR7/8 Agonist and TransCon IL-2 ß/ , are now in clinical development.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TLR7/8 Agonist for sustained localized release</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TransCon TLR7/8 Agonist is an investigational long-acting prodrug, designed for sustained release of resiquimod, a small molecule agonist of TLR 7 and 8. It is designed to provide sustained and potent activation of the innate immune system in the tumor and tumor draining lymph node for weeks following a single intratumoral injection and to have a low risk of systemic toxicity. The transcendIT-101 Trial, a Phase 1/2 clinical trial to evaluate the safety and efficacy of TransCon TLR7/8 Agonist in locally advanced or metastatic solid tumors, alone or in combination with pembrolizumab, is enrolling patients in four indication-specific cohorts.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2022, we announced completion of the dose-escalation portion and selection of the recommended Phase 2 dose in transcendIT-101. In the current portion of the trial, the recommended Phase 2 dose of TransCon TLR7/8 Agonist is being evaluated in four cohorts focused on cancers where increased TLR activity has potential to improve innate and adaptive immune activation and host defense against cancers. The cohorts include head and neck squamous-cell carcinoma; other HPV-associated cancers; melanoma; and cutaneous squamous cell carcinoma. In this portion of the study, all participants will be treated every three weeks with intratumoral TransCon TLR7/8 Agonist in combination with intravenous pembrolizumab. Limits on prior lines of therapy vary by cohort.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IL-2 ß/  for sustained systemic release</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TransCon IL-2  /  is an investigational long-acting prodrug designed to improve cancer immunotherapy through sustained release of an IL-2 variant that selectively activates IL-2Rß/ , with minimal binding to IL-2Rα. The Phase 1/2 IL-ßelie e Trial evaluating TransCon IL-2  /  monotherapy in patients with advanced cancer is enrolling patients in dose escalation cohorts. During the second quarter of 2022, we dosed the first patient in the combination dose escalation cohort for TransCon IL-2  /  and checkpoint inhibitor, in the IL-ßelie e Trial. Results from monotherapy dose escalation are expected during the first quarter of 2023 with dose escalation, combination therapy results expected during the third quarter of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 Plans</w:t>
      </w:r>
    </w:p>
    <w:p>
      <w:pPr>
        <w:spacing w:after="0" w:line="11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We believe that a combination TransCon TLR7/8 Agonist and TransCon IL-2  /  may have the potential to produce greater anti-tumor activity than either candidate alone. We plan to evaluate clinical activity of the combination of TransCon TLR7/8 Agonist and TransCon IL-2  /  in 2023.</w:t>
      </w:r>
    </w:p>
    <w:p>
      <w:pPr>
        <w:spacing w:after="0" w:line="16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We are evaluating additional TransCon product candidates in nonclinical research studies with potential to enhance anti-tumor immune responses for the treatment of multiple tumor types. We are exploring product candidates using both systemic and intratumoral administration as monotherapies and as components of combination regimens. We believe these programs have the potential to make a positive impact to the lives of many patients with cancer.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TransCon Product Candidates—Ophthalmology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Ophthalmology</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According to the Centers for Disease Control and Prevention, more than four million Americans aged 40 years and older are either legally blind or are with low vision. Age related eye diseases such as age-related macular degeneration, cataract, diabetic retinopathy, and glaucoma are the leading causes of blindness and low vision. Advances in technology have resulted in new treatment options for disorders such as wet AMD, diabetic macular edema, and retinal vein occlusion. Through intravitreal injections, medication is placed directly into a space in the back of the eye called the vitreous cavity.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97" w:name="page98"/>
    <w:bookmarkEnd w:id="97"/>
    <w:p>
      <w:pPr>
        <w:ind w:right="140"/>
        <w:spacing w:after="0" w:line="255" w:lineRule="auto"/>
        <w:rPr>
          <w:sz w:val="20"/>
          <w:szCs w:val="20"/>
          <w:color w:val="auto"/>
        </w:rPr>
      </w:pPr>
      <w:r>
        <w:rPr>
          <w:rFonts w:ascii="Times New Roman" w:cs="Times New Roman" w:eastAsia="Times New Roman" w:hAnsi="Times New Roman"/>
          <w:sz w:val="18"/>
          <w:szCs w:val="18"/>
          <w:color w:val="auto"/>
        </w:rPr>
        <w:t>The use of anti-vascular endothelial growth factor (“anti-VEGF”) agents have transformed the treatment of wet AMD. Clinical studies have shown that anti-VEGF treatments are very successful in preventing vision loss as a result of wet AMD and may help to regain some lost vision. However, anti-VEGF treatment require repetitive intravitreal injections representing a high treatment burden for the patients. Lack of adherence and undertreatment remains a significant issue in real-world outcomes, and extending treatment duration remains a key unmet medical need. Intravitreal treatments represent an established, well-understood, and high-value therapeutic category, characterized by high unmet medical need. We estimate the global market for ophthalmology treatments exceeds $10 billion and is primed for disruption.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TransCon Technologies for Ophthalmology</w:t>
      </w:r>
    </w:p>
    <w:p>
      <w:pPr>
        <w:spacing w:after="0" w:line="11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TransCon Hydrogel platform has been designed to provide sustained levels of a drug at a localized site. It is designed to allow for prolonged, continuous release over months. In vivo data demonstrated that the TransCon Hydrogel platform provided continuous local drug release over at least six months supporting twice yearly administration. By reducing the frequency of intravitreal injection, we believe the TransCon Hydrogel platform could potentially increase patient adherence and persistence resulting in better outcomes.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TransCon Ophthalmology Pipeline Candidates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TransCon RBZ (ranibizumab) has been selected as our lead pipeline candidate for ophthalmology. Lucentis® (ranibizumab) was first approved by the FDA in 2006 for the treatment of wet AMD. It has been studied extensively, and demonstrated efficacy following sustained infusion from an implantable osmotic minipump. Thus, we believe ranibizumab represents a clinically validated parent drug which we believe provides lower development risk compared to new candidate discovery.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TransCon RBZ, additional product candidates are under evaluation.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2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We also engage in strategic collaborations to further leverage our TransCon technologies in certain geographies with market-leading biopharmaceutical companies. These collaborations aim to make promising treatment options available to more patients and to further monetize both our TransCon technologies and our internal product candidates, particularly into therapeutic areas where we believe a partner may have more expertise, capability, and capital.</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In addition, we may choose to pursue a collaboration to develop and market our internal, wholly owned product candidates in geographic markets outside our core focus areas of the United States and Europe.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VISEN Pharmaceuticals</w:t>
      </w:r>
    </w:p>
    <w:p>
      <w:pPr>
        <w:spacing w:after="0" w:line="12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November 2018, we announced the formation of VISEN, a company established to develop and commercialize our endocrinology rare disease therapies in the People’s Republic of China, Hong Kong, Macau, and Taiwan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 Following the Series B financing, we retained 43.93% of VISEN’s issued and outstanding shares.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98" w:name="page99"/>
    <w:bookmarkEnd w:id="98"/>
    <w:p>
      <w:pPr>
        <w:jc w:val="both"/>
        <w:ind w:right="460"/>
        <w:spacing w:after="0" w:line="265" w:lineRule="auto"/>
        <w:rPr>
          <w:sz w:val="20"/>
          <w:szCs w:val="20"/>
          <w:color w:val="auto"/>
        </w:rPr>
      </w:pPr>
      <w:r>
        <w:rPr>
          <w:rFonts w:ascii="Times New Roman" w:cs="Times New Roman" w:eastAsia="Times New Roman" w:hAnsi="Times New Roman"/>
          <w:sz w:val="18"/>
          <w:szCs w:val="18"/>
          <w:color w:val="auto"/>
        </w:rPr>
        <w:t>In November 2022, VISEN announced results from its pivotal Phase 3 study of TransCon hGH in children with GHD in China. The trial achieved its primary endpoint; patients treated with TransCon hGH demonstrated greater annualized height velocity at 52-weeks (p=0.0010) compared to patients treated with daily growth hormone with comparable safety and tolerability to daily growth hormone.</w:t>
      </w:r>
    </w:p>
    <w:p>
      <w:pPr>
        <w:spacing w:after="0" w:line="17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In June 2022, VISEN announced it had completed enrollment of the Phase 3 PaTHway China Trial of TransCon PTH. Results from PaTHway China are expected in first quarter of 2023.</w:t>
      </w:r>
    </w:p>
    <w:p>
      <w:pPr>
        <w:spacing w:after="0" w:line="37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In January 2021, China’s National Medical Products Administration approved VISEN’s application to conduct the ACcomplisH China Trial, a randomized, double-blind, placebo-controlled, Phase 2 dose expansion trial to evaluate the safety and efficacy of TransCon CNP in subjects with ACH. The aim is to enable patients to have continuous CNP exposure aiming to promote bone growth and ameliorate and prevent complications and comorbidities of ACH.</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 in China</w:t>
      </w:r>
    </w:p>
    <w:p>
      <w:pPr>
        <w:spacing w:after="0" w:line="11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has introduced initiatives such as fast track review for drugs for unmet medical needs and adopted new rules that streamline the drug approval process in China for global companies.</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purpose of our investment in VISEN is to support our strategy to extend our endocrinology rare disease portfolio globally and establish a presence in China in partnership with collaborators who have significant experience and knowledge of the biopharmaceutical opportunity in China.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Agreements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Under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6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will provide product supply to VISEN for use in conducting clinical trials in Greater China pursuant to separate clinical supply agreements entered into concurrently with the Rights Agreements in accordance with the terms and conditions set forth therein. Additionally, we may enter into a commercial supply agreement governing commercial supply of licensed product to VISEN on the terms and conditions set forth in the Rights Agreements.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its endocrinology products in Greater China.</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99" w:name="page100"/>
    <w:bookmarkEnd w:id="99"/>
    <w:p>
      <w:pPr>
        <w:ind w:right="300"/>
        <w:spacing w:after="0" w:line="259" w:lineRule="auto"/>
        <w:rPr>
          <w:sz w:val="20"/>
          <w:szCs w:val="20"/>
          <w:color w:val="auto"/>
        </w:rPr>
      </w:pPr>
      <w:r>
        <w:rPr>
          <w:rFonts w:ascii="Times New Roman" w:cs="Times New Roman" w:eastAsia="Times New Roman" w:hAnsi="Times New Roman"/>
          <w:sz w:val="18"/>
          <w:szCs w:val="18"/>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Shareholders Agreement</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Company’s investment in VISEN, on January 8, 2021, the Company entered into an Amended and Restated Shareholders Agreement (the “Amended Shareholders Agreement”), amending and restating the Shareholders Agreement dated November 7, 2018, between the Company and the parties set forth therein (the “Shareholders Agreement”). In addition to rights previously granted under the Shareholders Agreement, under the Amended Shareholders Agreement, the Company has the right to designate two individuals for election to the board of directors of VISEN, which individuals are initially Jan Møller Mikkelsen and Michael Wolff Jensen. In addition, VISEN has agreed that certain specified events (including certain liquidation events) shall require the approval of (i) shareholders of VISEN holding at least 50% of VISEN’s Series B preferred shares, (ii) shareholders of VISEN holding at least 60% of VISEN’s Series A preferred shares and/or (iii) certain members of VISEN’s board of directors. The Amended Shareholders Agreement can be terminated by written agreement among the holders of at least 60% of VISEN’s Series A preferred shares and at least 50% of VISEN’s Series B preferred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we do not maintain the capability to manufacture finished drug products, we utilize contract manufacturers to manufacture finished drug product of our proprietary TransCon product candidates intended for clinical or commercial use. We source starting materials for our manufacturing activities from one or more suppliers. For the starting materials necessary for our proprietary TransCon product candidate development, we have agreements for the supply of such starting materials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would materially harm our business. In addition, we typically order raw materials and services on a purchase order basis and do not enter into long-term dedicated capacity or minimum supply arrangements. We utilize the services of contract manufacturers to manufacture drug substance required for later phases of clinical development and eventual commercialization for us under all applicable laws and regulations and are subject to long term forecasting obligations and certain minimum purchase requirements for all parts of the commercial supply chain.</w:t>
      </w:r>
    </w:p>
    <w:p>
      <w:pPr>
        <w:spacing w:after="0" w:line="18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have analytical and process development capabilities in our own facility. We generally perform analytical and process development for our proprietary TransCon product candidates internally and manufacture internally our TransCon product candidates necessary to conduct the non-GLP preclinical studies thereof. However, we occasionally outsource the manufacture of research and development-stage TransCon product candidates.</w:t>
      </w:r>
    </w:p>
    <w:p>
      <w:pPr>
        <w:spacing w:after="0" w:line="17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do not have, and we do not currently plan to acquire or develop, the facilities or capabilities to manufacture bulk drug substance or filled drug product for use in human clinical trials. We rely on third-party manufacturers to produce the bulk drug substances required for our clinical trials and expect to continue to rely on third-parties to manufacture and test clinical trial drug supplies for the foreseeable future.</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contract suppliers manufacture drug substance and finished drug product for our TransCon product candidates for clinical trial use in effort to comply with current good manufacturing practice (“cGMP”) and applicable local regulations. cGMP and similar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be in compliance with cGMP requirements, and for device and device components, the Quality System Regulation (“QSR”) requirements, before any product is approved. Our third-party manufacturers may also be subject to periodic inspections of facilities by the FDA, the EU member states competent authorities, and other authorities, including reviews of procedures and operations used in the testing and manufacture of our products to assess our compliance with applicable regulations.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00" w:name="page101"/>
    <w:bookmarkEnd w:id="100"/>
    <w:p>
      <w:pPr>
        <w:ind w:right="40"/>
        <w:spacing w:after="0" w:line="265" w:lineRule="auto"/>
        <w:rPr>
          <w:sz w:val="20"/>
          <w:szCs w:val="20"/>
          <w:color w:val="auto"/>
        </w:rPr>
      </w:pPr>
      <w:r>
        <w:rPr>
          <w:rFonts w:ascii="Times New Roman" w:cs="Times New Roman" w:eastAsia="Times New Roman" w:hAnsi="Times New Roman"/>
          <w:sz w:val="18"/>
          <w:szCs w:val="18"/>
          <w:color w:val="auto"/>
        </w:rPr>
        <w:t>We also contract with additional third-parties for the filling, labeling, packaging, testing, storage and distribution of our TransCon product candidates. We employ personnel with the significant scientific, technical, production, quality and project management experience required to oversee our network of third-party suppliers and to manage manufacturing, quality data and information for regulatory compliance purposes.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NOF Manufacturing and Supply Agreement Related to TransCon hGH</w:t>
      </w:r>
    </w:p>
    <w:p>
      <w:pPr>
        <w:spacing w:after="0" w:line="120"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On December 21, 2017, we entered into a multi-year Manufacturing and Supply Agreement (the “NOF Agreement”) with NOF Corporation (“NOF”). Under the NOF Agreement, NOF has agreed to manufacture and supply the mPEG Linker (the “NOF hGH Product”) for our TransCon hGH product candidate. We have agreed to purchase certain quantities of NOF hGH Product.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NOF Agreement is effective as of December 21, 2017. The initial term of the NOF Agreement terminates on December 31, 2025 unless earlier terminated. After the expiration of the initial term of the NOF Agreement, the NOF Agreement continues until it is terminated. The NOF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Agreement with one year written notice, or (iv) by mutual agreement of the parties. In addition, the NOF Agreement may be terminated by us in the event of a change of 50% or more of the direct or indirect ownership of NOF or manufacturing facilities relevant to the NOF Agreement, if such ownership goes to a third-party materially involved in the treatment of growth related disorders in humans. The NOF Agreement may also be terminated by either party for a continuing event of force majeure.</w:t>
      </w:r>
    </w:p>
    <w:p>
      <w:pPr>
        <w:spacing w:after="0" w:line="18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NOF Agreement contains, among other provisions customary representations and warranties by us and NOF, grants of certain limited license rights related to either party’s intellectual property in connection with the manufacturing and supply of NOF hGH Product, certain indemnification rights in favor of both parties and customary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NOF Manufacturing and Supply Agreement Related to TransCon PTH</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August 31, 2020, we entered into a multi-year Manufacturing and Supply Agreement (the “NOF PTH Agreement”) with NOF. Under the NOF PTH Agreement, NOF has agreed to manufacture and supply the PEG maleimide (the “NOF PTH Product”) for our TransCon PTH product candidate. We have agreed to purchase certain quantities of NOF PTH Product. We may purchase NOF PTH Product from other manufacturers and are not obligated to purchase NOF PTH Product from NOF, other than certain quantities that have been forecasted by us in accordance with a mandatory rolling forecast that we must deliver to NOF from time to time.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NOF PTH Agreement is effective as of August 31, 2020. The initial term of the NOF PTH Agreement terminates on December 31, 2027 unless earlier terminated. After the expiration of the initial term of the NOF PTH Agreement, the NOF PTH Agreement continues until it is terminated. The NOF PTH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PTH Agreement with advance written notice, (iv) by NOF after the initial term of the NOF PTH Agreement with advance written notice, (v) by mutual agreement of the parties, or (vi) by us in the event of a change of fifty percent or more of the direct or indirect ownership of NOF or manufacturing facilities relevant to the NOF PTH Agreement, if such ownership goes to any of a pre-defined list of third parties. In addition, the NOF PTH Agreement may be terminated by NOF in the event of a change of fifty percent or more of the direct or indirect ownership of Ascendis, if such ownership goes to any of a pre-defined list of third parties. The NOF PTH Agreement may also be terminated by either party for a continuing event of force majeure.</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NOF PTH Agreement contains, among other provisions, customary representations and warranties by us and NOF, grants of certain limited license rights related to either party’s intellectual property in connection with the manufacturing and supply of NOF PTH Product, certain indemnification rights in favor of both parties and customary confidentiality provisions.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Carbogen Manufacturing and Supply Agreement Related to TransCon hGH</w:t>
      </w:r>
    </w:p>
    <w:p>
      <w:pPr>
        <w:spacing w:after="0" w:line="1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On October 26, 2018, we entered into a multi-year Manufacturing and Supply Agreement (the “Carbogen Agreement”) with Carbogen Amcis AG (“Carbogen”). Under the Carbogen Agreement, Carbogen has agreed to manufacture and supply Linker A (the “Carbogen Product”) for our TransCon hGH product candidate. We may purchase Linker A from other manufacturers and are not obligated to purchase Carbogen Product from Carbogen, other than certain quantities that have been forecasted by us in accordance with a mandatory rolling forecast that we must deliver to Carbogen from time to time.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Carbogen Agreement is effective as of October 26, 2018. The initial term of the Carbogen Agreement expires five years after the first commercial launch of our TransCon hGH product candidate (the “Carbogen Initial Term”) unless earlier terminated. After the expiration of the Carbogen Initial Term of the Carbogen Agreement, the Carbogen Agreement continues until it is terminated. The Carbogen Agreement may be terminated (i) by either party for the other party’s assignment of the Carbogen Agreement for the benefit of creditors, insolvency, bankruptcy, dissolution, or taking of any action under an act for relief from creditors, (ii) by either party for the other party’s uncured material breach, (iii) by us after the Carbogen Initial Term of the Carbogen Agreement with one year written notice, (iv) by Carbogen after the Carbogen Initial Term of the Carbogen Agreement with four years written notice or (v) by mutual agreement of the parties. In addition, the Carbogen Agreement may be terminated by us in the event of a change of fifty percent or more of the direct or indirect ownership of Carbogen, if such ownership goes to a third-party materially involved in the treatment of growth-related disorders in humans. The Carbogen Agreement may also be terminated by either party for a continuing event of force majeure.</w:t>
      </w:r>
    </w:p>
    <w:p>
      <w:pPr>
        <w:spacing w:after="0" w:line="18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Carbogen Agreement contains, among other provisions, certain representations and warranties by us and Carbogen, grants certain rights to intellectual property relating to, or inventions made in connection with, the manufacturing and supply of Carbogen Product, provides for certain indemnification rights in favor of both parties and includes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Carbogen Manufacturing and Supply Agreement Related to TransCon PTH</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On May 27, 2021, we entered into a multi-year Manufacturing and Supply Agreement (the “Carbogen PTH Agreement”) with Carbogen. Under the Carbogen PTH Agreement, Carbogen has agreed to manufacture and supply Linker F (the “Carbogen PTH Product”) for our TransCon PTH product candidate. We may purchase Carbogen PTH Product from other manufacturers and are not obligated to purchase Carbogen PTH Product from Carbogen, other than certain quantities that have been forecasted by us in accordance with a mandatory rolling forecast that we must deliver to Carbogen from time to time.</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Carbogen PTH Agreement is effective as of May 27, 2021. The initial term of the Carbogen PTH Agreement expires five years after the first commercial launch of our TransCon PTH product candidate (the “Carbogen PTH Initial Term”) unless earlier terminated. After the expiration of the Carbogen PTH Initial Term of the Carbogen PTH Agreement, the Carbogen PTH Agreement continues until it is terminated. The Carbogen PTH Agreement may be terminated (i) by either party for the other party’s assignment of the Carbogen PTH Agreement for the benefit of creditors, insolvency, bankruptcy, dissolution, or taking of any action under an act for relief from creditors, (ii) by either party for the other party’s uncured material breach, (iii) by us after the Carbogen PTH Initial Term with one year written notice, (iv) by Carbogen after the Carbogen PTH Initial Term of the Carbogen PTH Agreement with four years written notice (subject to Carbogen’s obligation to actively assist in technology transfer to an alternate supplier) or (v) by mutual agreement of the parties. In addition, the Carbogen PTH Agreement may be terminated by us in the event of a change of fifty percent or more of the direct or indirect ownership of Carbogen, if such ownership goes to a third-party materially involved in the treatment of growth-related disorders in humans. The Carbogen PTH Agreement may also be terminated by either party for a continuing event of force majeure.</w:t>
      </w:r>
    </w:p>
    <w:p>
      <w:pPr>
        <w:spacing w:after="0" w:line="18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Carbogen PTH Agreement contains, among other provisions, certain representations and warranties by us and Carbogen, grants of certain rights to intellectual property relating to, or inventions made in connection with, the manufacturing and supply of Carbogen PTH Product, certain indemnification rights in favor of both parties and confidentiality provisions.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Philips Medisize (formerly B&amp;O Medicom and Medicom Innovation Partner)</w:t>
      </w:r>
    </w:p>
    <w:p>
      <w:pPr>
        <w:spacing w:after="0" w:line="12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On January 12, 2017, we entered into a multi-year Manufacturing and Supply Agreement (the “Medicom Agreement”) with Medicom Innovation Partner (“Medicom”). Under the Medicom Agreement, Medicom has agreed to exclusively manufacture and supply the auto injector injection device (the “Medicom Product”) for our TransCon hGH product candidate. We are obligated to purchase certain quantities that have been forecasted by us in accordance with a mandatory rolling forecast that we must deliver to Medicom from time to time.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Medicom Agreement is effective as of January 12, 2017. The term of the Medicom Agreement terminates on June 30, 2025 (“Medicom Initial Term”) unless earlier terminated or unless extended unilaterally by us, with notice of extension to be given no later than June 30, 2024, by five years until June 30, 2030 (“Extended Term”) after which date it shall continue indefinitely unless terminated. The Medicom Agreement may be terminated (i) by either party for the other party’s bankruptcy or insolvency-related events, (ii) by either party for the other party’s uncured material breach, (iii) by us by not extending the Medicom Initial Term into the Extended Term, (iv) by Medicom after the Extended Term of the Medicom Agreement with two year’s advance written notice or by us after the Extended Term of the Medicom Agreement with one year’s advance notice, or (v) by Medicom if we purchase less than an agreed volume of the Medicom Product (provided that we may avoid such termination by paying Medicom’s lost profits up to such agreed minimum volume). In addition, the Medicom Agreement may be terminated by us in the event of a change of control of Medicom, if such control goes to a third-party materially involved in the treatment of certain defined endocrinology diseases in humans. In all events of termination Medicom is obligated to support a tech transfer of manufacture of Medicom Product to an alternate supplier.</w:t>
      </w:r>
    </w:p>
    <w:p>
      <w:pPr>
        <w:spacing w:after="0" w:line="18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Medicom Agreement contains, among other provisions certain representations and warranties by us and Medicom, grants certain limited license rights related to either party’s intellectual property in connection with the manufacturing and supply of Medicom Product, provides for certain indemnification rights in favor of both parties and includes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Vetter Pharma International GmbH</w:t>
      </w:r>
    </w:p>
    <w:p>
      <w:pPr>
        <w:spacing w:after="0" w:line="12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On December 14, 2018, we entered into a multi-year Supply Agreement (the “Vetter Agreement”) with Vetter Pharma International (“Vetter”). Under the Vetter Agreement, Vetter has agreed to manufacture and fill-and-finish drug product in dual-chamber cartridges (the “Ascendis Product”) for our TransCon hGH product candidate. Vetter has agreed to supply in accordance with a long-term forecast in addition to a rolling forecast with a binding part that we must deliver to Vetter from time to time.</w:t>
      </w:r>
    </w:p>
    <w:p>
      <w:pPr>
        <w:spacing w:after="0" w:line="18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Vetter Agreement is effective as of January 1, 2019. The term of the Vetter Agreement expires on the five-year anniversary of the date of first regulatory approval of the TransCon hGH product (the “Initial Term”) after which term it shall be automatically renewed for subsequent two-year terms unless terminated. The Vetter Agreement may be terminated (i) by either party for the other party’s uncured material breach, including certain enumerated events constituting material breach such as bankruptcy or insolvency-related events, (ii) by us with two years’ notice, with effect no earlier than two years after expiry of the Initial Term or (iii) by either party if the other party is taken over by our or a Vetter competitor, as applicable.</w:t>
      </w:r>
    </w:p>
    <w:p>
      <w:pPr>
        <w:spacing w:after="0" w:line="18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Vetter Agreement contains, among other provisions, certain representations and warranties by us and Vetter, grants certain limited license rights in connection with Vetter’s manufacturing and supply, and our sale, distribution and other use, of Ascendis Product, provides for certain indemnification rights in favor of both parties and includes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Fujifilm Commercial Supply Agreement</w:t>
      </w:r>
    </w:p>
    <w:p>
      <w:pPr>
        <w:spacing w:after="0" w:line="12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January 9, 2019, we entered into a multi-year Commercial Supply Agreement (the “Fujifilm Agreement”) with Fujifilm Diosynth Biotechnologies UK Ltd. (“Fujifilm”). Under the Fujifilm Agreement, Fujifilm has agreed to manufacture and supply TransCon hGH Drug Substance (the “Fujifilm Product”) for our TransCon hGH product candidate. We may purchase TransCon hGH Drug Substance from other manufacturers and are not obligated to purchase Fujifilm Product from Fujifilm.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03" w:name="page104"/>
    <w:bookmarkEnd w:id="103"/>
    <w:p>
      <w:pPr>
        <w:ind w:right="60"/>
        <w:spacing w:after="0" w:line="271" w:lineRule="auto"/>
        <w:rPr>
          <w:sz w:val="20"/>
          <w:szCs w:val="20"/>
          <w:color w:val="auto"/>
        </w:rPr>
      </w:pPr>
      <w:r>
        <w:rPr>
          <w:rFonts w:ascii="Times New Roman" w:cs="Times New Roman" w:eastAsia="Times New Roman" w:hAnsi="Times New Roman"/>
          <w:sz w:val="17"/>
          <w:szCs w:val="17"/>
          <w:color w:val="auto"/>
        </w:rPr>
        <w:t>The Fujifilm Agreement is effective as of January 9, 2019. The initial term of the Fujifilm Agreement expires on December 31 in the year of the five-year anniversary of the first commercial sale of our TransCon hGH product candidate (the “Fujifilm Initial Term”) unless earlier terminated. After the expiration of the Fujifilm Initial Term of the Fujifilm Agreement, the Fujifilm Agreement continues until it is terminated. The Fujifilm Agreement may be terminated</w:t>
      </w:r>
    </w:p>
    <w:p>
      <w:pPr>
        <w:spacing w:after="0" w:line="2" w:lineRule="exact"/>
        <w:rPr>
          <w:sz w:val="20"/>
          <w:szCs w:val="20"/>
          <w:color w:val="auto"/>
        </w:rPr>
      </w:pPr>
    </w:p>
    <w:p>
      <w:pPr>
        <w:ind w:right="80" w:firstLine="8"/>
        <w:spacing w:after="0" w:line="251" w:lineRule="auto"/>
        <w:tabs>
          <w:tab w:leader="none" w:pos="2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for the other party’s bankruptcy or insolvency-related events, (ii) by either party for the other party’s uncured material breach or material breach that is not capable of remedy, (iii) by us after the Fujifilm Initial Term of the Fujifilm Agreement with two years written notice, or (iv) by Fujifilm after the Fujifilm Initial Term of the Fujifilm Agreement with five years written notice. We are entitled to terminate the Fujifilm Agreement with regards to the manufacture of recombinant hGH after one year following launch with two years written notice. In addition, the Fujifilm Agreement may be terminated by us in the event of a change in control of Fujifilm, where the new controlling entity is our competitor. The Fujifilm Agreement may also be terminated by either party for a continuing event of force majeure.</w:t>
      </w:r>
    </w:p>
    <w:p>
      <w:pPr>
        <w:spacing w:after="0" w:line="18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Fujifilm Agreement contains, among other provisions, certain warranties by us and Fujifilm, grants certain limited license rights related to either party’s intellectual property in connection with the manufacturing and supply of Fujifilm Product, provides for certain indemnification rights in favor of both parties and includes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Tech Transfer and Manufacturing Agreement</w:t>
      </w:r>
    </w:p>
    <w:p>
      <w:pPr>
        <w:spacing w:after="0" w:line="1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On December 12, 2019, we entered into a multi-year commercial supply agreement (the “Lonza Agreement”) with Lonza Ltd (“Lonza”). Under the Lonza Agreement, Lonza has agreed to manufacture and supply drug substance for our TransCon hGH product candidate (the “TransCon hGH Drug Substance”). Starting in 2023, we are obligated to purchase a certain minimum annual quantity of TransCon hGH Drug Substance from Lonza. We may also purchase TransCon hGH Drug Substance from other manufacturers.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Lonza Agreement secures us a certain capacity of TransCon hGH Drug Substance per year.</w:t>
      </w:r>
    </w:p>
    <w:p>
      <w:pPr>
        <w:spacing w:after="0" w:line="2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Lonza Agreement is effective as of December 12, 2019. The initial term of the Lonza Agreement expires seven years after first approval of a drug product manufactured using the TransCon hGH Drug Substance (the “Lonza Initial Term”) unless earlier terminated. During the first five years of the Lonza Initial Term, we may decide, in our sole discretion, to extend the term of the Lonza Agreement by two years. The Lonza Agreement may be terminated (i) by either party for the other party’s bankruptcy or insolvency-related events, (ii) by either party for the other party’s uncured material breach, (iii) by either party for a continuing event of force majeure, (iv) by either party upon written notice after a specified time period in the event of our change of control, and</w:t>
      </w:r>
    </w:p>
    <w:p>
      <w:pPr>
        <w:spacing w:after="0" w:line="3" w:lineRule="exact"/>
        <w:rPr>
          <w:sz w:val="20"/>
          <w:szCs w:val="20"/>
          <w:color w:val="auto"/>
        </w:rPr>
      </w:pPr>
    </w:p>
    <w:p>
      <w:pPr>
        <w:ind w:right="400" w:firstLine="8"/>
        <w:spacing w:after="0" w:line="259" w:lineRule="auto"/>
        <w:tabs>
          <w:tab w:leader="none" w:pos="2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in the event of the occurrence of certain conditions related to the manufacturing of the TransCon hGH Drug Substance as more fully described in the Lonza Agreement.</w:t>
      </w:r>
    </w:p>
    <w:p>
      <w:pPr>
        <w:spacing w:after="0" w:line="18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The Lonza Agreement contains, among other provisions, certain warranties by us and Lonza, grants certain limited license rights related to either party’s intellectual property in connection with the manufacturing and supply of TransCon hGH Drug Substance, provides for certain indemnification rights in favour of both parties and includes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Sharp Corporation Packaging and Supply Agreement</w:t>
      </w:r>
    </w:p>
    <w:p>
      <w:pPr>
        <w:spacing w:after="0" w:line="120"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On December 1, 2019 we entered into a multi-year packaging agreement (the “Sharp Agreement”) with Sharp Corporation (“Sharp”). Under the Sharp Agreement, Sharp will package, assemble, and label TransCon hGH for commercial use in certain territories, including the United States and the EU. We are non-exclusive to Sharp and may engage other manufacturers to package, assemble, and label TransCon hGH but we are obligated to meet certain minimum spend requirements for TransCon hGH during the first 12-month period after first shipment of TransCon hGH for commercial sale after regulatory approval thereof.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04" w:name="page105"/>
    <w:bookmarkEnd w:id="104"/>
    <w:p>
      <w:pPr>
        <w:ind w:right="120"/>
        <w:spacing w:after="0" w:line="279" w:lineRule="auto"/>
        <w:rPr>
          <w:sz w:val="20"/>
          <w:szCs w:val="20"/>
          <w:color w:val="auto"/>
        </w:rPr>
      </w:pPr>
      <w:r>
        <w:rPr>
          <w:rFonts w:ascii="Times New Roman" w:cs="Times New Roman" w:eastAsia="Times New Roman" w:hAnsi="Times New Roman"/>
          <w:sz w:val="17"/>
          <w:szCs w:val="17"/>
          <w:color w:val="auto"/>
        </w:rPr>
        <w:t>The Sharp Agreement is effective as of December 1, 2019. The initial term of the Sharp Agreement expires on December 31, 2025 and will be automatically extended for additional two-year periods unless earlier terminated. The Sharp Agreement may be terminated (i) by either party upon mutual consent, (ii) by either party for the other party’s uncured material breach, (iii) by either party for the other party’s bankruptcy or insolvency-related events, (iv) by either party for a continuing event of force majeure, (v) by either party after the initial term of the Sharp Agreement has been completed.</w:t>
      </w:r>
    </w:p>
    <w:p>
      <w:pPr>
        <w:spacing w:after="0" w:line="16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Sharp Agreement contains, among other provisions, certain warranties by Sharp, provides for certain indemnification rights in favor of both parties and includes confidentiality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Bachem Manufacturing and Supply Agreement</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December 27, 2020, we entered into a multi-year Manufacturing and Supply Agreement (the “Bachem Agreement”) with Bachem AG (“Bachem”). Under the Bachem Agreement, Bachem has agreed to manufacture and supply PTH drug substance (the “Bachem Product”) for our TransCon PTH product candidate. We may purchase Bachem Product from other manufacturers and are not obligated to purchase Bachem Product from Bachem, other than certain quantities that have been forecasted by us in accordance with a mandatory rolling forecast that we must deliver to Bachem from time to time.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Bachem Agreement is effective as of December 27, 2020. The initial term of the Bachem Agreement expires on December 31, 2027 (the “Bachem Initial Term”) unless earlier terminated. After the expiration of the Bachem Initial Term, provided that market approval is received prior to expiration of the Bachem Initial Term, the Bachem Agreement continues until it is terminated. The Bachem Agreement may be terminated (i) by either party for the other party’s assignment of the Bachem Agreement for the benefit of creditors, insolvency, bankruptcy, dissolution, or taking of any action under an act for relief from creditors, (ii) by either party for the other party’s uncured material breach, (iii) by us after the Bachem Initial Term with two years’ written notice, (iv) by Bachem after the Bachem Initial Term with four years’ written notice or (v) by mutual agreement of the parties. In addition, the Bachem Agreement may be terminated by us prior to expiration of the Bachem Initial Term if Bachem is acquired by a company marketing a competing drug to TransCon PTH. The Bachem Agreement may also be terminated by either party for a continuing event of force majeure.</w:t>
      </w:r>
    </w:p>
    <w:p>
      <w:pPr>
        <w:spacing w:after="0" w:line="18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Bachem Agreement contains, among other provisions, certain representations and warranties by us and Bachem, grants of certain rights to intellectual property relating to, or inventions made in connection with, the manufacturing and supply of Bachem Product, certain indemnification rights in favor of both parties and confidentiality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The pharmaceutical industry is very competitive and subject to rapid and significant innovation. Our potential competitors include major multinational pharmaceutical companies, established biotechnology companies, specialty pharmaceutical and generic drug companies, universities, and other research institutions. Many of our competitors have greater resources, as well as larger research and development functions and more experienced marketing and manufacturing organizations. As a result, these companies may obtain regulatory approval more rapidly than we are able to and may be more effective in selling and marketing their products.</w:t>
      </w:r>
    </w:p>
    <w:p>
      <w:pPr>
        <w:spacing w:after="0" w:line="1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Smaller or early-stage companies may also prove to be significant competitors, particularly through collaborative arrangements with large, established companies. Our competitors may succeed in developing, acquiring or licensing technologies and drug products that are superior to, or more effectively marketed than, the product candidates that we are currently developing or that we may develop, which could render our products obsolete and noncompetitive. For additional information regarding the companies that may be competitive with our product candidates currently in development, please see the descriptions of our current product candidates included above under the caption “TransCon Product Candidates.”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105" w:name="page106"/>
    <w:bookmarkEnd w:id="105"/>
    <w:p>
      <w:pPr>
        <w:ind w:right="140"/>
        <w:spacing w:after="0" w:line="257" w:lineRule="auto"/>
        <w:rPr>
          <w:sz w:val="20"/>
          <w:szCs w:val="20"/>
          <w:color w:val="auto"/>
        </w:rPr>
      </w:pPr>
      <w:r>
        <w:rPr>
          <w:rFonts w:ascii="Times New Roman" w:cs="Times New Roman" w:eastAsia="Times New Roman" w:hAnsi="Times New Roman"/>
          <w:sz w:val="18"/>
          <w:szCs w:val="18"/>
          <w:color w:val="auto"/>
        </w:rPr>
        <w:t>In addition, many of our competitors have greater experience than we do in conducting preclinical and clinical trials and obtaining FDA and other regulatory approvals. Accordingly, our competitors may succeed in obtaining FDA or other regulatory approvals for drug candidates more rapidly than we do. Companies that complete clinical trials, obtain required regulatory authority approvals and commence commercial sale of their drugs before their competitors may achieve a significant competitive advantage. Drugs resulting from our research and development efforts or from our joint efforts with collaboration partners therefore may not be commercially competitive with our competitors’ existing products or products under development.</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We are aware that other companies are developing or evaluating enhanced drug delivery and sustained release technologies, which may be competitive with our TransCon technologies. In particular, we believe Nektar Therapeutics, OPKO Health, Inc., ProLynx LLC, MBX Biosciences and Serina Therapeutics, Inc. are developing technology platforms in the areas of enhanced drug delivery and reversible linkers that may be competitive with our TransCon technologies. We also expect that technological developments will occur at a rapid rate and that competition is likely to intensify as various enhanced delivery and sustained released technologies may achieve similar advantages.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 xml:space="preserve">We actively seek to protect the intellectual property and proprietary technology that we believe is important to our business, which includes seeking and maintaining patents covering our technology,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TransCon linkers and carriers, specific lead candidate structures, broad product concepts, proprietary processes and any other inventions that are commercially and/or strategically important to the development of our business. We also rely on trade secrets that may be important to the development of our business and actively seek to protect the confidentiality of such trade secrets.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success will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third-parties. For more information, please see “Item 3 D. Key Information—Risk Factors—Risks Related to Our Intellectual Property.”</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As of December 31, 2022, we own a total of 83 patent families, of which 12 are currently in their priority year or international phase and we own several granted patents in the United States (42), Europe (27), Australia (39), Brazil (7), Canada (23), China (15), Israel (13), Indonesia (3), India (6), Korea (5), Malaysia (6), New Zealand (5), Japan (33), Mexico (14), Singapore (8), Russia (16), the United Arab Emirates (1) and South Africa (19) and have approximately 520 pending national/regional applications in a total of 26 jurisdictions (excluding the member states of the European Patent Convention in which our European patents were validated and Hong Kong, to which our EP and CN patents are extended).</w:t>
      </w:r>
    </w:p>
    <w:p>
      <w:pPr>
        <w:spacing w:after="0" w:line="183"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So far none of our granted patents has been subject to opposition proceedings, appeals or similar actions aiming at revoking or restricting the scope of a granted patent.</w:t>
      </w:r>
    </w:p>
    <w:p>
      <w:pPr>
        <w:spacing w:after="0" w:line="163"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The patent portfolios for the fields containing our most advanced product candidates as of December 31, 2022 are summarized below and the expected expiration dates included in the summary below do not give effect to patent term extensions that may be available.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hGH</w:t>
      </w:r>
    </w:p>
    <w:p>
      <w:pPr>
        <w:spacing w:after="0" w:line="12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patent portfolio related to TransCon hGH includes seven patent families relating to different aspects of TransCon hGH and an additional ten patent families covering various aspects of the auto-injector device for administration of TransCon hGH. The first of these patent families is a composition of matter patent family directed to the particular stoichiometry of TransCon hGH and a related TransCon carrier. As of December 31, 2022, this patent family included patents granted in Europe and the United States. We expect any patents granted in this patent family to expire in October 2024, absent any patent term adjustments or extensions.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06" w:name="page107"/>
    <w:bookmarkEnd w:id="106"/>
    <w:p>
      <w:pPr>
        <w:ind w:right="400"/>
        <w:spacing w:after="0" w:line="259" w:lineRule="auto"/>
        <w:rPr>
          <w:sz w:val="20"/>
          <w:szCs w:val="20"/>
          <w:color w:val="auto"/>
        </w:rPr>
      </w:pPr>
      <w:r>
        <w:rPr>
          <w:rFonts w:ascii="Times New Roman" w:cs="Times New Roman" w:eastAsia="Times New Roman" w:hAnsi="Times New Roman"/>
          <w:sz w:val="18"/>
          <w:szCs w:val="18"/>
          <w:color w:val="auto"/>
        </w:rPr>
        <w:t>The second of these patent families is a composition of matter patent family directed to a TransCon linker used in TransCon hGH. As of December 31, 2022, this patent family included patents granted in the United States, Europe, Australia, Brazil, Canada, Japan and Mexico and included a patent application in the United States. We expect any patents granted in this patent family to expire in March 2025, absent any patent term adjustments or extensions.</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third of these patent families is a composition of matter patent family directed to a broad class of TransCon hGH lead candidate structures. As of December 31, 2022, this patent family included patents granted in the United States, Europe, Australia, Brazil, Canada, China, Israel, India, Japan, Mexico, Russia and South Africa and included patent applications in Europe, the United States, Brazil and Russia. We expect any patents granted in this patent family to expire in April 2029, absent any patent term adjustments or extensions.</w:t>
      </w:r>
    </w:p>
    <w:p>
      <w:pPr>
        <w:spacing w:after="0" w:line="18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 fourth of these patent families is a composition of matter patent family directed to specific dry pharmaceutical compositions comprising TransCon hGH. As of December 31, 2022, this patent family included patents granted in the United States, Europe, Australia, Brazil, Canada, India, Israel, Mexico, Singapore and South Africa and included a patent application in Brazil. We expect any patents granted in this patent family to expire in December 2030, absent any patent term adjustments or extensions.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fifth of these patent families is a composition of matter patent family directed to a broad class of TransCon hGH lead candidate structures. As of December 31, 2022, this patent family included patents granted in the United States, Australia, Europe, Japan, Russia, Singapore and South Africa and patent applications in the United States, Europe, Australia, Brazil, Canada, Israel, Japan, South Korea, Mexico, New Zealand, Russia and Singapore. We expect any patents granted in this patent family to expire in November 2035, absent any patent term adjustments or extensions. The EP patent in this family was also used as a basis for requesting a supplementary protection certificate (“SPC”) for SKYTROFA in Austria, Belgium, Bulgaria, Cyprus, Czech Republic, Germany, Denmark, Estonia, Spain, Finland, France, Great Britain, Greece, Croatia, Hungary, Ireland, Iceland, Italy, Lithuania, Luxemburg, Latvia, Malta, The Netherlands, Norway, Poland, Portugal, Romania, Sweden, Slovenia and Slovakia. An SPC was already granted in Cyprus, Italy, Malta, The Netherlands and Slovenia, with an expiration date of January 16, 2037.</w:t>
      </w:r>
    </w:p>
    <w:p>
      <w:pPr>
        <w:spacing w:after="0" w:line="18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The sixth of these patent families is directed to a particular dosage regimen for long-acting growth hormone formulations. As of December 31, 2022, this patent family included a granted patent in Europe and patent applications in the United States and in Europe. We expect any patents granted in this patent family to expire in November 2035, absent any patent term adjustments or extensions.</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seventh of these patent families is directed to potential superior efficacy achieved with TransCon hGH treatment. As of December 31, 2022, this patent family included patent applications in the United States, Europe, Australia, Canada, China, Israel, Japan, Mexico and Singapore. We expect any patents granted in this family to expire in March 2040, absent any patent term adjustments or extensions.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Seven of the ten patent families covering the auto-injector device with a filing date of December 29, 2016, include patent applications in the United States, Europe, Australia, Canada, Japan and New Zealand and six granted patents in the United States, three granted patents in Europe, seven granted patents in Australia, and seven granted patents in Japan as of December 31, 2022. We expect any patents granted from these patent families to expire in December 2036, absent any patent term adjustments or extensions. As of December 31, 2022 the two patent families covering the auto-injector device with a filing date of May 23, 2018 and June 29, 2018, respectively, include patent applications in the United States, Europe, the United Arab Emirates, Australia, Brazil, Canada, China, Indonesia, Israel, India, Japan, South Korea, Mexico, Malaysia, New Zealand, Russia, Singapore and South Africa and two granted patents in China, one granted patent in Japan, two granted patents in Russia, one granted patent in Indonesia and one granted patent in South Africa. We expect any patents granted from these patent families to expire in March and June 2038, respectively, absent any patent term adjustments or extensions. The last patent family is currently in its international phase and also has one pending patent application in Taiwan. We expect any patents granted from this patent family to expire in September 2042, absent any patent term adjustments or extensions.</w:t>
      </w:r>
    </w:p>
    <w:p>
      <w:pPr>
        <w:spacing w:after="0" w:line="186" w:lineRule="exact"/>
        <w:rPr>
          <w:sz w:val="20"/>
          <w:szCs w:val="20"/>
          <w:color w:val="auto"/>
        </w:rPr>
      </w:pPr>
    </w:p>
    <w:p>
      <w:pPr>
        <w:jc w:val="both"/>
        <w:ind w:right="420"/>
        <w:spacing w:after="0" w:line="256" w:lineRule="auto"/>
        <w:rPr>
          <w:sz w:val="20"/>
          <w:szCs w:val="20"/>
          <w:color w:val="auto"/>
        </w:rPr>
      </w:pPr>
      <w:r>
        <w:rPr>
          <w:rFonts w:ascii="Times New Roman" w:cs="Times New Roman" w:eastAsia="Times New Roman" w:hAnsi="Times New Roman"/>
          <w:sz w:val="18"/>
          <w:szCs w:val="18"/>
          <w:color w:val="auto"/>
        </w:rPr>
        <w:t>In addition to the SPCs, three requests for a patent term extension (“PTE”) for SKYTROFA were filed based on one granted U.S. patent from the third patent family and two granted patents from the fourth patent family, from which one will be selected for the PTE upon allowance. For two of the three requests a preliminary assessment that the patents would be eligible for extension was received from FDA.</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PTH</w:t>
      </w:r>
    </w:p>
    <w:p>
      <w:pPr>
        <w:spacing w:after="0" w:line="12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Our patent portfolio related to TransCon PTH includes eleven patent families relating to different aspects of TransCon PTH. The first of these patent families is a composition of matter patent family directed to the TransCon linker used in TransCon PTH. As of December 31, 2022, this patent family included granted patents in the United States, Europe, the United Arab Emirates, Australia, Canada, China, Israel, Japan, Mexico, Russia and South Africa and included patent applications in Europe, the United States, Brazil and Russia. We expect any patents granted in this family to expire in January 2029, absent any patent term adjustments or extensions.</w:t>
      </w:r>
    </w:p>
    <w:p>
      <w:pPr>
        <w:spacing w:after="0" w:line="18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auto"/>
        </w:rPr>
        <w:t>The second of these patent families is a composition of matter patent family directed to a broad class of TransCon PTH candidate structures. As of December 31, 2022, this patent family included patent applications in the United States, Europe, Australia, Brazil, Canada, China, Indonesia, Israel, India, Japan, South Korea, Mexico, Malaysia, New Zealand, Russia, Singapore and Thailand and granted patents in Australia, China, Japan, Korea, Russia, and South Africa. We expect any patents granted in this patent family to expire in February 2037, absent any patent term adjustments or extensions.</w:t>
      </w:r>
    </w:p>
    <w:p>
      <w:pPr>
        <w:spacing w:after="0" w:line="1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third and fourth of these patent families are method of treatment patent families directed to a particular dosage regimen. As of December 31, 2022, one of these patent families includes patent applications in the United States, Europe, Australia, Brazil, Canada, China, Israel, Indonesia, Japan, South Korea, Mexico, Malaysia, New Zealand, Russia, Singapore and Thailand and a granted patent in Russia and South Africa. The other one of these patent families includes patent applications in the United States, Europe, Australia, Canada, China and Japan and a granted patent in China and Japan. We expect any patents granted in this patent family to expire in September 2037, absent any patent term adjustments or extensions.</w:t>
      </w:r>
    </w:p>
    <w:p>
      <w:pPr>
        <w:spacing w:after="0" w:line="18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The fifth of these patent families is a composition of matter family directed to PTH compounds exhibiting a beneficial pharmacokinetic profile. As of December 31, 2022, this patent family includes patent applications in the United States, Europe, Australia, Brazil, Canada, China, Israel, Japan, South Korea, Mexico, New Zealand, Russia and Singapore and a granted patent in Japan, Russia and South Africa. We expect any patents granted in this patent family to expire in September 2037, absent any patent term adjustments or extensions.</w:t>
      </w:r>
    </w:p>
    <w:p>
      <w:pPr>
        <w:spacing w:after="0" w:line="18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sixth patent family relates to a starting dose for treatment with reversible PTH conjugates. As of December 31, 2022, this patent family includes patent applications in the United States, Europe, Australia, Brazil, Canada, China, Indonesia, Israel, Japan, South Korea, Mexico, Malaysia, New Zealand, Russia, Singapore, Thailand and South Africa. We expect any patents granted from this patent family to expire in May 2039, absent any patent term adjustments or extensions.</w:t>
      </w:r>
    </w:p>
    <w:p>
      <w:pPr>
        <w:spacing w:after="0" w:line="18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seventh patent family relates to a pharmaceutical composition comprising reversible PTH conjugates. As of December 31, 2022, this patent family includes patent applications in the United States, Europe, Australia, Brazil, Canada, China, Indonesia, Israel, India, Japan, South Korea, Mexico, Malaysia, New Zealand, the Philippines, Russia, Singapore, Taiwan, Thailand, Vietnam and South Africa. We expect any patents granted from this patent family to expire in February 2040, absent any patent term adjustments or extensions.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eighth and ninth patent families relate to a method of titrating hypoparathyroidism patients off of standard of care within four weeks from the beginning of daily treatment with a PTH compound and the treatment of the physical and mental well-being of hypoparathyroidism patients, respectively. As of December 31, 2022, the eighth family includes patent applications in the United States, Europe, Australia, Brazil, Canada, China, Indonesia, Israel, Japan, South Korea, Mexico, Malaysia, New Zealand, Russia, Singapore and South Africa. The ninth patent family is in Patent Cooperation Treaty phase. We expect any patents granted from this patent family to expire in September 2041, absent any patent term adjustments or extensions.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tenth patent family relates to a reduction in bone mineral density in patients having increased bone mineral density. As of December 31, 2022, this patent family is in Patent Cooperation Treaty phase. We expect any patents granted from this patent family to expire in September 2042, absent any patent term adjustments or extensions.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08" w:name="page109"/>
    <w:bookmarkEnd w:id="108"/>
    <w:p>
      <w:pPr>
        <w:ind w:right="180"/>
        <w:spacing w:after="0" w:line="265" w:lineRule="auto"/>
        <w:rPr>
          <w:sz w:val="20"/>
          <w:szCs w:val="20"/>
          <w:color w:val="auto"/>
        </w:rPr>
      </w:pPr>
      <w:r>
        <w:rPr>
          <w:rFonts w:ascii="Times New Roman" w:cs="Times New Roman" w:eastAsia="Times New Roman" w:hAnsi="Times New Roman"/>
          <w:sz w:val="18"/>
          <w:szCs w:val="18"/>
          <w:color w:val="auto"/>
        </w:rPr>
        <w:t>The eleventh patent family covers treatment of hypoparathyroidism initially with a long-acting PTH compound, followed by treatment with an ultra-long-acting PTH compound. As of December 31, 2022, this patent family is in its priority year. We expect any patents granted from this patent to expire in September 2042, absent any patent term adjustments or extensions.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CNP</w:t>
      </w:r>
    </w:p>
    <w:p>
      <w:pPr>
        <w:spacing w:after="0" w:line="12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Our patent portfolio related to TransCon CNP includes thirteen patent families relating to different aspects of TransCon CNP. The first of these patent families is a composition of matter patent family directed to the particular stoichiometry of TransCon CNP and a related TransCon carrier. As of December 31, 2022, this patent family included patents granted in Europe and the United States and a patent application in Europe. We expect any patents granted in this patent family to expire in October 2024, absent any patent term adjustments or extensions.</w:t>
      </w:r>
    </w:p>
    <w:p>
      <w:pPr>
        <w:spacing w:after="0" w:line="183"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color w:val="auto"/>
        </w:rPr>
        <w:t>The second of these patent families is a composition of matter patent family directed to the TransCon linker used in TransCon CNP. As of December 31, 2022, this patent family included granted patents in the United States, Europe, the United Arab Emirates, Australia, Brazil, Canada, China, Israel, Japan, Mexico and South Africa and included patent applications in Europe, the United States, Brazil, Mexico and Russia. We expect any patents granted in this family to expire in January 2029, absent any patent term adjustments or extensions.</w:t>
      </w:r>
    </w:p>
    <w:p>
      <w:pPr>
        <w:spacing w:after="0" w:line="183"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The third of these patent families is a composition of matter patent family directed to a broad class of TransCon CNP candidate structures. As of December 31, 2022, this patent family included patent applications in the United States, Europe, Australia, Brazil, Canada, Israel, India, Japan, South Korea, Mexico, Malaysia, New Zealand, Russia, Singapore and Thailand and a granted patent in China, Russia, Singapore and South Africa. We expect any patents granted in this patent family to expire in January 2036, absent any patent term adjustments or extensions.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fourth to the ninth patent families are composition of matter patent families directed various CNP compounds having beneficial properties. As of December 31, 2022, the first one of these six patent families included patent applications in the United States, Europe, Australia, Canada, Japan, Mexico and New Zealand and granted patents in the United States, Australia, Japan and South Africa. As of December 31, 2022, the second one included patent applications in the United States, Europe, Australia, Canada, Japan and New Zealand and a granted patent in the United States, Europe, Australia, Japan, and South Africa. As of December 31, 2022, the third one included patent applications in the United States, Europe, Australia, Brazil, Canada, China, Indonesia, Israel, India, Japan, South Korea, Mexico, Malaysia, New Zealand and Singapore and a granted patent in the United States, Australia, China, Israel, Japan, and South Africa. As of December 31, 2022, the fourth one included patent applications in the United States, Europe, Australia, Canada, Israel and New Zealand and a granted patent in the United States and Australia. As of December 31, 2022, the fifth one included patent application in the United States, Europe, Australia, Brazil, Canada, China, Israel, South Korea, New Zealand and Singapore and a granted patent in the United States, Australia, China, and South Korea. As of December 31, 2022, the sixth one included patent applications in the United States, Europe, Australia, Canada, Israel and New Zealand and a granted patent in the United States. We expect any patents granted in these patent families to expire in January 2037, absent any patent term adjustments or extensions.</w:t>
      </w:r>
    </w:p>
    <w:p>
      <w:pPr>
        <w:spacing w:after="0" w:line="19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The tenth patent family covers a combination therapy of TransCon CNP. As of December 31, 2022, this patent family includes patent applications in the United States, Europe, Australia, Brazil, Canada, Indonesia, Israel, South Korea, Malaysia, New Zealand, Singapore and Thailand and a granted patent in China, Israel, Japan, Mexico, Russia, Singapore and South Africa. We expect any patents granted from this patent family to expire in September 2037, absent any patent term adjustments or extensions.</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eleventh patent family relates to a pharmaceutical composition comprising reversible CNP conjugates. As of December 31, 2022, this patent family includes patent applications in the United States, Europe, Australia, Brazil, Canada, China, Indonesia, Israel, India, Japan, South Korea, Mexico, Malaysia, New Zealand, the Philippines, Russia, Singapore, Taiwan, Thailand, Vietnam and South Africa. We expect any patents granted from this patent family to expire in February 2040, absent any patent term adjustments or extensions.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9" w:name="page110"/>
    <w:bookmarkEnd w:id="109"/>
    <w:p>
      <w:pPr>
        <w:jc w:val="both"/>
        <w:ind w:right="520"/>
        <w:spacing w:after="0" w:line="265" w:lineRule="auto"/>
        <w:rPr>
          <w:sz w:val="20"/>
          <w:szCs w:val="20"/>
          <w:color w:val="auto"/>
        </w:rPr>
      </w:pPr>
      <w:r>
        <w:rPr>
          <w:rFonts w:ascii="Times New Roman" w:cs="Times New Roman" w:eastAsia="Times New Roman" w:hAnsi="Times New Roman"/>
          <w:sz w:val="18"/>
          <w:szCs w:val="18"/>
          <w:color w:val="auto"/>
        </w:rPr>
        <w:t>The twelfth patent family relates to a pharmacologically effective dose of TransCon CNP. As of December 31, 2022, this patent family was in Patent Cooperation Treaty phase. We expect any patents granted from this patent family to expire in December 2042, absent any patent term adjustments or extensions.</w:t>
      </w:r>
    </w:p>
    <w:p>
      <w:pPr>
        <w:spacing w:after="0" w:line="175"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The thirteenth patent family relates to a liquid formulation of TransCon CNP. As of December 31, 2022, this patent family was in its priority year. We expect any patents granted from this patent family to expire in May 2043, absent any patent term adjustment or extensions.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TLR7/8</w:t>
      </w:r>
    </w:p>
    <w:p>
      <w:pPr>
        <w:spacing w:after="0" w:line="1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As of December 31, 2022, our patent portfolio related to TransCon TLR7/8 includes seven patent families. The first patent family relates to hydrogels, which are first synthesized and subsequently loaded with drug-linker conjugates. As of December 31, 2022, this patent family included granted patents in the United States and in Europe. We expect any patents granted in these patent families to expire in July 2025, absent any patent term adjustments or extensions.</w:t>
      </w:r>
    </w:p>
    <w:p>
      <w:pPr>
        <w:spacing w:after="0" w:line="18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The second patent family relates to a specific class of PEG-based hydrogels. As of December 31, 2022, this patent family included granted patents in the United States, Europe, Australia, Brazil, Canada, China, Indonesia, Israel, India, Japan, South Korea, Mexico, Malaysia, New Zealand, Russia, Singapore and South Africa and patent applications in the United States, Europe and Thailand. We expect any patents granted in this patent family to expire in July 2030, absent any patent term adjustments or extensions.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third patent family relates to a broad class of TransCon TLR7/8 candidate structures. As of December 31, 2022, this patent family included patent applications in the United States, Europe, Argentina, the United Arab Emirates, Australia, Brazil, Canada, China, Eurasia, Egypt, Indonesia, Israel, India, Japan, South Korea, Mexico, Malaysia, New Zealand, the Philippines, Singapore, Taiwan, Thailand, Vietnam and South Africa. The fourth to sixth patent families relate to TransCon TLR7/8 compounds having beneficial properties. As of December 31, 2022, the fourth patent family included patent applications in the United States, Europe, Australia, Canada, Israel and Singapore. The fifth patent included as of December 31, 2022, patent applications in the United States, Europe, Australia, Brazil, Canada, China, Israel, Japan, South Korea, Mexico, Russia, Singapore and South Africa. As of December 31, 2022, the sixth patent family included patent applications in the United States, Europe, Australia, Canada, Israel and Singapore. We expect any patents granted in all four of these patent families to expire in January 2040, absent any patent term adjustments or extensions.</w:t>
      </w:r>
    </w:p>
    <w:p>
      <w:pPr>
        <w:spacing w:after="0" w:line="185" w:lineRule="exact"/>
        <w:rPr>
          <w:sz w:val="20"/>
          <w:szCs w:val="20"/>
          <w:color w:val="auto"/>
        </w:rPr>
      </w:pPr>
    </w:p>
    <w:p>
      <w:pPr>
        <w:ind w:right="380"/>
        <w:spacing w:after="0" w:line="311" w:lineRule="auto"/>
        <w:rPr>
          <w:sz w:val="20"/>
          <w:szCs w:val="20"/>
          <w:color w:val="auto"/>
        </w:rPr>
      </w:pPr>
      <w:r>
        <w:rPr>
          <w:rFonts w:ascii="Times New Roman" w:cs="Times New Roman" w:eastAsia="Times New Roman" w:hAnsi="Times New Roman"/>
          <w:sz w:val="17"/>
          <w:szCs w:val="17"/>
          <w:color w:val="auto"/>
        </w:rPr>
        <w:t>The seventh patent family relates to a pharmaceutical dose of TransCon TLR7/8. As of December 31, 2022, this application was in Patent Cooperation Treaty phase. We expect any patents granted from this patent family to expire in December 2042, absent any patent term adjustments or extensions.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IL-2</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 of December 31, 2022, our patent portfolio related to TransCon IL-2 includes three patent families. The first of these patent families is a composition of matter patent family directed to a TransCon linker used in TransCon IL-2. As of December 31, 2022, this patent family included patents granted in the United States, Europe, Australia, Brazil, Canada, Japan and Mexico and included a patent application in the United States. We expect any patents granted in this patent family to expire in March 2025, absent any patent term adjustments or extensions.</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second and third patent family are composition of matter patent families directed to a broad class of TransCon IL-2 lead candidate structures. As of December 31, 2022, the second patent family included patent applications in the United States, Europe, Australia, Brazil, Canada, China, Indonesia, Israel, India, Japan, South Korea, Mexico, Malaysia, New Zealand, Russia, Singapore, Thailand and South Africa. We expect any patents granted in this patent family to expire in March 2039. As of December 31, 2022, the third patent family included patent applications in the United States, Europe, Argentina, the United Arab Emirates, Australia, Brazil, Canada, China, Eurasia, Egypt, Indonesia, Israel, India, Japan, South Korea, Mexico, Malaysia, New Zealand, the Philippines, Singapore, Taiwan, Thailand, Vietnam and South Africa. We expect any patents granted in this patent family to expire in June 2041, absent any patent term adjustments or extensions.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TransCon Technologies</w:t>
      </w:r>
    </w:p>
    <w:p>
      <w:pPr>
        <w:spacing w:after="0" w:line="12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Our patent portfolio also includes patents and patent applications generally relating to our TransCon technologies, including TransCon linkers, TransCon carriers and certain soluble conjugates. We own an aggregate of 15 patent families relating to TransCon linkers, the material components of which are described above. We own an aggregate of 11 patent families relating to TransCon carriers, the material components of which are described above. Finally, we own a composition of matter patent family that is directed to soluble conjugates in which one drug molecule is connected to one TransCon carrier molecule.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Regarding Patent Terms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if there are delays in patent prosecution by the patentee. A patent’s term may be lengthened by a patent term adjustment, which compensates a patentee for administrative delays by the United States Patent and Trademark Office in granting a patent. The patent term of a European patent is 20 years from its filing date, which, unlike in the United States, is not subject to patent term adjustments.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term of a patent that covers an FDA-approved drug or biologic may also be eligible for patent term extension, which permits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products receive FDA approval, we expect to apply for patent term extensions on patents covering those products. We anticipate that some of our issued patents may be eligible for patent term extensions.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including any manufacturing changes, safety surveillance, efficacy, quality control, packaging, storage, recordkeeping, labeling, advertising, promotion, distribution, marketing, sale, import, export and the reporting of safety and other post-market information of pharmaceutical and medical device products such as those we are developing. A new drug must be approved by the FDA through the NDA process and a new biologic must be licensed by the FDA through the BLA process before it may be legally marketed in the United States. Our product candidates will be subject to similar requirements in other countries prior to marketing in those countries. The processes for obtaining regulatory approvals in the United States, the EU and in other foreign countries, along with subsequent compliance with appropriate federal, state, local and foreign statutes and regulations, require the expenditure of substantial time and resources.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we are subject to extensive regulation by the FDA, which regulates drugs under the Federal Food, Drug, and Cosmetic Act (“FDCA”) and in the case of biologics, also under the Public Health Service Act (“PHSA”) and their implementing regulations, and other federal, state, and local regulatory authorities. The FDCA, PHSA and their implementing regulations set forth, among other things, requirements for the research, testing, development, manufacture, quality control, safety, effectiveness, approval, labeling, storage, record keeping, reporting, distribution, import, export, advertising and promotion of our products.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BLAs, withdrawal of an approval, imposition of a clinical hold on clinical studies, issuance of warning letters or other notices of violation, product recalls, product seizures, total or partial suspension of production or distribution, injunctions, fines, refusals of government contracts, restitution, disgorgement or civil or criminal penalties.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may be marketed in the United States generally involves the following:</w:t>
      </w:r>
    </w:p>
    <w:p>
      <w:pPr>
        <w:spacing w:after="0" w:line="116" w:lineRule="exact"/>
        <w:rPr>
          <w:sz w:val="20"/>
          <w:szCs w:val="20"/>
          <w:color w:val="auto"/>
        </w:rPr>
      </w:pPr>
    </w:p>
    <w:p>
      <w:pPr>
        <w:ind w:left="1020" w:right="300" w:hanging="504"/>
        <w:spacing w:after="0" w:line="280"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at each clinical site before each trial may be initiated;</w:t>
      </w:r>
    </w:p>
    <w:p>
      <w:pPr>
        <w:spacing w:after="0" w:line="115" w:lineRule="exact"/>
        <w:rPr>
          <w:rFonts w:ascii="Times New Roman" w:cs="Times New Roman" w:eastAsia="Times New Roman" w:hAnsi="Times New Roman"/>
          <w:sz w:val="18"/>
          <w:szCs w:val="18"/>
          <w:color w:val="auto"/>
        </w:rPr>
      </w:pPr>
    </w:p>
    <w:p>
      <w:pPr>
        <w:ind w:left="1020" w:right="600" w:hanging="504"/>
        <w:spacing w:after="0" w:line="280"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(“GCP”), requirements to establish the safety and efficacy of the proposed drug or biological product for each indication;</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after completion of all pivotal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5"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or biologic’s identity, strength, quality and purity and of selected clinical investigation sites to assess compliance with GCP; and</w:t>
      </w:r>
    </w:p>
    <w:p>
      <w:pPr>
        <w:spacing w:after="0" w:line="67" w:lineRule="exact"/>
        <w:rPr>
          <w:rFonts w:ascii="Times New Roman" w:cs="Times New Roman" w:eastAsia="Times New Roman" w:hAnsi="Times New Roman"/>
          <w:sz w:val="18"/>
          <w:szCs w:val="18"/>
          <w:color w:val="auto"/>
        </w:rPr>
      </w:pPr>
    </w:p>
    <w:p>
      <w:pPr>
        <w:ind w:left="1020" w:right="100" w:hanging="504"/>
        <w:spacing w:after="0" w:line="280"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Investigational New Drug Applications</w:t>
      </w:r>
    </w:p>
    <w:p>
      <w:pPr>
        <w:spacing w:after="0" w:line="12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Nonclinical studies include laboratory evaluations of product chemistry, toxicity and formulations, as well as animal studies to assess safety and efficacy. An IND is a request for authorization from the FDA to administer an investigational pharmaceutical product to humans. A sponsor must submit the results of the nonclinical tests, together with chemistry, manufacturing &amp; control information, and any available clinical data or literature, to the FDA as part of an IND. Some nonclinical testing may continue after the IND is submitted. An IND automatically becomes effective and a clinical trial proposed in the IND may begin 30 days after the FDA receives the IND, unless during this 30-day waiting period, the FDA raises concerns or questions related to one or more proposed clinical trials and places the clinical trial on a clinical hold. In such a case, the sponsor must resolve any outstanding concerns before the clinical trial can begin. As a result, submission of an IND may not result in the FDA allowing clinical trials to commence. The FDA may impose clinical holds on a product candidate at any time before or during clinical trials due to safety concerns or non-compliance. If the FDA imposes a clinical hold, trials may not recommence without FDA authorization and then only under terms authorized by the FDA.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pharmaceutical product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In addition, written safety reports regarding serious and unexpected suspected adverse events, findings from other studies suggesting a significant risk to humans exposed to the same or similar pharmaceutical products, findings from animal or in vitro testing suggesting a significant risk to humans, and any clinically important increased incidence of a serious suspected adverse reaction compared to that listed in the protocol or investigator brochure must be submitted to the FDA.</w:t>
      </w:r>
    </w:p>
    <w:p>
      <w:pPr>
        <w:spacing w:after="0" w:line="18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Furthermore, an IRB at each institution participating in the clinical trial must review and approve the plan for any clinical trial before it commences at that institution.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Information about certain clinical trials must be submitted within specific timeframes to the NIH, for public dissemination on their www.clinicaltrials.gov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or four sequential phases, which may overlap or be combined:</w:t>
      </w:r>
    </w:p>
    <w:p>
      <w:pPr>
        <w:spacing w:after="0" w:line="116" w:lineRule="exact"/>
        <w:rPr>
          <w:sz w:val="20"/>
          <w:szCs w:val="20"/>
          <w:color w:val="auto"/>
        </w:rPr>
      </w:pPr>
    </w:p>
    <w:p>
      <w:pPr>
        <w:ind w:left="1020" w:right="200" w:hanging="504"/>
        <w:spacing w:after="0" w:line="311" w:lineRule="auto"/>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The product candidate is initially introduced into healthy human subjects or patients with the target disease or condition and tested for safety, optimal dosage, absorption, metabolism, distribution, excretion and, if possible, to gain an early indication of its effectiveness.</w:t>
      </w:r>
    </w:p>
    <w:p>
      <w:pPr>
        <w:spacing w:after="0" w:line="31" w:lineRule="exact"/>
        <w:rPr>
          <w:rFonts w:ascii="Times New Roman" w:cs="Times New Roman" w:eastAsia="Times New Roman" w:hAnsi="Times New Roman"/>
          <w:sz w:val="17"/>
          <w:szCs w:val="17"/>
          <w:color w:val="auto"/>
        </w:rPr>
      </w:pPr>
    </w:p>
    <w:p>
      <w:pPr>
        <w:ind w:left="1020" w:right="680" w:hanging="504"/>
        <w:spacing w:after="0" w:line="280"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to identify possible adverse effects and safety risks, to preliminarily evaluate the efficacy of the product for specific diseases and to determine optimal dosage.</w:t>
      </w:r>
    </w:p>
    <w:p>
      <w:pPr>
        <w:spacing w:after="0" w:line="55" w:lineRule="exact"/>
        <w:rPr>
          <w:rFonts w:ascii="Times New Roman" w:cs="Times New Roman" w:eastAsia="Times New Roman" w:hAnsi="Times New Roman"/>
          <w:sz w:val="18"/>
          <w:szCs w:val="18"/>
          <w:color w:val="auto"/>
        </w:rPr>
      </w:pPr>
    </w:p>
    <w:p>
      <w:pPr>
        <w:ind w:left="1020" w:right="260" w:hanging="504"/>
        <w:spacing w:after="0" w:line="265"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typically in well-controlled trials, to generate enough data to statistically evaluate the efficacy and safety of the product for approval, to establish the overall risk-benefit profile of the product, and to provide adequate information for the labeling of the product.</w:t>
      </w:r>
    </w:p>
    <w:p>
      <w:pPr>
        <w:spacing w:after="0" w:line="17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 or BLA.</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development of a new product candidate,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FDA to provide advice, and for the sponsor and the FDA to reach consensus on the next phase of development. Sponsors typically use the meetings at the end of the Phase 2 trial to discuss Phase 2 clinical results and present plans for the pivotal Phase 3 clinical trial that they believe will support approval of the new product candidate.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13" w:name="page114"/>
    <w:bookmarkEnd w:id="113"/>
    <w:p>
      <w:pPr>
        <w:ind w:right="60"/>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 in the U.S.</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or BLA requesting approval or licensure to market the product for one or more indications. In most cases, the submission of an NDA or BLA is subject to a substantial application user fee. Under the Prescription Drug User Fee Act guidelines that are currently in effect, the FDA has a goal of ten months from the date of “filing” of a standard NDA for a new molecular entity or original BLA to review and act on the submission. This review typically takes twelve months from the date the NDA or BLA is submitted to the FDA because the FDA has sixty days from receipt to decide whether an application is accepted for filing, as described below.</w:t>
      </w:r>
    </w:p>
    <w:p>
      <w:pPr>
        <w:spacing w:after="0" w:line="18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The FDA reviews a BLA to determine, among other things, whether the product is safe, pure and potent (which are analogous to the NDA safety and effectiveness requirements) and the facility in which it is manufactured, processed, packed or held meets standards designed to assure the product’s continued safety, purity and potency.</w:t>
      </w:r>
    </w:p>
    <w:p>
      <w:pPr>
        <w:spacing w:after="0" w:line="18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to an advisory committee. An advisory committee is a panel of independent experts, including clinicians and other scientific experts as well as consumer representatives,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requirements.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generally accepts data from foreign clinical trials in support of an NDA or BLA if the trials were conducted under an IND. If a foreign clinical trial is not conducted under an IND, the FDA nevertheless may accept the data in support of an NDA or BLA if the study was conducted in accordance with GCP requirements and the FDA is able to validate the data through an on-site inspection, if deemed necessary.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4" w:name="page115"/>
    <w:bookmarkEnd w:id="114"/>
    <w:p>
      <w:pPr>
        <w:ind w:right="60"/>
        <w:spacing w:after="0" w:line="253" w:lineRule="auto"/>
        <w:rPr>
          <w:sz w:val="20"/>
          <w:szCs w:val="20"/>
          <w:color w:val="auto"/>
        </w:rPr>
      </w:pPr>
      <w:r>
        <w:rPr>
          <w:rFonts w:ascii="Times New Roman" w:cs="Times New Roman" w:eastAsia="Times New Roman" w:hAnsi="Times New Roman"/>
          <w:sz w:val="18"/>
          <w:szCs w:val="18"/>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usually describes the specific deficiencies in the NDA or BLA identified by the FDA and may require additional clinical data, such as an additional clinical trial or other significant and time-consuming requirements. If a Complete Response Letter is issued, the sponsor must resubmit the NDA or BLA,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or biologic with specific prescribing information for specific indications.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post-marketing studies and surveillance to further assess and monitor the product’s safety and effectiveness after commercialization, and may limit further marketing of the product based on the results of these post-marketing studies.</w:t>
      </w:r>
    </w:p>
    <w:p>
      <w:pPr>
        <w:spacing w:after="0" w:line="1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United States</w:t>
      </w:r>
    </w:p>
    <w:p>
      <w:pPr>
        <w:spacing w:after="0" w:line="1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component generally would be reviewed and approved pursuant to the drug approval processes set forth in the FDCA or PHSA. In reviewing the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QSR applicable to medical devices.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or BLA is submitted, the product candidate may be eligible for priority review. An NDA or BLA for a Fast Track product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and determines that the schedule is acceptable, and the sponsor pays any required user fees upon submission of the first section of the NDA or BLA.</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 NDA or BLA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and licenses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many types of changes to the approved product, such as adding new indications, manufacturing changes or other labeling claims are subject to prior FDA review and approval.</w:t>
      </w:r>
    </w:p>
    <w:p>
      <w:pPr>
        <w:spacing w:after="0" w:line="1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There also are continuing, annual program fee requirements for certain approved prescription drug or biologic products. 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drug and biologics manufacturers and other entities involved in the manufacture and distribution of approved drugs and biologics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in accordance with the statute and regulations if compliance with regulatory requirements and standards is not maintained or if problems occur after the product reaches the market.</w:t>
      </w:r>
    </w:p>
    <w:p>
      <w:pPr>
        <w:spacing w:after="0" w:line="163" w:lineRule="exact"/>
        <w:rPr>
          <w:sz w:val="20"/>
          <w:szCs w:val="20"/>
          <w:color w:val="auto"/>
        </w:rPr>
      </w:pPr>
    </w:p>
    <w:p>
      <w:pPr>
        <w:jc w:val="both"/>
        <w:ind w:right="280"/>
        <w:spacing w:after="0" w:line="287" w:lineRule="auto"/>
        <w:rPr>
          <w:sz w:val="20"/>
          <w:szCs w:val="20"/>
          <w:color w:val="auto"/>
        </w:rPr>
      </w:pPr>
      <w:r>
        <w:rPr>
          <w:rFonts w:ascii="Times New Roman" w:cs="Times New Roman" w:eastAsia="Times New Roman" w:hAnsi="Times New Roman"/>
          <w:sz w:val="17"/>
          <w:szCs w:val="17"/>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potential consequences include, among other things:</w:t>
      </w:r>
    </w:p>
    <w:p>
      <w:pPr>
        <w:spacing w:after="0" w:line="116" w:lineRule="exact"/>
        <w:rPr>
          <w:sz w:val="20"/>
          <w:szCs w:val="20"/>
          <w:color w:val="auto"/>
        </w:rPr>
      </w:pPr>
    </w:p>
    <w:p>
      <w:pPr>
        <w:ind w:left="1020" w:hanging="504"/>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5" w:lineRule="exact"/>
        <w:rPr>
          <w:rFonts w:ascii="Times New Roman" w:cs="Times New Roman" w:eastAsia="Times New Roman" w:hAnsi="Times New Roman"/>
          <w:sz w:val="18"/>
          <w:szCs w:val="18"/>
          <w:color w:val="auto"/>
        </w:rPr>
      </w:pPr>
    </w:p>
    <w:p>
      <w:pPr>
        <w:ind w:left="1020" w:right="200" w:hanging="504"/>
        <w:spacing w:after="0" w:line="280"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BLAs or supplements to approved NDAs or BLAs, or suspension or revocation of product license approvals;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A company can make only those claims relating to safety and efficacy, purity and potency that are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judgement,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ODD must be requested before submitting an NDA or BLA. After the FDA grants orphan drug designation, the identity of the therapeutic agent and its potential orphan use are disclosed publicly by the FDA. ODD does not convey any advantage in, or shorten the duration of, the regulatory review and approval process. ODD entitles a party to financial incentives such as opportunities for grant funding towards clinical trial costs, tax advantages and user fee waivers.</w:t>
      </w:r>
    </w:p>
    <w:p>
      <w:pPr>
        <w:spacing w:after="0" w:line="18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disease or condition for seven years from the date of such approval,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product for the same disease or condition or the same product for a different disease or condition.</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disease or condition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To date, relatively few biosimilars have been licensed under the BPCIA, although numerous biosimilars have been approved in Europe.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Drug Product Exclusivity</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Pediatric exclusivity is a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an NDA or BLA sponsor submits pediatric data that fairly respond to a written request from the FDA for such data. The data does not need to show the product to be effective in the pediatric population studied; rather, if the FDA has requested the study and the clinical study is deemed to fairly respond to the FDA’s request, the additional protection is granted. If reports of FDA-requested pediatric studies are submitted to and accepted by the FDA within the statutory time limits, whatever statutory or regulatory periods of exclusivity or patent protection cover the product are extended by six months for purposes of the FDA approval process. This is not a patent term extension, but it effectively extends existing periods of regulatory exclusivity.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To market any product outside of the United States, we need to comply with numerous and varying regulatory requirements of other countries regarding safety and efficacy and governing, among other things, clinical trials, marketing authorisation, commercial sales and distribution of our products. The foreign regulatory approval process includes all of the risks associated with FDA approval set forth above, as well as additional country and region-specific regulation.</w:t>
      </w:r>
    </w:p>
    <w:p>
      <w:pPr>
        <w:spacing w:after="0" w:line="18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Clinical Trials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w:t>
      </w:r>
    </w:p>
    <w:p>
      <w:pPr>
        <w:spacing w:after="0" w:line="22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studies (pharmaco-toxicological) must be conducted in compliance with the principles of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Conference on Harmonization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(“EU CTR”), repeals the EU Clinical Trials Directive, and was adopted in April 2014 and became applicable on January 31, 2022. Unlike a Directive, the EU CTR is directly applicable in all EU member states without the need for member states to further implement it into national law. The EU CTR notably harmonizes the assessment and supervision processes for clinical trials throughout the EU via the Clinical Trials Information System, which is a centralized EU portal and database.</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While the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EU CTR introduces a centralized process and only requires the submission of a single application for multi-center trials. The EU CTR allows sponsors to make a single submission to both the competent authority and an ethics committee in each member state, leading to a single decision per member state. The CTA must include, among other things,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One of the main aims of EU CTR is to increase transparency about clinical trials, which is done by making documents and data from the CTA publicly available through the Clinical Trials Information System at the time of decision about the clinical trial. There are few exceptions to this, and release of personal data and company confidential information is controlled through redaction and through requesting a trial-phase dependent deferral of disclosure.</w:t>
      </w:r>
    </w:p>
    <w:p>
      <w:pPr>
        <w:spacing w:after="0" w:line="18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extent to which ongoing and new clinical trials will be governed by the EU CTR depends on the date of submission of the initial application, and whether the trial completes after the end of the transition period (31 January 2025).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183" w:lineRule="exact"/>
        <w:rPr>
          <w:sz w:val="20"/>
          <w:szCs w:val="20"/>
          <w:color w:val="auto"/>
        </w:rPr>
      </w:pPr>
    </w:p>
    <w:p>
      <w:pPr>
        <w:jc w:val="center"/>
        <w:ind w:right="460"/>
        <w:spacing w:after="0" w:line="280"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GMP. Other national and EU-wide regulatory requirements may also apply.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Authorisation</w:t>
      </w:r>
    </w:p>
    <w:p>
      <w:pPr>
        <w:spacing w:after="0" w:line="12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In order to market our future product candidates in the EU and many other foreign jurisdictions, we must obtain separate regulatory approvals. More concretely, in the EU, medicinal product candidates can only be commercialized after obtaining a marketing authorisation (“MA”). To obtain regulatory approval of a product candidate under EU regulatory systems, we must submit a MAA. The process for doing this depends, among other things, on the nature of the medicinal product. There are two types of MAs:</w:t>
      </w:r>
    </w:p>
    <w:p>
      <w:pPr>
        <w:spacing w:after="0" w:line="75" w:lineRule="exact"/>
        <w:rPr>
          <w:sz w:val="20"/>
          <w:szCs w:val="20"/>
          <w:color w:val="auto"/>
        </w:rPr>
      </w:pPr>
    </w:p>
    <w:p>
      <w:pPr>
        <w:ind w:left="1020" w:right="60" w:hanging="504"/>
        <w:spacing w:after="0" w:line="254"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EC through the centralized procedure based on the opinion of the Committee for Medicinal Products for Human Use (“CHMP”) of the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authorized in the EU before May 20, 2004, or that represent a significant therapeutic, scientific or technical innovation, or whose authorisation would be in the interest of public health in the EU.</w:t>
      </w:r>
    </w:p>
    <w:p>
      <w:pPr>
        <w:spacing w:after="0" w:line="77" w:lineRule="exact"/>
        <w:rPr>
          <w:rFonts w:ascii="Times New Roman" w:cs="Times New Roman" w:eastAsia="Times New Roman" w:hAnsi="Times New Roman"/>
          <w:sz w:val="18"/>
          <w:szCs w:val="18"/>
          <w:color w:val="auto"/>
        </w:rPr>
      </w:pPr>
    </w:p>
    <w:p>
      <w:pPr>
        <w:ind w:left="1020" w:right="140" w:hanging="504"/>
        <w:spacing w:after="0" w:line="255"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 new products authorized for marketing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authorisation for one or more new therapeutic indications, which, during the scientific evaluation prior to their authorisation,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Orphan Medicinal Products</w:t>
      </w:r>
    </w:p>
    <w:p>
      <w:pPr>
        <w:spacing w:after="0" w:line="12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EU orphan designation entitles a sponsor to incentives such as reduction of fees or fee waivers, protocol assistance, and access to the centralized procedure. Upon grant of a MA, orphan medicinal products are entitled to a ten years of market exclusivity for the approved indication, which means that the competent authorities cannot accept another MAA, or grant a MA, or accept an application to extend a MA for a similar medicinal product for the similar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OD does not convey any advantage in, or shorten the duration of, the regulatory review and approval process.</w:t>
      </w:r>
    </w:p>
    <w:p>
      <w:pPr>
        <w:spacing w:after="0" w:line="18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OD, including where it is shown that the product is sufficiently profitable not to justify maintenance of market exclusivity or where the prevalence of the condition has increased above the threshold. OD must be requested before submitting an MAA.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Development</w:t>
      </w:r>
    </w:p>
    <w:p>
      <w:pPr>
        <w:spacing w:after="0" w:line="1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studies conducted in the pediatric population, in compliance with a PIP agreed with the EMA’s Paediatric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 year extension of the orphan market exclusivity is granted.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2" w:name="page123"/>
    <w:bookmarkEnd w:id="122"/>
    <w:p>
      <w:pPr>
        <w:spacing w:after="0" w:line="257" w:lineRule="auto"/>
        <w:rPr>
          <w:sz w:val="20"/>
          <w:szCs w:val="20"/>
          <w:color w:val="auto"/>
        </w:rPr>
      </w:pPr>
      <w:r>
        <w:rPr>
          <w:rFonts w:ascii="Times New Roman" w:cs="Times New Roman" w:eastAsia="Times New Roman" w:hAnsi="Times New Roman"/>
          <w:sz w:val="18"/>
          <w:szCs w:val="18"/>
          <w:color w:val="auto"/>
        </w:rPr>
        <w:t>All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post-authorisation obligations may include additional safety monitoring, more frequent submission of PSURs, or the conduct of additional clinical trials or post-authorisation safety studies.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prohibited in the EU. Although general requirements for advertising and promotion of medicinal products are established under EU directives, the details are governed by regulations in each member state and differ from one country to another.</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United Kingdom (“UK”), left the EU on January 31, 2020, following which existing EU medicinal product legislation continued to apply in the UK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(“TCA”), and became effective on the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w:t>
      </w:r>
    </w:p>
    <w:p>
      <w:pPr>
        <w:spacing w:after="0" w:line="18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EU laws which have been transposed into UK law through secondary legislation continue to be applicable as “retained EU law”. The EU laws that have been transposed into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In addition, new legislation such as the EU CTR will not be applicable. 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579" w:right="419" w:bottom="1440" w:gutter="0" w:footer="0" w:header="0"/>
        </w:sectPr>
      </w:pPr>
    </w:p>
    <w:bookmarkStart w:id="123" w:name="page124"/>
    <w:bookmarkEnd w:id="123"/>
    <w:p>
      <w:pPr>
        <w:ind w:right="20"/>
        <w:spacing w:after="0" w:line="254"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(“MHRA”), is the UK’s standalone medicines and medical devices regulator. As a result of the Northern Ireland protocol, different rules will apply in Northern Ireland than in England, Wales, and Scotland, together, Great Britain (“GB”); broadly, Northern Ireland will continue to follow the EU regulatory regime, but its national competent authority will remain the MHRA. The MHRA has published a guidance on how various aspects of the UK regulatory regime for medicines will operate in GB and in Northern Ireland following the expiry of the Brexit transition period on December 31, 2020. The guidance includes clinical trials, importing, exporting, and pharmacovigilance and is relevant to any business involved in the research, development, or commercialization of medicines in the UK. The new guidance was given effect via the Human Medicines Regulations (Amendment etc.) (EU Exit) Regulations 2019, or the “Exit Regulations.”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In order to use the centralized procedure to obtain a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The MHRA may rely on a decision taken by the EC on the approval of a new (centralized procedure) MA when determining an application for a GB authorisation (the so-called “EC Decision Reliance Procedure”); or use the MHRA’s decentralized or mutual recognition procedures which enable MAs approved in EU member states (or Iceland, Liechtenstein, Norway) to be granted in GB (the so-called “MRDC Reliance Procedure”).</w:t>
      </w:r>
    </w:p>
    <w:p>
      <w:pPr>
        <w:spacing w:after="0" w:line="18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There will be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Combination Products in the EU</w:t>
      </w:r>
    </w:p>
    <w:p>
      <w:pPr>
        <w:spacing w:after="0" w:line="120" w:lineRule="exact"/>
        <w:rPr>
          <w:sz w:val="20"/>
          <w:szCs w:val="20"/>
          <w:color w:val="auto"/>
        </w:rPr>
      </w:pPr>
    </w:p>
    <w:p>
      <w:pPr>
        <w:jc w:val="both"/>
        <w:ind w:right="120"/>
        <w:spacing w:after="0" w:line="311" w:lineRule="auto"/>
        <w:rPr>
          <w:sz w:val="20"/>
          <w:szCs w:val="20"/>
          <w:color w:val="auto"/>
        </w:rPr>
      </w:pPr>
      <w:r>
        <w:rPr>
          <w:rFonts w:ascii="Times New Roman" w:cs="Times New Roman" w:eastAsia="Times New Roman" w:hAnsi="Times New Roman"/>
          <w:sz w:val="17"/>
          <w:szCs w:val="17"/>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Drug-delivery products intended to administer a medicinal product where the medicinal product and the device form a single integral product are regulated as medicinal products in the EU. The EMA is responsible for evaluating the quality, safety and efficacy of MAAs submitted through the centralized procedure, including the safety and performance of the medical device in relation to its use with the medicinal product. The EMA or the EU member state national competent authority will assess the product in accordance with the rules for medicinal products described above but the device part must comply with the Medical Devices Regulation (including the general safety and performance requirements provided in Annex I). MAA must include—where available—the results of the assessment of the conformity of the device part with the Medical Devices Regulation contained in the manufacturer’s EU declaration of conformity of the device or the relevant certificate issued by a notified body. If the MAA does not include the results of the conformity assessment and where for the conformity assessment of the device, if used separately, the involvement of a notified body is required, the competent authority must require the applicant to provide a notified body opinion on the conformity of the device.</w:t>
      </w:r>
    </w:p>
    <w:p>
      <w:pPr>
        <w:spacing w:after="0" w:line="189"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7"/>
          <w:szCs w:val="17"/>
          <w:color w:val="auto"/>
        </w:rPr>
        <w:t>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579" w:right="439" w:bottom="1440" w:gutter="0" w:footer="0" w:header="0"/>
        </w:sectPr>
      </w:pPr>
    </w:p>
    <w:bookmarkStart w:id="124" w:name="page125"/>
    <w:bookmarkEnd w:id="124"/>
    <w:p>
      <w:pPr>
        <w:ind w:right="200"/>
        <w:spacing w:after="0" w:line="257" w:lineRule="auto"/>
        <w:rPr>
          <w:sz w:val="20"/>
          <w:szCs w:val="20"/>
          <w:color w:val="auto"/>
        </w:rPr>
      </w:pPr>
      <w:r>
        <w:rPr>
          <w:rFonts w:ascii="Times New Roman" w:cs="Times New Roman" w:eastAsia="Times New Roman" w:hAnsi="Times New Roman"/>
          <w:sz w:val="18"/>
          <w:szCs w:val="18"/>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w:t>
      </w:r>
    </w:p>
    <w:p>
      <w:pPr>
        <w:spacing w:after="0" w:line="18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requirements regarding quality documentation for medicinal products when used with a medical device, including single integral products, co-packaged and referenced products, are outlined in the EMA guideline of July 22, 2021, which became applicable as of January 1,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0"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other U.S. federal, state and foreign healthcare regulatory laws restrict business practices in the biopharmaceutical industry, which include, but are not limited to, state, federal and foreign anti-kickback, false claims, and transparency laws regarding drug pricing and payments or other items of value provided to physicians and other healthcare providers.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strict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in light of the prohibitions in the statute.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to have committed a violation.</w:t>
      </w:r>
    </w:p>
    <w:p>
      <w:pPr>
        <w:spacing w:after="0" w:line="188"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7"/>
          <w:szCs w:val="17"/>
          <w:color w:val="auto"/>
        </w:rPr>
        <w:t>The federal civil False Claims Act prohibits any person or entity from, among other things,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 Moreover, a claim including items or services resulting from a violation of the federal Anti-Kickback Statute constitutes a false or fraudulent claim for purposes of the federal civil False Claims Act.</w:t>
      </w:r>
    </w:p>
    <w:p>
      <w:pPr>
        <w:spacing w:after="0" w:line="18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5" w:name="page126"/>
    <w:bookmarkEnd w:id="125"/>
    <w:p>
      <w:pPr>
        <w:ind w:right="20"/>
        <w:spacing w:after="0" w:line="257"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created new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As with the Anti-Kickback Statute, a person or entity does not need to have actual knowledge of the statute or specific intent to violate it to have committed a violation.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other healthcare providers. The Physician Payments Sunshine Act imposed, among other things, annual reporting requirements for covered manufacturers for certain payments and “transfers of value” provided to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Covered manufacturers must submit reports by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each subsequent calendar year.</w:t>
      </w:r>
    </w:p>
    <w:p>
      <w:pPr>
        <w:spacing w:after="0" w:line="10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majority of states also have anti-kickback and other fraud and abuse laws, which establish similar prohibitions and in some cases may apply to items or services reimbursed by any third-party payor, including commercial insurers. Certain states also require implementation of compliance programs and compliance with the pharmaceutical industry’s voluntary compliance guidelines and the relevant compliance guidance promulgated by the federal government, impose restrictions on marketing practices, and/or tracking and reporting of marketing expenditures and pricing information as well as gifts, compensation and other remuneration or items of value provided to physicians and other healthcare professionals and entities.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w:t>
      </w:r>
    </w:p>
    <w:p>
      <w:pPr>
        <w:spacing w:after="0" w:line="189"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7"/>
          <w:szCs w:val="17"/>
          <w:color w:val="auto"/>
        </w:rPr>
        <w:t>Violation of any of such laws or any other governmental regulations that apply to drug manufacturers may result in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imprisonment.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drug or medical device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SKYTROFA or any other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6" w:name="page127"/>
    <w:bookmarkEnd w:id="126"/>
    <w:p>
      <w:pPr>
        <w:ind w:right="20"/>
        <w:spacing w:after="0" w:line="253" w:lineRule="auto"/>
        <w:rPr>
          <w:sz w:val="20"/>
          <w:szCs w:val="20"/>
          <w:color w:val="auto"/>
        </w:rPr>
      </w:pPr>
      <w:r>
        <w:rPr>
          <w:rFonts w:ascii="Times New Roman" w:cs="Times New Roman" w:eastAsia="Times New Roman" w:hAnsi="Times New Roman"/>
          <w:sz w:val="18"/>
          <w:szCs w:val="18"/>
          <w:color w:val="auto"/>
        </w:rPr>
        <w:t>Third-party payors may limit coverage to specific drug products on an approved list, also known as a formulary, which might not include all of the FDA-approved drugs for a particular indication. A decision by a third-party payor not to cover SKYTROFA or our other product candidates could reduce physician utilization of our products and have a material adverse effect on our sales, results of operations and financial condition. Moreover, a third-party payor’s decision to provide coverage for a drug or medical device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that they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examining the medical necessity and reviewing the cost-effectiveness of drugs,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 In addition, in many foreign countries, the proposed pricing for a drug must be approved before it may be lawfully marketed. The requirements governing drug pricing and reimbursement vary widely from country to country. In the EU, governments influence the price of products through their pricing and reimbursement rules and control of national healthcare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lower priced markets exert a commercial pressure on pricing within a country.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2010, the ACA and related legislation were enacted, which, among other things, (i) increased the minimum Medicaid rebates owed by most manufacturers under the Medicaid Drug Rebate Program, (ii) addressed a new methodology by which rebates owed by manufacturers under the Medicaid Drug Rebate Program are calculated for drugs that are inhaled, infused, instilled, implanted or injected, (iii) extended the Medicaid Drug Rebate Program to utilization of prescriptions of individuals enrolled in Medicaid managed care plans, (iv) imposed mandatory discounts for certain Medicare Part D beneficiaries, and (v) subjected drug manufacturers to new annual fees based on pharmaceutical companies’ share of sales to federal healthcare programs.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27" w:name="page128"/>
    <w:bookmarkEnd w:id="127"/>
    <w:p>
      <w:pPr>
        <w:ind w:right="140"/>
        <w:spacing w:after="0" w:line="272" w:lineRule="auto"/>
        <w:rPr>
          <w:sz w:val="20"/>
          <w:szCs w:val="20"/>
          <w:color w:val="auto"/>
        </w:rPr>
      </w:pPr>
      <w:r>
        <w:rPr>
          <w:rFonts w:ascii="Times New Roman" w:cs="Times New Roman" w:eastAsia="Times New Roman" w:hAnsi="Times New Roman"/>
          <w:sz w:val="17"/>
          <w:szCs w:val="17"/>
          <w:color w:val="auto"/>
        </w:rPr>
        <w:t>Since its enactment, there have been judicial, executive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 the Budget Control Act of 2011, which resulted in reductions in Medicare payments to providers, which went into effect on April 1, 2013 and will stay in effect through 2032, with the exception of a temporary suspension from May 1, 2020 through March 31, 2022, unless additional Congressional action is taken. On January 2, 2013, the American Taxpayer Relief Act was signed into law, which, among other things, reduced certain Medicare payments to several types of providers, including hospitals. The legislation also increased the statute of limitations period for the government to recover overpayments to providers from three to five years. In addition, the American Rescue Plan Act of 2021 was signed into law, which eliminates the statutory Medicaid drug rebate cap, currently set at 100% of a drug’s average manufacturer price, beginning January 1, 2024.</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Individual states in the United States have also become increasingly active in passing legislation and implementing regulations designed to control pharmaceutical product pricing, including through constraints on reimbursement, imposition of mandatory discounts, restrictions on access to certain products, transparency measures, and programs for importation from other countries or bulk purchasing.</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8" w:name="page129"/>
    <w:bookmarkEnd w:id="128"/>
    <w:p>
      <w:pPr>
        <w:ind w:right="40"/>
        <w:spacing w:after="0" w:line="280"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Health Technology Assessment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the future, there may continue to be additional proposals relating to the reform of the U.S. healthcare system and international healthcare systems. 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Privacy and data security have become significant issues in the United States, Europe and in many other jurisdictions where we may in the future conduct our operations. As we receive, collect, process, use and store personal and confidential data, we are or may become subject to diverse laws and regulations relating to data privacy and security, such as data breach notification laws, health information privacy and security laws, and consumer protection laws in the United States and abroad including the EU General Data Protection Regulation (“GDPR”) and the U.K. GDPR. Privacy and security laws, regulations, and other obligations are complex and constantly evolving, and any unauthorized access, disclosure and other loss of personal data, including by third party vendors providing support services, can result in investigations, proceedings, or actions that lead to significant civil and/or criminal penalties, restrictions on data processing and reputational damage.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w:t>
      </w:r>
    </w:p>
    <w:p>
      <w:pPr>
        <w:spacing w:after="0" w:line="12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may collect and store personal information and certain sensitive company information, including proprietary and confidential business information, trade secrets, intellectual property, information regarding trial participants in connection with clinical trials, sensitive third-party information and employee information.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29" w:name="page130"/>
    <w:bookmarkEnd w:id="129"/>
    <w:p>
      <w:pPr>
        <w:ind w:right="60"/>
        <w:spacing w:after="0" w:line="279" w:lineRule="auto"/>
        <w:rPr>
          <w:sz w:val="20"/>
          <w:szCs w:val="20"/>
          <w:color w:val="auto"/>
        </w:rPr>
      </w:pPr>
      <w:r>
        <w:rPr>
          <w:rFonts w:ascii="Times New Roman" w:cs="Times New Roman" w:eastAsia="Times New Roman" w:hAnsi="Times New Roman"/>
          <w:sz w:val="17"/>
          <w:szCs w:val="17"/>
          <w:color w:val="auto"/>
        </w:rPr>
        <w:t>Despite the implementation of our cybersecurity program, our security measures cannot guarantee that a significant cyberattack will not occur. A successful attack on our information technology systems could have significant consequences to the business. While we devote resources to our security measures to protect our systems and information, these measures cannot provide absolute security. See “Item 3 D. Key Information—Risk Factors—Risks Related to Our Business” for additional information about the risks to our business associated with a breach or compromise to our information technology systems.</w:t>
      </w:r>
    </w:p>
    <w:p>
      <w:pPr>
        <w:spacing w:after="0" w:line="271"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2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Certain of our operations are conducted through our following wholly-owned subsidiaries: Ascendis Pharma GmbH (Germany), Ascendis Pharma Endocrinology GmbH (Germany) Ascendis Pharma, Inc. (Delaware, United States), Ascendis Pharma Endocrinology, Inc. (Delaware, United States), Ascendis Pharma, Ophthalmology Division A/S (Denmark), Ascendis Pharma, Endocrinology Division A/S (Denmark), Ascendis Pharma Bone Diseases A/S (Denmark), Ascendis Pharma Growth Disorders A/S (Denmark) and Ascendis Pharma Oncology Division A/S (Denmark). These subsidiaries are also set forth in Exhibit 8.1 to this annual report.</w:t>
      </w:r>
    </w:p>
    <w:p>
      <w:pPr>
        <w:spacing w:after="0" w:line="287"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0" w:lineRule="exact"/>
        <w:rPr>
          <w:sz w:val="20"/>
          <w:szCs w:val="20"/>
          <w:color w:val="auto"/>
        </w:rPr>
      </w:pPr>
    </w:p>
    <w:p>
      <w:pPr>
        <w:ind w:right="760"/>
        <w:spacing w:after="0" w:line="280" w:lineRule="auto"/>
        <w:rPr>
          <w:sz w:val="20"/>
          <w:szCs w:val="20"/>
          <w:color w:val="auto"/>
        </w:rPr>
      </w:pPr>
      <w:r>
        <w:rPr>
          <w:rFonts w:ascii="Times New Roman" w:cs="Times New Roman" w:eastAsia="Times New Roman" w:hAnsi="Times New Roman"/>
          <w:sz w:val="18"/>
          <w:szCs w:val="18"/>
          <w:color w:val="auto"/>
        </w:rPr>
        <w:t>Our material tangible fixed assets relate to leased facilities, which are recognized and measured as right-of-use assets in the consolidated financial statements. We do not own any of our facilities.</w:t>
      </w:r>
    </w:p>
    <w:p>
      <w:pPr>
        <w:spacing w:after="0" w:line="16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Our corporate headquarters is located in Hellerup, Denmark. In addition, we have offices and research and development facilities in Germany and the United States. We do not own facilities for manufacturing of our products and product candidates for the potential pivotal clinical studies, and/or for commercial manufacturing. Accordingly, we engage with Contract Manufacturing Organizations (“CMOs”) to manufacture clinical trial supply, as well as we enter into long term collaborations with CMOs to establish and maintain commercial-scale manufacturing processes for our product candidates and devices.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our leased facilities and their related activities.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Option to extend</w:t>
            </w: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160"/>
              <w:spacing w:after="0" w:line="134" w:lineRule="exact"/>
              <w:rPr>
                <w:sz w:val="20"/>
                <w:szCs w:val="20"/>
                <w:color w:val="auto"/>
              </w:rPr>
            </w:pPr>
            <w:r>
              <w:rPr>
                <w:rFonts w:ascii="Times New Roman" w:cs="Times New Roman" w:eastAsia="Times New Roman" w:hAnsi="Times New Roman"/>
                <w:sz w:val="12"/>
                <w:szCs w:val="12"/>
                <w:b w:val="1"/>
                <w:bCs w:val="1"/>
                <w:color w:val="auto"/>
              </w:rPr>
              <w:t>Size (in</w:t>
            </w:r>
          </w:p>
        </w:tc>
        <w:tc>
          <w:tcPr>
            <w:tcW w:w="2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7"/>
              </w:rPr>
              <w:t>the lease beyond</w:t>
            </w:r>
          </w:p>
        </w:tc>
      </w:tr>
      <w:tr>
        <w:trPr>
          <w:trHeight w:val="135"/>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160"/>
              <w:spacing w:after="0" w:line="134" w:lineRule="exact"/>
              <w:rPr>
                <w:sz w:val="20"/>
                <w:szCs w:val="20"/>
                <w:color w:val="auto"/>
              </w:rPr>
            </w:pPr>
            <w:r>
              <w:rPr>
                <w:rFonts w:ascii="Times New Roman" w:cs="Times New Roman" w:eastAsia="Times New Roman" w:hAnsi="Times New Roman"/>
                <w:sz w:val="12"/>
                <w:szCs w:val="12"/>
                <w:b w:val="1"/>
                <w:bCs w:val="1"/>
                <w:color w:val="auto"/>
              </w:rPr>
              <w:t>square</w:t>
            </w:r>
          </w:p>
        </w:tc>
        <w:tc>
          <w:tcPr>
            <w:tcW w:w="2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ind w:left="400"/>
              <w:spacing w:after="0" w:line="134" w:lineRule="exact"/>
              <w:rPr>
                <w:sz w:val="20"/>
                <w:szCs w:val="20"/>
                <w:color w:val="auto"/>
              </w:rPr>
            </w:pPr>
            <w:r>
              <w:rPr>
                <w:rFonts w:ascii="Times New Roman" w:cs="Times New Roman" w:eastAsia="Times New Roman" w:hAnsi="Times New Roman"/>
                <w:sz w:val="12"/>
                <w:szCs w:val="12"/>
                <w:b w:val="1"/>
                <w:bCs w:val="1"/>
                <w:color w:val="auto"/>
              </w:rPr>
              <w:t>Enforceable</w:t>
            </w:r>
          </w:p>
        </w:tc>
        <w:tc>
          <w:tcPr>
            <w:tcW w:w="160" w:type="dxa"/>
            <w:vAlign w:val="bottom"/>
          </w:tcPr>
          <w:p>
            <w:pPr>
              <w:spacing w:after="0"/>
              <w:rPr>
                <w:sz w:val="11"/>
                <w:szCs w:val="11"/>
                <w:color w:val="auto"/>
              </w:rPr>
            </w:pPr>
          </w:p>
        </w:tc>
        <w:tc>
          <w:tcPr>
            <w:tcW w:w="1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6"/>
              </w:rPr>
              <w:t>enforceable lease</w:t>
            </w:r>
          </w:p>
        </w:tc>
      </w:tr>
      <w:tr>
        <w:trPr>
          <w:trHeight w:val="15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20" w:type="dxa"/>
            <w:vAlign w:val="bottom"/>
          </w:tcPr>
          <w:p>
            <w:pPr>
              <w:spacing w:after="0"/>
              <w:rPr>
                <w:sz w:val="13"/>
                <w:szCs w:val="13"/>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meters)</w:t>
            </w:r>
          </w:p>
        </w:tc>
        <w:tc>
          <w:tcPr>
            <w:tcW w:w="280" w:type="dxa"/>
            <w:vAlign w:val="bottom"/>
          </w:tcPr>
          <w:p>
            <w:pPr>
              <w:spacing w:after="0"/>
              <w:rPr>
                <w:sz w:val="13"/>
                <w:szCs w:val="13"/>
                <w:color w:val="auto"/>
              </w:rPr>
            </w:pPr>
          </w:p>
        </w:tc>
        <w:tc>
          <w:tcPr>
            <w:tcW w:w="40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2"/>
                <w:szCs w:val="12"/>
                <w:b w:val="1"/>
                <w:bCs w:val="1"/>
                <w:color w:val="auto"/>
              </w:rPr>
              <w:t>Primary usage</w:t>
            </w:r>
          </w:p>
        </w:tc>
        <w:tc>
          <w:tcPr>
            <w:tcW w:w="160" w:type="dxa"/>
            <w:vAlign w:val="bottom"/>
          </w:tcPr>
          <w:p>
            <w:pPr>
              <w:spacing w:after="0"/>
              <w:rPr>
                <w:sz w:val="13"/>
                <w:szCs w:val="13"/>
                <w:color w:val="auto"/>
              </w:rPr>
            </w:pP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lease period</w:t>
            </w:r>
          </w:p>
        </w:tc>
        <w:tc>
          <w:tcPr>
            <w:tcW w:w="16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period</w:t>
            </w: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Denmark</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Tuborg Boulevard, Hellerup</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7,775</w:t>
            </w:r>
          </w:p>
        </w:tc>
        <w:tc>
          <w:tcPr>
            <w:tcW w:w="28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Corporate headquarters, administration and R&amp;D</w:t>
            </w:r>
          </w:p>
        </w:tc>
        <w:tc>
          <w:tcPr>
            <w:tcW w:w="16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July, 2029</w:t>
            </w:r>
          </w:p>
        </w:tc>
        <w:tc>
          <w:tcPr>
            <w:tcW w:w="1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Tuborg Boulevard, Hellerup</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4,168</w:t>
            </w:r>
          </w:p>
        </w:tc>
        <w:tc>
          <w:tcPr>
            <w:tcW w:w="280" w:type="dxa"/>
            <w:vAlign w:val="bottom"/>
            <w:shd w:val="clear" w:color="auto" w:fill="CFF0FC"/>
          </w:tcPr>
          <w:p>
            <w:pPr>
              <w:spacing w:after="0"/>
              <w:rPr>
                <w:sz w:val="16"/>
                <w:szCs w:val="16"/>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Administration</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May, 2038</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Germany</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58"/>
        </w:trPr>
        <w:tc>
          <w:tcPr>
            <w:tcW w:w="2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Rolling 24 months</w:t>
            </w:r>
          </w:p>
        </w:tc>
      </w:tr>
      <w:tr>
        <w:trPr>
          <w:trHeight w:val="192"/>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Technologiepark, Heidelberg</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2,134</w:t>
            </w:r>
          </w:p>
        </w:tc>
        <w:tc>
          <w:tcPr>
            <w:tcW w:w="280" w:type="dxa"/>
            <w:vAlign w:val="bottom"/>
            <w:shd w:val="clear" w:color="auto" w:fill="CFF0FC"/>
          </w:tcPr>
          <w:p>
            <w:pPr>
              <w:spacing w:after="0"/>
              <w:rPr>
                <w:sz w:val="16"/>
                <w:szCs w:val="16"/>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R&amp;D and laboratory facilities</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January, 2025</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option to extend</w:t>
            </w: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Technologiepark, Heidelberg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28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R&amp;D and laboratory facilities</w:t>
            </w:r>
          </w:p>
        </w:tc>
        <w:tc>
          <w:tcPr>
            <w:tcW w:w="16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December, 2024</w:t>
            </w:r>
          </w:p>
        </w:tc>
        <w:tc>
          <w:tcPr>
            <w:tcW w:w="1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Technologiepark, Heidelberg</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w:t>
            </w:r>
          </w:p>
        </w:tc>
        <w:tc>
          <w:tcPr>
            <w:tcW w:w="280" w:type="dxa"/>
            <w:vAlign w:val="bottom"/>
            <w:shd w:val="clear" w:color="auto" w:fill="CFF0FC"/>
          </w:tcPr>
          <w:p>
            <w:pPr>
              <w:spacing w:after="0"/>
              <w:rPr>
                <w:sz w:val="16"/>
                <w:szCs w:val="16"/>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R&amp;D and laboratory facilities</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October, 2024</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Max-Jarecki-Str., Heidelberg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2,321</w:t>
            </w:r>
          </w:p>
        </w:tc>
        <w:tc>
          <w:tcPr>
            <w:tcW w:w="28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Administration, R&amp;D and laboratory facilities</w:t>
            </w:r>
          </w:p>
        </w:tc>
        <w:tc>
          <w:tcPr>
            <w:tcW w:w="16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January, 2026</w:t>
            </w:r>
          </w:p>
        </w:tc>
        <w:tc>
          <w:tcPr>
            <w:tcW w:w="1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No</w:t>
            </w:r>
          </w:p>
        </w:tc>
      </w:tr>
      <w:tr>
        <w:trPr>
          <w:trHeight w:val="18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United States</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r>
      <w:tr>
        <w:trPr>
          <w:trHeight w:val="158"/>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Option to extend for up</w:t>
            </w:r>
          </w:p>
        </w:tc>
      </w:t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to two periods of five</w:t>
            </w:r>
          </w:p>
        </w:tc>
      </w:tr>
      <w:tr>
        <w:trPr>
          <w:trHeight w:val="192"/>
        </w:trPr>
        <w:tc>
          <w:tcPr>
            <w:tcW w:w="2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Page Mill, Palo Alto, California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6,765</w:t>
            </w:r>
          </w:p>
        </w:tc>
        <w:tc>
          <w:tcPr>
            <w:tcW w:w="28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Administration</w:t>
            </w:r>
          </w:p>
        </w:tc>
        <w:tc>
          <w:tcPr>
            <w:tcW w:w="16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October, 2033</w:t>
            </w:r>
          </w:p>
        </w:tc>
        <w:tc>
          <w:tcPr>
            <w:tcW w:w="1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years each</w:t>
            </w:r>
          </w:p>
        </w:tc>
      </w:tr>
      <w:tr>
        <w:trPr>
          <w:trHeight w:val="158"/>
        </w:trPr>
        <w:tc>
          <w:tcPr>
            <w:tcW w:w="2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Option to extend for</w:t>
            </w:r>
          </w:p>
        </w:tc>
      </w:tr>
      <w:tr>
        <w:trPr>
          <w:trHeight w:val="192"/>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Redwood City, California</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280" w:type="dxa"/>
            <w:vAlign w:val="bottom"/>
            <w:shd w:val="clear" w:color="auto" w:fill="CFF0FC"/>
          </w:tcPr>
          <w:p>
            <w:pPr>
              <w:spacing w:after="0"/>
              <w:rPr>
                <w:sz w:val="16"/>
                <w:szCs w:val="16"/>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R&amp;D and laboratory facilities</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April, 2030</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additional five years</w:t>
            </w:r>
          </w:p>
        </w:tc>
      </w:tr>
      <w:tr>
        <w:trPr>
          <w:trHeight w:val="158"/>
        </w:trPr>
        <w:tc>
          <w:tcPr>
            <w:tcW w:w="286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West Windsor Township,</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Option to extend for</w:t>
            </w:r>
          </w:p>
        </w:tc>
      </w:tr>
      <w:tr>
        <w:trPr>
          <w:trHeight w:val="198"/>
        </w:trPr>
        <w:tc>
          <w:tcPr>
            <w:tcW w:w="2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New Jersey</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28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Selling and administration</w:t>
            </w:r>
          </w:p>
        </w:tc>
        <w:tc>
          <w:tcPr>
            <w:tcW w:w="1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December, 2025</w:t>
            </w:r>
          </w:p>
        </w:tc>
        <w:tc>
          <w:tcPr>
            <w:tcW w:w="16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additional five years</w:t>
            </w:r>
          </w:p>
        </w:tc>
      </w:tr>
    </w:tbl>
    <w:p>
      <w:pPr>
        <w:spacing w:after="0" w:line="191"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In February 2022 we entered into a lease in Germany, comprising 11,390 square meters, with a term of 15 years, expected to commence in 2025, where its main activities will be administration, R&amp;D and laboratory functions.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0" w:name="page131"/>
    <w:bookmarkEnd w:id="130"/>
    <w:p>
      <w:pPr>
        <w:ind w:right="320"/>
        <w:spacing w:after="0" w:line="280"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near-term needs. We believe that suitable additional or alternative space would be available if required in the future on commercially reasonable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related notes appearing elsewhere in this annual report. In addition to historical information, this discussion contains forward-looking statements based on our current expectations that involve risks, uncertainties and assumptions. Our actual results may differ materially from those anticipated in these forward-looking statements as a result of various factors, including those set forth in the “Item 3 D Key Information—Risk Factors” and “Special Note Regarding Forward-Looking Statements” sections and elsewhere in this annual report.</w:t>
      </w:r>
    </w:p>
    <w:p>
      <w:pPr>
        <w:spacing w:after="0" w:line="287"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1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i w:val="1"/>
          <w:iCs w:val="1"/>
          <w:color w:val="auto"/>
        </w:rPr>
        <w:t>Refer to Part I, Item 5 in our Annual Report on Form 20-F for the financial year ended December 31, 2021 (filed with the SEC on March 2, 2022) for additional discussion of our financial condition and results of operations for the year ended December 31, 2020, as well as our financial condition and results of operations for the year ended December 31, 2021, compared to the year ended December 31, 2020.</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business highlights in 2022, please refer to “Item 4B. Information on the Company—Business Overview”.</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and Expenses</w:t>
      </w:r>
    </w:p>
    <w:p>
      <w:pPr>
        <w:spacing w:after="0" w:line="12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Revenue from commercial product sales and clinical trial supply is recognized when the customer has obtained control of the goods and it is probable that we will collect the consideration to which we are entitled for transferring the goods. Control is transferred upon delivery. Service fees are recognized as revenue when the services have been performed.</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operating expenses relate to research and development activities and to selling, general and administration activities. Research and development costs (“R&amp;D costs”) consist primarily of product development and pre-commercial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our intellectual property portfolio, and depreciation of non-current assets used in research and development activities. Selling, general and administrative expenses (“SG&amp;A expenses”) comprise salaries and other personnel costs including pension and share-based payment, office supplies, cost of facilities, professional fees, and depreciation of non-current assets related to selling, general and administrative activities, and pre-commercial and commercial activities.</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material portion of our operating expenses are denominated in other currencies than the Euro, which expose our operating expenses to volatility. The cost increase for the year ended December 31, 2022 compared to the year ended December 31, 2021, also reflects the impact from foreign currency development, primarily with respect to the U.S. Dollar. We do not enter into derivative financial instruments to manage our exposure to foreign exchange risks.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Assets and Liabilities</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operating assets and liabilities primarily relate to property, plant and equipment including leased assets, inventories, receivables, prepayments and accruals for development costs, lease liabilities, trade payables, and contract liabilities (deferred income). Property, plant and equipment primarily relate to leased facilities, which are recognized and measured as right-of-use assets in the consolidated financial statements. Our receivables and liabilities are exposed to development in foreign currencies, primarily with respect to the U.S. Dollar. Please refer to the “Foreign Currency Risk” section under “Quantitative and Qualitative Disclosures about Market Risk” in this “Item 5 A Operating and Financial Review and Prospects—Operating Results” and to Note 16, “Financial Risk Management”, for an analysis on our foreign currency exposure.</w:t>
      </w:r>
    </w:p>
    <w:p>
      <w:pPr>
        <w:spacing w:after="0" w:line="18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have built up inventories to support the commercialization of SKYTROFA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(lonapegsomatropin-tcgd) and prepare for European launch in 2023. In addition to commercial inventories, manufacturing of pre-launch inventories is initiated for late-stage product candidates and is recognized as inventories. However, since pre-launch inventories are not realizable prior to obtaining marketing approvals, pre-launch inventories are immediately written down to zero through research and development costs. If the marketing approval is obtained, write-downs of pre-launch inventories will be reversed through research and development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w:t>
      </w:r>
    </w:p>
    <w:p>
      <w:pPr>
        <w:spacing w:after="0" w:line="12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Company’s capital structure comprises equity in form of issued capital, reserves, and convertible senior notes (“convertible notes”), which we issued for the first time in March 2022. For further details, please refer to “Item 5 B Operating and Financial Review and Prospects—Liquidity and Capital Resources”.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shd w:val="clear" w:color="auto" w:fill="CFF0FC"/>
          </w:tcPr>
          <w:p>
            <w:pPr>
              <w:spacing w:after="0"/>
              <w:rPr>
                <w:sz w:val="21"/>
                <w:szCs w:val="21"/>
                <w:color w:val="auto"/>
              </w:rPr>
            </w:pPr>
          </w:p>
        </w:tc>
      </w:tr>
      <w:tr>
        <w:trPr>
          <w:trHeight w:val="23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Pr>
          <w:p>
            <w:pPr>
              <w:spacing w:after="0"/>
              <w:rPr>
                <w:sz w:val="20"/>
                <w:szCs w:val="20"/>
                <w:color w:val="auto"/>
              </w:rPr>
            </w:pP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39,037</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379,624</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295,867</w:t>
            </w:r>
          </w:p>
        </w:tc>
        <w:tc>
          <w:tcPr>
            <w:tcW w:w="100" w:type="dxa"/>
            <w:vAlign w:val="bottom"/>
          </w:tcPr>
          <w:p>
            <w:pPr>
              <w:spacing w:after="0"/>
              <w:rPr>
                <w:sz w:val="20"/>
                <w:szCs w:val="20"/>
                <w:color w:val="auto"/>
              </w:rPr>
            </w:pPr>
          </w:p>
        </w:tc>
      </w:tr>
      <w:tr>
        <w:trPr>
          <w:trHeight w:val="24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221,227</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9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3"/>
              </w:rPr>
              <w:t>(561,814 )</w:t>
            </w:r>
          </w:p>
        </w:tc>
        <w:tc>
          <w:tcPr>
            <w:tcW w:w="4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(451,792 )</w:t>
            </w: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of profit/(loss) in associate</w:t>
            </w:r>
          </w:p>
        </w:tc>
        <w:tc>
          <w:tcPr>
            <w:tcW w:w="9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2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shd w:val="clear" w:color="auto" w:fill="CFF0FC"/>
          </w:tcPr>
          <w:p>
            <w:pPr>
              <w:spacing w:after="0"/>
              <w:rPr>
                <w:sz w:val="20"/>
                <w:szCs w:val="20"/>
                <w:color w:val="auto"/>
              </w:rPr>
            </w:pPr>
          </w:p>
        </w:tc>
      </w:tr>
      <w:tr>
        <w:trPr>
          <w:trHeight w:val="23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59,718</w:t>
            </w:r>
          </w:p>
        </w:tc>
        <w:tc>
          <w:tcPr>
            <w:tcW w:w="100" w:type="dxa"/>
            <w:vAlign w:val="bottom"/>
          </w:tcPr>
          <w:p>
            <w:pPr>
              <w:spacing w:after="0"/>
              <w:rPr>
                <w:sz w:val="20"/>
                <w:szCs w:val="20"/>
                <w:color w:val="auto"/>
              </w:rPr>
            </w:pPr>
          </w:p>
        </w:tc>
      </w:tr>
      <w:tr>
        <w:trPr>
          <w:trHeight w:val="24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9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9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3"/>
              </w:rPr>
              <w:t>(577,817 )</w:t>
            </w:r>
          </w:p>
        </w:tc>
        <w:tc>
          <w:tcPr>
            <w:tcW w:w="4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(383,944 )</w:t>
            </w:r>
          </w:p>
        </w:tc>
      </w:tr>
      <w:tr>
        <w:trPr>
          <w:trHeight w:val="23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on profit/(loss) for the year</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2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year</w:t>
            </w:r>
          </w:p>
        </w:tc>
        <w:tc>
          <w:tcPr>
            <w:tcW w:w="940" w:type="dxa"/>
            <w:vAlign w:val="bottom"/>
          </w:tcPr>
          <w:p>
            <w:pPr>
              <w:spacing w:after="0"/>
              <w:rPr>
                <w:sz w:val="20"/>
                <w:szCs w:val="20"/>
                <w:color w:val="auto"/>
              </w:rPr>
            </w:pPr>
          </w:p>
        </w:tc>
        <w:tc>
          <w:tcPr>
            <w:tcW w:w="9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w w:val="93"/>
              </w:rPr>
              <w:t>(583,194 )</w:t>
            </w:r>
          </w:p>
        </w:tc>
        <w:tc>
          <w:tcPr>
            <w:tcW w:w="4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(383,577 )</w:t>
            </w:r>
          </w:p>
        </w:tc>
      </w:tr>
      <w:tr>
        <w:trPr>
          <w:trHeight w:val="20"/>
        </w:trPr>
        <w:tc>
          <w:tcPr>
            <w:tcW w:w="7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-1442720</wp:posOffset>
            </wp:positionV>
            <wp:extent cx="76835"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-1442720</wp:posOffset>
            </wp:positionV>
            <wp:extent cx="68580"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-1127125</wp:posOffset>
            </wp:positionV>
            <wp:extent cx="76835" cy="1708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-1127125</wp:posOffset>
            </wp:positionV>
            <wp:extent cx="68580" cy="1708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-494665</wp:posOffset>
            </wp:positionV>
            <wp:extent cx="76835" cy="1708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-494665</wp:posOffset>
            </wp:positionV>
            <wp:extent cx="68580" cy="1708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-170180</wp:posOffset>
            </wp:positionV>
            <wp:extent cx="76835" cy="1708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-170180</wp:posOffset>
            </wp:positionV>
            <wp:extent cx="68580" cy="1708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081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had a net loss of €583.2 million for the year ended December 31, 2022 compared to a net loss of €383.6 million for the year ended December 31, 2021. Our total equity was €263.3 million as of December 31, 2022, compared to €883.6 million as of December 31, 2021. Further details about our results of operations are described in the following sections.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for the years ended December 31, 2022 and December 31, 2021:</w:t>
      </w:r>
    </w:p>
    <w:p>
      <w:pPr>
        <w:spacing w:after="0" w:line="12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7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 of commercial products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FF0FC"/>
          </w:tcPr>
          <w:p>
            <w:pPr>
              <w:spacing w:after="0"/>
              <w:rPr>
                <w:sz w:val="21"/>
                <w:szCs w:val="21"/>
                <w:color w:val="auto"/>
              </w:rPr>
            </w:pP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Rendering of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r>
      <w:tr>
        <w:trPr>
          <w:trHeight w:val="246"/>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 of clinical supply</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shd w:val="clear" w:color="auto" w:fill="CFF0FC"/>
          </w:tcPr>
          <w:p>
            <w:pPr>
              <w:spacing w:after="0"/>
              <w:rPr>
                <w:sz w:val="21"/>
                <w:szCs w:val="21"/>
                <w:color w:val="auto"/>
              </w:rPr>
            </w:pP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“Right-to-use” licenses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0"/>
                <w:szCs w:val="20"/>
                <w:color w:val="auto"/>
              </w:rPr>
            </w:pPr>
          </w:p>
        </w:tc>
      </w:tr>
      <w:tr>
        <w:trPr>
          <w:trHeight w:val="23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51,174</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Revenue for the year ended December 31, 2022 was €51.2 million, representing an increase of €43.4 million compared to the year ended December 31, 2021. This increase was primarily attributable to the full year impact of revenue from the commercial sale of SKYTROFA, which reached €35.7 million for the year ended December 31, 2022. Quarterly revenue from sale of commercial products since launch in October 2021, was: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268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8"/>
        </w:trPr>
        <w:tc>
          <w:tcPr>
            <w:tcW w:w="2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6"/>
        </w:trPr>
        <w:tc>
          <w:tcPr>
            <w:tcW w:w="2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 of commercial products</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4,435</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12,252</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17,084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-182880</wp:posOffset>
            </wp:positionV>
            <wp:extent cx="111125" cy="1962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19621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-182880</wp:posOffset>
            </wp:positionV>
            <wp:extent cx="111125" cy="1962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196215"/>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-182880</wp:posOffset>
            </wp:positionV>
            <wp:extent cx="111125" cy="1962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196215"/>
                    </a:xfrm>
                    <a:prstGeom prst="rect">
                      <a:avLst/>
                    </a:prstGeom>
                    <a:noFill/>
                  </pic:spPr>
                </pic:pic>
              </a:graphicData>
            </a:graphic>
          </wp:anchor>
        </w:drawing>
        <w:drawing>
          <wp:anchor simplePos="0" relativeHeight="251657728" behindDoc="1" locked="0" layoutInCell="0" allowOverlap="1">
            <wp:simplePos x="0" y="0"/>
            <wp:positionH relativeFrom="column">
              <wp:posOffset>5262880</wp:posOffset>
            </wp:positionH>
            <wp:positionV relativeFrom="paragraph">
              <wp:posOffset>-182880</wp:posOffset>
            </wp:positionV>
            <wp:extent cx="111125" cy="1962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196215"/>
                    </a:xfrm>
                    <a:prstGeom prst="rect">
                      <a:avLst/>
                    </a:prstGeom>
                    <a:noFill/>
                  </pic:spPr>
                </pic:pic>
              </a:graphicData>
            </a:graphic>
          </wp:anchor>
        </w:drawing>
        <w:drawing>
          <wp:anchor simplePos="0" relativeHeight="251657728" behindDoc="1" locked="0" layoutInCell="0" allowOverlap="1">
            <wp:simplePos x="0" y="0"/>
            <wp:positionH relativeFrom="column">
              <wp:posOffset>6176645</wp:posOffset>
            </wp:positionH>
            <wp:positionV relativeFrom="paragraph">
              <wp:posOffset>-182880</wp:posOffset>
            </wp:positionV>
            <wp:extent cx="102235" cy="1962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235" cy="19621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0"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Cost of sales for the year ended December 31, 2022 was €12.1 million, representing an increase of €8.6 million compared to the year ended December 31, 2021. This increase was primarily attributable to an increase in commercial products sold following the commercial launch of SKYTROFA in the U.S. in the fourth quarter of 2021. The increase in cost of sales was also due in part to clinical supply delivered to VISEN Pharmaceuticals (“VISEN”).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external project costs on the development pipeline and other R&amp;D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8"/>
        </w:trPr>
        <w:tc>
          <w:tcPr>
            <w:tcW w:w="7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0" w:type="dxa"/>
            <w:vAlign w:val="bottom"/>
          </w:tcPr>
          <w:p>
            <w:pPr>
              <w:spacing w:after="0"/>
              <w:rPr>
                <w:sz w:val="14"/>
                <w:szCs w:val="14"/>
                <w:color w:val="auto"/>
              </w:rPr>
            </w:pPr>
          </w:p>
        </w:tc>
      </w:tr>
      <w:tr>
        <w:trPr>
          <w:trHeight w:val="242"/>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External project costs</w:t>
            </w: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TransCon hGH</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65,658</w:t>
            </w:r>
          </w:p>
        </w:tc>
      </w:tr>
      <w:tr>
        <w:trPr>
          <w:trHeight w:val="246"/>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PTH</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41,537</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36,079</w:t>
            </w: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TransCon CNP</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35,728</w:t>
            </w:r>
          </w:p>
        </w:tc>
      </w:tr>
      <w:tr>
        <w:trPr>
          <w:trHeight w:val="246"/>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TransCon IL-2 ß/γ</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TransCon TLR7/8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w:t>
            </w:r>
          </w:p>
        </w:tc>
      </w:tr>
      <w:tr>
        <w:trPr>
          <w:trHeight w:val="24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project costs</w:t>
            </w:r>
          </w:p>
        </w:tc>
        <w:tc>
          <w:tcPr>
            <w:tcW w:w="10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external project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225,089</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163,765</w:t>
            </w:r>
          </w:p>
        </w:tc>
      </w:tr>
      <w:tr>
        <w:trPr>
          <w:trHeight w:val="244"/>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research and development costs</w:t>
            </w: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119,904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106,558</w:t>
            </w:r>
          </w:p>
        </w:tc>
      </w:tr>
      <w:tr>
        <w:trPr>
          <w:trHeight w:val="246"/>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15,442</w:t>
            </w: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research and development costs</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154,535</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132,102</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379,624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-1109980</wp:posOffset>
            </wp:positionV>
            <wp:extent cx="111125"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-170180</wp:posOffset>
            </wp:positionV>
            <wp:extent cx="111125" cy="1708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170815"/>
                    </a:xfrm>
                    <a:prstGeom prst="rect">
                      <a:avLst/>
                    </a:prstGeom>
                    <a:noFill/>
                  </pic:spPr>
                </pic:pic>
              </a:graphicData>
            </a:graphic>
          </wp:anchor>
        </w:drawing>
      </w:r>
    </w:p>
    <w:p>
      <w:pPr>
        <w:spacing w:after="0" w:line="177"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The development of R&amp;D costs reflects the advancement of our pipeline of endocrinology and oncology, where we have multiple prodrug therapies in development.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3" w:name="page134"/>
    <w:bookmarkEnd w:id="133"/>
    <w:p>
      <w:pPr>
        <w:spacing w:after="0" w:line="259" w:lineRule="auto"/>
        <w:rPr>
          <w:sz w:val="20"/>
          <w:szCs w:val="20"/>
          <w:color w:val="auto"/>
        </w:rPr>
      </w:pPr>
      <w:r>
        <w:rPr>
          <w:rFonts w:ascii="Times New Roman" w:cs="Times New Roman" w:eastAsia="Times New Roman" w:hAnsi="Times New Roman"/>
          <w:sz w:val="18"/>
          <w:szCs w:val="18"/>
          <w:color w:val="auto"/>
        </w:rPr>
        <w:t>R&amp;D costs for the year ended December 31, 2022 was €379.6 million representing an increase of €83.8 million compared to the year ended December 31, 2021. This increase was primarily due to reversal of a write-down (income) of pre-launch inventories of €53.7 million in 2021, following receipt of the marketing approval for SKYTROFA on the U.S. market in August 2021. In addition, the increase was driven by manufacturing of pre-launch inventories for TransCon PTH with a total amount of €12.3 million and a general increase in employee and other costs attributable to organizational growth.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SG&amp;A expenses for the year ended December 31, 2022 was €221.2 million representing an increase of €61.0 million compared to the year ended December 31, 2021. This increase was primarily attributable to an increase in external commercial expenses following the launch of SKYTROFA in the U.S. of €21.3 million, and an increase in employee and other general and administrative expenses attributable to organizational growth of €39.0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 / (Loss) of Associate</w:t>
      </w:r>
    </w:p>
    <w:p>
      <w:pPr>
        <w:spacing w:after="0" w:line="1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Net loss of associate was €17.7 million for the year ended December 31, 2022, compared to a net profit of €12.0 million for the year ended December 31, 2021. For the year ended December 31, 2021, the net profit of associate comprised a non-cash gain of €42.3 million as a result of the Series B financing by VISEN in January 2021, and our share of loss of €30.3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Finance Expenses</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Finance income was affected by development in the U.S. Dollar compared to the Euro, where the strengthening of the U.S. Dollar remains the primary driver for the development in finance income. Finance expenses are significantly affected by convertible notes in form of interest and amortization charges. In addition, the conversion option embedded in the convertible notes is recognized and measured at fair value, where a non-cash fair value adjustment was recognized through finance expenses. Similarly, subsequent reporting periods may result in significant non-cash finance income or expenses. For further details, please refer to “Equity Risk” in section “Qualitative Disclosures about Market Risk” of this “Item 5 A Operating and Financial Review and Prospects—Operating Results” and Note 15, “Financial Assets and Financial Liabilities”.</w:t>
      </w:r>
    </w:p>
    <w:p>
      <w:pPr>
        <w:spacing w:after="0" w:line="187"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Finance income for the year ended December 31, 2022 was €52.2 million representing a decrease of €7.5 million compared to the year ended December 31, 2021. This decrease was primarily attributable to a decrease of €14.3 million in net foreign exchange currency gains, primarily driven by foreign exchange loss on convertible notes, partly offset by an increase in foreign exchange gain from cash, cash equivalents and marketable securities, denominated in U.S. Dollars. In addition, the decrease is partly offset by an increase of €6.7 million in interest income from marketable securities and bank deposits.</w:t>
      </w:r>
    </w:p>
    <w:p>
      <w:pPr>
        <w:spacing w:after="0" w:line="16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Finance expenses for the year ended December 31, 2022 was €50.5 million representing an increase of €46.6 million compared to the year ended December 31, 2021. This increase was primarily driven by interest and amortization charges on convertible notes of €25.9 million, remeasurement loss on derivative liabilities of €15.5 million and transaction costs of €4.2 million, which represents a portion of the total transaction costs attributable to the derivative component of the convertible notes financing in March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from COVID-19 Pandemic</w:t>
      </w:r>
    </w:p>
    <w:p>
      <w:pPr>
        <w:spacing w:after="0" w:line="120"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The COVID-19 pandemic has affected countries where we are operating, where we have planned or have ongoing clinical trials, and where we rely on third-parties to manufacture preclinical, clinical and commercial supply.</w:t>
      </w:r>
    </w:p>
    <w:p>
      <w:pPr>
        <w:spacing w:after="0" w:line="163"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While COVID-19 had an impact on how we work and conduct our activities, we have managed to avoid significant disruptions to our clinical and manufacturing operations.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34" w:name="page135"/>
    <w:bookmarkEnd w:id="134"/>
    <w:p>
      <w:pPr>
        <w:jc w:val="both"/>
        <w:spacing w:after="0" w:line="259" w:lineRule="auto"/>
        <w:rPr>
          <w:sz w:val="20"/>
          <w:szCs w:val="20"/>
          <w:color w:val="auto"/>
        </w:rPr>
      </w:pPr>
      <w:r>
        <w:rPr>
          <w:rFonts w:ascii="Times New Roman" w:cs="Times New Roman" w:eastAsia="Times New Roman" w:hAnsi="Times New Roman"/>
          <w:sz w:val="18"/>
          <w:szCs w:val="18"/>
          <w:color w:val="auto"/>
        </w:rPr>
        <w:t>As a result of governmental restrictions, field-based sales personnel primarily have worked under a remote engagement model with healthcare professionals and patient care organizations, and similarly, some patients have not been able to see their physicians. As restrictions cease, field-based sales personnel have begun in person engagements when interacting with healthcare professionals and patient care organizations, as well as patients having easier access to their physicians. The impact on the commercial product revenue is uncertain and difficult to quantify.</w:t>
      </w:r>
    </w:p>
    <w:p>
      <w:pPr>
        <w:spacing w:after="0" w:line="183"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monitor the risks from the pandemic closely, and work with relevant stakeholders to avoid and limit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description related to COVID-19 related risks, please refer to “Item 3 D. Key Information—Risk Factors”.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Judgements and Estimates</w:t>
      </w:r>
    </w:p>
    <w:p>
      <w:pPr>
        <w:spacing w:after="0" w:line="120"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International Financial Reporting Standards (“IFRS”), as issued by the International Accounting Standards Board (“IASB”), and as adopted by the European Union (“EU”). A description of critical accounting policies is provided in Note 2 “Summary of Significant Accounting Policies” and Note 3 “Significant Accounting Judgements and Estimates” in the audited consolidated financial statements as of and for the years ended December 31, 2022, 2021 and 2020, of this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judgements which have a material impact on the consolidated financial statements are described in the following sections.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 Generated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Drug Candidates</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187"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Estimation Uncertainties</w:t>
      </w:r>
    </w:p>
    <w:p>
      <w:pPr>
        <w:spacing w:after="0" w:line="120"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have a risk of causing a material adjustment to the carrying amounts of assets and liabilities within the next financial year, are described below.</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Provisions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Sales Rebates and Product Returns</w:t>
      </w:r>
    </w:p>
    <w:p>
      <w:pPr>
        <w:spacing w:after="0" w:line="118" w:lineRule="exact"/>
        <w:rPr>
          <w:sz w:val="20"/>
          <w:szCs w:val="20"/>
          <w:color w:val="auto"/>
        </w:rPr>
      </w:pPr>
    </w:p>
    <w:p>
      <w:pPr>
        <w:jc w:val="both"/>
        <w:ind w:right="620"/>
        <w:spacing w:after="0" w:line="265" w:lineRule="auto"/>
        <w:rPr>
          <w:sz w:val="20"/>
          <w:szCs w:val="20"/>
          <w:color w:val="auto"/>
        </w:rPr>
      </w:pPr>
      <w:r>
        <w:rPr>
          <w:rFonts w:ascii="Times New Roman" w:cs="Times New Roman" w:eastAsia="Times New Roman" w:hAnsi="Times New Roman"/>
          <w:sz w:val="18"/>
          <w:szCs w:val="18"/>
          <w:color w:val="auto"/>
        </w:rPr>
        <w:t>Sales deductions and product returns are considered variable consideration and constrained to the extent that a significant reversal in the amount of recognized revenue will not occur when the uncertainties associated with the rebate item are subsequently resolved, or for product returns, when the products are distributed to patients.</w:t>
      </w:r>
    </w:p>
    <w:p>
      <w:pPr>
        <w:spacing w:after="0" w:line="17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Provisions for unsettled sales deductions and product returns are estimated on the basis of a percentage of sales as defined by individual agreements and contracts, and for government rebates by individual state- and plan agreements. Further input in the calculations is based on payer channel mix, current contract prices under eligible programs, patient groups and current inventory levels in the distribution channels. Provisions are adjusted to absolute amounts and recognized as other liabilities when estimated sales rebates and returns are processed.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provisions for sales rebates and product returns was €7.3 million compared to €1.2 million, as of December 31, 2021.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Compensation Costs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IFRS 2, “Share-Based Payment” requires an entity to reflect in its consolidated statement of profit or loss and financial position, the effects of share-based payment transactions. Warrant compensation costs are recognized as cost of sales, research and development costs or selling, general and administrative expenses, as appropriate, over the vesting period, based on management’s best estimate of the number of warrants that will ultimately vest, which is subject to uncertainty.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Warrant compensation costs are measured according to the grant date fair values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expected forfeitures and expected lifetime of warrants.</w:t>
      </w:r>
    </w:p>
    <w:p>
      <w:pPr>
        <w:spacing w:after="0" w:line="18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2021, the Company has for the first time, in connection with determining the grant date fair value of warrants and accordingly, warrant compensation costs, applied the price of the Company’s ADSs, each representing one ordinary share of the Company, as input for expected volatility. Until December 31, 2020, the expected volatility was calculated using a simple average of daily historical data of comparable publicly traded companies, as the Company did not have sufficient data for the volatility of the Company’s own share price. Refer to Note 7, “Share-based Payment”, for additional details on the Company’s warrant program and option-pricing model input.</w:t>
      </w:r>
    </w:p>
    <w:p>
      <w:pPr>
        <w:spacing w:after="0" w:line="18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Warrant compensation cost recognized in the consolidated statement of profit or loss was €55.2 million, €66.1 million and €53.2 million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Accruals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Development Costs</w:t>
      </w:r>
    </w:p>
    <w:p>
      <w:pPr>
        <w:spacing w:after="0" w:line="11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Development of drug candidates requires significant resources, and establishment of long-term working relationships with CROs and CMOs. Work performed by CROs and CMOs and other suppliers often comprise deliveries for more than one reporting period, and where payment terms for contractual work do not necessarily reflect the stage of completion of the individual projects and activities. Accordingly, determination of the stage of completion for ongoing project activities include estimation uncertainties as future efforts to complete the specific activity may be difficult to predict.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6" w:name="page137"/>
    <w:bookmarkEnd w:id="136"/>
    <w:p>
      <w:pPr>
        <w:spacing w:after="0" w:line="257" w:lineRule="auto"/>
        <w:rPr>
          <w:sz w:val="20"/>
          <w:szCs w:val="20"/>
          <w:color w:val="auto"/>
        </w:rPr>
      </w:pPr>
      <w:r>
        <w:rPr>
          <w:rFonts w:ascii="Times New Roman" w:cs="Times New Roman" w:eastAsia="Times New Roman" w:hAnsi="Times New Roman"/>
          <w:sz w:val="18"/>
          <w:szCs w:val="18"/>
          <w:color w:val="auto"/>
        </w:rPr>
        <w:t>On each reporting date, all significant ongoing activities are reviewed to determine the stage of completion and compared to the invoices received. Accruals are recognized for individual projects where the stage of completion exceeds costs of invoices received. Similarly, prepayments are recognized for invoiced costs in excess of the stage of completion. The Company has implemented accrual calculation models and policies, to ensure that consistent accrual procedures are applied, which includes analyzing significant project stages and payment structures, comparing project milestones to planned performance, and revisiting prior periods estimates.</w:t>
      </w:r>
    </w:p>
    <w:p>
      <w:pPr>
        <w:spacing w:after="0" w:line="18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As of December 31, 2022, the consolidated statement of financial position included prepaid project costs of €4.4 million and accrued project costs of €38.0 million, compared to €8.0 million and €23.5 million, respectively, as of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Embedded Derivatives</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Foreign currency conversion options embedded in the convertible notes are accounted for separately as derivative liabilities at fair value through profit or loss.</w:t>
      </w:r>
    </w:p>
    <w:p>
      <w:pPr>
        <w:spacing w:after="0" w:line="16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 and accordingly, derivative liabilities are measured by use of valuation techniques in form of the Black-Scholes Option Pricing model. Subjective judgements and assumptions, which are subject to estimation uncertainties, need to be exercised in determining the appropriate unobservable input to the valuation model (Level 3 in the fair value hierarchy). This includes volatility of the Company’s share price for a historic period, reflecting the assumption that the historical volatility is indicative of a period similar to the expected lifetime of the options.</w:t>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As of December 31, 2022, the valuation of the derivative liabilities was €158.0 million compared to €142.5 million at initial recognition on March 2022. Changes in assumptions relating to these factors could affect the reported fair value of derivative liabilities. Refer to Note 15 “Financial Assets and Liabilities”, for additional details.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0"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Our activities expose us to the financial risks of changes in foreign currency exchange rates and interest rates. We do not enter into derivative financial instruments to manage our exposure to such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0"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We are exposed to foreign exchange risk arising from various currency exposures, primarily with respect to the U.S. Dollar. For 2022 and 2021, revenue from commercial sale of products is solely related to the U.S. market where consideration received is in U.S. Dollar. Similarly, a material portion of our operating expenses are denominated in U.S. Dollar.</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have received payments in U.S. Dollar under our collaborations and the proceeds from our Series D financing in November 2014, our IPO in February 2015 and our follow-on offerings, the latest being in September 2021, were in U.S. Dollar. In addition, in March 2022, we issued an aggregate principal amount of $575.0 million of fixed rate 2.25% convertible notes.</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seek to minimize our exchange rate risk by maintaining cash positions in the currencies in which we expect to incur the majority of our future expenses and we make payments from those positions. As required under IFRS, we perform an analysis and report on our foreign currency exposure on an annual basis. Please refer to Note 16, “Financial Risk Management”.</w:t>
      </w:r>
    </w:p>
    <w:p>
      <w:pPr>
        <w:spacing w:after="0" w:line="17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At December 31, 2022, the direct exposure from U.S. Dollar (U.S. Dollar monetary assets and liabilities held by non-U.S. Dollar entities) was €60.6 million, which primarily related to cash, cash equivalents and marketable securities, countered by convertible notes. A sensitivity analysis of our exposure to the U.S. Dollar based on outstanding foreign currency denominated monetary items as of December 31, 2022, shows that a strengthening of the U.S. Dollar against the Euro by 10% would increase profit or loss and equity before tax by €6.1 million.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A 10% weakening of the U.S. Dollar against the Euro would decrease profit or loss and equity before tax by a similar amount.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0"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Our outstanding convertible notes have a 2.25% fixed rate coupon. In addition, the interest rate on our lease liabilities is fixed at the lease commencement date. Future indebtedness, including those related to lease arrangements, if any, may be subject to higher interest rates. In addition, future interest income from interest-bearing bank deposits and marketable securities may fall short of expectations due to changes in interest rates.</w:t>
      </w:r>
    </w:p>
    <w:p>
      <w:pPr>
        <w:spacing w:after="0" w:line="175"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Derivative liabilities are measured at fair value through profit or loss. Since the fair value is exposed from the development in interest rates, the profit or loss is exposed to volatility from such development. For further details about our derivative liabilities, please refer to Note 15, “Financial Assets and Financial Liabilities”.</w:t>
      </w:r>
    </w:p>
    <w:p>
      <w:pPr>
        <w:spacing w:after="0" w:line="175"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effects of interest rate fluctuations are not considered a material risk to the Company’s financial position. Accordingly, no interest sensitivity analysis has been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we hold cash and cash equivalents, as well as rating and concentration limits for marketable securities held.</w:t>
      </w:r>
    </w:p>
    <w:p>
      <w:pPr>
        <w:spacing w:after="0" w:line="1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minimum credit-ratings of A3/A-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have been placed into primarily U.S. government bonds, treasury bills, corporate bonds, and agency bonds. Our investment policy, approved by the board of directors, only allows investment in marketable securities having investment grade credit-ratings, assigned by international credit-rating agencies. Accordingly, the risk from probability of default is low. On each reporting date, the risk of expected credit loss on bank deposits and marketable securities, including the hypothetical impact arising from the probability of default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specified by investment grade credit rating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60" w:type="dxa"/>
            <w:vAlign w:val="bottom"/>
          </w:tcPr>
          <w:p>
            <w:pPr>
              <w:spacing w:after="0"/>
              <w:rPr>
                <w:sz w:val="11"/>
                <w:szCs w:val="11"/>
                <w:color w:val="auto"/>
              </w:rPr>
            </w:pPr>
          </w:p>
        </w:tc>
        <w:tc>
          <w:tcPr>
            <w:tcW w:w="1140" w:type="dxa"/>
            <w:vAlign w:val="bottom"/>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1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80" w:type="dxa"/>
            <w:vAlign w:val="bottom"/>
          </w:tcPr>
          <w:p>
            <w:pPr>
              <w:jc w:val="right"/>
              <w:ind w:right="17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11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1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specified by investment grade</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credit rating</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grade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Upper medium grade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94,650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196,909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medium grade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343,358</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342,731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Risk</w:t>
      </w:r>
    </w:p>
    <w:p>
      <w:pPr>
        <w:spacing w:after="0" w:line="120" w:lineRule="exact"/>
        <w:rPr>
          <w:sz w:val="20"/>
          <w:szCs w:val="20"/>
          <w:color w:val="auto"/>
        </w:rPr>
      </w:pPr>
    </w:p>
    <w:p>
      <w:pPr>
        <w:ind w:left="5480" w:right="2140" w:hanging="5481"/>
        <w:spacing w:after="0" w:line="280" w:lineRule="auto"/>
        <w:rPr>
          <w:sz w:val="20"/>
          <w:szCs w:val="20"/>
          <w:color w:val="auto"/>
        </w:rPr>
      </w:pPr>
      <w:r>
        <w:rPr>
          <w:rFonts w:ascii="Times New Roman" w:cs="Times New Roman" w:eastAsia="Times New Roman" w:hAnsi="Times New Roman"/>
          <w:sz w:val="18"/>
          <w:szCs w:val="18"/>
          <w:color w:val="auto"/>
        </w:rPr>
        <w:t>We are exposed to equity risk from changes in the Company’s share price, when remeasuring derivative liabilities at fair value.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38" w:name="page139"/>
    <w:bookmarkEnd w:id="138"/>
    <w:p>
      <w:pPr>
        <w:ind w:right="360"/>
        <w:spacing w:after="0" w:line="280" w:lineRule="auto"/>
        <w:rPr>
          <w:sz w:val="20"/>
          <w:szCs w:val="20"/>
          <w:color w:val="auto"/>
        </w:rPr>
      </w:pPr>
      <w:r>
        <w:rPr>
          <w:rFonts w:ascii="Times New Roman" w:cs="Times New Roman" w:eastAsia="Times New Roman" w:hAnsi="Times New Roman"/>
          <w:sz w:val="18"/>
          <w:szCs w:val="18"/>
          <w:color w:val="auto"/>
        </w:rPr>
        <w:t>Derivative liabilities relate to the foreign currency conversion option embedded in the convertible notes and are measured at fair value through profit or loss.</w:t>
      </w:r>
    </w:p>
    <w:p>
      <w:pPr>
        <w:spacing w:after="0" w:line="16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 and accordingly, derivative liabilities are measured by using the Black-Scholes option pricing model, where the pricing is exposed from changes in the Company’s share price. Since the fair value is exposed to the Company's share price, the profit or loss is exposed to volatility from such development. For further details about our derivative liabilities and for sensitivity analysis, please refer to Note 15, "Financial Assets and Liabilities".</w:t>
      </w:r>
    </w:p>
    <w:p>
      <w:pPr>
        <w:spacing w:after="0" w:line="286"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and capital resources comprise cash, cash equivalents and marketable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these amounted to €742.9 million, and are specified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6"/>
        </w:trPr>
        <w:tc>
          <w:tcPr>
            <w:tcW w:w="7720" w:type="dxa"/>
            <w:vAlign w:val="bottom"/>
          </w:tcPr>
          <w:p>
            <w:pPr>
              <w:spacing w:after="0"/>
              <w:rPr>
                <w:sz w:val="16"/>
                <w:szCs w:val="16"/>
                <w:color w:val="auto"/>
              </w:rPr>
            </w:pPr>
          </w:p>
        </w:tc>
        <w:tc>
          <w:tcPr>
            <w:tcW w:w="16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168"/>
        </w:trPr>
        <w:tc>
          <w:tcPr>
            <w:tcW w:w="7720" w:type="dxa"/>
            <w:vAlign w:val="bottom"/>
          </w:tcPr>
          <w:p>
            <w:pPr>
              <w:spacing w:after="0"/>
              <w:rPr>
                <w:sz w:val="14"/>
                <w:szCs w:val="14"/>
                <w:color w:val="auto"/>
              </w:rPr>
            </w:pPr>
          </w:p>
        </w:tc>
        <w:tc>
          <w:tcPr>
            <w:tcW w:w="22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298,180</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295,843</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444,767</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444,767</w:t>
            </w:r>
          </w:p>
        </w:tc>
        <w:tc>
          <w:tcPr>
            <w:tcW w:w="100" w:type="dxa"/>
            <w:vAlign w:val="bottom"/>
          </w:tcPr>
          <w:p>
            <w:pPr>
              <w:spacing w:after="0"/>
              <w:rPr>
                <w:sz w:val="20"/>
                <w:szCs w:val="20"/>
                <w:color w:val="auto"/>
              </w:rPr>
            </w:pP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liquidity and capital resources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742,947</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740,610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in consolidated statement of financial position</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735,455</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733,409</w:t>
            </w:r>
          </w:p>
        </w:tc>
        <w:tc>
          <w:tcPr>
            <w:tcW w:w="100" w:type="dxa"/>
            <w:vAlign w:val="bottom"/>
          </w:tcPr>
          <w:p>
            <w:pPr>
              <w:spacing w:after="0"/>
              <w:rPr>
                <w:sz w:val="20"/>
                <w:szCs w:val="20"/>
                <w:color w:val="auto"/>
              </w:rPr>
            </w:pP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liquidity and capital resources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742,947</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740,610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-640080</wp:posOffset>
            </wp:positionV>
            <wp:extent cx="76835"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-640080</wp:posOffset>
            </wp:positionV>
            <wp:extent cx="6858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7"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As of December 31, 2022, marketable securities had a weighted average duration of 3.0 and 12.6 months, for current (i.e., those maturing within twelve months after the reporting date) and non-current positions, respectively. The entire portfolio of marketable securities (current and non-current) had a weighted average duration of 3.2 months.</w:t>
      </w:r>
    </w:p>
    <w:p>
      <w:pPr>
        <w:spacing w:after="0" w:line="17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issuance of preference shares, ordinary shares, including our initial public offering, follow-on offerings and exercise of warrants, convertible debt securities and payments to us made under collaboration agreements.</w:t>
      </w:r>
    </w:p>
    <w:p>
      <w:pPr>
        <w:spacing w:after="0" w:line="163"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 (all amounts disclosed after deducting underwriters’ commissions and transaction costs):</w:t>
      </w:r>
    </w:p>
    <w:p>
      <w:pPr>
        <w:spacing w:after="0" w:line="68" w:lineRule="exact"/>
        <w:rPr>
          <w:sz w:val="20"/>
          <w:szCs w:val="20"/>
          <w:color w:val="auto"/>
        </w:rPr>
      </w:pPr>
    </w:p>
    <w:p>
      <w:pPr>
        <w:ind w:left="1280" w:hanging="509"/>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with net proceeds of $127.1 million (or €116.6 million);</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with net proceeds of $145.2 million (or €123.1 million);</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with net proceeds of $242.5 million (or €198.6 million);</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with net proceeds of $539.4 million (or €480.3 million);</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with net proceeds of $654.6 million (or €580.5 million); and</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with net proceeds of $436.3 million (or €367.9 million).</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 March 2022, we issued an aggregate principal amount of $575.0 million of fixed rate 2.25% convertible notes. The net proceeds from the offering of the convertible notes were $557.9 million (€503.3 million), after deducting the initial purchasers’ discounts and commissions, and transaction costs. The convertible notes rank equally in right of payment with all future senior unsecured indebtedness and are redeemable by us no earlier than on or after April 7, 2025. Unless earlier converted or redeemed, the convertible notes will mature on April 1, 2028.</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39" w:name="page140"/>
    <w:bookmarkEnd w:id="139"/>
    <w:p>
      <w:pPr>
        <w:spacing w:after="0" w:line="280" w:lineRule="auto"/>
        <w:rPr>
          <w:sz w:val="20"/>
          <w:szCs w:val="20"/>
          <w:color w:val="auto"/>
        </w:rPr>
      </w:pPr>
      <w:r>
        <w:rPr>
          <w:rFonts w:ascii="Times New Roman" w:cs="Times New Roman" w:eastAsia="Times New Roman" w:hAnsi="Times New Roman"/>
          <w:sz w:val="18"/>
          <w:szCs w:val="18"/>
          <w:color w:val="auto"/>
        </w:rPr>
        <w:t>For further description of the convertible notes, and a maturity analysis (on an un-discounted basis) for non-derivative financial liabilities, recognized on the consolidated statement of financial position as of December 31, 2022, please refer to Note 15, “Financial Assets and Liabilities”.</w:t>
      </w:r>
    </w:p>
    <w:p>
      <w:pPr>
        <w:spacing w:after="0" w:line="16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We used $116.7 million (€105.3 million) of the net proceeds from the offering in March 2022 to repurchase 1,000,000 ADSs representing the Company’s ordinary shares. Our holding of treasury shares is disclosed in Note 16, “Financial Risk Management”.</w:t>
      </w:r>
    </w:p>
    <w:p>
      <w:pPr>
        <w:spacing w:after="0" w:line="16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expenditures primarily relate to research and development activities and selling, general and administrative activities to support our business, including our continued development of therapeutic areas within endocrinology and oncology, the commercialization of SKYTROFA and expenses made in anticipation of potential future product launches.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cash-forecasts to ensure sufficient cash reserves are available to settle liabilities as they fall due.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our cash requirements primarily relate to the following:</w:t>
      </w:r>
    </w:p>
    <w:p>
      <w:pPr>
        <w:spacing w:after="0" w:line="116" w:lineRule="exact"/>
        <w:rPr>
          <w:sz w:val="20"/>
          <w:szCs w:val="20"/>
          <w:color w:val="auto"/>
        </w:rPr>
      </w:pPr>
    </w:p>
    <w:p>
      <w:pPr>
        <w:ind w:left="1280" w:hanging="509"/>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 interest payments and potential repayment (April 1, 2028) of principal amount of convertible notes;</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obligations related to our office and research and development facilities;</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under our commercial supply agreements and related activities;</w:t>
      </w:r>
    </w:p>
    <w:p>
      <w:pPr>
        <w:spacing w:after="0" w:line="115"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related to clinical trials for our product candidates in clinical development.</w:t>
      </w:r>
    </w:p>
    <w:p>
      <w:pPr>
        <w:spacing w:after="0" w:line="22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Our cash requirements are determined in Euro applying foreign exchange rates at December 31, 2022. Accordingly, actual cash payments are exposed to development in foreign currencies, primarily with respect to the U.S. Dollar. Please refer to “Foreign Currency Risk” section under “Quantitative and Qualitative Disclosures about Market Risk”, above, and to Note 16, “Financial Risk Management”, for an analysis on our foreign currency exposure.</w:t>
      </w:r>
    </w:p>
    <w:p>
      <w:pPr>
        <w:spacing w:after="0" w:line="17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The convertible notes accrue interest at a rate of 2.25% per annum, payable semi-annually in arrears on April 1 and October 1 of each year, beginning on October 1, 2022. Unless earlier converted or redeemed, the convertible notes will mature on April 1, 2028. On an unconverted basis, short-term (payable within twelve months after the reporting date) and long-term (payable beyond twelve months after the reporting date) cash requirements (on an undiscounted basis) are €12.1 million and €593.7 million, respectively.</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At December 31, 2022, the length of leases varies from one to ten years, without considering optional extension periods. Our cash requirements for lease obligations (on an undiscounted basis) are €14.0 million and €114.8 million, on short-term and long-term, respectively. In February 2022 we entered into a facility lease in Germany with an enforceable lease term of 15 years, which is expected to commence in 2025. At December 31, 2022, when including the impact of this new lease in Germany, which is not recognized as lease liabilities in the consolidated statement of financial position at December 31, 2022, our short-term and long-term cash requirements for lease obligations (on an undiscounted basis) were expected to be €14.0 million and €185.0 million, respectively. In addition, our lease obligations establish ancillary contractual commitments in relation to utilities, maintenance, levies, and other services. Costs relating to those commitments are recognized as services are received. Further, we have commitments related to short-term leases and leases of low value assets, IT and facility related services, which are expensed as incurred.</w:t>
      </w:r>
    </w:p>
    <w:p>
      <w:pPr>
        <w:spacing w:after="0" w:line="18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have also entered into long-term commercial supply agreements, related to commercial manufacturing of SKYTROFA and manufacturing of pre-launch inventories related to TransCon PTH. Commercial supply agreements may include purchase obligations, usually determined on binding and non-binding supply forecasts, that are subject to continuous negotiation and adjustments according to individual contractual terms and conditions.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40" w:name="page141"/>
    <w:bookmarkEnd w:id="140"/>
    <w:p>
      <w:pPr>
        <w:ind w:right="560"/>
        <w:spacing w:after="0" w:line="280" w:lineRule="auto"/>
        <w:rPr>
          <w:sz w:val="20"/>
          <w:szCs w:val="20"/>
          <w:color w:val="auto"/>
        </w:rPr>
      </w:pPr>
      <w:r>
        <w:rPr>
          <w:rFonts w:ascii="Times New Roman" w:cs="Times New Roman" w:eastAsia="Times New Roman" w:hAnsi="Times New Roman"/>
          <w:sz w:val="18"/>
          <w:szCs w:val="18"/>
          <w:color w:val="auto"/>
        </w:rPr>
        <w:t>At December 31, 2022, our short-term and long-term cash requirements were €148.6 million and €49.7 million, respectively, excluding non-binding commitments for purchase of raw materials and intermediates used in the manufacturing process.</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As part of our ordinary activities, we engage third-party CROs to perform clinical trial activities, which primarily are studies for more than one year. We are not subject to contingent liabilities from potential milestone payments related to licensing of intellectual property.</w:t>
      </w:r>
    </w:p>
    <w:p>
      <w:pPr>
        <w:spacing w:after="0" w:line="16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or any holdings in variable interest entities. In addition, we are not aware of any significant legal claims or disputes.</w:t>
      </w:r>
    </w:p>
    <w:p>
      <w:pPr>
        <w:spacing w:after="0" w:line="16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are sufficient to meet our projected cash requirements for at least twelve months from the date of this annual report. However, our operating plan and actual cash requirements may change as a result of many factors. For example our future funding requirements will depend on many factors, including, but not limited to:</w:t>
      </w:r>
    </w:p>
    <w:p>
      <w:pPr>
        <w:spacing w:after="0" w:line="68" w:lineRule="exact"/>
        <w:rPr>
          <w:sz w:val="20"/>
          <w:szCs w:val="20"/>
          <w:color w:val="auto"/>
        </w:rPr>
      </w:pPr>
    </w:p>
    <w:p>
      <w:pPr>
        <w:ind w:left="1020" w:right="46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our products and product candidates, if approved, including the cost and timing of building our sales and marketing capabilities;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TransCon hGH and any future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coverage and reimbursement for our products and product candidates, if approved;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5"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payments which are due to us from customers and collaboration partners (if any), which in turn is impacted by the financial standing of any such customers and collaboration partners;</w:t>
      </w:r>
    </w:p>
    <w:p>
      <w:pPr>
        <w:spacing w:after="0" w:line="55" w:lineRule="exact"/>
        <w:rPr>
          <w:rFonts w:ascii="Times New Roman" w:cs="Times New Roman" w:eastAsia="Times New Roman" w:hAnsi="Times New Roman"/>
          <w:sz w:val="18"/>
          <w:szCs w:val="18"/>
          <w:color w:val="auto"/>
        </w:rPr>
      </w:pPr>
    </w:p>
    <w:p>
      <w:pPr>
        <w:ind w:left="1020" w:right="66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5" w:lineRule="exact"/>
        <w:rPr>
          <w:rFonts w:ascii="Times New Roman" w:cs="Times New Roman" w:eastAsia="Times New Roman" w:hAnsi="Times New Roman"/>
          <w:sz w:val="18"/>
          <w:szCs w:val="18"/>
          <w:color w:val="auto"/>
        </w:rPr>
      </w:pPr>
    </w:p>
    <w:p>
      <w:pPr>
        <w:ind w:left="1020" w:right="28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and the costs of post-marketing studies that could be required by regulatory authorities;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acquisition and in-licensing of other technologies, products or assets;</w:t>
      </w:r>
    </w:p>
    <w:p>
      <w:pPr>
        <w:spacing w:after="0" w:line="115" w:lineRule="exact"/>
        <w:rPr>
          <w:rFonts w:ascii="Times New Roman" w:cs="Times New Roman" w:eastAsia="Times New Roman" w:hAnsi="Times New Roman"/>
          <w:sz w:val="18"/>
          <w:szCs w:val="18"/>
          <w:color w:val="auto"/>
        </w:rPr>
      </w:pPr>
    </w:p>
    <w:p>
      <w:pPr>
        <w:ind w:left="1020" w:right="84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including further development of our TransCon technologies;</w:t>
      </w:r>
    </w:p>
    <w:p>
      <w:pPr>
        <w:spacing w:after="0" w:line="55" w:lineRule="exact"/>
        <w:rPr>
          <w:rFonts w:ascii="Times New Roman" w:cs="Times New Roman" w:eastAsia="Times New Roman" w:hAnsi="Times New Roman"/>
          <w:sz w:val="18"/>
          <w:szCs w:val="18"/>
          <w:color w:val="auto"/>
        </w:rPr>
      </w:pPr>
    </w:p>
    <w:p>
      <w:pPr>
        <w:ind w:left="1020" w:right="64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regulatory and commercial milestones resulting in the payment to us from collaboration partners of contractual milestone payments and the timing of receipt of such payments, if any;</w:t>
      </w:r>
    </w:p>
    <w:p>
      <w:pPr>
        <w:spacing w:after="0" w:line="55" w:lineRule="exact"/>
        <w:rPr>
          <w:rFonts w:ascii="Times New Roman" w:cs="Times New Roman" w:eastAsia="Times New Roman" w:hAnsi="Times New Roman"/>
          <w:sz w:val="18"/>
          <w:szCs w:val="18"/>
          <w:color w:val="auto"/>
        </w:rPr>
      </w:pPr>
    </w:p>
    <w:p>
      <w:pPr>
        <w:ind w:left="1020" w:right="28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the successful commercialization and co-promotion of our products and product candidates, if approved, and our efforts to develop and commercialize our other existing product candidates;</w:t>
      </w:r>
    </w:p>
    <w:p>
      <w:pPr>
        <w:spacing w:after="0" w:line="55" w:lineRule="exact"/>
        <w:rPr>
          <w:rFonts w:ascii="Times New Roman" w:cs="Times New Roman" w:eastAsia="Times New Roman" w:hAnsi="Times New Roman"/>
          <w:sz w:val="18"/>
          <w:szCs w:val="18"/>
          <w:color w:val="auto"/>
        </w:rPr>
      </w:pPr>
    </w:p>
    <w:p>
      <w:pPr>
        <w:ind w:left="1020" w:right="280" w:hanging="504"/>
        <w:spacing w:after="0" w:line="28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opportunities and patient populations for our products and product candidates, if approved, including with respect to TransCon PTH, and our ability to obtain market acceptance of our products and product candidates, if approved; and</w:t>
      </w:r>
    </w:p>
    <w:p>
      <w:pPr>
        <w:spacing w:after="0" w:line="55" w:lineRule="exact"/>
        <w:rPr>
          <w:rFonts w:ascii="Times New Roman" w:cs="Times New Roman" w:eastAsia="Times New Roman" w:hAnsi="Times New Roman"/>
          <w:sz w:val="18"/>
          <w:szCs w:val="18"/>
          <w:color w:val="auto"/>
        </w:rPr>
      </w:pPr>
    </w:p>
    <w:p>
      <w:pPr>
        <w:ind w:left="1020" w:right="200" w:hanging="504"/>
        <w:spacing w:after="0" w:line="256"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41" w:name="page142"/>
    <w:bookmarkEnd w:id="141"/>
    <w:p>
      <w:pPr>
        <w:ind w:right="40"/>
        <w:spacing w:after="0" w:line="265" w:lineRule="auto"/>
        <w:rPr>
          <w:sz w:val="20"/>
          <w:szCs w:val="20"/>
          <w:color w:val="auto"/>
        </w:rPr>
      </w:pPr>
      <w:r>
        <w:rPr>
          <w:rFonts w:ascii="Times New Roman" w:cs="Times New Roman" w:eastAsia="Times New Roman" w:hAnsi="Times New Roman"/>
          <w:sz w:val="18"/>
          <w:szCs w:val="18"/>
          <w:color w:val="auto"/>
        </w:rPr>
        <w:t>Additional funds may not be available if we need them or on terms that are acceptable to us, or at all. If adequate funds are not available to us on a timely basis, we may be required to delay, limit, scale back or cease our research and development and commercialization activities, preclinical studies and clinical trials.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2022 and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02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666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6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 (used in)</w:t>
            </w: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from/(used in) operating activities</w:t>
            </w:r>
          </w:p>
        </w:tc>
        <w:tc>
          <w:tcPr>
            <w:tcW w:w="15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(495,699 )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(417,649 )</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(78,050 )</w:t>
            </w:r>
          </w:p>
        </w:tc>
      </w:tr>
      <w:tr>
        <w:trPr>
          <w:trHeight w:val="24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from/(used in) investing activities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61,732</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(110,579 )</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172,311</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from/(used in) financing activities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396,773</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351,387</w:t>
            </w:r>
          </w:p>
        </w:tc>
        <w:tc>
          <w:tcPr>
            <w:tcW w:w="1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45,386</w:t>
            </w:r>
          </w:p>
        </w:tc>
        <w:tc>
          <w:tcPr>
            <w:tcW w:w="100" w:type="dxa"/>
            <w:vAlign w:val="bottom"/>
          </w:tcPr>
          <w:p>
            <w:pPr>
              <w:spacing w:after="0"/>
              <w:rPr>
                <w:sz w:val="20"/>
                <w:szCs w:val="20"/>
                <w:color w:val="auto"/>
              </w:rPr>
            </w:pPr>
          </w:p>
        </w:tc>
      </w:tr>
      <w:tr>
        <w:trPr>
          <w:trHeight w:val="238"/>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(37,194</w:t>
            </w:r>
          </w:p>
        </w:tc>
        <w:tc>
          <w:tcPr>
            <w:tcW w:w="220" w:type="dxa"/>
            <w:vAlign w:val="bottom"/>
            <w:tcBorders>
              <w:bottom w:val="single" w:sz="8" w:color="CFF0FC"/>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(176,841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139,647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5087620</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Operating Activities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Cash flows used in operating activities for the year ended December 31, 2022 was €495.7 million, representing an increase of €78.1 million compared to the year ended December 31, 2021. This increase was primarily attributable to increase in net loss for the year adjusted for non-operating financial income and expense, taxes, and non-cash items. Working capital items contributed positively to change in operating cash flows by €30.3 million, primarily due to higher increase in inventories in 2021 as compared to 2022, following the launch of SKYTROFA. In addition, change in operating cash flow was negatively impacted by higher interest payments of €7.5 million, primarily related to convertible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Investing Activities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 for the year ended December 31, 2022 was €61.7 million, compared to €110.6 million used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representing a decrease of €172.3 million in cash flows used in investing activities. This decrease was primarily attributable to:</w:t>
      </w:r>
    </w:p>
    <w:p>
      <w:pPr>
        <w:spacing w:after="0" w:line="97" w:lineRule="exact"/>
        <w:rPr>
          <w:sz w:val="20"/>
          <w:szCs w:val="20"/>
          <w:color w:val="auto"/>
        </w:rPr>
      </w:pPr>
    </w:p>
    <w:p>
      <w:pPr>
        <w:ind w:left="1020" w:hanging="504"/>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net settlements of marketable securities of €142.8 million in line with our liquidity management strategy;</w:t>
      </w:r>
    </w:p>
    <w:p>
      <w:pPr>
        <w:spacing w:after="0" w:line="115" w:lineRule="exact"/>
        <w:rPr>
          <w:rFonts w:ascii="Times New Roman" w:cs="Times New Roman" w:eastAsia="Times New Roman" w:hAnsi="Times New Roman"/>
          <w:sz w:val="18"/>
          <w:szCs w:val="18"/>
          <w:color w:val="auto"/>
        </w:rPr>
      </w:pPr>
    </w:p>
    <w:p>
      <w:pPr>
        <w:ind w:left="1020" w:right="20" w:hanging="504"/>
        <w:spacing w:after="0" w:line="280"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investments in property, plant and equipment of €9.2 million and receipt of reimbursements from leasehold improvements of €9.5 million in 2022. This was primarily related to leasehold improvements for our U.S. facilities, which were constructed in 2021;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investment in VISEN Pharmaceuticals of €10.2 million made in January 2021.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Financing Activities</w:t>
      </w:r>
    </w:p>
    <w:p>
      <w:pPr>
        <w:spacing w:after="0" w:line="120"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Cash flows from financing activities for the year ended December 31, 2022, was €396.8 million, representing an increase of €45.4 million compared to the year ended December 31, 2021. This increase was primarily attributable to proceeds from issuance of convertible notes net of offering expenses of €503.3 million compared to our follow-on public offering in September 2021 of €367.9 million, partly offset by acquisition of treasury shares of €105.3 million in March 2022.</w:t>
      </w:r>
    </w:p>
    <w:p>
      <w:pPr>
        <w:spacing w:after="0" w:line="286" w:lineRule="exact"/>
        <w:rPr>
          <w:sz w:val="20"/>
          <w:szCs w:val="20"/>
          <w:color w:val="auto"/>
        </w:rPr>
      </w:pPr>
    </w:p>
    <w:p>
      <w:pPr>
        <w:ind w:left="360" w:hanging="352"/>
        <w:spacing w:after="0"/>
        <w:tabs>
          <w:tab w:leader="none" w:pos="3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Developments, Patents and Licenses, etc.</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See “Item 4 B. Information on the Company—Business Overview” and “Item 5 A. Operating and Financial Review and Prospects – Operating Results— Financial Operations Overview—Research and Development Costs.”</w:t>
      </w:r>
    </w:p>
    <w:p>
      <w:pPr>
        <w:spacing w:after="0" w:line="266" w:lineRule="exact"/>
        <w:rPr>
          <w:sz w:val="20"/>
          <w:szCs w:val="20"/>
          <w:color w:val="auto"/>
        </w:rPr>
      </w:pPr>
    </w:p>
    <w:p>
      <w:pPr>
        <w:ind w:left="360" w:hanging="352"/>
        <w:spacing w:after="0"/>
        <w:tabs>
          <w:tab w:leader="none" w:pos="3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20" w:lineRule="exact"/>
        <w:rPr>
          <w:sz w:val="20"/>
          <w:szCs w:val="20"/>
          <w:color w:val="auto"/>
        </w:rPr>
      </w:pPr>
    </w:p>
    <w:p>
      <w:pPr>
        <w:ind w:left="5480" w:right="5160" w:hanging="5481"/>
        <w:spacing w:after="0" w:line="292" w:lineRule="auto"/>
        <w:rPr>
          <w:sz w:val="20"/>
          <w:szCs w:val="20"/>
          <w:color w:val="auto"/>
        </w:rPr>
      </w:pPr>
      <w:r>
        <w:rPr>
          <w:rFonts w:ascii="Times New Roman" w:cs="Times New Roman" w:eastAsia="Times New Roman" w:hAnsi="Times New Roman"/>
          <w:sz w:val="16"/>
          <w:szCs w:val="16"/>
          <w:color w:val="auto"/>
        </w:rPr>
        <w:t>See “Item 5 A. Operating and Financial Review and Prospects—Operating Results.”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83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42" w:name="page143"/>
    <w:bookmarkEnd w:id="142"/>
    <w:p>
      <w:pPr>
        <w:ind w:left="360" w:hanging="352"/>
        <w:spacing w:after="0"/>
        <w:tabs>
          <w:tab w:leader="none" w:pos="3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A. Operating and Financial Review and Prospects—Operating Results.”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6"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have a two-tier governance structure consisting of a board of directors and an executive board. The two bodies are separate; however, Jan Møller Mikkelsen, our President and Chief Executive Officer, is represented on both our board of directors and our executive board. Our executive board is supported by the other members of our senior management. Below is a summary of relevant information concerning our board of directors, executive board and senior management.</w:t>
      </w:r>
    </w:p>
    <w:p>
      <w:pPr>
        <w:spacing w:after="0" w:line="286" w:lineRule="exact"/>
        <w:rPr>
          <w:sz w:val="20"/>
          <w:szCs w:val="20"/>
          <w:color w:val="auto"/>
        </w:rPr>
      </w:pPr>
    </w:p>
    <w:p>
      <w:pPr>
        <w:ind w:right="518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Members of Our Board of Directors, Executive Board and Senior Management </w:t>
      </w:r>
      <w:r>
        <w:rPr>
          <w:rFonts w:ascii="Times New Roman" w:cs="Times New Roman" w:eastAsia="Times New Roman" w:hAnsi="Times New Roman"/>
          <w:sz w:val="18"/>
          <w:szCs w:val="18"/>
          <w:b w:val="1"/>
          <w:bCs w:val="1"/>
          <w:i w:val="1"/>
          <w:iCs w:val="1"/>
          <w:color w:val="auto"/>
        </w:rPr>
        <w:t>Board of Directors</w:t>
      </w:r>
    </w:p>
    <w:p>
      <w:pPr>
        <w:spacing w:after="0" w:line="1"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of our current board members and their respective ages as of the date of this annual report. Our board of directors is divided into two classes for purposes of election. One class is elected at each annual meeting of shareholders to serve for a two-year term. Our board of directors currently consists of seven members. All board members are eligible for re-election once their term expires.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of our board members is our registered office address at Tuborg Boulevard 12, DK-2900 Hellerup, Denmark.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of Board Member</w:t>
            </w:r>
          </w:p>
        </w:tc>
        <w:tc>
          <w:tcPr>
            <w:tcW w:w="1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3"/>
                <w:szCs w:val="13"/>
                <w:color w:val="auto"/>
              </w:rPr>
            </w:pPr>
          </w:p>
        </w:tc>
        <w:tc>
          <w:tcPr>
            <w:tcW w:w="554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Albert Cha, M.D., Ph.D.</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shd w:val="clear" w:color="auto" w:fill="CFF0FC"/>
          </w:tcPr>
          <w:p>
            <w:pPr>
              <w:spacing w:after="0"/>
              <w:rPr>
                <w:sz w:val="20"/>
                <w:szCs w:val="20"/>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Chairman and Board Member</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Bright</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4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Carl Fairey Jr.</w:t>
            </w:r>
          </w:p>
        </w:tc>
        <w:tc>
          <w:tcPr>
            <w:tcW w:w="10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shd w:val="clear" w:color="auto" w:fill="CFF0FC"/>
          </w:tcPr>
          <w:p>
            <w:pPr>
              <w:spacing w:after="0"/>
              <w:rPr>
                <w:sz w:val="21"/>
                <w:szCs w:val="21"/>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Lars Holtug</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4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Siham Imani</w:t>
            </w:r>
          </w:p>
        </w:tc>
        <w:tc>
          <w:tcPr>
            <w:tcW w:w="10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45</w:t>
            </w:r>
          </w:p>
        </w:tc>
        <w:tc>
          <w:tcPr>
            <w:tcW w:w="160" w:type="dxa"/>
            <w:vAlign w:val="bottom"/>
            <w:shd w:val="clear" w:color="auto" w:fill="CFF0FC"/>
          </w:tcPr>
          <w:p>
            <w:pPr>
              <w:spacing w:after="0"/>
              <w:rPr>
                <w:sz w:val="21"/>
                <w:szCs w:val="21"/>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Møller Mikkelsen</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Board Member</w:t>
            </w:r>
          </w:p>
        </w:tc>
        <w:tc>
          <w:tcPr>
            <w:tcW w:w="12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4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Rafaèle Tordjman, M.D., Ph.D.</w:t>
            </w:r>
          </w:p>
        </w:tc>
        <w:tc>
          <w:tcPr>
            <w:tcW w:w="10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160" w:type="dxa"/>
            <w:vAlign w:val="bottom"/>
            <w:shd w:val="clear" w:color="auto" w:fill="CFF0FC"/>
          </w:tcPr>
          <w:p>
            <w:pPr>
              <w:spacing w:after="0"/>
              <w:rPr>
                <w:sz w:val="21"/>
                <w:szCs w:val="21"/>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22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non-employee board members.</w:t>
      </w:r>
    </w:p>
    <w:p>
      <w:pPr>
        <w:spacing w:after="0" w:line="21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Albert Cha, M.D., Ph.D. </w:t>
      </w:r>
      <w:r>
        <w:rPr>
          <w:rFonts w:ascii="Times New Roman" w:cs="Times New Roman" w:eastAsia="Times New Roman" w:hAnsi="Times New Roman"/>
          <w:sz w:val="18"/>
          <w:szCs w:val="18"/>
          <w:color w:val="auto"/>
        </w:rPr>
        <w:t>has served as a member of our board of directors since November 2014 and as the Chairman of our board of directors since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Dr. Cha is a Managing Partner with Frazier Life Sciences. He previously was a managing partner at Vivo Capital LLC, a healthcare investment firm, where he has served in various positions, most recently as a managing partner. Dr. Cha currently serves as a member of the board of directors of KalVista Pharmaceuticals, Inc. In addition, Dr. Cha has previously served as a member of the board of directors of Aclaris Therapeutics, a publicly traded dermatology company, Sierra Oncology, Inc., a publicly traded oncology company, Biohaven Pharmaceutical Holding Company Ltd, a publicly traded clinical-stage biopharmaceutical company targeting neurological diseases and Menlo Therapeutics, Inc., a publicly traded late-stage biopharmaceutical company focused on the treatment of pruritus. Dr. Cha holds a B.S. and an M.S. from Stanford University and an M.D. and a Ph.D. from the University of California at Los Angeles.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3" w:name="page144"/>
    <w:bookmarkEnd w:id="143"/>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Lisa Bright </w:t>
      </w:r>
      <w:r>
        <w:rPr>
          <w:rFonts w:ascii="Times New Roman" w:cs="Times New Roman" w:eastAsia="Times New Roman" w:hAnsi="Times New Roman"/>
          <w:sz w:val="18"/>
          <w:szCs w:val="18"/>
          <w:color w:val="auto"/>
        </w:rPr>
        <w:t>has served as a member of our board of directors since April 2017. Ms. Bright has over 30 years of executive experience in global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and over five years’ experience serving as a member of the board of directors of a number of public and private companies. Ms. Bright is currently Chair of the board of Resolution Therapeutics Ltd, a biotechnology company, and a Non-Executive Director of Dechra Pharmaceuticals PLC, a veterinary pharmaceutical company, and Immedica Pharma AB, a pharmaceutical company. She is also an Advisor to Syncona Limited, an investment trust dedicated to life science investments, and DRI Capital, a private equity fund. Previously, she served as President International for Intercept Pharmaceuticals, Inc., a biopharmaceutical company, from July 2016 to January 2021, and from November 2014 to July 2016 as Chief Commercial and Corporate Affairs Officer and Senior Vice President, Head of EUCA. During her tenure at Intercept, Ms. Bright oversaw the development of the global launch of an orphan medicine in the United States and Europe, including building the commercial organization in the United States and establishing legal affiliates and teams across Europe and Canada. From 2008 to November 2014, Ms. Bright held various leadership positions at Gilead Sciences Ltd., a biopharmaceutical company, including Vice President, Head of Government Affairs, Europe, Asia, Middle East and Australasia, Vice President and Head of HCV Launch Planning, Vice President and Head of Northern Europe and General Manager, UK and Ireland. Prior to Gilead Sciences, Ms. Bright served in various positions of increasing responsibility at GlaxoSmithKline plc from 1997 to 2006 including Vice President Commercial Planning and Operations and Vice President General Manager NZ and Vice President Head of Sales, UK and Ireland. Prior to that, Ms. Bright also worked at Sanofi from 1992 to 1996 and GlaxoSmithKline from 1989 to 1992. Ms. Bright received her B.Sc. in Pharmacology from University College London, United Kingdom.</w:t>
      </w:r>
    </w:p>
    <w:p>
      <w:pPr>
        <w:spacing w:after="0" w:line="18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William Carl Fairey Jr. </w:t>
      </w:r>
      <w:r>
        <w:rPr>
          <w:rFonts w:ascii="Times New Roman" w:cs="Times New Roman" w:eastAsia="Times New Roman" w:hAnsi="Times New Roman"/>
          <w:sz w:val="18"/>
          <w:szCs w:val="18"/>
          <w:color w:val="auto"/>
        </w:rPr>
        <w:t>has served as a member of our board of directors since September 2022. Mr. Fairey currently serves as Executive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Respira Therapeutics, Inc., a clinical-stage company developing inhaled therapeutics for cardiopulmonary diseases, a position he has held since January 2022. Since August 2021, Mr. Fairey has also served as a director of both Mirum Pharmaceuticals, a publicly-traded biotechnology company developing therapies for rare liver diseases, and Lung Therapeutics, Inc., a private clinical-stage biopharmaceutical company. Prior to Respira, Mr. Fairey was Executive Vice President and Chief Commercial Officer of MyoKardia, Inc., a publicly-traded clinical-stage biopharmaceutical company, from January 2019 until November 2020 when the company was acquired by Bristol-Myers Squibb. From January 2018 until January 2019, Mr. Fairey served as Executive Vice President and Chief Operating Officer of ChemoCentryx, Inc., a publicly-traded biopharmaceutical company developing therapeutics to treat autoimmune diseases, inflammatory disorders and cancer, primarily focused on orphan and rare diseases. Before ChemoCentryx, between 2001 and 2017, Mr. Fairey served in various positions of increasing responsibility at Actelion Pharmaceuticals, including as President of Actelion’s U.S. division, as well as Vice President, Asia Pacific Region, Managing Director and Vice President, Australia Asia Pacific Region, President of Actelion Canada, and Vice President, US Sales and Managed Markets. Mr. Fairey began his pharmaceutical career as Business Director, Healthcare Management for the Parke-Davis Division of Warner-Lambert between 1988 and 2000. Mr. Fairey received a B.S. in Biology from the University of Oregon and an M.B.A. from Saint Mary’s College of California.</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Lars Holtug, M.Sc. </w:t>
      </w:r>
      <w:r>
        <w:rPr>
          <w:rFonts w:ascii="Times New Roman" w:cs="Times New Roman" w:eastAsia="Times New Roman" w:hAnsi="Times New Roman"/>
          <w:sz w:val="18"/>
          <w:szCs w:val="18"/>
          <w:color w:val="auto"/>
        </w:rPr>
        <w:t>has served as a member of our board of directors since November 2018. Mr. Holtug was a partner at PricewaterhouseCoopers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Statsautoriseret Revisionspartnerselskab (“PwC”) from 1993 to 2015. Mr. Holtug also currently serves as chairman of Gaming Investment A/S, a gaming solutions provider, and its eleven subsidiaries, and of MTI Caretag Invest A/S, a company investing in healthcare technology. Mr. Holtug also currently serves as a board member of Frida Forsikring Agentur A/S, Domus Forsikring A/S and Evaxion Biotech A/S, as well as the Audit Committee Chair of the board of Domus Forsikring A/S and Evaxion Biotech A/S. Previously, he was Chairman of PwC in Denmark from 2005 to 2009. From 2004 to 2015, Mr. Holtug was a member of the Danish Commercial Appeals Board (Erhvervsankenaevnet) and a board member of the Danish Company law association (Dansk Forening for Selskabsret). He was also a member of the Accounting Standards Board of the Federation of State Authorized Accountants in Denmark (Foreningen af Statsautoriserede Revisorer) from 1998 to 2002, and a member of the Auditing Standards Board from 1993 to 1998. Mr. Holtug holds an M.Sc. from Copenhagen Business School and is educated as a state authorized public accountant in Denmark.</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4" w:name="page145"/>
    <w:bookmarkEnd w:id="144"/>
    <w:p>
      <w:pPr>
        <w:ind w:right="1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Siham Imani </w:t>
      </w:r>
      <w:r>
        <w:rPr>
          <w:rFonts w:ascii="Times New Roman" w:cs="Times New Roman" w:eastAsia="Times New Roman" w:hAnsi="Times New Roman"/>
          <w:sz w:val="18"/>
          <w:szCs w:val="18"/>
          <w:color w:val="auto"/>
        </w:rPr>
        <w:t>has served as a member of our board of directors since September 2022. Ms. Imani currently serves as Executive Vice President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and Business Development of Servier, a global pharmaceutical group headquartered in France, a position she has held since April 2019. Prior to her current role, Ms. Imani was Servier’s Director of Corporate Strategy from April 2017 until April 2019. Before joining Servier, Ms. Imani held various positions of increasing responsibility at Ipsen, a French pharmaceutical company specializing in oncology, neuroscience and rare diseases, including Vice President European Business Unit Pediatric Endocrinology, Vice President Commercial Transformation &amp; Support, Vice President Corporate Strategic Planning and Executive Committee Secretary, and Corporate Strategic Planning Director, from 2011 until April 2017. Ms. Imani also served as Projects Director of Pierre Fabre Medicament, a French pharmaceutical company, from 2010 to 2011, and as Marketing and Clinical Manager and European Marketing Manager of Biosense Webster, part of the Johnson &amp; Johnson Family of Companies, from 2005 to 2010. Ms. Imani received a Master in Economics and a Master in Chemistry from École Polytechnique in Palaiseau, France and an M.B.A. from Stanford University.</w:t>
      </w:r>
    </w:p>
    <w:p>
      <w:pPr>
        <w:spacing w:after="0" w:line="18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Rafaèle Tordjman, M.D., Ph.D. </w:t>
      </w:r>
      <w:r>
        <w:rPr>
          <w:rFonts w:ascii="Times New Roman" w:cs="Times New Roman" w:eastAsia="Times New Roman" w:hAnsi="Times New Roman"/>
          <w:sz w:val="17"/>
          <w:szCs w:val="17"/>
          <w:color w:val="auto"/>
        </w:rPr>
        <w:t>has served as a member of our board of directors since November 2021, and previously served on our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2007 until 2017. In 2018, Dr. Tordjman founded Jeito Capital, an independent investment company dedicated to biopharma/biotech to establish a model of continuous financing and to invest in the next generation of leaders in medical innovation. Dr. Tordjman was a Special Advisor at Sofinnova Partners from 2001 until March 2017, where she also served as Managing Partner specializing in life sciences investments from January 2011 to February 2017. Dr. Tordjman currently serves as the Chairperson of the board of InnoSkel, a biotechnology company, and Alentis Therapeutics, a clinical-stage biopharmaceutical company. Dr. Tordjman has also served on the boards of directors at several life sciences companies, including ObsEva SA, a Nasdaq-listed biopharmaceutical company, NuCana plc, a Nasdaq-listed clinical-stage pharmaceutical company, DBV Technologies SA, a publicly traded company specializing in allergy therapies, Flexion Therapeutics, Inc., a publicly traded company in clinical-stage pharmaceuticals, PregLem, a company specializing in reproductive female medicine, Lysogene, a public biopharmaceutical company developing treatments against central nervous system and genetic diseases, Medday Pharmaceuticals, a French company specializing in therapies against neurodegenerative diseases, and ENYO Pharma SA, a clinical stage biopharmaceutical company. Previously, Dr. Tordjman was a research scientist at the Institut National de la Santé et de la Recherche Médicale (INSERM) in Cochin Hospital, Paris, France. Dr. Tordjman has also practiced as a medical doctor, specializing in clinical hematology and internal medicine. Dr. Tordjman received an M.D. and completed a fellowship in hematology and internal medicine at the Paris University Hospitals, France. She received a Ph.D. in hematopoiesis and angiogenesis from and completed a post-doctoral fellowship in immunology at the University of Paris VII.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136765" cy="183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765" cy="183515"/>
                    </a:xfrm>
                    <a:prstGeom prst="rect">
                      <a:avLst/>
                    </a:prstGeom>
                    <a:noFill/>
                  </pic:spPr>
                </pic:pic>
              </a:graphicData>
            </a:graphic>
          </wp:anchor>
        </w:drawing>
      </w:r>
    </w:p>
    <w:p>
      <w:pPr>
        <w:spacing w:after="0" w:line="15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Board Diversity Matrix (As of February 1, 2023)</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58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940" w:type="dxa"/>
            <w:vAlign w:val="bottom"/>
            <w:tcBorders>
              <w:top w:val="single" w:sz="8" w:color="auto"/>
              <w:bottom w:val="single" w:sz="8" w:color="auto"/>
              <w:right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Denmark</w:t>
            </w:r>
          </w:p>
        </w:tc>
        <w:tc>
          <w:tcPr>
            <w:tcW w:w="12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right w:val="single" w:sz="8" w:color="auto"/>
            </w:tcBorders>
          </w:tcPr>
          <w:p>
            <w:pPr>
              <w:spacing w:after="0"/>
              <w:rPr>
                <w:sz w:val="22"/>
                <w:szCs w:val="22"/>
                <w:color w:val="auto"/>
              </w:rPr>
            </w:pPr>
          </w:p>
        </w:tc>
      </w:tr>
      <w:tr>
        <w:trPr>
          <w:trHeight w:val="234"/>
        </w:trPr>
        <w:tc>
          <w:tcPr>
            <w:tcW w:w="4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Foreign Private Issuer</w:t>
            </w:r>
          </w:p>
        </w:tc>
        <w:tc>
          <w:tcPr>
            <w:tcW w:w="9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36"/>
        </w:trPr>
        <w:tc>
          <w:tcPr>
            <w:tcW w:w="4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9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36"/>
        </w:trPr>
        <w:tc>
          <w:tcPr>
            <w:tcW w:w="4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9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04"/>
        </w:trPr>
        <w:tc>
          <w:tcPr>
            <w:tcW w:w="4580" w:type="dxa"/>
            <w:vAlign w:val="bottom"/>
            <w:tcBorders>
              <w:left w:val="single" w:sz="8" w:color="auto"/>
            </w:tcBorders>
            <w:shd w:val="clear" w:color="auto" w:fill="D8D8D8"/>
          </w:tcPr>
          <w:p>
            <w:pPr>
              <w:spacing w:after="0"/>
              <w:rPr>
                <w:sz w:val="17"/>
                <w:szCs w:val="17"/>
                <w:color w:val="auto"/>
              </w:rPr>
            </w:pPr>
          </w:p>
        </w:tc>
        <w:tc>
          <w:tcPr>
            <w:tcW w:w="940" w:type="dxa"/>
            <w:vAlign w:val="bottom"/>
            <w:tcBorders>
              <w:right w:val="single" w:sz="8" w:color="auto"/>
            </w:tcBorders>
            <w:shd w:val="clear" w:color="auto" w:fill="D8D8D8"/>
          </w:tcPr>
          <w:p>
            <w:pPr>
              <w:spacing w:after="0"/>
              <w:rPr>
                <w:sz w:val="17"/>
                <w:szCs w:val="17"/>
                <w:color w:val="auto"/>
              </w:rPr>
            </w:pPr>
          </w:p>
        </w:tc>
        <w:tc>
          <w:tcPr>
            <w:tcW w:w="1560" w:type="dxa"/>
            <w:vAlign w:val="bottom"/>
            <w:tcBorders>
              <w:right w:val="single" w:sz="8" w:color="auto"/>
            </w:tcBorders>
            <w:shd w:val="clear" w:color="auto" w:fill="D8D8D8"/>
          </w:tcPr>
          <w:p>
            <w:pPr>
              <w:ind w:left="500"/>
              <w:spacing w:after="0" w:line="204" w:lineRule="exact"/>
              <w:rPr>
                <w:sz w:val="20"/>
                <w:szCs w:val="20"/>
                <w:color w:val="auto"/>
              </w:rPr>
            </w:pPr>
            <w:r>
              <w:rPr>
                <w:rFonts w:ascii="Times New Roman" w:cs="Times New Roman" w:eastAsia="Times New Roman" w:hAnsi="Times New Roman"/>
                <w:sz w:val="18"/>
                <w:szCs w:val="18"/>
                <w:b w:val="1"/>
                <w:bCs w:val="1"/>
                <w:color w:val="auto"/>
              </w:rPr>
              <w:t>Female</w:t>
            </w:r>
          </w:p>
        </w:tc>
        <w:tc>
          <w:tcPr>
            <w:tcW w:w="1220" w:type="dxa"/>
            <w:vAlign w:val="bottom"/>
            <w:tcBorders>
              <w:right w:val="single" w:sz="8" w:color="auto"/>
            </w:tcBorders>
            <w:shd w:val="clear" w:color="auto" w:fill="D8D8D8"/>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7"/>
              </w:rPr>
              <w:t>Male</w:t>
            </w:r>
          </w:p>
        </w:tc>
        <w:tc>
          <w:tcPr>
            <w:tcW w:w="1340" w:type="dxa"/>
            <w:vAlign w:val="bottom"/>
            <w:tcBorders>
              <w:right w:val="single" w:sz="8" w:color="auto"/>
            </w:tcBorders>
            <w:shd w:val="clear" w:color="auto" w:fill="D8D8D8"/>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600" w:type="dxa"/>
            <w:vAlign w:val="bottom"/>
            <w:tcBorders>
              <w:right w:val="single" w:sz="8" w:color="auto"/>
            </w:tcBorders>
            <w:shd w:val="clear" w:color="auto" w:fill="D8D8D8"/>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15"/>
        </w:trPr>
        <w:tc>
          <w:tcPr>
            <w:tcW w:w="4580" w:type="dxa"/>
            <w:vAlign w:val="bottom"/>
            <w:tcBorders>
              <w:left w:val="single" w:sz="8" w:color="auto"/>
            </w:tcBorders>
            <w:shd w:val="clear" w:color="auto" w:fill="D8D8D8"/>
          </w:tcPr>
          <w:p>
            <w:pPr>
              <w:spacing w:after="0"/>
              <w:rPr>
                <w:sz w:val="18"/>
                <w:szCs w:val="18"/>
                <w:color w:val="auto"/>
              </w:rPr>
            </w:pPr>
          </w:p>
        </w:tc>
        <w:tc>
          <w:tcPr>
            <w:tcW w:w="940" w:type="dxa"/>
            <w:vAlign w:val="bottom"/>
            <w:tcBorders>
              <w:right w:val="single" w:sz="8" w:color="auto"/>
            </w:tcBorders>
            <w:shd w:val="clear" w:color="auto" w:fill="D8D8D8"/>
          </w:tcPr>
          <w:p>
            <w:pPr>
              <w:spacing w:after="0"/>
              <w:rPr>
                <w:sz w:val="18"/>
                <w:szCs w:val="18"/>
                <w:color w:val="auto"/>
              </w:rPr>
            </w:pPr>
          </w:p>
        </w:tc>
        <w:tc>
          <w:tcPr>
            <w:tcW w:w="1560" w:type="dxa"/>
            <w:vAlign w:val="bottom"/>
            <w:tcBorders>
              <w:right w:val="single" w:sz="8" w:color="auto"/>
            </w:tcBorders>
            <w:shd w:val="clear" w:color="auto" w:fill="D8D8D8"/>
          </w:tcPr>
          <w:p>
            <w:pPr>
              <w:spacing w:after="0"/>
              <w:rPr>
                <w:sz w:val="18"/>
                <w:szCs w:val="18"/>
                <w:color w:val="auto"/>
              </w:rPr>
            </w:pPr>
          </w:p>
        </w:tc>
        <w:tc>
          <w:tcPr>
            <w:tcW w:w="1220" w:type="dxa"/>
            <w:vAlign w:val="bottom"/>
            <w:tcBorders>
              <w:right w:val="single" w:sz="8" w:color="auto"/>
            </w:tcBorders>
            <w:shd w:val="clear" w:color="auto" w:fill="D8D8D8"/>
          </w:tcPr>
          <w:p>
            <w:pPr>
              <w:spacing w:after="0"/>
              <w:rPr>
                <w:sz w:val="18"/>
                <w:szCs w:val="18"/>
                <w:color w:val="auto"/>
              </w:rPr>
            </w:pPr>
          </w:p>
        </w:tc>
        <w:tc>
          <w:tcPr>
            <w:tcW w:w="134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1600" w:type="dxa"/>
            <w:vAlign w:val="bottom"/>
            <w:tcBorders>
              <w:right w:val="single" w:sz="8" w:color="auto"/>
            </w:tcBorders>
            <w:shd w:val="clear" w:color="auto" w:fill="D8D8D8"/>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44"/>
        </w:trPr>
        <w:tc>
          <w:tcPr>
            <w:tcW w:w="4580" w:type="dxa"/>
            <w:vAlign w:val="bottom"/>
            <w:tcBorders>
              <w:left w:val="single" w:sz="8" w:color="auto"/>
              <w:bottom w:val="single" w:sz="8" w:color="auto"/>
            </w:tcBorders>
            <w:shd w:val="clear" w:color="auto" w:fill="D8D8D8"/>
          </w:tcPr>
          <w:p>
            <w:pPr>
              <w:spacing w:after="0"/>
              <w:rPr>
                <w:sz w:val="21"/>
                <w:szCs w:val="21"/>
                <w:color w:val="auto"/>
              </w:rPr>
            </w:pPr>
          </w:p>
        </w:tc>
        <w:tc>
          <w:tcPr>
            <w:tcW w:w="940" w:type="dxa"/>
            <w:vAlign w:val="bottom"/>
            <w:tcBorders>
              <w:bottom w:val="single" w:sz="8" w:color="auto"/>
              <w:right w:val="single" w:sz="8" w:color="auto"/>
            </w:tcBorders>
            <w:shd w:val="clear" w:color="auto" w:fill="D8D8D8"/>
          </w:tcPr>
          <w:p>
            <w:pPr>
              <w:spacing w:after="0"/>
              <w:rPr>
                <w:sz w:val="21"/>
                <w:szCs w:val="21"/>
                <w:color w:val="auto"/>
              </w:rPr>
            </w:pPr>
          </w:p>
        </w:tc>
        <w:tc>
          <w:tcPr>
            <w:tcW w:w="1560" w:type="dxa"/>
            <w:vAlign w:val="bottom"/>
            <w:tcBorders>
              <w:bottom w:val="single" w:sz="8" w:color="auto"/>
              <w:right w:val="single" w:sz="8" w:color="auto"/>
            </w:tcBorders>
            <w:shd w:val="clear" w:color="auto" w:fill="D8D8D8"/>
          </w:tcPr>
          <w:p>
            <w:pPr>
              <w:spacing w:after="0"/>
              <w:rPr>
                <w:sz w:val="21"/>
                <w:szCs w:val="21"/>
                <w:color w:val="auto"/>
              </w:rPr>
            </w:pPr>
          </w:p>
        </w:tc>
        <w:tc>
          <w:tcPr>
            <w:tcW w:w="1220" w:type="dxa"/>
            <w:vAlign w:val="bottom"/>
            <w:tcBorders>
              <w:bottom w:val="single" w:sz="8" w:color="auto"/>
              <w:right w:val="single" w:sz="8" w:color="auto"/>
            </w:tcBorders>
            <w:shd w:val="clear" w:color="auto" w:fill="D8D8D8"/>
          </w:tcPr>
          <w:p>
            <w:pPr>
              <w:spacing w:after="0"/>
              <w:rPr>
                <w:sz w:val="21"/>
                <w:szCs w:val="21"/>
                <w:color w:val="auto"/>
              </w:rPr>
            </w:pPr>
          </w:p>
        </w:tc>
        <w:tc>
          <w:tcPr>
            <w:tcW w:w="1340" w:type="dxa"/>
            <w:vAlign w:val="bottom"/>
            <w:tcBorders>
              <w:bottom w:val="single" w:sz="8" w:color="auto"/>
              <w:right w:val="single" w:sz="8" w:color="auto"/>
            </w:tcBorders>
            <w:shd w:val="clear" w:color="auto" w:fill="D8D8D8"/>
          </w:tcPr>
          <w:p>
            <w:pPr>
              <w:spacing w:after="0"/>
              <w:rPr>
                <w:sz w:val="21"/>
                <w:szCs w:val="21"/>
                <w:color w:val="auto"/>
              </w:rPr>
            </w:pPr>
          </w:p>
        </w:tc>
        <w:tc>
          <w:tcPr>
            <w:tcW w:w="160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40"/>
        </w:trPr>
        <w:tc>
          <w:tcPr>
            <w:tcW w:w="4580" w:type="dxa"/>
            <w:vAlign w:val="bottom"/>
            <w:tcBorders>
              <w:left w:val="single" w:sz="8" w:color="auto"/>
              <w:bottom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40" w:type="dxa"/>
            <w:vAlign w:val="bottom"/>
            <w:tcBorders>
              <w:bottom w:val="single" w:sz="8" w:color="auto"/>
              <w:right w:val="single" w:sz="8" w:color="auto"/>
            </w:tcBorders>
            <w:shd w:val="clear" w:color="auto" w:fill="D8D8D8"/>
          </w:tcPr>
          <w:p>
            <w:pPr>
              <w:spacing w:after="0"/>
              <w:rPr>
                <w:sz w:val="20"/>
                <w:szCs w:val="20"/>
                <w:color w:val="auto"/>
              </w:rPr>
            </w:pPr>
          </w:p>
        </w:tc>
        <w:tc>
          <w:tcPr>
            <w:tcW w:w="1560" w:type="dxa"/>
            <w:vAlign w:val="bottom"/>
            <w:tcBorders>
              <w:bottom w:val="single" w:sz="8" w:color="D8D8D8"/>
              <w:right w:val="single" w:sz="8" w:color="D8D8D8"/>
            </w:tcBorders>
            <w:shd w:val="clear" w:color="auto" w:fill="D8D8D8"/>
          </w:tcPr>
          <w:p>
            <w:pPr>
              <w:spacing w:after="0"/>
              <w:rPr>
                <w:sz w:val="20"/>
                <w:szCs w:val="20"/>
                <w:color w:val="auto"/>
              </w:rPr>
            </w:pPr>
          </w:p>
        </w:tc>
        <w:tc>
          <w:tcPr>
            <w:tcW w:w="1220" w:type="dxa"/>
            <w:vAlign w:val="bottom"/>
            <w:tcBorders>
              <w:bottom w:val="single" w:sz="8" w:color="D8D8D8"/>
              <w:right w:val="single" w:sz="8" w:color="D8D8D8"/>
            </w:tcBorders>
            <w:shd w:val="clear" w:color="auto" w:fill="D8D8D8"/>
          </w:tcPr>
          <w:p>
            <w:pPr>
              <w:spacing w:after="0"/>
              <w:rPr>
                <w:sz w:val="20"/>
                <w:szCs w:val="20"/>
                <w:color w:val="auto"/>
              </w:rPr>
            </w:pPr>
          </w:p>
        </w:tc>
        <w:tc>
          <w:tcPr>
            <w:tcW w:w="1340" w:type="dxa"/>
            <w:vAlign w:val="bottom"/>
            <w:tcBorders>
              <w:bottom w:val="single" w:sz="8" w:color="D8D8D8"/>
              <w:right w:val="single" w:sz="8" w:color="D8D8D8"/>
            </w:tcBorders>
            <w:shd w:val="clear" w:color="auto" w:fill="D8D8D8"/>
          </w:tcPr>
          <w:p>
            <w:pPr>
              <w:spacing w:after="0"/>
              <w:rPr>
                <w:sz w:val="20"/>
                <w:szCs w:val="20"/>
                <w:color w:val="auto"/>
              </w:rPr>
            </w:pPr>
          </w:p>
        </w:tc>
        <w:tc>
          <w:tcPr>
            <w:tcW w:w="1600" w:type="dxa"/>
            <w:vAlign w:val="bottom"/>
            <w:tcBorders>
              <w:bottom w:val="single" w:sz="8" w:color="D8D8D8"/>
              <w:right w:val="single" w:sz="8" w:color="D8D8D8"/>
            </w:tcBorders>
            <w:shd w:val="clear" w:color="auto" w:fill="D8D8D8"/>
          </w:tcPr>
          <w:p>
            <w:pPr>
              <w:spacing w:after="0"/>
              <w:rPr>
                <w:sz w:val="20"/>
                <w:szCs w:val="20"/>
                <w:color w:val="auto"/>
              </w:rPr>
            </w:pPr>
          </w:p>
        </w:tc>
      </w:tr>
      <w:tr>
        <w:trPr>
          <w:trHeight w:val="234"/>
        </w:trPr>
        <w:tc>
          <w:tcPr>
            <w:tcW w:w="4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9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38"/>
        </w:trPr>
        <w:tc>
          <w:tcPr>
            <w:tcW w:w="4580" w:type="dxa"/>
            <w:vAlign w:val="bottom"/>
            <w:tcBorders>
              <w:left w:val="single" w:sz="8" w:color="auto"/>
              <w:bottom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940" w:type="dxa"/>
            <w:vAlign w:val="bottom"/>
            <w:tcBorders>
              <w:bottom w:val="single" w:sz="8" w:color="auto"/>
              <w:right w:val="single" w:sz="8" w:color="D8D8D8"/>
            </w:tcBorders>
            <w:shd w:val="clear" w:color="auto" w:fill="D8D8D8"/>
          </w:tcPr>
          <w:p>
            <w:pPr>
              <w:spacing w:after="0"/>
              <w:rPr>
                <w:sz w:val="20"/>
                <w:szCs w:val="20"/>
                <w:color w:val="auto"/>
              </w:rPr>
            </w:pPr>
          </w:p>
        </w:tc>
        <w:tc>
          <w:tcPr>
            <w:tcW w:w="1560" w:type="dxa"/>
            <w:vAlign w:val="bottom"/>
            <w:tcBorders>
              <w:bottom w:val="single" w:sz="8" w:color="auto"/>
              <w:right w:val="single" w:sz="8" w:color="D8D8D8"/>
            </w:tcBorders>
            <w:shd w:val="clear" w:color="auto" w:fill="D8D8D8"/>
          </w:tcPr>
          <w:p>
            <w:pPr>
              <w:spacing w:after="0"/>
              <w:rPr>
                <w:sz w:val="20"/>
                <w:szCs w:val="20"/>
                <w:color w:val="auto"/>
              </w:rPr>
            </w:pPr>
          </w:p>
        </w:tc>
        <w:tc>
          <w:tcPr>
            <w:tcW w:w="1220" w:type="dxa"/>
            <w:vAlign w:val="bottom"/>
            <w:tcBorders>
              <w:bottom w:val="single" w:sz="8" w:color="auto"/>
              <w:right w:val="single" w:sz="8" w:color="D8D8D8"/>
            </w:tcBorders>
            <w:shd w:val="clear" w:color="auto" w:fill="D8D8D8"/>
          </w:tcPr>
          <w:p>
            <w:pPr>
              <w:spacing w:after="0"/>
              <w:rPr>
                <w:sz w:val="20"/>
                <w:szCs w:val="20"/>
                <w:color w:val="auto"/>
              </w:rPr>
            </w:pPr>
          </w:p>
        </w:tc>
        <w:tc>
          <w:tcPr>
            <w:tcW w:w="1340" w:type="dxa"/>
            <w:vAlign w:val="bottom"/>
            <w:tcBorders>
              <w:bottom w:val="single" w:sz="8" w:color="auto"/>
              <w:right w:val="single" w:sz="8" w:color="D8D8D8"/>
            </w:tcBorders>
            <w:shd w:val="clear" w:color="auto" w:fill="D8D8D8"/>
          </w:tcPr>
          <w:p>
            <w:pPr>
              <w:spacing w:after="0"/>
              <w:rPr>
                <w:sz w:val="20"/>
                <w:szCs w:val="20"/>
                <w:color w:val="auto"/>
              </w:rPr>
            </w:pPr>
          </w:p>
        </w:tc>
        <w:tc>
          <w:tcPr>
            <w:tcW w:w="1600" w:type="dxa"/>
            <w:vAlign w:val="bottom"/>
            <w:tcBorders>
              <w:bottom w:val="single" w:sz="8" w:color="auto"/>
              <w:right w:val="single" w:sz="8" w:color="auto"/>
            </w:tcBorders>
            <w:shd w:val="clear" w:color="auto" w:fill="D8D8D8"/>
          </w:tcPr>
          <w:p>
            <w:pPr>
              <w:spacing w:after="0"/>
              <w:rPr>
                <w:sz w:val="20"/>
                <w:szCs w:val="20"/>
                <w:color w:val="auto"/>
              </w:rPr>
            </w:pPr>
          </w:p>
        </w:tc>
      </w:tr>
      <w:tr>
        <w:trPr>
          <w:trHeight w:val="234"/>
        </w:trPr>
        <w:tc>
          <w:tcPr>
            <w:tcW w:w="4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Underrepresented Individual in Home Country</w:t>
            </w:r>
          </w:p>
        </w:tc>
        <w:tc>
          <w:tcPr>
            <w:tcW w:w="9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1</w:t>
            </w:r>
          </w:p>
        </w:tc>
        <w:tc>
          <w:tcPr>
            <w:tcW w:w="1600" w:type="dxa"/>
            <w:vAlign w:val="bottom"/>
            <w:tcBorders>
              <w:bottom w:val="single" w:sz="8" w:color="auto"/>
              <w:right w:val="single" w:sz="8" w:color="auto"/>
            </w:tcBorders>
          </w:tcPr>
          <w:p>
            <w:pPr>
              <w:spacing w:after="0"/>
              <w:rPr>
                <w:sz w:val="20"/>
                <w:szCs w:val="20"/>
                <w:color w:val="auto"/>
              </w:rPr>
            </w:pPr>
          </w:p>
        </w:tc>
      </w:tr>
      <w:tr>
        <w:trPr>
          <w:trHeight w:val="236"/>
        </w:trPr>
        <w:tc>
          <w:tcPr>
            <w:tcW w:w="4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LGBTQ+</w:t>
            </w:r>
          </w:p>
        </w:tc>
        <w:tc>
          <w:tcPr>
            <w:tcW w:w="9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0</w:t>
            </w:r>
          </w:p>
        </w:tc>
        <w:tc>
          <w:tcPr>
            <w:tcW w:w="1600" w:type="dxa"/>
            <w:vAlign w:val="bottom"/>
            <w:tcBorders>
              <w:bottom w:val="single" w:sz="8" w:color="auto"/>
              <w:right w:val="single" w:sz="8" w:color="auto"/>
            </w:tcBorders>
          </w:tcPr>
          <w:p>
            <w:pPr>
              <w:spacing w:after="0"/>
              <w:rPr>
                <w:sz w:val="20"/>
                <w:szCs w:val="20"/>
                <w:color w:val="auto"/>
              </w:rPr>
            </w:pPr>
          </w:p>
        </w:tc>
      </w:tr>
      <w:tr>
        <w:trPr>
          <w:trHeight w:val="236"/>
        </w:trPr>
        <w:tc>
          <w:tcPr>
            <w:tcW w:w="45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1</w:t>
            </w:r>
          </w:p>
        </w:tc>
        <w:tc>
          <w:tcPr>
            <w:tcW w:w="1600" w:type="dxa"/>
            <w:vAlign w:val="bottom"/>
            <w:tcBorders>
              <w:bottom w:val="single" w:sz="8" w:color="auto"/>
              <w:right w:val="single" w:sz="8" w:color="auto"/>
            </w:tcBorders>
          </w:tcPr>
          <w:p>
            <w:pPr>
              <w:spacing w:after="0"/>
              <w:rPr>
                <w:sz w:val="20"/>
                <w:szCs w:val="20"/>
                <w:color w:val="auto"/>
              </w:rPr>
            </w:pPr>
          </w:p>
        </w:tc>
      </w:tr>
      <w:tr>
        <w:trPr>
          <w:trHeight w:val="428"/>
        </w:trPr>
        <w:tc>
          <w:tcPr>
            <w:tcW w:w="4580" w:type="dxa"/>
            <w:vAlign w:val="bottom"/>
          </w:tcPr>
          <w:p>
            <w:pPr>
              <w:spacing w:after="0"/>
              <w:rPr>
                <w:sz w:val="24"/>
                <w:szCs w:val="24"/>
                <w:color w:val="auto"/>
              </w:rPr>
            </w:pPr>
          </w:p>
        </w:tc>
        <w:tc>
          <w:tcPr>
            <w:tcW w:w="250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4"/>
        </w:trPr>
        <w:tc>
          <w:tcPr>
            <w:tcW w:w="4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-1177925</wp:posOffset>
            </wp:positionV>
            <wp:extent cx="36302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3029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and Executive Board</w:t>
      </w:r>
    </w:p>
    <w:p>
      <w:pPr>
        <w:spacing w:after="0" w:line="120"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of the members of our senior management, their respective ages and their positions as of the date of this annual report. In addition to serving as members of our senior management, Mr. Mikkelsen, Mr. Smith, Mr. Wolff Jensen, and Ms. Sønderbjerg currently serve as the members of our executive board. The business address of these members of our senior management is our registered office address at Tuborg Boulevard 12, DK-2900 Hellerup, Denmark.</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728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 Møller Mikkelsen</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shd w:val="clear" w:color="auto" w:fill="CFF0FC"/>
          </w:tcPr>
          <w:p>
            <w:pPr>
              <w:spacing w:after="0"/>
              <w:rPr>
                <w:sz w:val="20"/>
                <w:szCs w:val="20"/>
                <w:color w:val="auto"/>
              </w:rPr>
            </w:pP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Board Member</w:t>
            </w: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Vibeke Miller Breinholt, Ph.D.</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Nonclinical Development and Bioanalysis</w:t>
            </w:r>
          </w:p>
        </w:tc>
      </w:tr>
      <w:tr>
        <w:trPr>
          <w:trHeight w:val="24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Flemming Steen Jensen</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shd w:val="clear" w:color="auto" w:fill="CFF0FC"/>
          </w:tcPr>
          <w:p>
            <w:pPr>
              <w:spacing w:after="0"/>
              <w:rPr>
                <w:sz w:val="21"/>
                <w:szCs w:val="21"/>
                <w:color w:val="auto"/>
              </w:rPr>
            </w:pP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Product Supply and Quality</w:t>
            </w: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Wolff Jensen, L.L.M.</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24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Sigurd Okkels, Ph.D.</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shd w:val="clear" w:color="auto" w:fill="CFF0FC"/>
          </w:tcPr>
          <w:p>
            <w:pPr>
              <w:spacing w:after="0"/>
              <w:rPr>
                <w:sz w:val="21"/>
                <w:szCs w:val="21"/>
                <w:color w:val="auto"/>
              </w:rPr>
            </w:pP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Product Development</w:t>
            </w: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Rasmussen</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 and Principal Accounting Officer</w:t>
            </w:r>
          </w:p>
        </w:tc>
      </w:tr>
      <w:tr>
        <w:trPr>
          <w:trHeight w:val="24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Stina Singel, M.D., Ph.D.</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49</w:t>
            </w:r>
          </w:p>
        </w:tc>
        <w:tc>
          <w:tcPr>
            <w:tcW w:w="160" w:type="dxa"/>
            <w:vAlign w:val="bottom"/>
            <w:shd w:val="clear" w:color="auto" w:fill="CFF0FC"/>
          </w:tcPr>
          <w:p>
            <w:pPr>
              <w:spacing w:after="0"/>
              <w:rPr>
                <w:sz w:val="21"/>
                <w:szCs w:val="21"/>
                <w:color w:val="auto"/>
              </w:rPr>
            </w:pP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Head of Clinical Development, Oncology</w:t>
            </w: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T. Smith</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49</w:t>
            </w:r>
          </w:p>
        </w:tc>
        <w:tc>
          <w:tcPr>
            <w:tcW w:w="16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4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Lotte Sønderbjerg</w:t>
            </w: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shd w:val="clear" w:color="auto" w:fill="CFF0FC"/>
          </w:tcPr>
          <w:p>
            <w:pPr>
              <w:spacing w:after="0"/>
              <w:rPr>
                <w:sz w:val="21"/>
                <w:szCs w:val="21"/>
                <w:color w:val="auto"/>
              </w:rPr>
            </w:pP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Administrative Officer</w:t>
            </w: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Kennett Sprogøe, Ph.D.</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44</w:t>
            </w:r>
          </w:p>
        </w:tc>
        <w:tc>
          <w:tcPr>
            <w:tcW w:w="16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Head of Innovation and Research</w:t>
            </w:r>
          </w:p>
        </w:tc>
      </w:tr>
      <w:tr>
        <w:trPr>
          <w:trHeight w:val="21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Birgitte Volck, M.D., Ph.D.</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Head of Clinical Development and Medical Affairs, Endocrinology Rare</w:t>
            </w:r>
          </w:p>
        </w:tc>
      </w:tr>
      <w:tr>
        <w:trPr>
          <w:trHeight w:val="247"/>
        </w:trPr>
        <w:tc>
          <w:tcPr>
            <w:tcW w:w="30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shd w:val="clear" w:color="auto" w:fill="CFF0FC"/>
          </w:tcPr>
          <w:p>
            <w:pPr>
              <w:spacing w:after="0"/>
              <w:rPr>
                <w:sz w:val="21"/>
                <w:szCs w:val="21"/>
                <w:color w:val="auto"/>
              </w:rPr>
            </w:pP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Diseases</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senior management and executive board.</w:t>
      </w:r>
    </w:p>
    <w:p>
      <w:pPr>
        <w:spacing w:after="0" w:line="2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 Møller Mikkelsen </w:t>
      </w:r>
      <w:r>
        <w:rPr>
          <w:rFonts w:ascii="Times New Roman" w:cs="Times New Roman" w:eastAsia="Times New Roman" w:hAnsi="Times New Roman"/>
          <w:sz w:val="18"/>
          <w:szCs w:val="18"/>
          <w:color w:val="auto"/>
        </w:rPr>
        <w:t>founded Ascendis Pharma and has served as President and Chief Executive Officer as well as Board member since December 2007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currently serves on the board of VISEN Pharmaceuticals and as Chairman of the board of Hummingbird Bioscience. From 2002 to 2006, Mr. Mikkelsen served as President and Chief Executive Officer of LifeCycle Pharma A/S, now Veloxis Pharmaceuticals A/S, which was a publicly traded biotechnology company. From 2000 to 2002, Mr. Mikkelsen was President of the Pharmaceutical Division of Maxygen, Inc. Prior to that, Mr. Mikkelsen co-founded ProFound Pharma A/S, a biopharmaceutical company that was later acquired by Maxygen, Inc., and at ProFound, he served as Co-Chief Executive Officer from 1999 to 2000. From 1988 to 1999, Mr. Mikkelsen held various positions at Novo Nordisk A/S, a global healthcare company, including Vice President of Protein Discovery. Mr. Mikkelsen currently serves as a member of the advisory board of Inspirion Delivery Technologies, a specialty pharmaceutical company. Mr. Mikkelsen received a Cand. Scient. degree in Biochemistry from the University of Odense, Denmark, and pursued his post-doctoral research at Children’s Hospital in Oakland, CA.</w:t>
      </w:r>
    </w:p>
    <w:p>
      <w:pPr>
        <w:spacing w:after="0" w:line="18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Vibeke Miller Breinholt, Ph.D. </w:t>
      </w:r>
      <w:r>
        <w:rPr>
          <w:rFonts w:ascii="Times New Roman" w:cs="Times New Roman" w:eastAsia="Times New Roman" w:hAnsi="Times New Roman"/>
          <w:sz w:val="18"/>
          <w:szCs w:val="18"/>
          <w:color w:val="auto"/>
        </w:rPr>
        <w:t>has served as our Executive Vice President of Nonclinical Development and Bioanalysis since January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our Senior Vice President of Nonclinical Development and Bioanalysis from January 2020 until January 2023 and as our Vice President of Nonclinical Development from January 2016 to January 2020. Dr. Breinholt has more than 15 years of experience within nonclinical development in the biopharmaceutical industry and more than seven years of experience in experimental cancer research. Prior to joining Ascendis, Dr. Breinholt served in roles of increasing responsibility at Novo Nordisk from November 2013 to December 2015, including serving as Head of Biopharm Toxicology and Safety Pharmacology, where she was responsible for overseeing more than 30 projects in early and late-stage development within diabetes, obesity, hemophilia and growth hormone deficiency. Prior to Novo Nordisk, she held positions of increasing responsibility at Genmab A/S from October 2007 to November 2013, ending her tenure as Senior Director of Preclinical Safety and Preclinical Regulatory Affairs. Dr. Breinholt began her industry career at Maxygen in October 2003, where she served as Head of Toxicology and Associate Director Regulatory affairs until October 2007. Dr. Breinholt received her M.S. and Ph.D. in Toxicology from Oregon State University within experimental cancer research and a B.S. in Bromatology from the Royal Veterinary and Agricultural University, Denmark. Dr. Breinholt also earned advanced diplomas in business administration and pharmaceutical regulatory affairs.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6" w:name="page147"/>
    <w:bookmarkEnd w:id="146"/>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Flemming Steen Jensen </w:t>
      </w:r>
      <w:r>
        <w:rPr>
          <w:rFonts w:ascii="Times New Roman" w:cs="Times New Roman" w:eastAsia="Times New Roman" w:hAnsi="Times New Roman"/>
          <w:sz w:val="18"/>
          <w:szCs w:val="18"/>
          <w:color w:val="auto"/>
        </w:rPr>
        <w:t>has served as our Executive Vice President, Product Supply and Quality since January 2023 and previously served as our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Product Supply and Quality from August 2015 until January 2023. Prior to this, Mr. Jensen served as Corporate Vice President for Global Pharma Consulting and Business Development and member of the management team at NNE Pharmaplan A/S, an engineering and consulting company (part of Novo Nordisk A/S), from October 2014 to July 2015. From 1999 to September 2014, Mr. Jensen served as Executive Vice President of Product Supply (Production, Supply Chain, Engineering and Maintenance, Business Improvements, Quality Assurance and Health, Safety and Environment) and member of the Board of Management of ALK-Abello A/S, a pharmaceutical company. From 1986 to 1999, Mr. Jensen held several management positions relating to development, manufacturing and engineering within Novo Nordisk A/S. Mr. Jensen is also a member of various boards of directors of companies in the life sciences industry. Mr. Jensen holds a M.Sc. in Pharmacy from the University of Copenhagen.</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Wolff Jensen, L.L.M. </w:t>
      </w:r>
      <w:r>
        <w:rPr>
          <w:rFonts w:ascii="Times New Roman" w:cs="Times New Roman" w:eastAsia="Times New Roman" w:hAnsi="Times New Roman"/>
          <w:sz w:val="18"/>
          <w:szCs w:val="18"/>
          <w:color w:val="auto"/>
        </w:rPr>
        <w:t>has served as our Executive Vice President, Chief Legal Officer since January 2023 and previously served as our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Chief Legal Officer from June 2013 until January 2023. Mr. Jensen also currently serves as Chairman of the board of VISEN Pharmaceuticals. In addition, Mr. Jensen served as Chairman of our board of directors from January 2008 to May 2021 and as our Acting Chief Financial Officer from May 2008 to June 2013. From October 2010 to June 2013, Mr. Jensen served as Senior Legal Advisor and Head of Partnerships (France) for the renewable business division of Dong Energy A/S, the Danish State-owned utility company. Prior to Ascendis Pharma, Mr. Jensen served as Executive Vice President &amp; Chief Financial Officer of LifeCycle Pharma, currently known as Veloxis Pharmaceuticals A/S, a publicly traded biotechnology company, from 2003 to 2008. Prior to joining Veloxis, Mr. Jensen served as Senior Vice President &amp; Chief Financial Officer of Genmab A/S, a publicly traded biotechnology company from 2000 to 2003. Mr. Jensen received an L.L.M. degree from the University of Copenhagen.</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Jens Sigurd Okkels, Ph.D. </w:t>
      </w:r>
      <w:r>
        <w:rPr>
          <w:rFonts w:ascii="Times New Roman" w:cs="Times New Roman" w:eastAsia="Times New Roman" w:hAnsi="Times New Roman"/>
          <w:sz w:val="18"/>
          <w:szCs w:val="18"/>
          <w:color w:val="auto"/>
        </w:rPr>
        <w:t>has served as our Executive Vice President of Product Development since January 2023 and previously served as our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of Product Development from April 2019 until January 2023. Most recently, Dr. Okkels led an independent consulting firm in the biopharmaceutical industry, Okkels Consulting, GmbH, from January 2018 until April 2019. Prior to this, from October 2011 until December 2017, he served as Vice President, Head of the Chemistry, Manufacturing and Controls Center in Europe at Takeda, where he was responsible for numerous projects at all stages of development, from preclinical and launch to life cycle management. Prior to his tenure at Takeda, Dr. Okkels held multiple VP roles at Nycomed, including Vice President of Technical Development, the Biologics Network and the International Pharmaceutical Affairs. Dr. Okkels also served as the Science and Technology Director at Maxygen after a merger with ProFound Pharma, a company which he co-founded in 1999. He launched his industry career at Novo Nordisk in 1992 after completing his postdoctoral training at the Royal Veterinary and Agricultural University (RVAU). Dr. Okkels received his Ph.D. in biochemistry and molecular biology from the RVAU in Copenhagen, Denmark.</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Peter Rasmussen </w:t>
      </w:r>
      <w:r>
        <w:rPr>
          <w:rFonts w:ascii="Times New Roman" w:cs="Times New Roman" w:eastAsia="Times New Roman" w:hAnsi="Times New Roman"/>
          <w:sz w:val="18"/>
          <w:szCs w:val="18"/>
          <w:color w:val="auto"/>
        </w:rPr>
        <w:t>has served as our Vice President, Finance and Principal Accounting Officer since March 2014 and served as our Principal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February 2016 to August 2016. Prior to joining Ascendis, Mr. Rasmussen worked as a financial consultant for Ascendis from October 2013 to March 2014. From June 2008 to August 2012, Mr. Rasmussen served as the Chief Financial Officer of AdvanDx, Inc., a privately held medical device company. From 2007 to 2008, prior to AdvanDx, Mr. Rasmussen served as Head of Finance at Veloxis Pharmaceuticals A/S. Mr. Rasmussen is a state-authorized public accountant in Denmark and received an M.Sc. in Business Economics and Auditing from Copenhagen Business School.</w:t>
      </w:r>
    </w:p>
    <w:p>
      <w:pPr>
        <w:spacing w:after="0" w:line="1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Stina Singel, M.D., Ph.D. </w:t>
      </w:r>
      <w:r>
        <w:rPr>
          <w:rFonts w:ascii="Times New Roman" w:cs="Times New Roman" w:eastAsia="Times New Roman" w:hAnsi="Times New Roman"/>
          <w:sz w:val="18"/>
          <w:szCs w:val="18"/>
          <w:color w:val="auto"/>
        </w:rPr>
        <w:t>has served as our Executive Vice President, Head of Clinical Development, Oncology, since January 2023 and previously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our Senior Vice President, Head of Clinical Development, Oncology, from January 2022 until January 2023 and as our Head of Clinical Development, Oncology, from May 2020 to January 2022. Prior to joining Ascendis, Dr. Singel served as Senior Vice President and Head of Clinical Development and Drug Safety at Nektar Therapeutics, a biopharmaceutical company, from April 2019 to May 2020. From March 2014 to April 2019, Dr. Singel held various positions of increasing responsibility at Genentech, a biotechnology company, ending her tenure as Senior Medical Director. From 2017 to 2019, Dr. Singel also served as an Adjunct Clinical Instructor at the Stanford University School of Medicine. Prior to Genentech, Dr. Singel was an Attending Physician and Clinical Translational Researcher focused on breast oncology at the University of Texas Southwestern Medical Center from 2010 to 2014 and was a Medical Oncologist at Washington Hematology Oncology, a community practice in Yakima, Washington, from 2008 to 2010.</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147" w:name="page148"/>
    <w:bookmarkEnd w:id="147"/>
    <w:p>
      <w:pPr>
        <w:spacing w:after="0" w:line="280" w:lineRule="auto"/>
        <w:rPr>
          <w:sz w:val="20"/>
          <w:szCs w:val="20"/>
          <w:color w:val="auto"/>
        </w:rPr>
      </w:pPr>
      <w:r>
        <w:rPr>
          <w:rFonts w:ascii="Times New Roman" w:cs="Times New Roman" w:eastAsia="Times New Roman" w:hAnsi="Times New Roman"/>
          <w:sz w:val="18"/>
          <w:szCs w:val="18"/>
          <w:color w:val="auto"/>
        </w:rPr>
        <w:t>Dr. Singel received her M.D. and Ph.D. degrees from the University of California, San Diego, where she also completed her internal medicine residency and medical oncology fellowship. She received her B.S. in Biology (magna cum laude) from Harvard University.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Scott T. Smith </w:t>
      </w:r>
      <w:r>
        <w:rPr>
          <w:rFonts w:ascii="Times New Roman" w:cs="Times New Roman" w:eastAsia="Times New Roman" w:hAnsi="Times New Roman"/>
          <w:sz w:val="18"/>
          <w:szCs w:val="18"/>
          <w:color w:val="auto"/>
        </w:rPr>
        <w:t>has served as our Executive Vice President and Chief Financial Officer since January 2023 and previously served as our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from August 2016 until January 2023. Previously, Mr. Smith served as Director of the Healthcare Investment Banking Group at Wedbush Securities, from 2012 to 2016, where he led the healthcare team, and, from 2009 to 2012, Mr. Smith served as a Managing Director at Wedbush. Prior to joining Wedbush, Mr. Smith served as a Director in the Global Healthcare Investment Banking Group at Merrill Lynch where he began his career in 1995. He has also worked in sales, marketing and strategy roles for various companies, including start-ups and a Fortune Global 500 company. Mr. Smith received his M.B.A. from the Stanford University Graduate School of Business and graduated magna cum laude with a B.A. in Economics/Accounting-Physics from Claremont McKenna College.</w:t>
      </w:r>
    </w:p>
    <w:p>
      <w:pPr>
        <w:spacing w:after="0" w:line="1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Lotte Sønderbjerg </w:t>
      </w:r>
      <w:r>
        <w:rPr>
          <w:rFonts w:ascii="Times New Roman" w:cs="Times New Roman" w:eastAsia="Times New Roman" w:hAnsi="Times New Roman"/>
          <w:sz w:val="18"/>
          <w:szCs w:val="18"/>
          <w:color w:val="auto"/>
        </w:rPr>
        <w:t>has served as our Executive Vice President, Chief Administrative Officer since January 2023 and previously served as our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Administrative Officer from December 2007 until January 2023. Mrs. Sønderbjerg is also Managing Director of Ascendis Pharma GmbH. Prior to joining Ascendis, Mrs. Sønderbjerg served as Senior Director of Human Resources and as Finance Director at Veloxis Pharmaceuticals A/S from 2003 to 2007. Prior to joining Veloxis Pharmaceuticals A/S, Mrs. Sønderbjerg served as Senior Director of Finance and Human Resources at Acadia Pharmaceuticals Inc., a publicly traded biotechnology company, from 1996 to 2003. Prior to her career in biotech, Mrs. Sønderbjerg was the Executive Secretary for the CEO and Board of Directors of Novo Nordisk A/S and PA to leading audit partner in PricewaterhouseCoopers LLP in Denmark. Mrs. Sønderbjerg received a Masters of Arts in International Business Communications from University of Aarhus.</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Kennett Sprogøe, Ph.D. </w:t>
      </w:r>
      <w:r>
        <w:rPr>
          <w:rFonts w:ascii="Times New Roman" w:cs="Times New Roman" w:eastAsia="Times New Roman" w:hAnsi="Times New Roman"/>
          <w:sz w:val="18"/>
          <w:szCs w:val="18"/>
          <w:color w:val="auto"/>
        </w:rPr>
        <w:t>has held positions of increasing responsibility at Ascendis Pharma since December 2007, including serving as our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Head of Innovation and Research since January 2023, Senior Vice President, Head of Innovation and Research from 2019 until January 2023, Senior Vice President of Product Innovation since January 2016 and Vice President Product Innovation since June 2014. Prior to joining Ascendis, Dr. Sprogøe conducted research at the University of Copenhagen, where he applied novel hyphenated screening technologies to expedite discovery of drug leads from natural sources. Dr. Sprogøe holds a Ph.D. in Natural Products Chemistry from the University of Copenhagen and a M.Sc. in Pharmacy from the Danish University of Pharmaceutical Sciences.</w:t>
      </w:r>
    </w:p>
    <w:p>
      <w:pPr>
        <w:spacing w:after="0" w:line="18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Birgitte Volck, M.D., Ph.D. </w:t>
      </w:r>
      <w:r>
        <w:rPr>
          <w:rFonts w:ascii="Times New Roman" w:cs="Times New Roman" w:eastAsia="Times New Roman" w:hAnsi="Times New Roman"/>
          <w:sz w:val="17"/>
          <w:szCs w:val="17"/>
          <w:color w:val="auto"/>
        </w:rPr>
        <w:t>has served as our Executive Vice President and Head of Clinical Development and Medical Affairs, Endocrinology Rare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Diseases, since January 2023 and previously served as our Senior Vice President and Head of Clinical Development and Medical Affairs, Endocrinology Rare Diseases from July 2021 until January 2023. She also previously served as a member of our board of directors from May 2016 until July 2021. Dr. Volck served as the President of Research and Development at Avrobio Inc., a clinical-stage biotechnology company, from December 2018 to October</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2020. From June 2016 to August 2018, Dr. Volck served as head of Research and Development, Rare Diseases for GlaxoSmithKline plc, a pharmaceutical company. From 2012 to 2016, Dr. Volck served as the Chief Medical Officer and Senior Vice President of Development at Swedish Orphan Biovitrum AB, a biopharmaceutical company. From 2007 to 2012, Dr. Volck held various positions at Amgen Inc., a biopharmaceutical company, including Executive Development Director, Bone, Neuroscience &amp; Inflammation. Prior to Amgen, from 2004 to 2007, Dr. Volck served as Nordic Medical Director and Project Director at Genzyme A/S, a biotechnology company. From 2001 to 2004, Dr. Volck served as Head of Clinical Development at Pharmexa, a biotechnology company. Since June 2019, Dr. Volck has served as a non-executive director at Soleno Therapeutics, Inc., a clinical-stage biopharmaceutical company. Since May 2021, Dr. Volck has served as a non-executive director at Nykode AS (formerly Vaccibody AS), a clinical-stage biopharmaceutical company. From May 2017 to June 2018, Dr. Volck served as a non-executive director for Wilson Therapeutics AB, a biotechnology company. From May 2016 to April 2019, Dr. Volck has served as a director for TFS International, a clinical research organization. Dr. Volck received her M.D. and Ph.D. degrees from Copenhagen University, Denmark.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8" w:name="page149"/>
    <w:bookmarkEnd w:id="148"/>
    <w:p>
      <w:pPr>
        <w:ind w:left="520" w:hanging="512"/>
        <w:spacing w:after="0"/>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Members of Our Board of Directors and Senior Management</w:t>
      </w:r>
    </w:p>
    <w:p>
      <w:pPr>
        <w:spacing w:after="0" w:line="1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During 2022, Dr. Cha received board fees in the amount of €93,775 for his membership on our board and €29,293 for his tenure on the remuneration committee and the partial year of tenure on the audit committee and the nominating and corporate governance committee, Dr. Healy received €21,313 for his membership on our board and €10,320 for his tenure on the nominating and corporate governance committee and the audit committee, which reflected his partial year of service on our board, Ms. Bright received €51,150 for her membership on our board and €23,337 for her tenure on the audit committee and the remuneration committee and her partial year of tenure on the nominating and corporate governance committee, Mr. Holtug received €51,150 for his membership on our board and €30,264 for his tenure on the audit committee and the remuneration committee, Dr. Tordjman received €51,150 for her membership on our board and €7,460 for her partial year of tenure on the nominating and corporate governance committee, Ms. Imani received €15,888 for her membership on our board and €1,792 for her tenure of the nominating and corporate governance committee, which reflected her partial year of service on our board, and Mr. Fairey received €15,888 for his membership on our board, which reflected his partial year of service on our board. Mr. Mikkelsen did not receive any separate compensation in respect of his service on the board. His compensation under our senior management compensation program is described below.</w:t>
      </w:r>
    </w:p>
    <w:p>
      <w:pPr>
        <w:spacing w:after="0" w:line="1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September 13, 2022, Ms. Imani and Mr. Fairey were each granted 9,160 warrants, in each case with an exercise price per share of $102.70 (€100.93) and an expiration date of September 13, 2032. The aggregate grant date fair value of the warrants granted to our board members in 2022 for their services as board members was €891,518.</w:t>
      </w:r>
    </w:p>
    <w:p>
      <w:pPr>
        <w:spacing w:after="0" w:line="17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primary objective of our senior management’s compensation program is to attract, motivate, reward and retain the managerial talent needed to achieve our business objectives. In addition, the compensation program is intended to compensate all employees at competitive market rates, while recognizing extraordinary accomplishments.</w:t>
      </w:r>
    </w:p>
    <w:p>
      <w:pPr>
        <w:spacing w:after="0" w:line="17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Compensation arrangements for our senior management have been designed to align a portion of their compensation with the achievement of our business objectives and growth strategy. Bonus payments for our senior management are determined with respect to a given year based on quantitative and qualitative goals set for our Company as a whole, as well as on an individual basis. Once the results of the year are known, bonus payments are determined at the discretion of our board and, with respect to senior management reporting to the CEO, in light of recommendations made by the CEO.</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aggregate compensation paid to our senior management who were employed by our company during 2022, consisting of Messrs. Mikkelsen, Smith, M. Jensen, Rasmussen, F. Jensen, and Høiland, Ms. Sønderbjerg and Drs. Sprogøe, Okkels, Punnonen, Breinholt, Pizzuti, Singel and Volck for the fiscal year ended December 31, 2022 was approximately €30.5 million. Mr. Høiland served as a member of our senior management until June 2022, and Dr. Punnonen and Dr. Pizzuti served as members of our senior management until June 2022 and September 2022, respectively. This amount consists of: (i) short-term employee benefits including salary and other in-kind benefits of approximately €6.7 million, (ii) bonuses of €3.2 million, (iii) share-based payments of approximately €20.3 million, and (iv) post-employment and other benefits of €0.3 million. Share-based payments reflect the 2022 expenses of warrants and RSUs granted in or before 2022. During 2022, no warrants or RSUs were granted to members of our senior management, as it was decided to change the time of yearly grants to the first quarter of 2023.</w:t>
      </w:r>
    </w:p>
    <w:p>
      <w:pPr>
        <w:spacing w:after="0" w:line="185"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The total amount set aside or accrued by us to provide pension, retirement or similar benefits for the members of our board of directors and members of senior management for the year ended December 31, 2022 was €0.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Agreements</w:t>
      </w:r>
    </w:p>
    <w:p>
      <w:pPr>
        <w:spacing w:after="0" w:line="12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We have entered into employment or service agreements with our senior management. The employment agreement with Mr. Mikkelsen contains a termination notice period of six months for a termination by Mr. Mikkelsen and twelve months for a termination by us. It also provides that during the 12-month period following a change of control (“change in control period”), we may only terminate Mr. Mikkelsen’s employment with 18 months’ notice. In addition, if during the change in control period, the position and responsibilities of Mr. Mikkelsen are changed (excluding insignificant changes), Mr. Mikkelsen will be entitled to regard his employment as having been terminated by us with twelve months’ notice.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9" w:name="page150"/>
    <w:bookmarkEnd w:id="149"/>
    <w:p>
      <w:pPr>
        <w:ind w:right="60"/>
        <w:spacing w:after="0" w:line="252" w:lineRule="auto"/>
        <w:rPr>
          <w:sz w:val="20"/>
          <w:szCs w:val="20"/>
          <w:color w:val="auto"/>
        </w:rPr>
      </w:pPr>
      <w:r>
        <w:rPr>
          <w:rFonts w:ascii="Times New Roman" w:cs="Times New Roman" w:eastAsia="Times New Roman" w:hAnsi="Times New Roman"/>
          <w:sz w:val="18"/>
          <w:szCs w:val="18"/>
          <w:color w:val="auto"/>
        </w:rPr>
        <w:t>The agreements with Messrs. M. Jensen and F. Jensen and Ms. Lotte Sønderbjerg contain a termination notice period of three months for a termination by the employee and six months for a termination by us (except that in the case of Ms. Sønderbjerg, the notice period may be no less than the notice required pursuant to the rules of the Danish Salaried Employees Act with the addition of two months). The agreement with Mr. Rasmussen contains a termination notice period of one month for a termination by the employee and three months for a termination by us (except that the notice period may be no less than the notice required pursuant to the rules of the Danish Salaried Employees Act). The agreement with Dr. Sprogøe contains a termination notice period of one month for a termination by the employee and six months for a termination by us. The agreements with Drs. Volck, Okkels and Breinholt provide that the notice period may be no less than the notice required pursuant to the rules of the Danish Salaried Employees Act, which is at any time mutually extended by both parties with two months’ notice to the end of a month, provided that the executive may terminate with one month’s notice in the case of certain conditions related to sickness. The agreement with Dr. Singel provides that the employment is at-will and may be terminated by either the executive or us at any time. The agreements with certain of the foregoing senior management contain post-termination non-competition covenants that generally may last for a period of twelve months post-termination and entitle the executives to their base salary, or portion thereof, during the period.</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agreement with Mr. Smith provides that the employment is at-will and may be terminated by either the executive or us at any time. However, the agreement with Mr. Smith provides that in the event the executive is terminated by us without “cause” or he resigns for “good reason” (as defined in the agreement), the executive will be eligible to receive continued base salary during a certain severance period following termination and continued healthcare coverage up until the end of the month in which the severance period ends. Such severance period commences on the date of termination and ends on the six-month anniversary of the date of termination. In addition, in the event of the executive’s termination due to disability, he will be eligible to receive continued base salary and healthcare coverage for 120 days following termination, and in the event of his death, we will pay his estate a lump sum amount equal to three months of his base salary.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Incentive Program</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December 31, 2022, our board of directors is authorized to issue an additional 1,959,496 warrants in the period ending May 29, 2027.</w:t>
      </w:r>
    </w:p>
    <w:p>
      <w:pPr>
        <w:spacing w:after="0" w:line="18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w:t>
      </w:r>
    </w:p>
    <w:p>
      <w:pPr>
        <w:spacing w:after="0" w:line="17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warrants granted under the program between December 2012 and until and including November 2021 generally vest 1/48th per month from the date of grant subject to continued service for employees, consultants and grants to board members. However, effective from December 2015, subsequent grants to board members vest 1/24th per month from the date of grant.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50" w:name="page151"/>
    <w:bookmarkEnd w:id="150"/>
    <w:p>
      <w:pPr>
        <w:ind w:right="180"/>
        <w:spacing w:after="0" w:line="254"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for warrants granted under the program as in effect since December 9, 2021, the following applies: 25% of the warrants granted to employees and consultants generally vest one year after the time of grant, and the remaining 75% of the warrants granted generally vest with 1/36 per month from one year after the time of grant. As regards warrants which board members are granted in connection with appointment, 25% of the warrants granted generally vest one year after the time of the grant (the initial grant after the board member’s accession), and the remaining 75% of the warrants granted generally vest with 1/36 per month from one year after the time of the grant. Regarding any subsequent grants of warrants to board members (“Subsequent Warrants”) 50% of the Subsequent Warrants generally vest one year after the time of such subsequent grant and the remaining 50% of the Subsequent Warrants shall generally vest with 1/12 per month from one year after the time of such subsequent grant. Warrants will generally cease vesting upon termination of service with respect to employees, consultants and board members.</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Vested warrants may be exercised during certain exercise periods each year. For 299,830 outstanding warrants, granted in the period 2012 to 2014, there are two annual exercise periods that continue for 21 days from and including the day after the publication of (i) the annual report notification—or if such notification is not published, the annual report—and (ii) our interim report (six-month report). For these warrants, the last exercise period is 21 days from and including the day after the publication of our interim report for the first half of 2023. For 15,732 outstanding warrants granted in connection with our preference D financing, there are four annual exercise periods that continue for 21 days following the day of publication of (i) our interim report (three-month report); (ii) the annual report notification—or if such notification is not published—the annual report; (iii) our interim report (six-month report); and</w:t>
      </w:r>
    </w:p>
    <w:p>
      <w:pPr>
        <w:spacing w:after="0" w:line="1" w:lineRule="exact"/>
        <w:rPr>
          <w:sz w:val="20"/>
          <w:szCs w:val="20"/>
          <w:color w:val="auto"/>
        </w:rPr>
      </w:pPr>
    </w:p>
    <w:p>
      <w:pPr>
        <w:ind w:right="120" w:firstLine="8"/>
        <w:spacing w:after="0" w:line="251" w:lineRule="auto"/>
        <w:tabs>
          <w:tab w:leader="none" w:pos="3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interim report (nine-month report). For these warrants, the last exercise period is 21 days following the publication of our interim report (nine-month report) in 2023. For 6,548,449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191"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The table below sets forth information regarding outstanding warrants held by those members of our board of directors and senior management who, assuming the exercise of warrants, beneficially own 1% or more of our total outstanding ordinary shares as of February 1, 2023.</w:t>
      </w:r>
    </w:p>
    <w:p>
      <w:pPr>
        <w:spacing w:after="0" w:line="73" w:lineRule="exact"/>
        <w:rPr>
          <w:sz w:val="20"/>
          <w:szCs w:val="20"/>
          <w:color w:val="auto"/>
        </w:rPr>
      </w:pPr>
    </w:p>
    <w:tbl>
      <w:tblPr>
        <w:tblLayout w:type="fixed"/>
        <w:tblInd w:w="450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Awards</w:t>
            </w: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35"/>
        </w:trPr>
        <w:tc>
          <w:tcPr>
            <w:tcW w:w="780" w:type="dxa"/>
            <w:vAlign w:val="bottom"/>
          </w:tcPr>
          <w:p>
            <w:pPr>
              <w:spacing w:after="0"/>
              <w:rPr>
                <w:sz w:val="11"/>
                <w:szCs w:val="11"/>
                <w:color w:val="auto"/>
              </w:rPr>
            </w:pPr>
          </w:p>
        </w:tc>
        <w:tc>
          <w:tcPr>
            <w:tcW w:w="14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6"/>
              </w:rPr>
              <w:t>granted and</w:t>
            </w:r>
          </w:p>
        </w:tc>
        <w:tc>
          <w:tcPr>
            <w:tcW w:w="18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35"/>
        </w:trPr>
        <w:tc>
          <w:tcPr>
            <w:tcW w:w="780" w:type="dxa"/>
            <w:vAlign w:val="bottom"/>
          </w:tcPr>
          <w:p>
            <w:pPr>
              <w:jc w:val="center"/>
              <w:ind w:right="302"/>
              <w:spacing w:after="0" w:line="134"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4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4"/>
              </w:rPr>
              <w:t>outstanding,</w:t>
            </w:r>
          </w:p>
        </w:tc>
        <w:tc>
          <w:tcPr>
            <w:tcW w:w="18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35"/>
        </w:trPr>
        <w:tc>
          <w:tcPr>
            <w:tcW w:w="780" w:type="dxa"/>
            <w:vAlign w:val="bottom"/>
          </w:tcPr>
          <w:p>
            <w:pPr>
              <w:jc w:val="center"/>
              <w:ind w:right="322"/>
              <w:spacing w:after="0" w:line="134" w:lineRule="exact"/>
              <w:rPr>
                <w:sz w:val="20"/>
                <w:szCs w:val="20"/>
                <w:color w:val="auto"/>
              </w:rPr>
            </w:pPr>
            <w:r>
              <w:rPr>
                <w:rFonts w:ascii="Times New Roman" w:cs="Times New Roman" w:eastAsia="Times New Roman" w:hAnsi="Times New Roman"/>
                <w:sz w:val="12"/>
                <w:szCs w:val="12"/>
                <w:b w:val="1"/>
                <w:bCs w:val="1"/>
                <w:color w:val="auto"/>
                <w:w w:val="99"/>
              </w:rPr>
              <w:t>granted</w:t>
            </w:r>
          </w:p>
        </w:tc>
        <w:tc>
          <w:tcPr>
            <w:tcW w:w="14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7"/>
              </w:rPr>
              <w:t>but unvested</w:t>
            </w:r>
          </w:p>
        </w:tc>
        <w:tc>
          <w:tcPr>
            <w:tcW w:w="1820" w:type="dxa"/>
            <w:vAlign w:val="bottom"/>
          </w:tcPr>
          <w:p>
            <w:pPr>
              <w:jc w:val="center"/>
              <w:ind w:right="482"/>
              <w:spacing w:after="0" w:line="134" w:lineRule="exact"/>
              <w:rPr>
                <w:sz w:val="20"/>
                <w:szCs w:val="20"/>
                <w:color w:val="auto"/>
              </w:rPr>
            </w:pPr>
            <w:r>
              <w:rPr>
                <w:rFonts w:ascii="Times New Roman" w:cs="Times New Roman" w:eastAsia="Times New Roman" w:hAnsi="Times New Roman"/>
                <w:sz w:val="12"/>
                <w:szCs w:val="12"/>
                <w:b w:val="1"/>
                <w:bCs w:val="1"/>
                <w:color w:val="auto"/>
                <w:w w:val="90"/>
              </w:rPr>
              <w:t>Award</w:t>
            </w:r>
          </w:p>
        </w:tc>
        <w:tc>
          <w:tcPr>
            <w:tcW w:w="1300" w:type="dxa"/>
            <w:vAlign w:val="bottom"/>
          </w:tcPr>
          <w:p>
            <w:pPr>
              <w:spacing w:after="0"/>
              <w:rPr>
                <w:sz w:val="11"/>
                <w:szCs w:val="11"/>
                <w:color w:val="auto"/>
              </w:rPr>
            </w:pPr>
          </w:p>
        </w:tc>
      </w:tr>
      <w:tr>
        <w:trPr>
          <w:trHeight w:val="149"/>
        </w:trPr>
        <w:tc>
          <w:tcPr>
            <w:tcW w:w="780" w:type="dxa"/>
            <w:vAlign w:val="bottom"/>
          </w:tcPr>
          <w:p>
            <w:pPr>
              <w:jc w:val="center"/>
              <w:ind w:right="322"/>
              <w:spacing w:after="0"/>
              <w:rPr>
                <w:sz w:val="20"/>
                <w:szCs w:val="20"/>
                <w:color w:val="auto"/>
              </w:rPr>
            </w:pPr>
            <w:r>
              <w:rPr>
                <w:rFonts w:ascii="Times New Roman" w:cs="Times New Roman" w:eastAsia="Times New Roman" w:hAnsi="Times New Roman"/>
                <w:sz w:val="12"/>
                <w:szCs w:val="12"/>
                <w:b w:val="1"/>
                <w:bCs w:val="1"/>
                <w:color w:val="auto"/>
              </w:rPr>
              <w:t>and</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as of April 1,</w:t>
            </w:r>
          </w:p>
        </w:tc>
        <w:tc>
          <w:tcPr>
            <w:tcW w:w="1820" w:type="dxa"/>
            <w:vAlign w:val="bottom"/>
          </w:tcPr>
          <w:p>
            <w:pPr>
              <w:jc w:val="center"/>
              <w:ind w:right="482"/>
              <w:spacing w:after="0"/>
              <w:rPr>
                <w:sz w:val="20"/>
                <w:szCs w:val="20"/>
                <w:color w:val="auto"/>
              </w:rPr>
            </w:pPr>
            <w:r>
              <w:rPr>
                <w:rFonts w:ascii="Times New Roman" w:cs="Times New Roman" w:eastAsia="Times New Roman" w:hAnsi="Times New Roman"/>
                <w:sz w:val="12"/>
                <w:szCs w:val="12"/>
                <w:b w:val="1"/>
                <w:bCs w:val="1"/>
                <w:color w:val="auto"/>
                <w:w w:val="92"/>
              </w:rPr>
              <w:t>Exercise</w:t>
            </w:r>
          </w:p>
        </w:tc>
        <w:tc>
          <w:tcPr>
            <w:tcW w:w="1300" w:type="dxa"/>
            <w:vAlign w:val="bottom"/>
          </w:tcPr>
          <w:p>
            <w:pPr>
              <w:ind w:left="960"/>
              <w:spacing w:after="0"/>
              <w:rPr>
                <w:sz w:val="20"/>
                <w:szCs w:val="20"/>
                <w:color w:val="auto"/>
              </w:rPr>
            </w:pPr>
            <w:r>
              <w:rPr>
                <w:rFonts w:ascii="Times New Roman" w:cs="Times New Roman" w:eastAsia="Times New Roman" w:hAnsi="Times New Roman"/>
                <w:sz w:val="12"/>
                <w:szCs w:val="12"/>
                <w:b w:val="1"/>
                <w:bCs w:val="1"/>
                <w:color w:val="auto"/>
                <w:w w:val="90"/>
              </w:rPr>
              <w:t>Award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120" w:type="dxa"/>
            <w:vAlign w:val="bottom"/>
          </w:tcPr>
          <w:p>
            <w:pPr>
              <w:spacing w:after="0"/>
              <w:rPr>
                <w:sz w:val="12"/>
                <w:szCs w:val="12"/>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320" w:type="dxa"/>
            <w:vAlign w:val="bottom"/>
            <w:gridSpan w:val="2"/>
          </w:tcPr>
          <w:p>
            <w:pPr>
              <w:jc w:val="right"/>
              <w:ind w:right="344"/>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246"/>
              <w:spacing w:after="0"/>
              <w:rPr>
                <w:sz w:val="20"/>
                <w:szCs w:val="20"/>
                <w:color w:val="auto"/>
              </w:rPr>
            </w:pPr>
            <w:r>
              <w:rPr>
                <w:rFonts w:ascii="Times New Roman" w:cs="Times New Roman" w:eastAsia="Times New Roman" w:hAnsi="Times New Roman"/>
                <w:sz w:val="12"/>
                <w:szCs w:val="12"/>
                <w:b w:val="1"/>
                <w:bCs w:val="1"/>
                <w:color w:val="auto"/>
              </w:rPr>
              <w:t>Price(s)</w:t>
            </w:r>
          </w:p>
        </w:tc>
        <w:tc>
          <w:tcPr>
            <w:tcW w:w="240" w:type="dxa"/>
            <w:vAlign w:val="bottom"/>
          </w:tcPr>
          <w:p>
            <w:pPr>
              <w:spacing w:after="0"/>
              <w:rPr>
                <w:sz w:val="12"/>
                <w:szCs w:val="12"/>
                <w:color w:val="auto"/>
              </w:rPr>
            </w:pPr>
          </w:p>
        </w:tc>
        <w:tc>
          <w:tcPr>
            <w:tcW w:w="3100" w:type="dxa"/>
            <w:vAlign w:val="bottom"/>
          </w:tcPr>
          <w:p>
            <w:pPr>
              <w:jc w:val="right"/>
              <w:ind w:right="1065"/>
              <w:spacing w:after="0"/>
              <w:rPr>
                <w:sz w:val="20"/>
                <w:szCs w:val="20"/>
                <w:color w:val="auto"/>
              </w:rPr>
            </w:pPr>
            <w:r>
              <w:rPr>
                <w:rFonts w:ascii="Times New Roman" w:cs="Times New Roman" w:eastAsia="Times New Roman" w:hAnsi="Times New Roman"/>
                <w:sz w:val="12"/>
                <w:szCs w:val="12"/>
                <w:b w:val="1"/>
                <w:bCs w:val="1"/>
                <w:color w:val="auto"/>
              </w:rPr>
              <w:t>Expiration Date</w:t>
            </w:r>
          </w:p>
        </w:tc>
      </w:tr>
      <w:tr>
        <w:trPr>
          <w:trHeight w:val="151"/>
        </w:trPr>
        <w:tc>
          <w:tcPr>
            <w:tcW w:w="1940" w:type="dxa"/>
            <w:vAlign w:val="bottom"/>
            <w:tcBorders>
              <w:top w:val="single" w:sz="8" w:color="auto"/>
            </w:tcBorders>
            <w:shd w:val="clear" w:color="auto" w:fill="CFF0FC"/>
          </w:tcPr>
          <w:p>
            <w:pPr>
              <w:ind w:left="20"/>
              <w:spacing w:after="0" w:line="151" w:lineRule="exact"/>
              <w:rPr>
                <w:sz w:val="20"/>
                <w:szCs w:val="20"/>
                <w:color w:val="auto"/>
              </w:rPr>
            </w:pPr>
            <w:r>
              <w:rPr>
                <w:rFonts w:ascii="Times New Roman" w:cs="Times New Roman" w:eastAsia="Times New Roman" w:hAnsi="Times New Roman"/>
                <w:sz w:val="15"/>
                <w:szCs w:val="15"/>
                <w:color w:val="auto"/>
              </w:rPr>
              <w:t>Jan Møller</w:t>
            </w:r>
          </w:p>
        </w:tc>
        <w:tc>
          <w:tcPr>
            <w:tcW w:w="140" w:type="dxa"/>
            <w:vAlign w:val="bottom"/>
            <w:shd w:val="clear" w:color="auto" w:fill="CFF0FC"/>
          </w:tcPr>
          <w:p>
            <w:pPr>
              <w:spacing w:after="0"/>
              <w:rPr>
                <w:sz w:val="13"/>
                <w:szCs w:val="13"/>
                <w:color w:val="auto"/>
              </w:rPr>
            </w:pPr>
          </w:p>
        </w:tc>
        <w:tc>
          <w:tcPr>
            <w:tcW w:w="19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100" w:type="dxa"/>
            <w:vAlign w:val="bottom"/>
            <w:tcBorders>
              <w:top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5"/>
                <w:szCs w:val="15"/>
                <w:color w:val="auto"/>
              </w:rPr>
              <w:t>21 days following our interim</w:t>
            </w:r>
          </w:p>
        </w:tc>
      </w:tr>
      <w:tr>
        <w:trPr>
          <w:trHeight w:val="192"/>
        </w:trPr>
        <w:tc>
          <w:tcPr>
            <w:tcW w:w="1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Mikkelsen</w:t>
            </w:r>
          </w:p>
        </w:tc>
        <w:tc>
          <w:tcPr>
            <w:tcW w:w="140" w:type="dxa"/>
            <w:vAlign w:val="bottom"/>
            <w:shd w:val="clear" w:color="auto" w:fill="CFF0FC"/>
          </w:tcPr>
          <w:p>
            <w:pPr>
              <w:spacing w:after="0"/>
              <w:rPr>
                <w:sz w:val="16"/>
                <w:szCs w:val="16"/>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3, 2012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249,372</w:t>
            </w: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7.9962</w:t>
            </w:r>
          </w:p>
        </w:tc>
        <w:tc>
          <w:tcPr>
            <w:tcW w:w="240" w:type="dxa"/>
            <w:vAlign w:val="bottom"/>
            <w:shd w:val="clear" w:color="auto" w:fill="CFF0FC"/>
          </w:tcPr>
          <w:p>
            <w:pPr>
              <w:spacing w:after="0"/>
              <w:rPr>
                <w:sz w:val="16"/>
                <w:szCs w:val="16"/>
                <w:color w:val="auto"/>
              </w:rPr>
            </w:pP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report (six-month report) in 2023</w:t>
            </w:r>
          </w:p>
        </w:tc>
      </w:tr>
      <w:tr>
        <w:trPr>
          <w:trHeight w:val="158"/>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00" w:type="dxa"/>
            <w:vAlign w:val="bottom"/>
          </w:tcPr>
          <w:p>
            <w:pPr>
              <w:jc w:val="right"/>
              <w:spacing w:after="0" w:line="158" w:lineRule="exact"/>
              <w:rPr>
                <w:sz w:val="20"/>
                <w:szCs w:val="20"/>
                <w:color w:val="auto"/>
              </w:rPr>
            </w:pPr>
            <w:r>
              <w:rPr>
                <w:rFonts w:ascii="Times New Roman" w:cs="Times New Roman" w:eastAsia="Times New Roman" w:hAnsi="Times New Roman"/>
                <w:sz w:val="15"/>
                <w:szCs w:val="15"/>
                <w:color w:val="auto"/>
              </w:rPr>
              <w:t>21 days following our interim</w:t>
            </w:r>
          </w:p>
        </w:tc>
      </w:tr>
      <w:tr>
        <w:trPr>
          <w:trHeight w:val="192"/>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November 26, 2014</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6.4775</w:t>
            </w:r>
          </w:p>
        </w:tc>
        <w:tc>
          <w:tcPr>
            <w:tcW w:w="240" w:type="dxa"/>
            <w:vAlign w:val="bottom"/>
          </w:tcPr>
          <w:p>
            <w:pPr>
              <w:spacing w:after="0"/>
              <w:rPr>
                <w:sz w:val="16"/>
                <w:szCs w:val="16"/>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report (nine-month report) in 2023</w:t>
            </w:r>
          </w:p>
        </w:tc>
      </w:tr>
      <w:tr>
        <w:trPr>
          <w:trHeight w:val="188"/>
        </w:trPr>
        <w:tc>
          <w:tcPr>
            <w:tcW w:w="1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18, 2015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217,000</w:t>
            </w: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15.6750</w:t>
            </w:r>
          </w:p>
        </w:tc>
        <w:tc>
          <w:tcPr>
            <w:tcW w:w="240" w:type="dxa"/>
            <w:vAlign w:val="bottom"/>
            <w:shd w:val="clear" w:color="auto" w:fill="CFF0FC"/>
          </w:tcPr>
          <w:p>
            <w:pPr>
              <w:spacing w:after="0"/>
              <w:rPr>
                <w:sz w:val="16"/>
                <w:szCs w:val="16"/>
                <w:color w:val="auto"/>
              </w:rPr>
            </w:pP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December 18, 2025</w:t>
            </w:r>
          </w:p>
        </w:tc>
      </w:tr>
      <w:tr>
        <w:trPr>
          <w:trHeight w:val="188"/>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14, 2016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19.4194</w:t>
            </w:r>
          </w:p>
        </w:tc>
        <w:tc>
          <w:tcPr>
            <w:tcW w:w="240" w:type="dxa"/>
            <w:vAlign w:val="bottom"/>
          </w:tcPr>
          <w:p>
            <w:pPr>
              <w:spacing w:after="0"/>
              <w:rPr>
                <w:sz w:val="16"/>
                <w:szCs w:val="16"/>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December 14, 2026</w:t>
            </w:r>
          </w:p>
        </w:tc>
      </w:tr>
      <w:tr>
        <w:trPr>
          <w:trHeight w:val="188"/>
        </w:trPr>
        <w:tc>
          <w:tcPr>
            <w:tcW w:w="1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12, 2017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31.5995</w:t>
            </w:r>
          </w:p>
        </w:tc>
        <w:tc>
          <w:tcPr>
            <w:tcW w:w="240" w:type="dxa"/>
            <w:vAlign w:val="bottom"/>
            <w:shd w:val="clear" w:color="auto" w:fill="CFF0FC"/>
          </w:tcPr>
          <w:p>
            <w:pPr>
              <w:spacing w:after="0"/>
              <w:rPr>
                <w:sz w:val="16"/>
                <w:szCs w:val="16"/>
                <w:color w:val="auto"/>
              </w:rPr>
            </w:pP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December 12, 2027</w:t>
            </w:r>
          </w:p>
        </w:tc>
      </w:tr>
      <w:tr>
        <w:trPr>
          <w:trHeight w:val="188"/>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11, 2018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54.6357</w:t>
            </w:r>
          </w:p>
        </w:tc>
        <w:tc>
          <w:tcPr>
            <w:tcW w:w="240" w:type="dxa"/>
            <w:vAlign w:val="bottom"/>
          </w:tcPr>
          <w:p>
            <w:pPr>
              <w:spacing w:after="0"/>
              <w:rPr>
                <w:sz w:val="16"/>
                <w:szCs w:val="16"/>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December 11, 2028</w:t>
            </w:r>
          </w:p>
        </w:tc>
      </w:tr>
      <w:tr>
        <w:trPr>
          <w:trHeight w:val="188"/>
        </w:trPr>
        <w:tc>
          <w:tcPr>
            <w:tcW w:w="1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10, 2019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22,500</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97.4993</w:t>
            </w:r>
          </w:p>
        </w:tc>
        <w:tc>
          <w:tcPr>
            <w:tcW w:w="240" w:type="dxa"/>
            <w:vAlign w:val="bottom"/>
            <w:shd w:val="clear" w:color="auto" w:fill="CFF0FC"/>
          </w:tcPr>
          <w:p>
            <w:pPr>
              <w:spacing w:after="0"/>
              <w:rPr>
                <w:sz w:val="16"/>
                <w:szCs w:val="16"/>
                <w:color w:val="auto"/>
              </w:rPr>
            </w:pP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December 10, 2029</w:t>
            </w:r>
          </w:p>
        </w:tc>
      </w:tr>
      <w:tr>
        <w:trPr>
          <w:trHeight w:val="188"/>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10, 2020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101,145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44,251</w:t>
            </w:r>
          </w:p>
        </w:tc>
        <w:tc>
          <w:tcPr>
            <w:tcW w:w="2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145.5045</w:t>
            </w:r>
          </w:p>
        </w:tc>
        <w:tc>
          <w:tcPr>
            <w:tcW w:w="240" w:type="dxa"/>
            <w:vAlign w:val="bottom"/>
          </w:tcPr>
          <w:p>
            <w:pPr>
              <w:spacing w:after="0"/>
              <w:rPr>
                <w:sz w:val="16"/>
                <w:szCs w:val="16"/>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December 10, 2030</w:t>
            </w:r>
          </w:p>
        </w:tc>
      </w:tr>
      <w:tr>
        <w:trPr>
          <w:trHeight w:val="188"/>
        </w:trPr>
        <w:tc>
          <w:tcPr>
            <w:tcW w:w="1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December 9, 2021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69,466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47,758</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123.4637</w:t>
            </w:r>
          </w:p>
        </w:tc>
        <w:tc>
          <w:tcPr>
            <w:tcW w:w="240" w:type="dxa"/>
            <w:vAlign w:val="bottom"/>
            <w:shd w:val="clear" w:color="auto" w:fill="CFF0FC"/>
          </w:tcPr>
          <w:p>
            <w:pPr>
              <w:spacing w:after="0"/>
              <w:rPr>
                <w:sz w:val="16"/>
                <w:szCs w:val="16"/>
                <w:color w:val="auto"/>
              </w:rPr>
            </w:pP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December 9, 2031</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Program</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December 2021, we implemented a restricted stock units program. Under this program, Restricted Stock Units (“RSUs”) may be granted to members of the senior management team, non-executive directors and other employees (“Participants”) employed by the company or another company within the company’s group. Our board of directors may also at its sole discretion decide to grant RSUs to consultants or members of our board of directors who are then also deemed Participants.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51" w:name="page152"/>
    <w:bookmarkEnd w:id="151"/>
    <w:p>
      <w:pPr>
        <w:ind w:right="60"/>
        <w:spacing w:after="0" w:line="259" w:lineRule="auto"/>
        <w:rPr>
          <w:sz w:val="20"/>
          <w:szCs w:val="20"/>
          <w:color w:val="auto"/>
        </w:rPr>
      </w:pPr>
      <w:r>
        <w:rPr>
          <w:rFonts w:ascii="Times New Roman" w:cs="Times New Roman" w:eastAsia="Times New Roman" w:hAnsi="Times New Roman"/>
          <w:sz w:val="18"/>
          <w:szCs w:val="18"/>
          <w:color w:val="auto"/>
        </w:rPr>
        <w:t>One RSU represents a right for the Participant to receive one Ascendis Pharma A/S American Depositary Share (“ADS”) upon vesting. One Ascendis Pharma A/S ADS represents one (1) ordinary share in our company with a nominal value of DKK 1.00. ADSs underlying restricted stock units are treasury shares that have been repurchased in the market and, upon vesting, our company may at its sole discretion choose to make a cash settlement instead of delivering ADSs.</w:t>
      </w:r>
    </w:p>
    <w:p>
      <w:pPr>
        <w:spacing w:after="0" w:line="18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board of directors may in its sole discretion, at any given point in time, decide to grant RSUs and may at its discretion and on an individual basis decide to deviate from the vesting principles and/or the vesting conditions as set forth in our RSU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are issued and granted to the Participant free of charge.</w:t>
      </w:r>
    </w:p>
    <w:p>
      <w:pPr>
        <w:spacing w:after="0" w:line="22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It is a condition for vesting that the Participant is still either employed or retained as consultant within our company or another company within our company’s group or appointed as member of the board of directors on the vesting date. Subject to earlier vesting upon the occurrence of certain exit events, for each award of RSUs 1/3 of such RSUs will vest on each anniversary of the date of grant, subject to continued service and, in the case of the RSUs granted to our chief executive officer, subject to the achievement of a performance condition as determined by our board of directors.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On December 9, 2021, our board of directors granted an aggregate of (i) 5,352 restricted stock units to certain non-employee board members of the company, (ii) 104,886 restricted stock units to certain members of senior management of the company, and (iii) 37,910 restricted stock units to certain other employees of our company under the terms of our restricted stock unit program. On December 9, 2022, 41,685 RSUs vested and an equivalent number of ADSs were transferred to the Participants. As of December 31, 2022, a total of 82,492 RSUs were outstanding and unvested.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Indemnification</w:t>
      </w:r>
    </w:p>
    <w:p>
      <w:pPr>
        <w:spacing w:after="0" w:line="12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our company; however, the general meeting cannot discharge any claims by individual shareholders or other third-parties.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Additionally, we have entered into agreements with our board members and members of our senior management, pursuant to which, subject to limited exceptions, we have agreed to indemnify such board members and members of our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our senior management.</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the company, or because the agreement is deemed contrary to the general provisions of the Danish Contracts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w:t>
      </w:r>
    </w:p>
    <w:p>
      <w:pPr>
        <w:spacing w:after="0" w:line="223"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board members and senior management or persons controlling us pursuant to the foregoing provisions, we have been informed that, in the opinion of the SEC, such indemnification is against public policy as expressed in the Securities Act and is therefore unenforceable.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52" w:name="page153"/>
    <w:bookmarkEnd w:id="152"/>
    <w:p>
      <w:pPr>
        <w:ind w:left="520" w:hanging="512"/>
        <w:spacing w:after="0"/>
        <w:tabs>
          <w:tab w:leader="none" w:pos="5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board of directors is responsible for our overall and strategic management and must ensure proper organization of our business. In addition, our board is obligated to ensure that (i) bookkeeping and financial reporting procedures are satisfactory; (ii) adequate risk management and internal control procedures have been established; (iii) our board of directors receives ongoing information as necessary about our financial position; (iv) our executive board performs its duties properly and as directed by our board of directors; and (v) the financial resources of our company are adequate at all times, and that our company has sufficient liquidity to meet its current and future liabilities as they become due.</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performing its duties, our board of directors is required to act in the interests of our company (including our shareholders) and our associated business as a whole. Our board of directors may generally make any decisions in furtherance of our objectives that are not reserved for either the executive board or the shareholders either by virtue of the articles of association or by operation of Danish law. Typical shareholder decisions that our board of directors cannot resolve alone are: changes to the articles of association, elections of board members, elections of auditors, decisions to scrutinize our company’s affairs, capital increases and decreases, payment of dividends, purchase of treasury shares, and decisions to merge, demerge or liquidate our company.</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general meeting of shareholders must elect no fewer than three and no more than ten members to our board of directors. The board of directors is classified into two classes as nearly equal in number as possible with respect to the duration of the term in which they severally hold office. Such classes consist of one class of directors (“Class I”) who were elected at the annual general meeting held in 2021 for a term expiring at the annual general meeting to be held 2023; and a second class of directors (“Class II”) who were elected at the annual general meeting held in 2022 for a term expiring at the annual general meeting to be held in 2024. The shareholders shall increase or decrease the number of directors,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w:t>
      </w:r>
    </w:p>
    <w:p>
      <w:pPr>
        <w:spacing w:after="0" w:line="185"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Board members may be dismissed at any time at a general meeting of shareholders. A resolution by the general meeting of shareholders to appoint or dismiss board members requires a simple majority of the votes cast and there is no requirement for a specific quorum.</w:t>
      </w:r>
    </w:p>
    <w:p>
      <w:pPr>
        <w:spacing w:after="0" w:line="16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Under Danish corporate law, employees of companies that have employed at least 35 employees for the preceding three years are entitled to elect members of their board of directors corresponding to one-half of the members of their board of directors elected by the general meeting of shareholders. Board members elected by the employees are elected for terms of four years, and they hold the same rights and obligations as any board member elected by the shareholders. We do not currently have employee representatives on our board of directors.</w:t>
      </w:r>
    </w:p>
    <w:p>
      <w:pPr>
        <w:spacing w:after="0" w:line="18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Our board of directors elects its chairman. Our board of directors forms a quorum when more than half of the members of our board of directors are represented. Resolutions of our board of directors are passed by simple majority. Each board member is entitled to cast one vote. For a complete description of these board governance matters, you should refer to our articles of association, which are incorporated by reference as an exhibit to this annual report.</w:t>
      </w:r>
    </w:p>
    <w:p>
      <w:pPr>
        <w:spacing w:after="0" w:line="16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Our board of directors may also adopt resolutions without a meeting, provided that such resolutions are adopted in writing and submitted to all members of our board of directors and provided that no board member objects to adopting resolutions without conducting a meeting.</w:t>
      </w:r>
    </w:p>
    <w:p>
      <w:pPr>
        <w:spacing w:after="0" w:line="16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a foreign private issuer, our board of directors is not required to hold regularly scheduled meetings at which only independent board members are present and we intend to comply with home country practices, which do not require executive sessions, in lieu of complying with Nasdaq Rule 5605(b)(2).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3" w:name="page154"/>
    <w:bookmarkEnd w:id="153"/>
    <w:p>
      <w:pPr>
        <w:ind w:right="100"/>
        <w:spacing w:after="0" w:line="265" w:lineRule="auto"/>
        <w:rPr>
          <w:sz w:val="20"/>
          <w:szCs w:val="20"/>
          <w:color w:val="auto"/>
        </w:rPr>
      </w:pPr>
      <w:r>
        <w:rPr>
          <w:rFonts w:ascii="Times New Roman" w:cs="Times New Roman" w:eastAsia="Times New Roman" w:hAnsi="Times New Roman"/>
          <w:sz w:val="18"/>
          <w:szCs w:val="18"/>
          <w:color w:val="auto"/>
        </w:rPr>
        <w:t>Mr. Mikkelsen is a member of our senior management and a member of our board of directors and has an employment agreement that provides for benefits upon termination of employment in certain circumstances. For information about such agreements, see “Item 6 B. Directors, Senior Management and Employees—Compensation—Senior Management Agreements.”</w:t>
      </w:r>
    </w:p>
    <w:p>
      <w:pPr>
        <w:spacing w:after="0" w:line="17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accordance with the exemption available to foreign private issuers under Nasdaq rules, we do not follow the requirements of the Nasdaq rules with regard to the process of nominating board members, and instead, follow Danish law and practice, in accordance with which our board of directors (or a committee thereof) is authorized to recommend to our shareholders director nominees for election. Under the Danish Companies Act, nominations for directors also may be made upon the request of any shareholder.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Board</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Our executive board is in charge of the day-to-day management of our operations and is assisted in this respect by the other members of our senior management. The executive board must follow the guidelines and directions issued by the board of directors. Day-to-day management does not include decisions of an unusual nature or of major importance, having regard to the circumstance. Such decisions may only be made by the executive board if specifically authorized by the board of directors, unless it will cause considerable inconvenience to our company’s activities to wait for authorization by the board of directors. If so, the board of directors must be notified of the decision as soon as possible.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the directors and considered whether any director has a material relationship with us that could compromise their ability to exercise independent judgement in carrying out the responsibilities of a director. As a result of this review, our board of directors determined that Lisa Bright, Albert Cha, M.D., Ph.D., William Carl Fairey Jr., Lars Holtug, Siham Imani and Rafaèle Tordjman, M.D., Ph.D., representing six of our seven directors, are “independent directors” as that term is defined under the applicable rules and regulations of the SEC and the listing requirements and rules of Nasdaq.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We have an audit committee, a remuneration committee and a nominating and corporate governance committee. We have adopted a charter for each of these committees. Under Danish corporate law, it is not possible to delegate the decision making authority of the entire board of directors to board committees.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audit committee consists of Lars Holtug (Chair), Lisa Bright, Albert Cha, M.D., Ph.D. and William Carl Fairey Jr. Each member satisfies the independence requirements of the Nasdaq listing standards, and Lars Holtug qualifies as an “audit committee financial expert,” as defined in Item 16A(b) of Form 20-F and as determined by our board of directors. Our audit committee oversees our accounting and financial reporting processes and the audits of our consolidated financial statements. As a foreign private issuer, we are not required to have a formal written audit committee charter that complies with Nasdaq Rule 5605(c)(1) and, although we have adopted an audit committee charter, we comply with home country practices in lieu of Nasdaq Rule 5605(c)</w:t>
      </w:r>
    </w:p>
    <w:p>
      <w:pPr>
        <w:spacing w:after="0" w:line="4"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8"/>
          <w:szCs w:val="18"/>
          <w:color w:val="auto"/>
        </w:rPr>
        <w:t>(1). Nasdaq Rule 5605(c)(2)(A) requires that U.S. listed companies have an audit committee composed of at least three members, each of whom is an independent director, as defined in the Nasdaq rules. As a foreign private issuer, we are exempt from complying with the Nasdaq requirement to have an audit committee with at least three members, and we comply with home country practices in lieu of Nasdaq Rule 5605(c)(2)(A). However, our audit committee currently comprises four members, all of whom meet the relevant criteria for independence under Nasdaq rules and under Rule 10A-3 of the Exchange Act. Our audit committee is responsible for, among other things:</w:t>
      </w:r>
    </w:p>
    <w:p>
      <w:pPr>
        <w:spacing w:after="0" w:line="83" w:lineRule="exact"/>
        <w:rPr>
          <w:sz w:val="20"/>
          <w:szCs w:val="20"/>
          <w:color w:val="auto"/>
        </w:rPr>
      </w:pPr>
    </w:p>
    <w:p>
      <w:pPr>
        <w:ind w:left="1020" w:right="400" w:hanging="504"/>
        <w:spacing w:after="0" w:line="280"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appointment by the general meeting of shareholders of our independent auditors;</w:t>
      </w:r>
    </w:p>
    <w:p>
      <w:pPr>
        <w:spacing w:after="0" w:line="55" w:lineRule="exact"/>
        <w:rPr>
          <w:rFonts w:ascii="Times New Roman" w:cs="Times New Roman" w:eastAsia="Times New Roman" w:hAnsi="Times New Roman"/>
          <w:sz w:val="18"/>
          <w:szCs w:val="18"/>
          <w:color w:val="auto"/>
        </w:rPr>
      </w:pPr>
    </w:p>
    <w:p>
      <w:pPr>
        <w:ind w:left="1020" w:right="240" w:hanging="504"/>
        <w:spacing w:after="0" w:line="280"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the independent auditors, including making recommendations to the board of directors and resolving disagreements between the executive board and the independent auditors relating to financial reporting;</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independence and quality control procedures of the independent auditors;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material off-balance sheet transactions, arrangements and obligations with the executive board and the independent auditors;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proposed related-party transactions;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consolidated and statutory financial statements with the executive board;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with the independent auditors to discuss critical accounting policies, recommendations on internal controls, the auditor’s engagement letter and independence letter and other material written communications between the independent auditors and the executive board; and</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to such other matters as are specifically delegated to our audit committee by our board of directors from time to time.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remuneration committee consists of Albert Cha, M.D., Ph.D. (Chair), Lisa Bright and Lars Holtug. Each member satisfies the independence requirements of the Nasdaq listing standards. Our remuneration committee assists our board of directors in reviewing and approving or recommending our compensation structure, including all forms of compensation relating to our board of director and the executive board. As a foreign private issuer, we are not required to have a formal written remuneration committee charter that complies with Nasdaq Rule 5605(d)(1) and, although we have adopted a remuneration committee charter, we comply with home country practices in lieu of Nasdaq Rule 5605(d)(1). Our remuneration committee is responsible for, among other things:</w:t>
      </w:r>
    </w:p>
    <w:p>
      <w:pPr>
        <w:spacing w:after="0" w:line="80" w:lineRule="exact"/>
        <w:rPr>
          <w:sz w:val="20"/>
          <w:szCs w:val="20"/>
          <w:color w:val="auto"/>
        </w:rPr>
      </w:pPr>
    </w:p>
    <w:p>
      <w:pPr>
        <w:ind w:left="1020" w:right="220" w:hanging="504"/>
        <w:spacing w:after="0" w:line="280"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compensation of our executive board and members of our board of directors;</w:t>
      </w:r>
    </w:p>
    <w:p>
      <w:pPr>
        <w:spacing w:after="0" w:line="55" w:lineRule="exact"/>
        <w:rPr>
          <w:rFonts w:ascii="Times New Roman" w:cs="Times New Roman" w:eastAsia="Times New Roman" w:hAnsi="Times New Roman"/>
          <w:sz w:val="18"/>
          <w:szCs w:val="18"/>
          <w:color w:val="auto"/>
        </w:rPr>
      </w:pPr>
    </w:p>
    <w:p>
      <w:pPr>
        <w:ind w:left="1020" w:right="240" w:hanging="504"/>
        <w:spacing w:after="0" w:line="280"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including equity compensation, change-of-control benefits and severance arrangements, of our chief executive officer, chief financial officer and such other members of our executive board as it deems appropriate;</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to our board of directors regarding the evaluation of our executive board;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5" w:name="page156"/>
    <w:bookmarkEnd w:id="155"/>
    <w:p>
      <w:pPr>
        <w:ind w:left="1020" w:right="200" w:hanging="504"/>
        <w:spacing w:after="0" w:line="280"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making recommendations to our board of directors with respect to any incentive compensation and equity plans, programs or similar arrangements;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to such other matters as are specifically delegated to our compensation committee by our board of directors from time to time.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Rafaèle Tordjman, M.D., Ph.D. (Chair), Lisa Bright and Siham Imani. Each member satisfies the independence requirements of the Nasdaq listing standards. Our nominating and corporate governance committee assists the board of directors in selecting individuals qualified to become our board members and in determining the composition of the board of directors and its committees. Our nominating and corporate governance committee is responsible for, among other things:</w:t>
      </w:r>
    </w:p>
    <w:p>
      <w:pPr>
        <w:spacing w:after="0" w:line="75" w:lineRule="exact"/>
        <w:rPr>
          <w:sz w:val="20"/>
          <w:szCs w:val="20"/>
          <w:color w:val="auto"/>
        </w:rPr>
      </w:pPr>
    </w:p>
    <w:p>
      <w:pPr>
        <w:ind w:left="1020" w:right="300" w:hanging="504"/>
        <w:spacing w:after="0" w:line="280"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persons to be nominated for election or re-election to our board of directors at any meeting of the shareholders;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board of director’s annual review of its own performance and the performance of its committees;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preparing and recommending to our board of directors a set of corporate governance guidelines.</w:t>
      </w:r>
    </w:p>
    <w:p>
      <w:pPr>
        <w:spacing w:after="0" w:line="22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For information on current term of office and the period during which the members of our board of directors, executive board and our senior management have served in office see “Item 6 A. Directors, Senior Management and Employees—Directors and Senior Management.”</w:t>
      </w:r>
    </w:p>
    <w:p>
      <w:pPr>
        <w:spacing w:after="0" w:line="266"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2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The following tables specify number of employees at the end of period, per their main activity function and geographic location for the past three financial years.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7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2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2"/>
                <w:szCs w:val="12"/>
                <w:color w:val="auto"/>
              </w:rPr>
            </w:pPr>
          </w:p>
        </w:tc>
        <w:tc>
          <w:tcPr>
            <w:tcW w:w="172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 (Domicile country)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full-time employees, 220 (27.6%) hold a Ph.D., M.D., and/or equivalent degrees.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7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20" w:type="dxa"/>
            <w:vAlign w:val="bottom"/>
          </w:tcPr>
          <w:p>
            <w:pPr>
              <w:spacing w:after="0"/>
              <w:rPr>
                <w:sz w:val="12"/>
                <w:szCs w:val="12"/>
                <w:color w:val="auto"/>
              </w:rPr>
            </w:pPr>
          </w:p>
        </w:tc>
        <w:tc>
          <w:tcPr>
            <w:tcW w:w="17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2"/>
                <w:szCs w:val="12"/>
                <w:color w:val="auto"/>
              </w:rPr>
            </w:pPr>
          </w:p>
        </w:tc>
        <w:tc>
          <w:tcPr>
            <w:tcW w:w="172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 (Domicile country)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Of full-time employees, 198 (31.0%) hold a Ph.D., M.D., and/or equivalent degrees.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7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220" w:type="dxa"/>
            <w:vAlign w:val="bottom"/>
          </w:tcPr>
          <w:p>
            <w:pPr>
              <w:spacing w:after="0"/>
              <w:rPr>
                <w:sz w:val="13"/>
                <w:szCs w:val="13"/>
                <w:color w:val="auto"/>
              </w:rPr>
            </w:pPr>
          </w:p>
        </w:tc>
        <w:tc>
          <w:tcPr>
            <w:tcW w:w="172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20" w:type="dxa"/>
            <w:vAlign w:val="bottom"/>
          </w:tcPr>
          <w:p>
            <w:pPr>
              <w:spacing w:after="0"/>
              <w:rPr>
                <w:sz w:val="13"/>
                <w:szCs w:val="13"/>
                <w:color w:val="auto"/>
              </w:rPr>
            </w:pPr>
          </w:p>
        </w:tc>
        <w:tc>
          <w:tcPr>
            <w:tcW w:w="1720" w:type="dxa"/>
            <w:vAlign w:val="bottom"/>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 (Domicile country)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full-time employees, 121 (36.7%) hold a Ph.D., M.D., and/or equivalent degrees.</w:t>
      </w:r>
    </w:p>
    <w:p>
      <w:pPr>
        <w:spacing w:after="0" w:line="120"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General and Administration function includes business and corporate development, and commercial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employees engaged with research and development have increased, primarily due to advancement of our pipeline of endocrinology and oncology.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number of employees has increased due to pre-launch and launch activities, and extension of corporate functions to support those activities.</w:t>
      </w:r>
    </w:p>
    <w:p>
      <w:pPr>
        <w:spacing w:after="0" w:line="205"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None of our employees are represented by a labor union or covered under a collective bargaining agreement. We consider our employee relations to be good.</w:t>
      </w:r>
    </w:p>
    <w:p>
      <w:pPr>
        <w:spacing w:after="0" w:line="266"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20"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See “Item 7 A. Major Shareholders and Related Party Transactions—Major Shareholders.” Our employees are eligible to own shares of the company through a warrant incentive plan. For information on the plan, see “Item 6 B. Directors, Senior Management and Employees—Compensation—Warrant Incentive Program.”</w:t>
      </w:r>
    </w:p>
    <w:p>
      <w:pPr>
        <w:spacing w:after="0" w:line="279"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shares as of February 1, 2023, by:</w:t>
      </w:r>
    </w:p>
    <w:p>
      <w:pPr>
        <w:spacing w:after="0" w:line="116" w:lineRule="exact"/>
        <w:rPr>
          <w:sz w:val="20"/>
          <w:szCs w:val="20"/>
          <w:color w:val="auto"/>
        </w:rPr>
      </w:pPr>
    </w:p>
    <w:p>
      <w:pPr>
        <w:ind w:left="1020" w:hanging="504"/>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ordinary shares;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board members;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senior management, including members of our executive board.</w:t>
      </w:r>
    </w:p>
    <w:p>
      <w:pPr>
        <w:spacing w:after="0" w:line="22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number of shares beneficially owned by each entity, person,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subscribe for within 60 days of February 1, 2023, through the exercise of any warrants or other rights. Except as otherwise indicated, and subject to applicable community property laws, the persons named in the table have sole voting and investment power with respect to all shares owned by that person.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57" w:name="page158"/>
    <w:bookmarkEnd w:id="157"/>
    <w:p>
      <w:pPr>
        <w:ind w:right="140"/>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57,152,295 ordinary shares outstanding as of February 1, 2023. Ordinary shares that a person has the right to subscribe for within 60 days of February 1, 2023 are deemed outstanding for purposes of computing the percentage ownership of the person holding such rights but are not deemed outstanding for purposes of computing the percentage ownership of any other person. Additionally, a person is considered to have the right to subscribe for ordinary shares which are subject to outstanding warrants and vested within 60 days of February 1, 2023, although such warrants may only be exercised in prescribed exercise periods. A person is considered to beneficially own ordinary shares which are subject to restricted stock units that vest within 60 days of February 1, 2023. Unless otherwise indicated below, the address for each beneficial owner listed is c/o Ascendis Pharma A/S, at Tuborg Boulevard 12, DK-2900 Hellerup, Denmark.</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5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and RSUs to be</w:t>
            </w: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Settled Within</w:t>
            </w:r>
          </w:p>
        </w:tc>
        <w:tc>
          <w:tcPr>
            <w:tcW w:w="16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 w:type="dxa"/>
            <w:vAlign w:val="bottom"/>
          </w:tcPr>
          <w:p>
            <w:pPr>
              <w:spacing w:after="0"/>
              <w:rPr>
                <w:sz w:val="12"/>
                <w:szCs w:val="12"/>
                <w:color w:val="auto"/>
              </w:rPr>
            </w:pPr>
          </w:p>
        </w:tc>
        <w:tc>
          <w:tcPr>
            <w:tcW w:w="1540" w:type="dxa"/>
            <w:vAlign w:val="bottom"/>
            <w:gridSpan w:val="3"/>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86"/>
        </w:trPr>
        <w:tc>
          <w:tcPr>
            <w:tcW w:w="5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60 Days</w:t>
            </w: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6"/>
                <w:szCs w:val="16"/>
                <w:color w:val="auto"/>
              </w:rPr>
            </w:pP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36"/>
        </w:trPr>
        <w:tc>
          <w:tcPr>
            <w:tcW w:w="5340" w:type="dxa"/>
            <w:vAlign w:val="bottom"/>
            <w:tcBorders>
              <w:top w:val="single" w:sz="8" w:color="auto"/>
            </w:tcBorders>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Entities affiliated with Artisan Partners LP </w:t>
            </w:r>
            <w:r>
              <w:rPr>
                <w:rFonts w:ascii="Times New Roman" w:cs="Times New Roman" w:eastAsia="Times New Roman" w:hAnsi="Times New Roman"/>
                <w:sz w:val="24"/>
                <w:szCs w:val="24"/>
                <w:color w:val="auto"/>
                <w:vertAlign w:val="superscript"/>
              </w:rPr>
              <w:t>(1)</w:t>
            </w:r>
          </w:p>
        </w:tc>
        <w:tc>
          <w:tcPr>
            <w:tcW w:w="8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7,940,434</w:t>
            </w:r>
          </w:p>
        </w:tc>
        <w:tc>
          <w:tcPr>
            <w:tcW w:w="2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7,940,434</w:t>
            </w:r>
          </w:p>
        </w:tc>
        <w:tc>
          <w:tcPr>
            <w:tcW w:w="16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0"/>
        </w:trPr>
        <w:tc>
          <w:tcPr>
            <w:tcW w:w="534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Entities affiliated with RA Capital Management,</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160"/>
              <w:spacing w:after="0" w:line="242" w:lineRule="exact"/>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24"/>
                <w:szCs w:val="24"/>
                <w:color w:val="auto"/>
                <w:vertAlign w:val="superscript"/>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7,567,900</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7,567,900</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Entities affiliated with FMR LLC </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5,355,943</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5,355,943</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T. Rowe Price Associates, Inc. </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4,761,193</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4,761,193</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67"/>
        </w:trPr>
        <w:tc>
          <w:tcPr>
            <w:tcW w:w="53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Baker Bros. Advisors LP </w:t>
            </w:r>
            <w:r>
              <w:rPr>
                <w:rFonts w:ascii="Times New Roman" w:cs="Times New Roman" w:eastAsia="Times New Roman" w:hAnsi="Times New Roman"/>
                <w:sz w:val="24"/>
                <w:szCs w:val="24"/>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4,541,604</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4,541,604</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90"/>
        </w:trPr>
        <w:tc>
          <w:tcPr>
            <w:tcW w:w="534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Entities affiliated with Wellington Management</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34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Group LLP </w:t>
            </w:r>
            <w:r>
              <w:rPr>
                <w:rFonts w:ascii="Times New Roman" w:cs="Times New Roman" w:eastAsia="Times New Roman" w:hAnsi="Times New Roman"/>
                <w:sz w:val="24"/>
                <w:szCs w:val="24"/>
                <w:color w:val="auto"/>
                <w:vertAlign w:val="superscript"/>
              </w:rPr>
              <w:t>(6)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4,068,476</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4,068,476</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90"/>
        </w:trPr>
        <w:tc>
          <w:tcPr>
            <w:tcW w:w="534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Entities affiliated with Janus Henderson Group</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34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plc </w:t>
            </w:r>
            <w:r>
              <w:rPr>
                <w:rFonts w:ascii="Times New Roman" w:cs="Times New Roman" w:eastAsia="Times New Roman" w:hAnsi="Times New Roman"/>
                <w:sz w:val="24"/>
                <w:szCs w:val="24"/>
                <w:color w:val="auto"/>
                <w:vertAlign w:val="superscript"/>
              </w:rPr>
              <w:t>(7)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3,219,965</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3,219,965</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 and Board Members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Jan Møller Mikkelsen </w:t>
            </w:r>
            <w:r>
              <w:rPr>
                <w:rFonts w:ascii="Times New Roman" w:cs="Times New Roman" w:eastAsia="Times New Roman" w:hAnsi="Times New Roman"/>
                <w:sz w:val="24"/>
                <w:szCs w:val="24"/>
                <w:color w:val="auto"/>
                <w:vertAlign w:val="superscript"/>
              </w:rPr>
              <w:t>(8)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328,716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1,222,474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1,551,190</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67"/>
        </w:trPr>
        <w:tc>
          <w:tcPr>
            <w:tcW w:w="53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Vibeke Miller Breinholt, Ph.D. </w:t>
            </w:r>
            <w:r>
              <w:rPr>
                <w:rFonts w:ascii="Times New Roman" w:cs="Times New Roman" w:eastAsia="Times New Roman" w:hAnsi="Times New Roman"/>
                <w:sz w:val="24"/>
                <w:szCs w:val="24"/>
                <w:color w:val="auto"/>
                <w:vertAlign w:val="superscript"/>
              </w:rPr>
              <w:t>(9)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64,539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65,466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Flemming Steen Jensen </w:t>
            </w:r>
            <w:r>
              <w:rPr>
                <w:rFonts w:ascii="Times New Roman" w:cs="Times New Roman" w:eastAsia="Times New Roman" w:hAnsi="Times New Roman"/>
                <w:sz w:val="24"/>
                <w:szCs w:val="24"/>
                <w:color w:val="auto"/>
                <w:vertAlign w:val="superscript"/>
              </w:rPr>
              <w:t>(10)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136,695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Michael Wolff Jensen, L.L.M. </w:t>
            </w:r>
            <w:r>
              <w:rPr>
                <w:rFonts w:ascii="Times New Roman" w:cs="Times New Roman" w:eastAsia="Times New Roman" w:hAnsi="Times New Roman"/>
                <w:sz w:val="24"/>
                <w:szCs w:val="24"/>
                <w:color w:val="auto"/>
                <w:vertAlign w:val="superscript"/>
              </w:rPr>
              <w:t>(11)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126,195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Sigurd Okkels, Ph.D. </w:t>
            </w:r>
            <w:r>
              <w:rPr>
                <w:rFonts w:ascii="Times New Roman" w:cs="Times New Roman" w:eastAsia="Times New Roman" w:hAnsi="Times New Roman"/>
                <w:sz w:val="24"/>
                <w:szCs w:val="24"/>
                <w:color w:val="auto"/>
                <w:vertAlign w:val="superscript"/>
              </w:rPr>
              <w:t>(12)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Peter Rasmussen </w:t>
            </w:r>
            <w:r>
              <w:rPr>
                <w:rFonts w:ascii="Times New Roman" w:cs="Times New Roman" w:eastAsia="Times New Roman" w:hAnsi="Times New Roman"/>
                <w:sz w:val="24"/>
                <w:szCs w:val="24"/>
                <w:color w:val="auto"/>
                <w:vertAlign w:val="superscript"/>
              </w:rPr>
              <w:t>(13)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51,270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Stina Singel, M.D, Ph.D. </w:t>
            </w:r>
            <w:r>
              <w:rPr>
                <w:rFonts w:ascii="Times New Roman" w:cs="Times New Roman" w:eastAsia="Times New Roman" w:hAnsi="Times New Roman"/>
                <w:sz w:val="24"/>
                <w:szCs w:val="24"/>
                <w:color w:val="auto"/>
                <w:vertAlign w:val="superscript"/>
              </w:rPr>
              <w:t>(14)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Scott T. Smith </w:t>
            </w:r>
            <w:r>
              <w:rPr>
                <w:rFonts w:ascii="Times New Roman" w:cs="Times New Roman" w:eastAsia="Times New Roman" w:hAnsi="Times New Roman"/>
                <w:sz w:val="24"/>
                <w:szCs w:val="24"/>
                <w:color w:val="auto"/>
                <w:vertAlign w:val="superscript"/>
              </w:rPr>
              <w:t>(15)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Lotte Sønderbjerg </w:t>
            </w:r>
            <w:r>
              <w:rPr>
                <w:rFonts w:ascii="Times New Roman" w:cs="Times New Roman" w:eastAsia="Times New Roman" w:hAnsi="Times New Roman"/>
                <w:sz w:val="24"/>
                <w:szCs w:val="24"/>
                <w:color w:val="auto"/>
                <w:vertAlign w:val="superscript"/>
              </w:rPr>
              <w:t>(16)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177,304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178,231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Kennett Sprogøe, Ph.D. </w:t>
            </w:r>
            <w:r>
              <w:rPr>
                <w:rFonts w:ascii="Times New Roman" w:cs="Times New Roman" w:eastAsia="Times New Roman" w:hAnsi="Times New Roman"/>
                <w:sz w:val="24"/>
                <w:szCs w:val="24"/>
                <w:color w:val="auto"/>
                <w:vertAlign w:val="superscript"/>
              </w:rPr>
              <w:t>(17)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154,581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156,538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Birgitte Volck, M.D., Ph.D. </w:t>
            </w:r>
            <w:r>
              <w:rPr>
                <w:rFonts w:ascii="Times New Roman" w:cs="Times New Roman" w:eastAsia="Times New Roman" w:hAnsi="Times New Roman"/>
                <w:sz w:val="24"/>
                <w:szCs w:val="24"/>
                <w:color w:val="auto"/>
                <w:vertAlign w:val="superscript"/>
              </w:rPr>
              <w:t>(18)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Albert Cha, M.D., Ph.D. </w:t>
            </w:r>
            <w:r>
              <w:rPr>
                <w:rFonts w:ascii="Times New Roman" w:cs="Times New Roman" w:eastAsia="Times New Roman" w:hAnsi="Times New Roman"/>
                <w:sz w:val="24"/>
                <w:szCs w:val="24"/>
                <w:color w:val="auto"/>
                <w:vertAlign w:val="superscript"/>
              </w:rPr>
              <w:t>(19)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93,828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94,023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Lisa Bright </w:t>
            </w:r>
            <w:r>
              <w:rPr>
                <w:rFonts w:ascii="Times New Roman" w:cs="Times New Roman" w:eastAsia="Times New Roman" w:hAnsi="Times New Roman"/>
                <w:sz w:val="24"/>
                <w:szCs w:val="24"/>
                <w:color w:val="auto"/>
                <w:vertAlign w:val="superscript"/>
              </w:rPr>
              <w:t>(20)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Lars Holtug, M.Sc. </w:t>
            </w:r>
            <w:r>
              <w:rPr>
                <w:rFonts w:ascii="Times New Roman" w:cs="Times New Roman" w:eastAsia="Times New Roman" w:hAnsi="Times New Roman"/>
                <w:sz w:val="24"/>
                <w:szCs w:val="24"/>
                <w:color w:val="auto"/>
                <w:vertAlign w:val="superscript"/>
              </w:rPr>
              <w:t>(21)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51,274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40" w:type="dxa"/>
            <w:vAlign w:val="bottom"/>
            <w:shd w:val="clear" w:color="auto" w:fill="CFF0FC"/>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Rafaèle Tordjman, M.D., Ph.D. </w:t>
            </w:r>
            <w:r>
              <w:rPr>
                <w:rFonts w:ascii="Times New Roman" w:cs="Times New Roman" w:eastAsia="Times New Roman" w:hAnsi="Times New Roman"/>
                <w:sz w:val="24"/>
                <w:szCs w:val="24"/>
                <w:color w:val="auto"/>
                <w:vertAlign w:val="superscript"/>
              </w:rPr>
              <w:t>(22)</w:t>
            </w:r>
          </w:p>
        </w:tc>
        <w:tc>
          <w:tcPr>
            <w:tcW w:w="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Carl Fairey Jr.</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Siham Imani</w:t>
            </w:r>
          </w:p>
        </w:tc>
        <w:tc>
          <w:tcPr>
            <w:tcW w:w="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-4253230</wp:posOffset>
            </wp:positionV>
            <wp:extent cx="7132955" cy="1536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-3809365</wp:posOffset>
            </wp:positionV>
            <wp:extent cx="7132955" cy="1536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-3501390</wp:posOffset>
            </wp:positionV>
            <wp:extent cx="7132955" cy="1536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-3057525</wp:posOffset>
            </wp:positionV>
            <wp:extent cx="7132955" cy="290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955" cy="290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-2613025</wp:posOffset>
            </wp:positionV>
            <wp:extent cx="7132955" cy="1536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480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154" w:lineRule="exact"/>
        <w:rPr>
          <w:sz w:val="20"/>
          <w:szCs w:val="20"/>
          <w:color w:val="auto"/>
        </w:rPr>
      </w:pPr>
    </w:p>
    <w:p>
      <w:pPr>
        <w:ind w:left="120" w:hanging="112"/>
        <w:spacing w:after="0"/>
        <w:tabs>
          <w:tab w:leader="none" w:pos="1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 of the total outstanding ordinary shares.</w:t>
      </w:r>
    </w:p>
    <w:p>
      <w:pPr>
        <w:spacing w:after="0" w:line="125" w:lineRule="exact"/>
        <w:rPr>
          <w:rFonts w:ascii="Times New Roman" w:cs="Times New Roman" w:eastAsia="Times New Roman" w:hAnsi="Times New Roman"/>
          <w:sz w:val="16"/>
          <w:szCs w:val="16"/>
          <w:color w:val="auto"/>
        </w:rPr>
      </w:pPr>
    </w:p>
    <w:p>
      <w:pPr>
        <w:ind w:left="640" w:right="160" w:hanging="513"/>
        <w:spacing w:after="0" w:line="264" w:lineRule="auto"/>
        <w:tabs>
          <w:tab w:leader="none" w:pos="6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7,940,434 ADSs beneficially owned, or that may be deemed to be beneficially owned, by Artisan Partners Limited Partnership (“APLP”), Artisan Investments GP LLC (“Artisan Investments”), Artisan Partners Holdings LP (“Artisan Holdings”), Artisan Partners Asset Management Inc. (“APAM”), and Artisan Partners Funds, Inc. (“Artisan Funds”) as reported by Amendment No. 2 to Schedule 13G filed on February 4, 2022. Artisan Holdings is the sole limited partner of APLP and the sole member of Artisan Investments; Artisan Investments is the general partner of APLP; APAM is the general partner of Artisan Holdings. APLP, Artisan Investments, Artisan Holdings and APAM have shared voting power over 6,830,520 shares and shared dispositive power over 7,940,434 shares. Artisan Funds has shared voting and dispositive power over 3,453,421 shares. The address of APLP, Artisan Investments, Artisan Holdings, APAM, and Artisan Funds is 875 East Wisconsin Avenue, Suite 800, Milwaukee, WI 53202.</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83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579" w:right="279" w:bottom="1440" w:gutter="0" w:footer="0" w:header="0"/>
        </w:sectPr>
      </w:pPr>
    </w:p>
    <w:bookmarkStart w:id="158" w:name="page159"/>
    <w:bookmarkEnd w:id="158"/>
    <w:p>
      <w:pPr>
        <w:ind w:left="520" w:right="80" w:hanging="513"/>
        <w:spacing w:after="0" w:line="267"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7,567,900 ADSs held by RA Capital Healthcare Fund, L.P. (the “RA Fund”) as reported by Amendment No. 11 to Schedule 13G filed with the SEC on February 14, 2022 by RA Capital Management, L.P. (“RA Capital”). RA Capital Healthcare Fund GP, LLC is the general partner of the RA Fund. The general partner of RA Capital is RA Capital Management GP, LLC, of which Peter Kolchinsky and Rajeev Shah are the controlling persons. RA Capital serves as investment adviser for the RA Fund and may be deemed a beneficial owner of ADSs held by the RA Fund. The RA Fund has delegated to RA Capital the sole power to vote and the sole power to dispose of all securities held in the RA Fund’s portfolio. Because the RA Fund has divested voting and investment power over the reported securities it holds and may not revoke that delegation on less than 61 days’ notice, the RA Fund disclaims beneficial ownership of the securities it holds and therefore disclaims any obligation to report ownership of the reported securities. As managers of RA Capital, Dr. Kolchinsky and Mr. Shah may be deemed beneficial owners of the ADSs beneficially owned by RA Capital. The address of the RA Fund, the RA Capital, Dr. Kolchinsky and Mr. Shah is c/o RA Capital Management, L.P., 200 Berkeley Street, 18th Floor, Boston, MA 02116.</w:t>
      </w:r>
    </w:p>
    <w:p>
      <w:pPr>
        <w:spacing w:after="0" w:line="81" w:lineRule="exact"/>
        <w:rPr>
          <w:rFonts w:ascii="Times New Roman" w:cs="Times New Roman" w:eastAsia="Times New Roman" w:hAnsi="Times New Roman"/>
          <w:sz w:val="16"/>
          <w:szCs w:val="16"/>
          <w:color w:val="auto"/>
        </w:rPr>
      </w:pPr>
    </w:p>
    <w:p>
      <w:pPr>
        <w:ind w:left="520" w:hanging="513"/>
        <w:spacing w:after="0" w:line="266"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5,355,943 ADSs beneficially owned, or that may be deemed to be beneficially owned, by FMR LLC, certain of its affiliates and other companies as reported on Amendment No. 8 to Schedule 13G filed on February 9, 2022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a wholly owned subsidiary of FMR LLC, which power resides with the Fidelity Funds’ Boards of Trustees. FMR Co carries out the voting of the shares under written guidelines established by the Fidelity Funds’ Boards of Trustees. FMR LLC has its principal business office at 245 Summer Street, Boston, MA 02210.</w:t>
      </w:r>
    </w:p>
    <w:p>
      <w:pPr>
        <w:spacing w:after="0" w:line="84" w:lineRule="exact"/>
        <w:rPr>
          <w:rFonts w:ascii="Times New Roman" w:cs="Times New Roman" w:eastAsia="Times New Roman" w:hAnsi="Times New Roman"/>
          <w:sz w:val="16"/>
          <w:szCs w:val="16"/>
          <w:color w:val="auto"/>
        </w:rPr>
      </w:pPr>
    </w:p>
    <w:p>
      <w:pPr>
        <w:jc w:val="both"/>
        <w:ind w:left="520" w:right="260" w:hanging="513"/>
        <w:spacing w:after="0" w:line="280"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4,761,193 ordinary shares and ADSs held by T. Rowe Price Associates, Inc. (“Price Associates”) as reported by Amendment No. 4 to Schedule 13G filed on February 14, 2022 by Price Associates. Price Associates, may be deemed to have sole power to vote over 1,596,799 shares and sole power to dispose of 4,761,193 shares. The address of Price Associates is 100 E. Pratt Street, Baltimore, Maryland 21202.</w:t>
      </w:r>
    </w:p>
    <w:p>
      <w:pPr>
        <w:spacing w:after="0" w:line="69" w:lineRule="exact"/>
        <w:rPr>
          <w:rFonts w:ascii="Times New Roman" w:cs="Times New Roman" w:eastAsia="Times New Roman" w:hAnsi="Times New Roman"/>
          <w:sz w:val="16"/>
          <w:szCs w:val="16"/>
          <w:color w:val="auto"/>
        </w:rPr>
      </w:pPr>
    </w:p>
    <w:p>
      <w:pPr>
        <w:ind w:left="520" w:right="20" w:hanging="513"/>
        <w:spacing w:after="0" w:line="269"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4,195,958 ADSs held by Baker Brothers Life Sciences, L.P. (“Life Sciences”) and (ii) 345,646 ADSs held by 667, L.P. (“667” and together with Life Sciences, the “Funds”) as reported on Amendment No. 4 to Schedule 13G filed on February 14, 2022 by Baker Bros. Advisors LP (the “Adviser”), Baker Bros. Advisors (GP) LLC (the “Adviser GP”), Felix J. Baker and Julian C. Baker (collectively, “Baker Bros.”). The Adviser GP, Felix J. Baker and Julian C. Baker as managing members of the Adviser GP, and the Adviser may be deemed to be beneficial owners of the ADSs directly held by the Funds. The Adviser GP is the sole general partner of the Adviser. Pursuant to the management agreements, as amended, among the Adviser, Life Sciences and 667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address of Baker Bros. is c/o Baker Bros. Advisors LP, 860 Washington Street,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 New York, NY 10014.</w:t>
      </w:r>
    </w:p>
    <w:p>
      <w:pPr>
        <w:spacing w:after="0" w:line="59" w:lineRule="exact"/>
        <w:rPr>
          <w:rFonts w:ascii="Times New Roman" w:cs="Times New Roman" w:eastAsia="Times New Roman" w:hAnsi="Times New Roman"/>
          <w:sz w:val="16"/>
          <w:szCs w:val="16"/>
          <w:color w:val="auto"/>
        </w:rPr>
      </w:pPr>
    </w:p>
    <w:p>
      <w:pPr>
        <w:ind w:left="520" w:right="120" w:hanging="513"/>
        <w:spacing w:after="0" w:line="274"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4,068,476 ADSs beneficially owned, or that may be deemed to be beneficially owned, by Wellington Management Group LLP (“Management Group”), certain of its affiliates and other companies as reported by Amendment No. 1 to Schedule 13G filed on February 4, 2022 by Management Group, Wellington Group Holdings LLP, Wellington Investment Advisors Holdings LLP and Wellington Management Global Holdings, Ltd. The address of the Management Group is 280 Congress Street, Boston, MA 02210.</w:t>
      </w:r>
    </w:p>
    <w:p>
      <w:pPr>
        <w:spacing w:after="0" w:line="74" w:lineRule="exact"/>
        <w:rPr>
          <w:rFonts w:ascii="Times New Roman" w:cs="Times New Roman" w:eastAsia="Times New Roman" w:hAnsi="Times New Roman"/>
          <w:sz w:val="16"/>
          <w:szCs w:val="16"/>
          <w:color w:val="auto"/>
        </w:rPr>
      </w:pPr>
    </w:p>
    <w:p>
      <w:pPr>
        <w:ind w:left="520" w:right="380" w:hanging="513"/>
        <w:spacing w:after="0" w:line="280"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3,219,965 ADSs beneficially owned, or that may be deemed to be beneficially owned, by Janus Henderson Group plc (“Janus Henderson”) as reported on Amendment No. 1 to Schedule 13G filed on February 10, 2022. The address of Janus Henderson is 201 Bishopsgate, EC2M 3AE, United Kingdom.</w:t>
      </w:r>
    </w:p>
    <w:p>
      <w:pPr>
        <w:spacing w:after="0" w:line="69" w:lineRule="exact"/>
        <w:rPr>
          <w:rFonts w:ascii="Times New Roman" w:cs="Times New Roman" w:eastAsia="Times New Roman" w:hAnsi="Times New Roman"/>
          <w:sz w:val="16"/>
          <w:szCs w:val="16"/>
          <w:color w:val="auto"/>
        </w:rPr>
      </w:pPr>
    </w:p>
    <w:p>
      <w:pPr>
        <w:ind w:left="520" w:right="140" w:hanging="513"/>
        <w:spacing w:after="0" w:line="296"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328,716 ordinary shares and ADSs beneficially owned by Mr. Mikkelsen, and (ii) 1,222,474 ordinary shares that may be subscribed pursuant to the exercise of warrants within 60 days of February 1, 2023 by Mr. Mikkelsen.</w:t>
      </w:r>
    </w:p>
    <w:p>
      <w:pPr>
        <w:spacing w:after="0" w:line="57" w:lineRule="exact"/>
        <w:rPr>
          <w:rFonts w:ascii="Times New Roman" w:cs="Times New Roman" w:eastAsia="Times New Roman" w:hAnsi="Times New Roman"/>
          <w:sz w:val="16"/>
          <w:szCs w:val="16"/>
          <w:color w:val="auto"/>
        </w:rPr>
      </w:pPr>
    </w:p>
    <w:p>
      <w:pPr>
        <w:ind w:left="520" w:right="100" w:hanging="513"/>
        <w:spacing w:after="0" w:line="296"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64,539 ordinary shares that may be subscribed pursuant to the exercise of warrants within 60 days of February 1, 2023 by Dr. Breinholt and (ii) 927 ADSs held by Dr. Breinholt.</w:t>
      </w:r>
    </w:p>
    <w:p>
      <w:pPr>
        <w:spacing w:after="0" w:line="57" w:lineRule="exact"/>
        <w:rPr>
          <w:rFonts w:ascii="Times New Roman" w:cs="Times New Roman" w:eastAsia="Times New Roman" w:hAnsi="Times New Roman"/>
          <w:sz w:val="16"/>
          <w:szCs w:val="16"/>
          <w:color w:val="auto"/>
        </w:rPr>
      </w:pPr>
    </w:p>
    <w:p>
      <w:pPr>
        <w:ind w:left="520" w:right="180" w:hanging="513"/>
        <w:spacing w:after="0" w:line="268" w:lineRule="auto"/>
        <w:tabs>
          <w:tab w:leader="none" w:pos="5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135,768 ordinary shares that may be subscribed pursuant to the exercise of warrants within 60 days of February 1, 2023 by Mr. Jensen and (ii) 927 ADSs held by Mr. Jensen.</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83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440" w:top="476" w:right="339" w:bottom="1440" w:gutter="0" w:footer="0" w:header="0"/>
        </w:sectPr>
      </w:pPr>
    </w:p>
    <w:bookmarkStart w:id="159" w:name="page160"/>
    <w:bookmarkEnd w:id="159"/>
    <w:p>
      <w:pPr>
        <w:ind w:left="640" w:right="120" w:hanging="513"/>
        <w:spacing w:after="0" w:line="280"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124,268 ordinary shares that may be subscribed pursuant to the exercise of warrants within 60 days of February 1, 2023 by Mr. Jensen, (ii) 927 ADSs held by Mr. Jensen and (iii) 1,000 ADSs held by MiWo Invest Aps ("MiWo Invest"). MiWo Invest is a personal investment company wholly-owned by Mr. Jensen.</w:t>
      </w:r>
    </w:p>
    <w:p>
      <w:pPr>
        <w:spacing w:after="0" w:line="69" w:lineRule="exact"/>
        <w:rPr>
          <w:rFonts w:ascii="Times New Roman" w:cs="Times New Roman" w:eastAsia="Times New Roman" w:hAnsi="Times New Roman"/>
          <w:sz w:val="16"/>
          <w:szCs w:val="16"/>
          <w:color w:val="auto"/>
        </w:rPr>
      </w:pPr>
    </w:p>
    <w:p>
      <w:pPr>
        <w:ind w:left="640" w:right="16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108,793 ordinary shares that may be subscribed pursuant to the exercise of warrants within 60 days of February 1, 2023 by Dr. Okkels and (ii) 927 ADSs held by Dr. Okkels.</w:t>
      </w:r>
    </w:p>
    <w:p>
      <w:pPr>
        <w:spacing w:after="0" w:line="57" w:lineRule="exact"/>
        <w:rPr>
          <w:rFonts w:ascii="Times New Roman" w:cs="Times New Roman" w:eastAsia="Times New Roman" w:hAnsi="Times New Roman"/>
          <w:sz w:val="16"/>
          <w:szCs w:val="16"/>
          <w:color w:val="auto"/>
        </w:rPr>
      </w:pPr>
    </w:p>
    <w:p>
      <w:pPr>
        <w:ind w:left="640" w:right="22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51,075 ordinary shares that may be subscribed pursuant to the exercise of warrants within 60 days of February 1, 2023 by Mr. Rasmussen and (ii) 195 ADSs held by Mr. Rasmussen.</w:t>
      </w:r>
    </w:p>
    <w:p>
      <w:pPr>
        <w:spacing w:after="0" w:line="57" w:lineRule="exact"/>
        <w:rPr>
          <w:rFonts w:ascii="Times New Roman" w:cs="Times New Roman" w:eastAsia="Times New Roman" w:hAnsi="Times New Roman"/>
          <w:sz w:val="16"/>
          <w:szCs w:val="16"/>
          <w:color w:val="auto"/>
        </w:rPr>
      </w:pPr>
    </w:p>
    <w:p>
      <w:pPr>
        <w:ind w:left="640" w:right="16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43,554 ordinary shares that may be subscribed pursuant to the exercise of warrants within 60 days of February 1, 2023 by Dr. Singel and (ii) 1,267 ADSs held by Dr. Singel.</w:t>
      </w:r>
    </w:p>
    <w:p>
      <w:pPr>
        <w:spacing w:after="0" w:line="57" w:lineRule="exact"/>
        <w:rPr>
          <w:rFonts w:ascii="Times New Roman" w:cs="Times New Roman" w:eastAsia="Times New Roman" w:hAnsi="Times New Roman"/>
          <w:sz w:val="16"/>
          <w:szCs w:val="16"/>
          <w:color w:val="auto"/>
        </w:rPr>
      </w:pPr>
    </w:p>
    <w:p>
      <w:pPr>
        <w:ind w:left="640" w:right="34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2,555 ordinary shares and ADSs held by Mr. Smith and (ii) 174,268 ordinary shares that may be subscribed pursuant to the exercise of warrants within 60 days of February 1, 2023 by Mr. Smith.</w:t>
      </w:r>
    </w:p>
    <w:p>
      <w:pPr>
        <w:spacing w:after="0" w:line="57" w:lineRule="exact"/>
        <w:rPr>
          <w:rFonts w:ascii="Times New Roman" w:cs="Times New Roman" w:eastAsia="Times New Roman" w:hAnsi="Times New Roman"/>
          <w:sz w:val="16"/>
          <w:szCs w:val="16"/>
          <w:color w:val="auto"/>
        </w:rPr>
      </w:pPr>
    </w:p>
    <w:p>
      <w:pPr>
        <w:ind w:left="640" w:right="6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177,304 ordinary shares that may be subscribed pursuant to the exercise of warrants within 60 days of February 1, 2023 by Ms. Sønderbjerg and (ii) 927 ADSs held by Ms. Sønderbjerg.</w:t>
      </w:r>
    </w:p>
    <w:p>
      <w:pPr>
        <w:spacing w:after="0" w:line="57" w:lineRule="exact"/>
        <w:rPr>
          <w:rFonts w:ascii="Times New Roman" w:cs="Times New Roman" w:eastAsia="Times New Roman" w:hAnsi="Times New Roman"/>
          <w:sz w:val="16"/>
          <w:szCs w:val="16"/>
          <w:color w:val="auto"/>
        </w:rPr>
      </w:pPr>
    </w:p>
    <w:p>
      <w:pPr>
        <w:ind w:left="64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1,927 ordinary shares and ADSs held by Dr. Sprogøe, (ii) 154,581 ordinary shares that may be subscribed pursuant to the exercise of warrants within 60 days of February 1, 2023 by Dr. Sprogøe and (iii) 30 ADSs held by family members of Dr. Sprogøe.</w:t>
      </w:r>
    </w:p>
    <w:p>
      <w:pPr>
        <w:spacing w:after="0" w:line="57" w:lineRule="exact"/>
        <w:rPr>
          <w:rFonts w:ascii="Times New Roman" w:cs="Times New Roman" w:eastAsia="Times New Roman" w:hAnsi="Times New Roman"/>
          <w:sz w:val="16"/>
          <w:szCs w:val="16"/>
          <w:color w:val="auto"/>
        </w:rPr>
      </w:pPr>
    </w:p>
    <w:p>
      <w:pPr>
        <w:ind w:left="640" w:right="14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82,086 ordinary shares that may be subscribed pursuant to the exercise of warrants within 60 days of February 1, 2023 by Dr. Volck, (ii) 463 ADSs held by Dr. Volck and (iii) 200 ADSs held by family members of Dr. Volck.</w:t>
      </w:r>
    </w:p>
    <w:p>
      <w:pPr>
        <w:spacing w:after="0" w:line="57" w:lineRule="exact"/>
        <w:rPr>
          <w:rFonts w:ascii="Times New Roman" w:cs="Times New Roman" w:eastAsia="Times New Roman" w:hAnsi="Times New Roman"/>
          <w:sz w:val="16"/>
          <w:szCs w:val="16"/>
          <w:color w:val="auto"/>
        </w:rPr>
      </w:pPr>
    </w:p>
    <w:p>
      <w:pPr>
        <w:ind w:left="640" w:right="2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93,828 ordinary shares that may be subscribed pursuant to the exercise of warrants within 60 days of February 1, 2023 by Dr. Cha and (ii) 195 ADSs held by Dr. Cha.</w:t>
      </w:r>
    </w:p>
    <w:p>
      <w:pPr>
        <w:spacing w:after="0" w:line="57" w:lineRule="exact"/>
        <w:rPr>
          <w:rFonts w:ascii="Times New Roman" w:cs="Times New Roman" w:eastAsia="Times New Roman" w:hAnsi="Times New Roman"/>
          <w:sz w:val="16"/>
          <w:szCs w:val="16"/>
          <w:color w:val="auto"/>
        </w:rPr>
      </w:pPr>
    </w:p>
    <w:p>
      <w:pPr>
        <w:ind w:left="640" w:right="24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48,933 ordinary shares that may be subscribed pursuant to the exercise of warrants within 60 days of February 1, 2023 by Ms. Bright and (ii) 195 ADSs held by Ms. Bright.</w:t>
      </w:r>
    </w:p>
    <w:p>
      <w:pPr>
        <w:spacing w:after="0" w:line="57" w:lineRule="exact"/>
        <w:rPr>
          <w:rFonts w:ascii="Times New Roman" w:cs="Times New Roman" w:eastAsia="Times New Roman" w:hAnsi="Times New Roman"/>
          <w:sz w:val="16"/>
          <w:szCs w:val="16"/>
          <w:color w:val="auto"/>
        </w:rPr>
      </w:pPr>
    </w:p>
    <w:p>
      <w:pPr>
        <w:ind w:left="640" w:right="220" w:hanging="513"/>
        <w:spacing w:after="0" w:line="296" w:lineRule="auto"/>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50,828 ordinary shares that may be subscribed pursuant to the exercise of warrants within 60 days of February 1, 2023 by Mr. Holtug and (ii) 446 ADSs held by Mr. Holtug.</w:t>
      </w:r>
    </w:p>
    <w:p>
      <w:pPr>
        <w:spacing w:after="0" w:line="57" w:lineRule="exact"/>
        <w:rPr>
          <w:rFonts w:ascii="Times New Roman" w:cs="Times New Roman" w:eastAsia="Times New Roman" w:hAnsi="Times New Roman"/>
          <w:sz w:val="16"/>
          <w:szCs w:val="16"/>
          <w:color w:val="auto"/>
        </w:rPr>
      </w:pPr>
    </w:p>
    <w:p>
      <w:pPr>
        <w:ind w:left="640" w:hanging="513"/>
        <w:spacing w:after="0"/>
        <w:tabs>
          <w:tab w:leader="none" w:pos="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15,674 ordinary shares that may be subscribed pursuant to the exercise of warrants within 60 days of February 1, 2023 by Dr. Tordjman.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Holders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February 1, 2023, assuming that all of our ordinary shares represented by ADSs are held by residents of the United States, 100% of our outstanding ordinary shares were held in the United States by two holders of record and none of our outstanding ordinary shares were held outside of the United States. At such date, there were outstanding 56,944,171 ADSs, each representing one of our ordinary shares, and in the aggregate representing 99.64% of our outstanding ordinary shares. At such date, there were two holders of record registered with the Bank of New York Mellon, depositary of the ADSs. The actual number of holders is greater than these numbers of record holders and includes beneficial owners whose ADSs are held in street name by brokers and other nominees. This number of holders of record also does not include holders whose shares may be held in trust by other entities.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20" w:lineRule="exact"/>
        <w:rPr>
          <w:sz w:val="20"/>
          <w:szCs w:val="20"/>
          <w:color w:val="auto"/>
        </w:rPr>
      </w:pPr>
    </w:p>
    <w:p>
      <w:pPr>
        <w:ind w:right="780"/>
        <w:spacing w:after="0" w:line="280" w:lineRule="auto"/>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since January 1, 2022 with any of our board members, our senior management, the owners of more than five percent of our share capital, and any other related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Warrant Grants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employment agreements with members of our senior management. Further, we have issued warrants to two new members of the board of directors. In addition, we are paying fees for board tenure and board committee tenure to the independent members of our board of directors. See “Item 6 B. Directors, Senior Management and Employees—Compensation” for more information.</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0"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We have entered into indemnification agreements with our board members and members of our senior management. See “Item 6 B. Directors, Senior Management and Employees—Compensation—Insurance and Indemnification” for a description of these indemnification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VISEN Pharmaceuticals</w:t>
      </w:r>
    </w:p>
    <w:p>
      <w:pPr>
        <w:spacing w:after="0" w:line="1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have provided research and development services to VISEN Pharmaceuticals (“VISEN”) under our Rights Agreements which will be reimbursed by VISEN. Further, under our Rights Agreements and clinical supply agreements, we have provided and agreed to provide product supply to VISEN for use in Greater China. In addition, under our cost sharing and volume commitment agreement with VISEN, we have invoiced VISEN’s share of project costs as stipulated by the contract.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quantitative details regarding transactions and outstanding balances with VISEN, please refer to Note 12, “Investment in Associate”.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6"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beginning on page F-1.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at present plan to pay cash dividends on our ordinary shares. Under Danish law, the distribution of ordinary and extraordinary dividends requires the approval of a company’s shareholders at a company’s general meeting. Under the Danish Companies Act the general meeting may authorise the board of directors to resolve to distribute extraordinary dividends after presentation of a company’s first financial statements. The authorisation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292"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21 “Subsequent Events” to the audited consolidated financial statements included elsewhere in this annual report.</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6"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ADS have been listed on The Nasdaq Global Select Market under the symbol “ASND” since January 28, 2015. Prior to that date, there was no public trading market for ADSs or our ordinary shares.</w:t>
      </w:r>
    </w:p>
    <w:p>
      <w:pPr>
        <w:spacing w:after="0" w:line="266"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 have been listed on The Nasdaq Global Select Market under the symbol “ASND” since January 28, 2015.</w:t>
      </w:r>
    </w:p>
    <w:p>
      <w:pPr>
        <w:spacing w:after="0" w:line="327"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6"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right="7500" w:firstLine="8"/>
        <w:spacing w:after="0" w:line="376" w:lineRule="auto"/>
        <w:tabs>
          <w:tab w:leader="none" w:pos="51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 Authorizations to Our Board of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2023, our board of directors is authorized to increase the share capital as follows:</w:t>
      </w:r>
    </w:p>
    <w:p>
      <w:pPr>
        <w:spacing w:after="0" w:line="116" w:lineRule="exact"/>
        <w:rPr>
          <w:sz w:val="20"/>
          <w:szCs w:val="20"/>
          <w:color w:val="auto"/>
        </w:rPr>
      </w:pPr>
    </w:p>
    <w:p>
      <w:pPr>
        <w:ind w:left="1020" w:right="180" w:hanging="504"/>
        <w:spacing w:after="0" w:line="280" w:lineRule="auto"/>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increase our share capital by up to 9,000,000 shares with pre-emptive subscription rights for existing shareholders in connection with cash contributions. This authorization is valid until May 28, 2024.</w:t>
      </w:r>
    </w:p>
    <w:p>
      <w:pPr>
        <w:spacing w:after="0" w:line="55" w:lineRule="exact"/>
        <w:rPr>
          <w:rFonts w:ascii="Times New Roman" w:cs="Times New Roman" w:eastAsia="Times New Roman" w:hAnsi="Times New Roman"/>
          <w:sz w:val="18"/>
          <w:szCs w:val="18"/>
          <w:color w:val="auto"/>
        </w:rPr>
      </w:pPr>
    </w:p>
    <w:p>
      <w:pPr>
        <w:ind w:left="1020" w:right="20" w:hanging="504"/>
        <w:spacing w:after="0" w:line="259" w:lineRule="auto"/>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at one or more times to increase our share capital by up to nominal DKK 6,125,000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This authorization is valid until May 27, 2026.</w:t>
      </w:r>
    </w:p>
    <w:p>
      <w:pPr>
        <w:spacing w:after="0" w:line="75" w:lineRule="exact"/>
        <w:rPr>
          <w:rFonts w:ascii="Times New Roman" w:cs="Times New Roman" w:eastAsia="Times New Roman" w:hAnsi="Times New Roman"/>
          <w:sz w:val="18"/>
          <w:szCs w:val="18"/>
          <w:color w:val="auto"/>
        </w:rPr>
      </w:pPr>
    </w:p>
    <w:p>
      <w:pPr>
        <w:ind w:left="1020" w:hanging="504"/>
        <w:spacing w:after="0" w:line="275" w:lineRule="auto"/>
        <w:tabs>
          <w:tab w:leader="none" w:pos="10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is authorized to issue 578,717 warrants and to increase our share capital by up to 578,717 shares without pre-emptive subscription rights for existing shareholders in connection with the exercise, if any, of said warrants and to determine the terms and conditions</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thereof. This authorization is valid until May 28, 2025.</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62" w:name="page163"/>
    <w:bookmarkEnd w:id="162"/>
    <w:p>
      <w:pPr>
        <w:ind w:left="1020" w:right="160" w:hanging="504"/>
        <w:spacing w:after="0" w:line="257" w:lineRule="auto"/>
        <w:tabs>
          <w:tab w:leader="none" w:pos="10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without pre-emptive rights for existing shareholders, authorized to obtain loans against issuance of convertible bonds which confer the right to subscribe up to 9,000,000 shares. The convertible bonds shall be offered at a subscription price and a conversion price that correspond in aggregate to at least the market price of the shares at the time of the decision of our board of directors to issue the convertible bonds. The loans shall be paid in cash and our board of directors shall determine the terms and conditions for the convertible bonds. This authorization is valid until May 29, 2027.</w:t>
      </w:r>
    </w:p>
    <w:p>
      <w:pPr>
        <w:spacing w:after="0" w:line="75" w:lineRule="exact"/>
        <w:rPr>
          <w:rFonts w:ascii="Times New Roman" w:cs="Times New Roman" w:eastAsia="Times New Roman" w:hAnsi="Times New Roman"/>
          <w:sz w:val="18"/>
          <w:szCs w:val="18"/>
          <w:color w:val="auto"/>
        </w:rPr>
      </w:pPr>
    </w:p>
    <w:p>
      <w:pPr>
        <w:ind w:left="1020" w:hanging="504"/>
        <w:spacing w:after="0" w:line="257" w:lineRule="auto"/>
        <w:tabs>
          <w:tab w:leader="none" w:pos="10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on one or more occasions authorized to issue 333,414 warrants to members of the executive management and employees, advisors and consultants of the company or our subsidiaries and to increase our share capital by up to 333,414 shares, without pre-emptive subscription rights for existing shareholders in connection with the exercise, if any, of said warrants and to determine the terms and conditions thereof. The exercise price for the warrants shall at least be equal to the market price of the shares at the time of issuance. This authorization is valid until May 27, 2026.</w:t>
      </w:r>
    </w:p>
    <w:p>
      <w:pPr>
        <w:spacing w:after="0" w:line="75" w:lineRule="exact"/>
        <w:rPr>
          <w:rFonts w:ascii="Times New Roman" w:cs="Times New Roman" w:eastAsia="Times New Roman" w:hAnsi="Times New Roman"/>
          <w:sz w:val="18"/>
          <w:szCs w:val="18"/>
          <w:color w:val="auto"/>
        </w:rPr>
      </w:pPr>
    </w:p>
    <w:p>
      <w:pPr>
        <w:ind w:left="1020" w:right="200" w:hanging="504"/>
        <w:spacing w:after="0" w:line="276" w:lineRule="auto"/>
        <w:tabs>
          <w:tab w:leader="none" w:pos="10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is on one or more occasions authorized to issue 1,000,000 warrants to members of the executive management and employees, advisors and consultants of the company or our subsidiaries and to increase our share capital by up to 1,000,000 shares, without pre-emptive subscription rights for existing shareholders in connection with the exercise, if any, of said warrants and to determine the terms and conditions thereof. The exercise price for the warrants shall be determined by the board of directors in consultation with the company’s advisors and shall at least be equal to the market price of the shares at the time of issuance. This authorization is valid until May 29, 2027.</w:t>
      </w:r>
    </w:p>
    <w:p>
      <w:pPr>
        <w:spacing w:after="0" w:line="167"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17"/>
          <w:szCs w:val="17"/>
          <w:color w:val="auto"/>
        </w:rPr>
        <w:t>If our board of directors exercises its authorizations in full, and all warrants and convertible debt instruments are exercised fully (not including already issued warrants), then our share capital will amount to 83,189,426 shares consisting of 83,189,426 shares with a nominal value of DKK 1 each.</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 Register</w:t>
      </w:r>
    </w:p>
    <w:p>
      <w:pPr>
        <w:spacing w:after="0" w:line="11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are obligated to maintain an owners’ register (in Danish: </w:t>
      </w:r>
      <w:r>
        <w:rPr>
          <w:rFonts w:ascii="Times New Roman" w:cs="Times New Roman" w:eastAsia="Times New Roman" w:hAnsi="Times New Roman"/>
          <w:sz w:val="18"/>
          <w:szCs w:val="18"/>
          <w:i w:val="1"/>
          <w:iCs w:val="1"/>
          <w:color w:val="auto"/>
        </w:rPr>
        <w:t>ejerbog</w:t>
      </w:r>
      <w:r>
        <w:rPr>
          <w:rFonts w:ascii="Times New Roman" w:cs="Times New Roman" w:eastAsia="Times New Roman" w:hAnsi="Times New Roman"/>
          <w:sz w:val="18"/>
          <w:szCs w:val="18"/>
          <w:color w:val="auto"/>
        </w:rPr>
        <w:t>). The owners’ register is maintained by Computershare A/S (Company Registration (CVR) no. 27088899), our Danish share registrar. It is mandatory that the owners’ register is maintained within the European Union and that it is available to public authorities.</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and Danish Corporate Law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articles of association, the following should be emphasized: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Clause</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Provisions Regarding the Board of Directors and the Executive Board</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our articles of association, our board of directors shall be elected by our shareholders at the general meeting and shall be composed of not less than three and no more than ten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2021 for a term expiring at the annual general meeting to be held in 2023; and a second class of directors (“Class II”) who were elected at the annual general meeting held in 2022 for a term expiring at the annual general meeting to be held in 2024. Member of Class I Dr. James I. Healy, M.D., Ph.D., resigned from the board of directors with effect as of May 30, 2022. On September 9, 2022 Siham Imani and William Carl Fairey Jr. were elected as new members of the board of directors in Class I for a term expiring at the annual general meeting to be held in 2023.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90"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7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3"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See “Item 10 E. Additional Information—Taxation” for a summary of certain tax consequences in respect of dividends or distributions to holders of our ordinary shares or the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Subscription Rights</w:t>
      </w:r>
    </w:p>
    <w:p>
      <w:pPr>
        <w:spacing w:after="0" w:line="12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164" w:name="page165"/>
    <w:bookmarkEnd w:id="164"/>
    <w:p>
      <w:pPr>
        <w:ind w:right="860"/>
        <w:spacing w:after="0" w:line="280" w:lineRule="auto"/>
        <w:rPr>
          <w:sz w:val="20"/>
          <w:szCs w:val="20"/>
          <w:color w:val="auto"/>
        </w:rPr>
      </w:pPr>
      <w:r>
        <w:rPr>
          <w:rFonts w:ascii="Times New Roman" w:cs="Times New Roman" w:eastAsia="Times New Roman" w:hAnsi="Times New Roman"/>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future issuances of new shares and/or pre-emptive rights are registered under the Securities Act or with any authority outside Denmark,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shareholders in jurisdictions outside Denmark may be unable to exercise their pre-emptive subscription rights.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on Liquidation</w:t>
      </w:r>
    </w:p>
    <w:p>
      <w:pPr>
        <w:spacing w:after="0" w:line="12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Holding of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on the right to hold shares under the articles of association or Danish law.</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to Capital Calls by Us</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Under our articles of association as well as the Danish Companies Act, our shareholders are not obligated to pay further amounts to us. All our shares are fully-paid.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 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or similar obligations relating to our ordinary shares.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Requirements</w:t>
      </w:r>
    </w:p>
    <w:p>
      <w:pPr>
        <w:spacing w:after="0" w:line="1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5%, 10%, 15%, 20%, 25%, 50%, 90% or 100%, or 1/3 or 2/3 are reached or no longer reached. The notification shall be given within two weeks following the date when the limits are reached or are no longer reached.</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notification shall provide information on the date of the acquisition or disposal of the shares, the full name, civil registration (CPR) number, and address of the shareholder or, in the case of an enterprise, registered office and business registration (CVR) number, the number of shares and their nominal value and share classes (if applicable) as well as information about the basis on which the calculation of the holdings has been made. In the event that the shareholder is a non-resident company or citizen of Denmark, the notification shall include documentation, which clearly identifies the owner. The company shall cause the notification to be entered in the owners’ register.</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83" w:lineRule="exact"/>
        <w:rPr>
          <w:sz w:val="20"/>
          <w:szCs w:val="20"/>
          <w:color w:val="auto"/>
        </w:rPr>
      </w:pPr>
    </w:p>
    <w:p>
      <w:pPr>
        <w:jc w:val="center"/>
        <w:ind w:right="540"/>
        <w:spacing w:after="0" w:line="280" w:lineRule="auto"/>
        <w:rPr>
          <w:sz w:val="20"/>
          <w:szCs w:val="20"/>
          <w:color w:val="auto"/>
        </w:rPr>
      </w:pPr>
      <w:r>
        <w:rPr>
          <w:rFonts w:ascii="Times New Roman" w:cs="Times New Roman" w:eastAsia="Times New Roman" w:hAnsi="Times New Roman"/>
          <w:sz w:val="18"/>
          <w:szCs w:val="18"/>
          <w:color w:val="auto"/>
        </w:rPr>
        <w:t>The legal status of the notification obligations is not fully clarified in relation to ADS holders and an ADS holder may be subject to such obligations. 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83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shareholders is the highest authority in all matters, subject to the limitations provided by Danish law and the articles of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shall be held in the Greater Copenhagen area not later than the end of May in each year.</w:t>
      </w:r>
    </w:p>
    <w:p>
      <w:pPr>
        <w:spacing w:after="0" w:line="20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At the annual general meeting, the audited annual report is submitted for approval, together with the proposed appropriation of profit/treatment of loss, the election of the board of directors and election of our auditors. In addition, the board of directors reports on our activities during the past year.</w:t>
      </w:r>
    </w:p>
    <w:p>
      <w:pPr>
        <w:spacing w:after="0" w:line="16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spacing w:after="0" w:line="17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At the latest, two weeks before a general meeting (inclusive of the day of the general meeting), we shall make the following information and documents available on our website:</w:t>
      </w:r>
    </w:p>
    <w:p>
      <w:pPr>
        <w:spacing w:after="0" w:line="55" w:lineRule="exact"/>
        <w:rPr>
          <w:sz w:val="20"/>
          <w:szCs w:val="20"/>
          <w:color w:val="auto"/>
        </w:rPr>
      </w:pPr>
    </w:p>
    <w:p>
      <w:pPr>
        <w:ind w:left="1020" w:hanging="504"/>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convening notice,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that shall be presented at the general meeting, which will in case of the annual general meeting include the annual report,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and the complete proposals.</w:t>
      </w:r>
    </w:p>
    <w:p>
      <w:pPr>
        <w:spacing w:after="0" w:line="2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w:t>
      </w:r>
    </w:p>
    <w:p>
      <w:pPr>
        <w:spacing w:after="0" w:line="187"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not entitled to directly receive notices or other materials or to attend or vote at general meetings.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Resolutions in General Meetings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2" w:right="3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0"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 Out</w:t>
      </w:r>
    </w:p>
    <w:p>
      <w:pPr>
        <w:spacing w:after="0" w:line="1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According to Section 70 of the Danish Companies Act, shares in a company may be redeemed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Danish Rules Intended to Prevent Market Abuse</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w:t>
      </w:r>
    </w:p>
    <w:p>
      <w:pPr>
        <w:spacing w:after="0" w:line="120"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third-parties for acting in violation of the articles of association and Danish law.</w:t>
      </w:r>
    </w:p>
    <w:p>
      <w:pPr>
        <w:spacing w:after="0" w:line="1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third-parties.</w:t>
      </w:r>
    </w:p>
    <w:p>
      <w:pPr>
        <w:spacing w:after="0" w:line="17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8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83" w:lineRule="exact"/>
        <w:rPr>
          <w:sz w:val="20"/>
          <w:szCs w:val="20"/>
          <w:color w:val="auto"/>
        </w:rPr>
      </w:pPr>
    </w:p>
    <w:p>
      <w:pPr>
        <w:ind w:left="5480" w:right="1200" w:hanging="5481"/>
        <w:spacing w:after="0" w:line="280" w:lineRule="auto"/>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83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Comparison of Danish Corporate Law and Our Articles of Association and Delaware Corporate Law</w:t>
      </w:r>
    </w:p>
    <w:p>
      <w:pPr>
        <w:spacing w:after="0" w:line="120"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The following comparison between Danish corporate law, which applies to us, and Delaware corporate law, the law under which many publicly traded companies in the United States are incorporated, discusses additional matters not otherwise described in this annual report. This summary is subject to Danish law, including the Danish Companies Act, and Delaware corporate law, including the Delaware General Corporation Law.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Board Members</w:t>
      </w:r>
    </w:p>
    <w:p>
      <w:pPr>
        <w:spacing w:after="0" w:line="11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Public limited liability companies in Denmark are usually subject to a two-tier governance structure with the board of directors having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 responsibility for the overall supervision and strategic management of the company in question and with an executive board/management being responsible for the day-to-day operations.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a Delaware corporation owe fiduciary duties of care and loyalty to the corporation and to its stockholders. Delaware courts have decided that the directors of a Delaware corporation are required to exercise informed business judgement in the performance of their duties. Informed business judgement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Members of Our Board of Directors</w:t>
      </w:r>
    </w:p>
    <w:p>
      <w:pPr>
        <w:spacing w:after="0" w:line="11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members of the board of directors of a limited liability company are generally appointed for an individual term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general meeting, shareholders are entitled at all times to dismiss a board member by a simple majority vote.</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company currently employs more than an average of 35 employees and has done so since 2016. Consequently, from 2018, our employees will be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8" w:name="page169"/>
    <w:bookmarkEnd w:id="168"/>
    <w:p>
      <w:pPr>
        <w:spacing w:after="0" w:line="259" w:lineRule="auto"/>
        <w:rPr>
          <w:sz w:val="20"/>
          <w:szCs w:val="20"/>
          <w:color w:val="auto"/>
        </w:rPr>
      </w:pPr>
      <w:r>
        <w:rPr>
          <w:rFonts w:ascii="Times New Roman" w:cs="Times New Roman" w:eastAsia="Times New Roman" w:hAnsi="Times New Roman"/>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Ascendis Pharma Endocrinology, Inc., Ascendis Pharma GmbH, and Ascendis Pharma Endocrinology GmbH may only demand representation on our board of directors provided that our general meeting adopts a resolution to that effect.</w:t>
      </w:r>
    </w:p>
    <w:p>
      <w:pPr>
        <w:spacing w:after="0" w:line="18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 into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 Vacancies</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in the event of a vacancy, new board members are elected by the shareholders in a general meeting. Thus, a general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to be convened to fill a vacancy on the board of directors. However, the board of directors may choose to wait to fill vacancies until the next annual general meeting of the company, provided that the number of the remaining board members is more than two, and provided that the remaining board members can still constitute a quorum. It is only a statutory requirement to convene a general meeting to fill vacancies if the number of remaining members on the board is less than three.</w:t>
      </w:r>
    </w:p>
    <w:p>
      <w:pPr>
        <w:spacing w:after="0" w:line="18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that vacancies and newly created directorships may be filled by a majority of the directors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Conflict-of-Interest Transactions</w:t>
      </w:r>
    </w:p>
    <w:p>
      <w:pPr>
        <w:spacing w:after="0" w:line="1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board members may not take part in any matter or decision-making that involves a subject or transaction in relation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member has a conflict of interest with us.</w:t>
      </w:r>
    </w:p>
    <w:p>
      <w:pPr>
        <w:spacing w:after="0" w:line="15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permits transactions involving a Delaware corporation and an interested director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if:</w:t>
      </w:r>
    </w:p>
    <w:p>
      <w:pPr>
        <w:spacing w:after="0" w:line="54" w:lineRule="exact"/>
        <w:rPr>
          <w:sz w:val="20"/>
          <w:szCs w:val="20"/>
          <w:color w:val="auto"/>
        </w:rPr>
      </w:pPr>
    </w:p>
    <w:p>
      <w:pPr>
        <w:ind w:left="1020" w:hanging="504"/>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and a majority of disinterested directors’ consent;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as to the director’s relationship or interest and a majority of shares entitled to vote thereon consent; or</w:t>
      </w:r>
    </w:p>
    <w:p>
      <w:pPr>
        <w:spacing w:after="0" w:line="115" w:lineRule="exact"/>
        <w:rPr>
          <w:rFonts w:ascii="Times New Roman" w:cs="Times New Roman" w:eastAsia="Times New Roman" w:hAnsi="Times New Roman"/>
          <w:sz w:val="18"/>
          <w:szCs w:val="18"/>
          <w:color w:val="auto"/>
        </w:rPr>
      </w:pPr>
    </w:p>
    <w:p>
      <w:pPr>
        <w:ind w:left="1020" w:right="380" w:hanging="504"/>
        <w:spacing w:after="0" w:line="280"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by Board Members</w:t>
      </w:r>
    </w:p>
    <w:p>
      <w:pPr>
        <w:spacing w:after="0" w:line="118"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In the event that a board member in a Danish limited liability company is unable to participate in a board meeting, the elected alternate,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Meeting</w:t>
      </w:r>
    </w:p>
    <w:p>
      <w:pPr>
        <w:spacing w:after="0" w:line="11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general meetings in limited liability companies shall be convened by the board of directors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w:t>
      </w:r>
    </w:p>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Delaware law, unless otherwise provided in the certificate of incorporation or bylaws, written notice of any meeting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given to each stockholder entitled to vote at the meeting not less than ten nor more than 60 days before the date of the meeting and shall specify the place, date, hour, and purpose or purposes of the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Each ordinary share confers the right to cast one vote at the general meeting of shareholders, unless the articles of association provide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of ordinary shares may cast as many votes as it holds shares. Shares that are held by the company or its subsidiaries do not confer the right to vote.</w:t>
      </w:r>
    </w:p>
    <w:p>
      <w:pPr>
        <w:spacing w:after="0" w:line="17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extraordinary general meetings of shareholders will be held whenever required by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appointed auditor.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1"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of stockholders.</w:t>
      </w:r>
    </w:p>
    <w:p>
      <w:pPr>
        <w:spacing w:after="0" w:line="22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permissible for shareholders to take action and pass resolutions by written consent in the event of unanimity;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will normally not be the case in listed companies and for a listed company, this method of adopting resolutions is generally not feasible.</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The concept of appraisal rights does not exist under Danish law, except in connection with statutory redemptions rights according to the Danish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w:t>
      </w:r>
    </w:p>
    <w:p>
      <w:pPr>
        <w:spacing w:after="0" w:line="16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 judicially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fair value of the stockholder’s shares, in connection with certain mergers and consolidations.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only a company itself can bring a civil action against a third-party; an individual shareholder does not have the right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Danish limited liability companies may not subscribe for newly issued shares in their own capital. Such company may, however, according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1" w:name="page172"/>
    <w:bookmarkEnd w:id="171"/>
    <w:p>
      <w:pPr>
        <w:ind w:right="24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 may purchase or redeem its own shares unless the capital of the corporation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1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possible to implement limited protective anti-takeover measures. Such provisions may include, among other things,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share classes with different voting rights, (ii) specific requirements to register the shares named in the company’s owners register and (iii) notification requirements concerning participation in general meetings. The Company has currently not adopted any such provisions.</w:t>
      </w:r>
    </w:p>
    <w:p>
      <w:pPr>
        <w:spacing w:after="0" w:line="17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68" w:lineRule="exact"/>
        <w:rPr>
          <w:sz w:val="20"/>
          <w:szCs w:val="20"/>
          <w:color w:val="auto"/>
        </w:rPr>
      </w:pPr>
    </w:p>
    <w:p>
      <w:pPr>
        <w:ind w:left="1020" w:right="200" w:hanging="504"/>
        <w:spacing w:after="0" w:line="280"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stockholder is approved by the board of directors of the target prior to the transaction;</w:t>
      </w:r>
    </w:p>
    <w:p>
      <w:pPr>
        <w:spacing w:after="0" w:line="55"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67" w:lineRule="exact"/>
        <w:rPr>
          <w:rFonts w:ascii="Times New Roman" w:cs="Times New Roman" w:eastAsia="Times New Roman" w:hAnsi="Times New Roman"/>
          <w:sz w:val="18"/>
          <w:szCs w:val="18"/>
          <w:color w:val="auto"/>
        </w:rPr>
      </w:pPr>
    </w:p>
    <w:p>
      <w:pPr>
        <w:ind w:left="1020" w:right="340" w:hanging="504"/>
        <w:spacing w:after="0" w:line="280"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twelve months following its adoption.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11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Section 150 of the Danish Companies Act, a shareholder may request an inspection of the company’s books regarding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7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stockholder may inspect certain of the corporation’s books and records, for any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during the corporation’s usual hours of business.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shareholders have pre-emptive subscription rights in connection with capital increases that are carried out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8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board of directors may resolve to increase the company’s share capital without pre-emptive subscription rights for existing shareholders pursuant to the authorizations described above under the caption “Authorizations to Our Board of Directors.”</w:t>
      </w:r>
    </w:p>
    <w:p>
      <w:pPr>
        <w:spacing w:after="0" w:line="16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6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such stock unless, and to the extent that, such rights are expressly provided for in the certificate of incorporation.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distribution of ordinary and extraordinary dividends requires the approval of a company’s shareholders at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Under the Danish Companies Act the general meeting may authorize the board of directors to resolve to distribute extraordinary dividends after presentation of a company’s first financial statements. The authorization may be subject to financial and time restrictions. The shareholders may not distribute dividends in excess of the recommendation from the board of directors and may only pay out dividends from the company’s distributable reserves, which are defined as results from operations carried forward and reserves that are not bound by law after deduction of loss carried forward.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Delaware corporation may pay dividends out of its surplus (the excess of net assets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Vote on Certain Reorganizations</w:t>
      </w:r>
    </w:p>
    <w:p>
      <w:pPr>
        <w:spacing w:after="0" w:line="11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amendments to the articles of association shall be approved by the general meeting of shareholders with a minimum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5" w:right="399" w:bottom="1440" w:gutter="0" w:footer="0" w:header="0"/>
        </w:sectPr>
      </w:pPr>
    </w:p>
    <w:bookmarkStart w:id="173" w:name="page174"/>
    <w:bookmarkEnd w:id="173"/>
    <w:p>
      <w:pPr>
        <w:jc w:val="both"/>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Governing Documents</w:t>
      </w:r>
    </w:p>
    <w:p>
      <w:pPr>
        <w:spacing w:after="0" w:line="1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All resolutions made by the general meeting may be adopted by a simple majority of the votes, subject only to the mandatory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8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i w:val="1"/>
          <w:iCs w:val="1"/>
          <w:color w:val="auto"/>
        </w:rPr>
        <w:t>Delaware</w:t>
      </w:r>
      <w:r>
        <w:rPr>
          <w:rFonts w:ascii="Times New Roman" w:cs="Times New Roman" w:eastAsia="Times New Roman" w:hAnsi="Times New Roman"/>
          <w:sz w:val="17"/>
          <w:szCs w:val="17"/>
          <w:color w:val="auto"/>
        </w:rPr>
        <w:t>. Under the Delaware General Corporation Law, a corporation’s certificate of incorporation may be amended only if adopted and declared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263"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2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Except as otherwise disclosed in this annual report (including the Exhibits), we are not currently party to any material contract, other than contracts entered into in the ordinary course of business.</w:t>
      </w:r>
    </w:p>
    <w:p>
      <w:pPr>
        <w:spacing w:after="0" w:line="266"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no laws or regulation in Denmark that restrict the export or import of capital (except for certain investments in certain domains in accordance with applicable resolutions by the United Nations or the European Union), including, but not limited to, foreign exchange controls, or which affect the remittance of dividends, interest or other payments to non-resident holders of our ordinary shares.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4" w:name="page175"/>
    <w:bookmarkEnd w:id="174"/>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Danish Tax Considerations</w:t>
      </w:r>
    </w:p>
    <w:p>
      <w:pPr>
        <w:spacing w:after="0" w:line="11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discussion describes the material Danish tax consequences under present law of an investment in the ADSs (representing our ordinary shares). The summary is for general information only and does not purport to constitute exhaustive tax or legal advice. It is specifically noted that the summary does not address all possible tax consequences relating to an investment in the ADSs. The summary is based solely on the tax laws of Denmark in effect on the date of this annual report. Danish tax laws may be subject to change, possibly with retroactive effect.</w:t>
      </w:r>
    </w:p>
    <w:p>
      <w:pPr>
        <w:spacing w:after="0" w:line="7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summary does not cover investors to whom special tax rules apply, and, therefore, may not be relevant, for example, to investors subject to the Danish Tax on Pension Yields 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pension savings), professional investors, certain institutional investors, insurance companies, pension companies, banks, stockbrokers and investors with tax liability on return on pension investments. The summary does not cover taxation of individuals and companies who carry on a business of purchasing and selling shares. The summary only sets out the tax position of the direct owners of the ADSs and further assumes that the direct investors are the beneficial owners of the ADSs and any dividends thereon. Sales are assumed to be sales to a third party.</w:t>
      </w:r>
    </w:p>
    <w:p>
      <w:pPr>
        <w:spacing w:after="0" w:line="18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Potential investors in the ADSs are advised to consult their tax advisors regarding the applicable tax consequences of acquiring, holding and disposing of the ADSs based on their particular circumstances.</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Investors who may be affected by the tax laws of other jurisdictions should consult their tax advisors with respect to the tax consequences applicable to their particular circumstances as such consequences may differ significantly from those described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Characterization of the ADSs</w:t>
      </w:r>
    </w:p>
    <w:p>
      <w:pPr>
        <w:spacing w:after="0" w:line="12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It is currently not clear under the Danish tax legislation how listed ADSs issued by Danish resident companies in general are to be treated for Danish tax purposes.</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However, we obtained a tax ruling on June 21, 2022, from the Danish Tax Council which confirmed that ADSs issued by us are shares for Danish tax purposes. Based on an analysis of the terms of the Deposit Agreement between 1) the holders of ADSs, 2) Ascendis Pharma A/S and 3) Bank of New York Mellon, the Danish Tax Council found that the voting and economic rights attached to the underlying shares had effectively been transferred to the ADS holders and therefore, the ADSs qualified as shares for Danish tax purposes. The ruling is binding on the Danish tax authorities for 5 years as long as the facts remain as described in the ruling for the duration of the 5-year period and in the absence of a change of law. The ruling further confirmed that the ADSs are to be considered listed shares, as the ADSs are listed on Nasdaq. Accordingly, the remainder of this Danish tax discussion assumes that the ADSs will be treated as listed shares for Danish tax purposes.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Danish Tax Resident Holders of the ADSs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(Individuals)</w:t>
      </w:r>
    </w:p>
    <w:p>
      <w:pPr>
        <w:spacing w:after="0" w:line="118" w:lineRule="exact"/>
        <w:rPr>
          <w:sz w:val="20"/>
          <w:szCs w:val="20"/>
          <w:color w:val="auto"/>
        </w:rPr>
      </w:pPr>
    </w:p>
    <w:p>
      <w:pPr>
        <w:jc w:val="both"/>
        <w:ind w:right="180"/>
        <w:spacing w:after="0" w:line="279" w:lineRule="auto"/>
        <w:rPr>
          <w:sz w:val="20"/>
          <w:szCs w:val="20"/>
          <w:color w:val="auto"/>
        </w:rPr>
      </w:pPr>
      <w:r>
        <w:rPr>
          <w:rFonts w:ascii="Times New Roman" w:cs="Times New Roman" w:eastAsia="Times New Roman" w:hAnsi="Times New Roman"/>
          <w:sz w:val="17"/>
          <w:szCs w:val="17"/>
          <w:color w:val="auto"/>
        </w:rPr>
        <w:t>For individual investors in 2022, gains from the sale of shares are included in the computation of the annual share income subject to 27% tax on the first DKK 58,900 (for cohabiting spouses, a total of DKK 117,800) and at a rate of 42% on share income exceeding DKK 58,900 (for cohabiting spouses over DKK 117,800). Such amounts are subject to annual adjustment and include all share income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all capital gains and dividends derived by the individual or cohabiting spouses, respectively). The realization principle applies; i.e. the gains or losses are included in the income in the year of disposal.</w:t>
      </w:r>
    </w:p>
    <w:p>
      <w:pPr>
        <w:spacing w:after="0" w:line="16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Gains and losses on the sale of shares are calculated as the difference between the purchase price and the sales price. The purchase price is generally determined using the average method (in Danish “gennemsnitsmetoden”) as a proportionate part of the aggregate purchase price for all the shareholder’s shares in the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5" w:name="page176"/>
    <w:bookmarkEnd w:id="175"/>
    <w:p>
      <w:pPr>
        <w:ind w:right="60"/>
        <w:spacing w:after="0" w:line="257" w:lineRule="auto"/>
        <w:rPr>
          <w:sz w:val="20"/>
          <w:szCs w:val="20"/>
          <w:color w:val="auto"/>
        </w:rPr>
      </w:pPr>
      <w:r>
        <w:rPr>
          <w:rFonts w:ascii="Times New Roman" w:cs="Times New Roman" w:eastAsia="Times New Roman" w:hAnsi="Times New Roman"/>
          <w:sz w:val="18"/>
          <w:szCs w:val="18"/>
          <w:color w:val="auto"/>
        </w:rPr>
        <w:t>As the ADSs, for the purpose of this tax description, are considered listed shares for Danish tax purposes, losses may be offset against received dividends and capital gains on listed shares. Unused losses will automatically be offset against a cohabiting spouse’s dividends and capital gains on listed shares. Any unused losses can be carried forward. It is a requirement for offsetting of losses, that the ADS holder (or the ADS holder’s custodian bank) has declared the acquisition of the shares in the tax return for the year of acquisition. Such declaration must specify the identity of the ADS, the number of ADS acquired, the acquisition sum and the date of acquisition.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(Companies)</w:t>
      </w:r>
    </w:p>
    <w:p>
      <w:pPr>
        <w:spacing w:after="0" w:line="11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For the purpose of taxation of sales of shares made by shareholders (Companies), a distinction is made between Subsidiary Shares, Group Shares, Tax-Exempt Portfolio Shares and Taxable Portfolio Shares (note that the ownership threshold described below is applied on the basis of the number of all shares issued by the company, and not on the basis of the number of the ADSs issued):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“Subsidiary Shares” </w:t>
      </w:r>
      <w:r>
        <w:rPr>
          <w:rFonts w:ascii="Times New Roman" w:cs="Times New Roman" w:eastAsia="Times New Roman" w:hAnsi="Times New Roman"/>
          <w:sz w:val="18"/>
          <w:szCs w:val="18"/>
          <w:color w:val="auto"/>
        </w:rPr>
        <w:t>are generally defined as shares owned by a shareholder holding at least 10% of the nominal share capital of the issuing company.</w:t>
      </w:r>
    </w:p>
    <w:p>
      <w:pPr>
        <w:spacing w:after="0" w:line="23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“Group Shares” </w:t>
      </w:r>
      <w:r>
        <w:rPr>
          <w:rFonts w:ascii="Times New Roman" w:cs="Times New Roman" w:eastAsia="Times New Roman" w:hAnsi="Times New Roman"/>
          <w:sz w:val="18"/>
          <w:szCs w:val="18"/>
          <w:color w:val="auto"/>
        </w:rPr>
        <w:t>are generally defined as shares in a company in which the shareholder of the company and the issuing company are subject to Danish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taxation or fulfill the requirements for international joint taxation under Danish law (i.e., the company is controlled by the shareholder).</w:t>
      </w:r>
    </w:p>
    <w:p>
      <w:pPr>
        <w:spacing w:after="0" w:line="15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“Tax-Exempt Portfolio Shares” </w:t>
      </w:r>
      <w:r>
        <w:rPr>
          <w:rFonts w:ascii="Times New Roman" w:cs="Times New Roman" w:eastAsia="Times New Roman" w:hAnsi="Times New Roman"/>
          <w:sz w:val="18"/>
          <w:szCs w:val="18"/>
          <w:color w:val="auto"/>
        </w:rPr>
        <w:t>are defined as shares not admitted to trading on a regulated market owned by a shareholder holding less than 10%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nominal share capital of the issuing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“Taxable Portfolio Shares” </w:t>
      </w:r>
      <w:r>
        <w:rPr>
          <w:rFonts w:ascii="Times New Roman" w:cs="Times New Roman" w:eastAsia="Times New Roman" w:hAnsi="Times New Roman"/>
          <w:sz w:val="18"/>
          <w:szCs w:val="18"/>
          <w:color w:val="auto"/>
        </w:rPr>
        <w:t>are defined as shares that do not qualify as Subsidiary Shares, Group Shares or Tax-Exempt Portfolio Shares.</w:t>
      </w:r>
    </w:p>
    <w:p>
      <w:pPr>
        <w:spacing w:after="0" w:line="225" w:lineRule="exact"/>
        <w:rPr>
          <w:sz w:val="20"/>
          <w:szCs w:val="20"/>
          <w:color w:val="auto"/>
        </w:rPr>
      </w:pPr>
    </w:p>
    <w:p>
      <w:pPr>
        <w:ind w:right="740"/>
        <w:spacing w:after="0" w:line="280" w:lineRule="auto"/>
        <w:rPr>
          <w:sz w:val="20"/>
          <w:szCs w:val="20"/>
          <w:color w:val="auto"/>
        </w:rPr>
      </w:pPr>
      <w:r>
        <w:rPr>
          <w:rFonts w:ascii="Times New Roman" w:cs="Times New Roman" w:eastAsia="Times New Roman" w:hAnsi="Times New Roman"/>
          <w:sz w:val="18"/>
          <w:szCs w:val="18"/>
          <w:color w:val="auto"/>
        </w:rPr>
        <w:t>Gains or losses on disposal of Subsidiary Shares and Group Shares and Tax-Exempt Portfolio Shares are not included in the taxable income of the shareholder.</w:t>
      </w:r>
    </w:p>
    <w:p>
      <w:pPr>
        <w:spacing w:after="0" w:line="16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Special rules apply with respect to Subsidiary Shares and Group Shares to prevent exemption through certain holding company structures just as other anti-avoidance rules may apply. These rules will not be described in further detail.</w:t>
      </w:r>
    </w:p>
    <w:p>
      <w:pPr>
        <w:spacing w:after="0" w:line="163"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7"/>
          <w:szCs w:val="17"/>
          <w:color w:val="auto"/>
        </w:rPr>
        <w:t>Capital gains from the sale of Taxable Portfolio Shares are taxable at a rate of 22% irrespective of ownership period. Losses on such shares are generally deductible. Gains and losses on Taxable Portfolio Shares are generally taxable according to the mark-to-market principle (in Danish “lagerprincippet”).</w:t>
      </w:r>
    </w:p>
    <w:p>
      <w:pPr>
        <w:spacing w:after="0" w:line="139"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According to the mark-to-market principle, each year’s taxable gain or loss on Taxable Portfolio Shares is calculated as the difference between the market value of the shares at the beginning and end of the tax year. Thus, taxation will take place on an accrual basis even if no shares have been disposed of and no gains or losses have been realized.</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the Taxable Portfolio Shares are sold or otherwise disposed of before the end of the income year, the taxable income of that income year equals the difference between the value of the Taxable Portfolio Shares at the beginning of the income year and the value of the Taxable Portfolio Shares at realization. If the Taxable Portfolio Shares are acquired and realized in the same income year, the taxable income equals the difference between the acquisition sum and the realization sum. If the Taxable Portfolio Shares are acquired in the income year and not realized in the same income year, the taxable income equals the difference between the acquisition sum and the value of the shares at the end of the income years.</w:t>
      </w:r>
    </w:p>
    <w:p>
      <w:pPr>
        <w:spacing w:after="0" w:line="183"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A change of status from Subsidiary Shares/Group Shares/Tax-Exempt Portfolio Shares to Taxable Portfolio Shares (or vice versa) is for tax purposes deemed to be a disposal of the shares and a reacquisition of the shares at market value at the time of change of status.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i w:val="1"/>
          <w:iCs w:val="1"/>
          <w:color w:val="auto"/>
        </w:rPr>
        <w:t>Dividends (Individuals)</w:t>
      </w:r>
    </w:p>
    <w:p>
      <w:pPr>
        <w:spacing w:after="0" w:line="118"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Dividends on listed shares are taxed as share income, as described above. All share income must be included when calculating whether the amounts described above are exceeded. Dividends paid to individuals are generally subject to 27% withholding tax.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corporate investors, dividends paid on Subsidiary Shares and Group Shares are tax-exempt irrespective of ownership period.</w:t>
      </w:r>
    </w:p>
    <w:p>
      <w:pPr>
        <w:spacing w:after="0" w:line="22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Dividends paid on Tax-Exempt Portfolio Shares are partly taxable as 70% of the dividends received are included in the taxable income, which is equivalent to an effective taxation of 15.4% (70% of 22%) irrespective of ownership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 on Taxable Portfolio Shares are subject to the standard corporation tax rate of 22% irrespective of ownership period.</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actual withholding tax rate is as a starting point 27%, while it can be reduced (0%, 15.4%, 22%) if certain requirements are met. A claim for repayment can be made within two months or the excess tax will offset the corporation income tax for the year. The statute of limitations is three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Shareholders Residing Outside Denmark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issued by Ascendis Pharma A/S are treated as holding listed ordinary shares in the company for Danish tax purposes.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the ADSs (Individuals and Companies)</w:t>
      </w:r>
    </w:p>
    <w:p>
      <w:pPr>
        <w:spacing w:after="0" w:line="118"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7"/>
          <w:szCs w:val="17"/>
          <w:color w:val="auto"/>
        </w:rPr>
        <w:t>Holders of the ADSs not resident in Denmark are normally not subject to Danish taxation on any gains realized on the sale of ADSs, irrespective of the ownership period, subject to certain anti-avoidance rules seeking to prevent that taxable dividend payments are converted to tax exempt capital gains.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Danish share transfer tax or stamp duties are payable on transfer of ADSs.</w:t>
      </w:r>
    </w:p>
    <w:p>
      <w:pPr>
        <w:spacing w:after="0" w:line="223"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color w:val="auto"/>
        </w:rPr>
        <w:t>If an investor holds the ADSs in connection with a trade or business conducted from a permanent establishment in Denmark, gains on shares may be included in the taxable income of such activities pursuant to the rules applying to Danish tax residents as described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(Individuals)</w:t>
      </w:r>
    </w:p>
    <w:p>
      <w:pPr>
        <w:spacing w:after="0" w:line="11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Dividends are generally subject to 27% Danish withholding tax. Individuals residing in certain black-listed countries and holding 25% or more of the share capital in the company are subject to 44% withholding tax.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Non-residents of Denmark are not subject to additional Danish income tax in respect to dividends received on shares.</w:t>
      </w:r>
    </w:p>
    <w:p>
      <w:pPr>
        <w:spacing w:after="0" w:line="223"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Holders of ADSs are entitled to apply for a full or partial refund of Danish withholding tax on dividends withheld by the company, in the situations described below:</w:t>
      </w:r>
    </w:p>
    <w:p>
      <w:pPr>
        <w:spacing w:after="0" w:line="1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 holders of the ADSs are considered beneficial owners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77" w:name="page178"/>
    <w:bookmarkEnd w:id="177"/>
    <w:p>
      <w:pPr>
        <w:spacing w:after="0" w:line="265" w:lineRule="auto"/>
        <w:rPr>
          <w:sz w:val="20"/>
          <w:szCs w:val="20"/>
          <w:color w:val="auto"/>
        </w:rPr>
      </w:pPr>
      <w:r>
        <w:rPr>
          <w:rFonts w:ascii="Times New Roman" w:cs="Times New Roman" w:eastAsia="Times New Roman" w:hAnsi="Times New Roman"/>
          <w:sz w:val="18"/>
          <w:szCs w:val="18"/>
          <w:color w:val="auto"/>
        </w:rPr>
        <w:t>For holders of ADSs (as beneficial owners of the dividends on the ordinary shares), if the withholding tax rate applied is higher than the applicable final tax rate (as reduced according to Danish law or an applicable double tax treaty) for the holder of ADSs, a request for a refund of Danish tax in excess hereof can be made in the following situations: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a tax treaty</w:t>
      </w:r>
    </w:p>
    <w:p>
      <w:pPr>
        <w:spacing w:after="0" w:line="11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Switzerland and almost all members of the European Union. The tax treaty between Denmark and the United States generally provides for a 15% tax rate.</w:t>
      </w:r>
    </w:p>
    <w:p>
      <w:pPr>
        <w:spacing w:after="0" w:line="183"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Individuals residing in certain black-listed countries and holding 25% or more of the share capital in the company are not eligible for refund of dividend withholding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Danish tax law</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ADS holder holds less than 10% of the nominal share capital (in the form of ordinary shares in the company and not on the basis of the number of the ADSs issued) of the company and the ADS holder is tax resident in a state which has a tax treaty or an international agreement, convention or other administrative agreement on assistance in tax matters according to which the competent authority in the state of the ADS holder is obligated to exchange information with Denmark, dividends are subject to tax at a rate of 15%. If the ADS holder is tax resident outside the European Union, it is an additional requirement for eligibility for the 15% tax rate that the ADS holder together with related ADS holders holds less than 10% of the nominal share capital of the company.</w:t>
      </w:r>
    </w:p>
    <w:p>
      <w:pPr>
        <w:spacing w:after="0" w:line="18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Note that the reduced tax rate does not affect the withholding rate, which is why the holder must claim a refund as described above in order to benefit from the reduced rate.</w:t>
      </w:r>
    </w:p>
    <w:p>
      <w:pPr>
        <w:spacing w:after="0" w:line="16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Where a non-resident of Denmark holds shares which can be attributed to a permanent establishment in Denmark, dividends are taxable pursuant to the rules applying to Danish tax residents described above.</w:t>
      </w:r>
    </w:p>
    <w:p>
      <w:pPr>
        <w:spacing w:after="0" w:line="163"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Individuals residing in certain black-listed countries and holding 25% or more of the share capital in the company are not eligible for refund of dividend withholding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paid to companies are generally subject to 27% withholding tax.</w:t>
      </w:r>
    </w:p>
    <w:p>
      <w:pPr>
        <w:spacing w:after="0" w:line="22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Companies residing in certain black-listed countries and holding Subsidiary Shares or Group Shares are not eligible for refund of dividend withholding taxes.</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Non-residents of Denmark are not subject to additional income tax with respect to dividends received on shares. Holders of ADSs are entitled to apply for a refund of Danish withholding tax on dividends paid by the company.</w:t>
      </w:r>
    </w:p>
    <w:p>
      <w:pPr>
        <w:spacing w:after="0" w:line="1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 holder of the ADSs is considered the beneficial owner of the dividends according to the applicable double tax treaty between Denmark and the tax residence country of the ADS holder, the withholding tax rate under such double tax treaty may apply to the extent the tax residency of the ADS holder can be documented.</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178" w:name="page179"/>
    <w:bookmarkEnd w:id="178"/>
    <w:p>
      <w:pPr>
        <w:spacing w:after="0" w:line="254" w:lineRule="auto"/>
        <w:rPr>
          <w:sz w:val="20"/>
          <w:szCs w:val="20"/>
          <w:color w:val="auto"/>
        </w:rPr>
      </w:pPr>
      <w:r>
        <w:rPr>
          <w:rFonts w:ascii="Times New Roman" w:cs="Times New Roman" w:eastAsia="Times New Roman" w:hAnsi="Times New Roman"/>
          <w:sz w:val="18"/>
          <w:szCs w:val="18"/>
          <w:color w:val="auto"/>
        </w:rPr>
        <w:t>Dividends from Subsidiary Shares are tax exempt provided that the taxation of the dividends is to be waived or reduced in accordance with the Parent-Subsidiary Directive (2011/96/EEC) or in accordance with a tax treaty with the jurisdiction in which the company investor is resident. If Denmark is to reduce taxation of dividends to a foreign company under a tax treaty, Denmark will not—as a matter of domestic law—exercise such right and will in general not impose any tax at all. Further, dividends from Group Shares—not also being Subsidiary Shares—are exempt from Danish tax provided the company investor is a resident of the European Union or the EEA and provided the taxation of dividends should have been waived or reduced in accordance with the Parent-Subsidiary Directive (2011/96/EEC) or in accordance with a tax treaty with the country in which the company investor is resident had the shares been Subsidiary Shares.</w:t>
      </w:r>
    </w:p>
    <w:p>
      <w:pPr>
        <w:spacing w:after="0" w:line="18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Dividends paid on both Tax-Exempt and Taxable Portfolio Shares are generally subject to tax at a rate of 22% irrespective of ownership period. While the actual withholding tax rate is as a starting point 27%, it can be reduced if certain requirements are met. If the withholding tax rate applied is higher than the applicable final tax rate for the ADS holder, a request for a refund of Danish tax in excess hereof can be made by the ADS holder in the following situations: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a tax treaty</w:t>
      </w:r>
    </w:p>
    <w:p>
      <w:pPr>
        <w:spacing w:after="0" w:line="1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the event that the ADS holder is a resident of a state with which Denmark has entered into a tax treaty, the 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and almost all members of the European Union. The tax treaty between Denmark and the United States generally provides for a 15% rate.</w:t>
      </w:r>
    </w:p>
    <w:p>
      <w:pPr>
        <w:spacing w:after="0" w:line="183"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Companies residing in certain black-listed countries and holding Subsidiary Shares or Group Shares are not eligible for refund of dividend withholding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according to Danish tax law</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the ADS holder holds less than 10% of the nominal share capital (in the form of ordinary shares in the company and not on the basis of the number of the ADSs issued) in the company and the ADS holder is resident in a jurisdiction which has a tax treaty or an international agreement, convention or other administrative agreement on assistance in tax according to which the competent authority in the state of the ADS holder is obligated to exchange information with Denmark, dividends are generally subject to a tax rate of 15%. If the ADS holder is tax resident outside the European Union, it is an additional requirement for eligibility for the 15% tax rate that the ADS holder together with related ADS holders holds less than 10% of the nominal share capital of the company. Note that the reduced tax rate does not affect the withholding rate, hence, in this situation the ADS holder must also in this situation claim a refund as described above in order to benefit from the reduced rate.</w:t>
      </w:r>
    </w:p>
    <w:p>
      <w:pPr>
        <w:spacing w:after="0" w:line="18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Where a non-resident company of Denmark holds ADSs which can be attributed to a permanent establishment in Denmark, dividends are taxable pursuant to the rules applying to Danish tax residents described above. Companies residing in certain black-listed countries and holding Subsidiary Shares or Group Shares are not eligible for refund of dividend withholding taxes.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Transfer Tax and Stamp Duties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Danish share transfer tax or stamp duties are payable on transfer of the shares.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U.S. Holders</w:t>
      </w:r>
    </w:p>
    <w:p>
      <w:pPr>
        <w:spacing w:after="0" w:line="12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to U.S. Holders (as defined below) under present law of an investment in the ADSs. The effects of any applicable state or local laws, or other U.S. federal tax laws such as estate and gift tax laws, any alternative minimum taxes, or the Medicare contribution tax on net investment income, are not discussed. This summary applies only to investors who hold the ADSs as capital assets (generally, property held for investment) and who have the U.S. dollar as their functional currency for U.S. federal income tax purposes. This discussion is based on the U.S. Internal Revenue Code of 1986, as amended, or the Code, U.S. Treasury regulations promulgated thereunder, or the Treasury Regulations, judicial decisions, published rulings and administrative pronouncements of the U.S. Internal Revenue Service, or the IRS, and the income tax treaty between the United States and Denmark, or the Treaty, all as in effect as of the date of this annual report. All of the foregoing authorities are subject to change, which change could apply retroactively and could affect the tax consequences described below.</w:t>
      </w:r>
    </w:p>
    <w:p>
      <w:pPr>
        <w:spacing w:after="0" w:line="18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The following discussion does not address all U.S. federal income tax consequences relevant to a U.S. Holder’s particular circumstances or to U.S. Holders subject to particular rules, including:</w:t>
      </w:r>
    </w:p>
    <w:p>
      <w:pPr>
        <w:spacing w:after="0" w:line="55" w:lineRule="exact"/>
        <w:rPr>
          <w:sz w:val="20"/>
          <w:szCs w:val="20"/>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5" w:lineRule="exact"/>
        <w:rPr>
          <w:rFonts w:ascii="Times New Roman" w:cs="Times New Roman" w:eastAsia="Times New Roman" w:hAnsi="Times New Roman"/>
          <w:sz w:val="18"/>
          <w:szCs w:val="18"/>
          <w:color w:val="auto"/>
        </w:rPr>
      </w:pPr>
    </w:p>
    <w:p>
      <w:pPr>
        <w:ind w:left="1020" w:right="40" w:hanging="504"/>
        <w:spacing w:after="0" w:line="280" w:lineRule="auto"/>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ADSs as part of a hedge, straddle or other risk reduction strategy or as part of a conversion transaction or other integrated investment;</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15" w:lineRule="exact"/>
        <w:rPr>
          <w:rFonts w:ascii="Times New Roman" w:cs="Times New Roman" w:eastAsia="Times New Roman" w:hAnsi="Times New Roman"/>
          <w:sz w:val="18"/>
          <w:szCs w:val="18"/>
          <w:color w:val="auto"/>
        </w:rPr>
      </w:pPr>
    </w:p>
    <w:p>
      <w:pPr>
        <w:ind w:left="1020" w:right="440" w:hanging="504"/>
        <w:spacing w:after="0" w:line="280" w:lineRule="auto"/>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S corporations or other entities or arrangements treated as partnerships or pass-through entities for U.S. federal income tax purposes, and persons that hold ADSs through such entities or arrangements;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“individual retirement accounts” or “Roth IRAs”;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organizations;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ADSs pursuant to the exercise of any employee share option or otherwise as compensation;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the company’s equity by vote or value;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their ADSs through a permanent establishment or fixed base outside the United States;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ADSs under the constructive sale provisions of the Code.</w:t>
      </w:r>
    </w:p>
    <w:p>
      <w:pPr>
        <w:spacing w:after="0" w:line="32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b w:val="1"/>
          <w:bCs w:val="1"/>
          <w:color w:val="auto"/>
        </w:rPr>
        <w:t>U.S. HOLDERS ARE URGED TO CONSULT THEIR TAX ADVISORS REGARDING THE APPLICATION OF THE U.S. FEDERAL INCOME TAX RULES TO THEIR PARTICULAR CIRCUMSTANCES AS WELL AS THE U.S. FEDERAL GIFT AND ESTATE AND U.S. STATE AND LOCAL AND NON-U.S. TAX CONSEQUENCES TO THEM OF THE PURCHASE, OWNERSHIP AND DISPOSITION OF THE ADSs.</w:t>
      </w:r>
    </w:p>
    <w:p>
      <w:pPr>
        <w:spacing w:after="0" w:line="62"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that, for U.S. federal income tax purposes, is or is treated as any of the following:</w:t>
      </w:r>
    </w:p>
    <w:p>
      <w:pPr>
        <w:spacing w:after="0" w:line="55" w:lineRule="exact"/>
        <w:rPr>
          <w:sz w:val="20"/>
          <w:szCs w:val="20"/>
          <w:color w:val="auto"/>
        </w:rPr>
      </w:pPr>
    </w:p>
    <w:p>
      <w:pPr>
        <w:ind w:left="1020" w:hanging="504"/>
        <w:spacing w:after="0"/>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5" w:lineRule="exact"/>
        <w:rPr>
          <w:rFonts w:ascii="Times New Roman" w:cs="Times New Roman" w:eastAsia="Times New Roman" w:hAnsi="Times New Roman"/>
          <w:sz w:val="18"/>
          <w:szCs w:val="18"/>
          <w:color w:val="auto"/>
        </w:rPr>
      </w:pPr>
    </w:p>
    <w:p>
      <w:pPr>
        <w:ind w:left="1020" w:right="540" w:hanging="504"/>
        <w:spacing w:after="0" w:line="260"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 any state thereof or the District of Columbia;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80" w:name="page181"/>
    <w:bookmarkEnd w:id="180"/>
    <w:p>
      <w:pPr>
        <w:ind w:left="1020" w:hanging="504"/>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5" w:lineRule="exact"/>
        <w:rPr>
          <w:rFonts w:ascii="Times New Roman" w:cs="Times New Roman" w:eastAsia="Times New Roman" w:hAnsi="Times New Roman"/>
          <w:sz w:val="18"/>
          <w:szCs w:val="18"/>
          <w:color w:val="auto"/>
        </w:rPr>
      </w:pPr>
    </w:p>
    <w:p>
      <w:pPr>
        <w:ind w:left="1020" w:right="300" w:hanging="504"/>
        <w:spacing w:after="0" w:line="265"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supervision of a U.S. court and the control of one or more “United States persons” (within the meaning of Section 7701(a)(30) of the Code) or (2) has a valid election in effect under applicable Treasury Regulations to be treated as a United States person for U.S. federal income tax purposes.</w:t>
      </w:r>
    </w:p>
    <w:p>
      <w:pPr>
        <w:spacing w:after="0" w:line="17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If you are a partner in a partnership (or other entity or arrangement taxable as a partnership for U.S. federal income tax purposes) that holds the ADSs, your tax treatment generally will depend on your status and the activities of the partnership. Partnerships holding the ADSs and the partners in such partnerships should consult their tax advisors regarding the U.S. federal income tax consequences applicable to them.</w:t>
      </w:r>
    </w:p>
    <w:p>
      <w:pPr>
        <w:spacing w:after="0" w:line="17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the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underlying ordinary shares.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the ADSs</w:t>
      </w:r>
    </w:p>
    <w:p>
      <w:pPr>
        <w:spacing w:after="0" w:line="12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Subject to the passive foreign investment company, or PFIC, rules discussed below, the gross amount of any distribution to you with respect to the ADSs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ADSs, and to the extent the amount of the distribution exceeds your tax basis, the excess will be taxed as capital gain. However, we do not intend to calculate our earnings and profits under U.S. federal income tax principles. Therefore, a U.S. Holder should expect a distribution will generally be reported as ordinary dividend income for such purposes. Any dividends will not be eligible for the dividends-received deduction allowed to corporations in respect of dividends received from other U.S. corporations.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eligible for benefits under the Treaty, or if the ADSs are readily tradable on an established securities market in the United States, dividends a U.S. Holder receives from us generally will be “qualified dividend income.” If certain holding period and other requirements, including a requirement that we are not a PFIC in the year of the dividend or the immediately preceding year, are met, qualified dividend income of an individual or other non-corporate U.S. Holder generally will be subject to preferential tax rates. ADSs representing ordinary shares generally are considered for these purposes to be readily tradable on an established securities market in the United States if they are listed on The Nasdaq Global Select Market, as our ADSs currently are. You should consult your tax advisor regarding the availability of these preferential tax rates under your particular circumstances.</w:t>
      </w:r>
    </w:p>
    <w:p>
      <w:pPr>
        <w:spacing w:after="0" w:line="18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As discussed in “Item 10 E.—Taxation—Danish Tax Considerations,” payments of dividends by us may be subject to Danish withholding tax. The rate of withholding tax applicable to U.S. Holders that are eligible for benefits under the Treaty is reduced to a maximum of 15%. For U.S. federal income tax purposes, U.S. Holders will be treated as having received the amount of withheld Danish taxes, and as then having paid over the withheld taxes to the Danish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81" w:name="page182"/>
    <w:bookmarkEnd w:id="181"/>
    <w:p>
      <w:pPr>
        <w:spacing w:after="0" w:line="252" w:lineRule="auto"/>
        <w:rPr>
          <w:sz w:val="20"/>
          <w:szCs w:val="20"/>
          <w:color w:val="auto"/>
        </w:rPr>
      </w:pPr>
      <w:r>
        <w:rPr>
          <w:rFonts w:ascii="Times New Roman" w:cs="Times New Roman" w:eastAsia="Times New Roman" w:hAnsi="Times New Roman"/>
          <w:sz w:val="18"/>
          <w:szCs w:val="18"/>
          <w:color w:val="auto"/>
        </w:rPr>
        <w:t>Dividends will generally constitute foreign source income for foreign tax credit limitation purposes. Subject to the discussion of the PFIC rules below, any tax withheld with respect to distributions on the ADSs at the rate applicable to a U.S. Holder may, subject to a number of complex limitations, be claimed as a foreign tax credit against such U.S. Holder’s U.S. federal income tax liability or may be claimed as a deduction for U.S. federal income tax purposes. Any amount withheld in excess of the tax rate applicable to a U.S. Holder generally is not eligible to be claimed as a foreign tax credit, regardless of whether such amount is actually refunded or reclaimed. The limitation on foreign taxes eligible for credit is calculated separately with respect to specific classes of income. For this purpose, dividends distributed by us with respect to the ADSs generally will constitute “passive category income.” The rules with respect to the foreign tax credit are complex and involve the application of rules that depend upon a U.S. Holder’s particular circumstances. Furthermore, recently issued Treasury Regulations have imposed additional requirements that must be met for a foreign tax to be creditable (including requirements that a “covered withholding tax” be imposed on nonresidents in lieu of a generally imposed tax that satisfies the regulatory definition of a “net income tax,” which may be unclear or difficult to determine). You are urged to consult your tax advisor regarding the availability of the foreign tax credit under your particular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 of the ADSs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you will recognize gain or loss on any sale, exchange or other taxable disposition of an ADS equal to the difference between the amount realized (in U.S. dollars) on the disposition of the ADS and your tax basis (in U.S. dollars) in the ADS. Any such gain or loss will be capital gain or loss, and will be long-term capital gain or loss if you have held the ADS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U.S.-source income or loss for foreign tax credit limitation purposes. You should consult your tax advisor regarding the proper treatment of gain or loss in your particular circumstances.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Under the Code and Treasury Regulations, the determination of PFIC status is fact-specific and generally cannot be made until after the close of the taxable year in question. Based on our market capitalization and the composition of our income, assets and operations, we do not believe we were a PFIC for U.S. federal income tax purposes for our taxable year ended December 31, 2022. However this is a factual determination, and the application of the PFIC rules is subject to uncertainty in several respects, and we cannot assure you we will not be a PFIC for any taxable year. A non-U.S. corporation will be considered a PFIC for any taxable year if either:</w:t>
      </w:r>
    </w:p>
    <w:p>
      <w:pPr>
        <w:spacing w:after="0" w:line="76" w:lineRule="exact"/>
        <w:rPr>
          <w:sz w:val="20"/>
          <w:szCs w:val="20"/>
          <w:color w:val="auto"/>
        </w:rPr>
      </w:pPr>
    </w:p>
    <w:p>
      <w:pPr>
        <w:ind w:left="1020" w:hanging="504"/>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taxable year is passive income (as defined in the relevant provisions of the Code), or</w:t>
      </w:r>
    </w:p>
    <w:p>
      <w:pPr>
        <w:spacing w:after="0" w:line="115" w:lineRule="exact"/>
        <w:rPr>
          <w:rFonts w:ascii="Times New Roman" w:cs="Times New Roman" w:eastAsia="Times New Roman" w:hAnsi="Times New Roman"/>
          <w:sz w:val="18"/>
          <w:szCs w:val="18"/>
          <w:color w:val="auto"/>
        </w:rPr>
      </w:pPr>
    </w:p>
    <w:p>
      <w:pPr>
        <w:ind w:left="1020" w:right="700" w:hanging="504"/>
        <w:spacing w:after="0" w:line="280"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(generally based on an average of the quarterly values of the assets during such taxable year) is attributable to assets that produce or are held for the production of passive income.</w:t>
      </w:r>
    </w:p>
    <w:p>
      <w:pPr>
        <w:spacing w:after="0" w:line="16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separate determination must be made each taxable year as to whether we are a PFIC (after the close of each such taxable year). Because the value of our assets, including unbooked goodwill, for purposes of the asset test will generally be determined by reference to the market price of the ADSs, our PFIC status will depend in large part on the market price of the ADSs, which may fluctuate significantly. In addition, changes in the composition of our income or assets may cause us to become a PFIC. For these reasons, we cannot assure you we will not be a PFIC for any taxable year.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182" w:name="page183"/>
    <w:bookmarkEnd w:id="182"/>
    <w:p>
      <w:pPr>
        <w:ind w:right="100"/>
        <w:spacing w:after="0" w:line="255" w:lineRule="auto"/>
        <w:rPr>
          <w:sz w:val="20"/>
          <w:szCs w:val="20"/>
          <w:color w:val="auto"/>
        </w:rPr>
      </w:pPr>
      <w:r>
        <w:rPr>
          <w:rFonts w:ascii="Times New Roman" w:cs="Times New Roman" w:eastAsia="Times New Roman" w:hAnsi="Times New Roman"/>
          <w:sz w:val="18"/>
          <w:szCs w:val="18"/>
          <w:color w:val="auto"/>
        </w:rPr>
        <w:t>If we are a PFIC for any year during which you hold the ADSs, we generally will continue to be treated as a PFIC with respect to you for all succeeding years during which you hold the ADSs, regardless of whether we continue to meet the income or asset tests described above,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For each taxable year we are treated as a PFIC with respect to you, you will be subject to special tax rules with respect to any “excess distribution” (as defined below)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76" w:lineRule="exact"/>
        <w:rPr>
          <w:sz w:val="20"/>
          <w:szCs w:val="20"/>
          <w:color w:val="auto"/>
        </w:rPr>
      </w:pPr>
    </w:p>
    <w:p>
      <w:pPr>
        <w:ind w:left="1020" w:hanging="504"/>
        <w:spacing w:after="0"/>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ADSs,</w:t>
      </w:r>
    </w:p>
    <w:p>
      <w:pPr>
        <w:spacing w:after="0" w:line="129" w:lineRule="exact"/>
        <w:rPr>
          <w:rFonts w:ascii="Times New Roman" w:cs="Times New Roman" w:eastAsia="Times New Roman" w:hAnsi="Times New Roman"/>
          <w:sz w:val="18"/>
          <w:szCs w:val="18"/>
          <w:color w:val="auto"/>
        </w:rPr>
      </w:pPr>
    </w:p>
    <w:p>
      <w:pPr>
        <w:ind w:left="1020" w:right="140" w:hanging="504"/>
        <w:spacing w:after="0" w:line="280"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before the first taxable year in your holding period in which we were a PFIC, will be treated as ordinary income, and</w:t>
      </w:r>
    </w:p>
    <w:p>
      <w:pPr>
        <w:spacing w:after="0" w:line="55" w:lineRule="exact"/>
        <w:rPr>
          <w:rFonts w:ascii="Times New Roman" w:cs="Times New Roman" w:eastAsia="Times New Roman" w:hAnsi="Times New Roman"/>
          <w:sz w:val="18"/>
          <w:szCs w:val="18"/>
          <w:color w:val="auto"/>
        </w:rPr>
      </w:pPr>
    </w:p>
    <w:p>
      <w:pPr>
        <w:ind w:left="1020" w:right="220" w:hanging="504"/>
        <w:spacing w:after="0" w:line="280"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the highest income tax rate in effect for that year and the interest charge generally applicable to underpayments of tax will be imposed on the resulting tax attributable to each such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(but not losses) realized on the sale of the ADSs cannot be treated as capital gains, even if you hold the ADSs as capital assets.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we are treated as a PFIC with respect to you for any taxable year, to the extent we own directly or indirectly equity in any non-U.S. corporations that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lower-tier PFICs.</w:t>
      </w:r>
    </w:p>
    <w:p>
      <w:pPr>
        <w:spacing w:after="0" w:line="18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that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“Taxation of Disposition of the ADSs.”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83" w:name="page184"/>
    <w:bookmarkEnd w:id="183"/>
    <w:p>
      <w:pPr>
        <w:ind w:right="20"/>
        <w:spacing w:after="0" w:line="253"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Treasury Regulations. Any trades that have as their principal purpose meeting this requirement will be disregarded. The ADSs are listed on The Nasdaq Global Select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The “mark-to-market” election may not be available with respect to the shares of lower-tier PFICs that are treated as owned by you. Consequently, you could be subject to the PFIC rules with respect to income of the lower-tier PFICs the value of which already had been taken into account indirectly via “mark-to-market” adjustments. A U.S. Holder should consult its tax advisors as to the availability and desirability of a “mark-to-market” election, as well as the impact of such election on interests in any lower-tier PFICs.</w:t>
      </w:r>
    </w:p>
    <w:p>
      <w:pPr>
        <w:spacing w:after="0" w:line="186"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taking into account the uncertainty as to whether we are currently treated as or may become a PFIC.</w:t>
      </w:r>
    </w:p>
    <w:p>
      <w:pPr>
        <w:spacing w:after="0" w:line="30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color w:val="auto"/>
        </w:rPr>
        <w:t>YOU ARE STRONGLY URGED TO CONSULT YOUR TAX ADVISOR REGARDING THE APPLICATION OF THE PFIC RULES TO YOUR INVESTMENT IN THE ADSs.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Distributions with respect to the ADSs and proceeds from the sale, exchange or other disposition of the ADSs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68" w:lineRule="exact"/>
        <w:rPr>
          <w:sz w:val="20"/>
          <w:szCs w:val="20"/>
          <w:color w:val="auto"/>
        </w:rPr>
      </w:pPr>
    </w:p>
    <w:p>
      <w:pPr>
        <w:ind w:left="1020" w:hanging="504"/>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furnish the holder’s taxpayer identification number, which for an individual is ordinarily his or her social security number;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an incorrect taxpayer identification number;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the holder previously failed to properly report payments of interest or dividends; or</w:t>
      </w:r>
    </w:p>
    <w:p>
      <w:pPr>
        <w:spacing w:after="0" w:line="115" w:lineRule="exact"/>
        <w:rPr>
          <w:rFonts w:ascii="Times New Roman" w:cs="Times New Roman" w:eastAsia="Times New Roman" w:hAnsi="Times New Roman"/>
          <w:sz w:val="18"/>
          <w:szCs w:val="18"/>
          <w:color w:val="auto"/>
        </w:rPr>
      </w:pPr>
    </w:p>
    <w:p>
      <w:pPr>
        <w:ind w:left="1020" w:right="540" w:hanging="504"/>
        <w:spacing w:after="0" w:line="280" w:lineRule="auto"/>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6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Tax return disclosure obligations (and related penalties for failure to disclose) apply to certain U.S. Holders who hold certain specified foreign financial assets in excess of certain thresholds. The definition of specified foreign financial assets includes not only financial accounts maintained in foreign financial institutions, but also may include the ADSs. U.S. Holders should consult their tax advisors regarding the possible implications of these tax return disclosure obligations.</w:t>
      </w:r>
    </w:p>
    <w:p>
      <w:pPr>
        <w:spacing w:after="0" w:line="286"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 by Experts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major shareholders are exempt from the reporting and short-swing profit recovery provisions contained in Section 16 of the Exchange Act.</w:t>
      </w:r>
    </w:p>
    <w:p>
      <w:pPr>
        <w:spacing w:after="0" w:line="292"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20" w:lineRule="exact"/>
        <w:rPr>
          <w:sz w:val="20"/>
          <w:szCs w:val="20"/>
          <w:color w:val="auto"/>
        </w:rPr>
      </w:pPr>
    </w:p>
    <w:p>
      <w:pPr>
        <w:ind w:left="5480" w:right="800" w:hanging="5481"/>
        <w:spacing w:after="0" w:line="280" w:lineRule="auto"/>
        <w:rPr>
          <w:sz w:val="20"/>
          <w:szCs w:val="20"/>
          <w:color w:val="auto"/>
        </w:rPr>
      </w:pPr>
      <w:r>
        <w:rPr>
          <w:rFonts w:ascii="Times New Roman" w:cs="Times New Roman" w:eastAsia="Times New Roman" w:hAnsi="Times New Roman"/>
          <w:sz w:val="18"/>
          <w:szCs w:val="18"/>
          <w:color w:val="auto"/>
        </w:rPr>
        <w:t>The Company intends to submit any annual report provided to security holders in electronic format as an exhibit to a current report on Form 6-K. 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83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5 A. Operating and Financial Review and Prospects—Operating Results—Quantitative and Qualitative Disclosures about Market Risk.”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6"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and Rights.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2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Bank of New York Mellon, as depositary, registers and delivers American Depositary Shares, also referred to as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A deposit agreement among us, the depositary and you the ADS holders sets out ADS holder rights as well as the rights and obligations of the depositary. A copy of the deposit agreement is incorporated by reference as an exhibit to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deposit agreement, the holders of ADSs will be required to pay the following fees:</w:t>
      </w:r>
    </w:p>
    <w:p>
      <w:pPr>
        <w:sectPr>
          <w:pgSz w:w="11900" w:h="16838" w:orient="portrait"/>
          <w:cols w:equalWidth="0" w:num="1">
            <w:col w:w="11240"/>
          </w:cols>
          <w:pgMar w:left="320" w:top="682" w:right="339" w:bottom="1440" w:gutter="0" w:footer="0" w:header="0"/>
        </w:sect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ordinary shares or ADSs must pay: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170"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ordinary shares and the shares had been deposited for issue of ADSs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t>
      </w:r>
    </w:p>
    <w:p>
      <w:pPr>
        <w:spacing w:after="0" w:line="39" w:lineRule="exact"/>
        <w:rPr>
          <w:sz w:val="20"/>
          <w:szCs w:val="20"/>
          <w:color w:val="auto"/>
        </w:rPr>
      </w:pPr>
    </w:p>
    <w:p>
      <w:pPr>
        <w:ind w:left="220" w:right="60" w:hanging="188"/>
        <w:spacing w:after="0" w:line="280" w:lineRule="auto"/>
        <w:tabs>
          <w:tab w:leader="none" w:pos="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ADSs, including issues resulting from a distribution of ordinary shares or rights or other property</w:t>
      </w:r>
    </w:p>
    <w:p>
      <w:pPr>
        <w:spacing w:after="0" w:line="68" w:lineRule="exact"/>
        <w:rPr>
          <w:rFonts w:ascii="Times New Roman" w:cs="Times New Roman" w:eastAsia="Times New Roman" w:hAnsi="Times New Roman"/>
          <w:sz w:val="18"/>
          <w:szCs w:val="18"/>
          <w:color w:val="auto"/>
        </w:rPr>
      </w:pPr>
    </w:p>
    <w:p>
      <w:pPr>
        <w:ind w:left="220" w:right="320" w:hanging="188"/>
        <w:spacing w:after="0" w:line="280" w:lineRule="auto"/>
        <w:tabs>
          <w:tab w:leader="none" w:pos="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108" w:lineRule="exact"/>
        <w:rPr>
          <w:rFonts w:ascii="Times New Roman" w:cs="Times New Roman" w:eastAsia="Times New Roman" w:hAnsi="Times New Roman"/>
          <w:sz w:val="18"/>
          <w:szCs w:val="18"/>
          <w:color w:val="auto"/>
        </w:rPr>
      </w:pPr>
    </w:p>
    <w:p>
      <w:pPr>
        <w:ind w:left="220" w:hanging="188"/>
        <w:spacing w:after="0"/>
        <w:tabs>
          <w:tab w:leader="none" w:pos="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you</w:t>
      </w:r>
    </w:p>
    <w:p>
      <w:pPr>
        <w:spacing w:after="0" w:line="250" w:lineRule="exact"/>
        <w:rPr>
          <w:rFonts w:ascii="Times New Roman" w:cs="Times New Roman" w:eastAsia="Times New Roman" w:hAnsi="Times New Roman"/>
          <w:sz w:val="18"/>
          <w:szCs w:val="18"/>
          <w:color w:val="auto"/>
        </w:rPr>
      </w:pPr>
    </w:p>
    <w:p>
      <w:pPr>
        <w:ind w:left="220" w:right="240" w:hanging="188"/>
        <w:spacing w:after="0" w:line="280" w:lineRule="auto"/>
        <w:tabs>
          <w:tab w:leader="none" w:pos="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which are distributed by the depositary to you</w:t>
      </w:r>
    </w:p>
    <w:p>
      <w:pPr>
        <w:spacing w:after="0" w:line="109" w:lineRule="exact"/>
        <w:rPr>
          <w:sz w:val="20"/>
          <w:szCs w:val="20"/>
          <w:color w:val="auto"/>
        </w:rPr>
      </w:pPr>
    </w:p>
    <w:p>
      <w:pPr>
        <w:sectPr>
          <w:pgSz w:w="11900" w:h="16838" w:orient="portrait"/>
          <w:cols w:equalWidth="0" w:num="2">
            <w:col w:w="5460" w:space="320"/>
            <w:col w:w="5460"/>
          </w:cols>
          <w:pgMar w:left="320" w:top="682"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$0.05 (or less) per ADS per calendar year</w:t>
            </w:r>
          </w:p>
        </w:tc>
        <w:tc>
          <w:tcPr>
            <w:tcW w:w="7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Depositary services</w:t>
            </w:r>
          </w:p>
        </w:tc>
      </w:tr>
      <w:tr>
        <w:trPr>
          <w:trHeight w:val="35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or transfer fees</w:t>
            </w:r>
          </w:p>
        </w:tc>
        <w:tc>
          <w:tcPr>
            <w:tcW w:w="7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Transfer and registration of ordinary shares on our share register to or</w:t>
            </w:r>
          </w:p>
        </w:tc>
      </w:tr>
      <w:tr>
        <w:trPr>
          <w:trHeight w:val="215"/>
        </w:trPr>
        <w:tc>
          <w:tcPr>
            <w:tcW w:w="4240" w:type="dxa"/>
            <w:vAlign w:val="bottom"/>
          </w:tcPr>
          <w:p>
            <w:pPr>
              <w:spacing w:after="0"/>
              <w:rPr>
                <w:sz w:val="18"/>
                <w:szCs w:val="18"/>
                <w:color w:val="auto"/>
              </w:rPr>
            </w:pPr>
          </w:p>
        </w:tc>
        <w:tc>
          <w:tcPr>
            <w:tcW w:w="7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from the name of the depositary or its agent when you deposit or</w:t>
            </w:r>
          </w:p>
        </w:tc>
      </w:tr>
      <w:tr>
        <w:trPr>
          <w:trHeight w:val="229"/>
        </w:trPr>
        <w:tc>
          <w:tcPr>
            <w:tcW w:w="4240" w:type="dxa"/>
            <w:vAlign w:val="bottom"/>
          </w:tcPr>
          <w:p>
            <w:pPr>
              <w:spacing w:after="0"/>
              <w:rPr>
                <w:sz w:val="19"/>
                <w:szCs w:val="19"/>
                <w:color w:val="auto"/>
              </w:rPr>
            </w:pPr>
          </w:p>
        </w:tc>
        <w:tc>
          <w:tcPr>
            <w:tcW w:w="7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withdraw shares</w:t>
            </w:r>
          </w:p>
        </w:tc>
      </w:tr>
      <w:tr>
        <w:trPr>
          <w:trHeight w:val="234"/>
        </w:trPr>
        <w:tc>
          <w:tcPr>
            <w:tcW w:w="4240" w:type="dxa"/>
            <w:vAlign w:val="bottom"/>
          </w:tcPr>
          <w:p>
            <w:pPr>
              <w:spacing w:after="0"/>
              <w:rPr>
                <w:sz w:val="20"/>
                <w:szCs w:val="20"/>
                <w:color w:val="auto"/>
              </w:rPr>
            </w:pPr>
          </w:p>
        </w:tc>
        <w:tc>
          <w:tcPr>
            <w:tcW w:w="70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183</w:t>
            </w:r>
          </w:p>
        </w:tc>
      </w:tr>
      <w:tr>
        <w:trPr>
          <w:trHeight w:val="114"/>
        </w:trPr>
        <w:tc>
          <w:tcPr>
            <w:tcW w:w="424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type w:val="continuous"/>
        </w:sectPr>
      </w:pPr>
    </w:p>
    <w:bookmarkStart w:id="186" w:name="page187"/>
    <w:bookmarkEnd w:id="186"/>
    <w:p>
      <w:pPr>
        <w:ind w:left="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line="265"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 pay on any ADS or share underlying an ADS, for example, share transfer taxes, stamp duty or withholding taxes</w:t>
      </w:r>
    </w:p>
    <w:p>
      <w:pPr>
        <w:spacing w:after="0" w:line="122" w:lineRule="exact"/>
        <w:rPr>
          <w:sz w:val="20"/>
          <w:szCs w:val="20"/>
          <w:color w:val="auto"/>
        </w:rPr>
      </w:pPr>
    </w:p>
    <w:p>
      <w:pPr>
        <w:ind w:left="20" w:right="600"/>
        <w:spacing w:after="0" w:line="280"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left="188" w:hanging="188"/>
        <w:spacing w:after="0" w:line="280" w:lineRule="auto"/>
        <w:tabs>
          <w:tab w:leader="none" w:pos="1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transmissions (when expressly provided in the deposit agreement)</w:t>
      </w:r>
    </w:p>
    <w:p>
      <w:pPr>
        <w:spacing w:after="0" w:line="68"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pacing w:after="0" w:line="169"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451" w:lineRule="exact"/>
        <w:rPr>
          <w:sz w:val="20"/>
          <w:szCs w:val="20"/>
          <w:color w:val="auto"/>
        </w:rPr>
      </w:pPr>
    </w:p>
    <w:p>
      <w:pPr>
        <w:sectPr>
          <w:pgSz w:w="11900" w:h="16838" w:orient="portrait"/>
          <w:cols w:equalWidth="0" w:num="2">
            <w:col w:w="5580" w:space="232"/>
            <w:col w:w="5408"/>
          </w:cols>
          <w:pgMar w:left="320" w:top="619" w:right="359" w:bottom="1440" w:gutter="0" w:footer="0" w:header="0"/>
        </w:sect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8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19" w:right="359" w:bottom="1440" w:gutter="0" w:footer="0" w:header="0"/>
          <w:type w:val="continuous"/>
        </w:sectPr>
      </w:pPr>
    </w:p>
    <w:bookmarkStart w:id="187" w:name="page188"/>
    <w:bookmarkEnd w:id="1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right="4760" w:firstLine="7"/>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Item 14 Material Modification to the Rights of Security Holders and Use of Proceeds A. Material Modifications to the Rights of Securities Holders </w:t>
      </w:r>
      <w:r>
        <w:rPr>
          <w:rFonts w:ascii="Times New Roman" w:cs="Times New Roman" w:eastAsia="Times New Roman" w:hAnsi="Times New Roman"/>
          <w:sz w:val="18"/>
          <w:szCs w:val="18"/>
          <w:color w:val="auto"/>
        </w:rPr>
        <w:t>Not applicable.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15 Control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1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Our chief executive officer and principal financial and accounting officers, after evaluating the effectiveness of our disclosure controls and procedures (as defined in Rule 13a-15(e) under the Exchange Act) as of December 31, 2022, have concluded that based on the evaluation of these controls and procedures required by Rule 13a-15(b) of the Exchange Act, our disclosure controls and procedures were effective.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and for its assessment of the effectiveness of internal control over financial reporting.</w:t>
      </w:r>
    </w:p>
    <w:p>
      <w:pPr>
        <w:spacing w:after="0" w:line="16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w:t>
      </w:r>
    </w:p>
    <w:p>
      <w:pPr>
        <w:spacing w:after="0" w:line="18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2022. This assessment was performed under the directions and supervision of our Chief Executive Officer and our principal financial and accounting officers and based on the criteria established in Internal Control—Integrated Framework (2013) issued by the Committee of Sponsoring Organizations (COSO) of the Treadway Commission.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88" w:name="page189"/>
    <w:bookmarkEnd w:id="188"/>
    <w:p>
      <w:pPr>
        <w:ind w:right="40"/>
        <w:spacing w:after="0" w:line="255" w:lineRule="auto"/>
        <w:rPr>
          <w:sz w:val="20"/>
          <w:szCs w:val="20"/>
          <w:color w:val="auto"/>
        </w:rPr>
      </w:pPr>
      <w:r>
        <w:rPr>
          <w:rFonts w:ascii="Times New Roman" w:cs="Times New Roman" w:eastAsia="Times New Roman" w:hAnsi="Times New Roman"/>
          <w:sz w:val="18"/>
          <w:szCs w:val="18"/>
          <w:color w:val="auto"/>
        </w:rPr>
        <w:t>A material weakness is a control deficiency, or a combination of control deficiencies in internal control over financial reporting, such that there is a reasonable possibility that a material misstatement of the annual or interim financial statements will not be prevented or detected. These control deficiencies could result in a misstatement of the financial statement accounts or related disclosures that would result in a material misstatement in the annual or interim consolidated financial statements that would not be prevented or detected on a timely basis. Based on management’s assessment of those criteria, management has concluded that the design and operating effectiveness of our internal control over financial reporting was effective as of December 31, 2022.</w:t>
      </w:r>
    </w:p>
    <w:p>
      <w:pPr>
        <w:spacing w:after="0" w:line="18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has been audited by Deloitte Statsautoriseret Revisionspartnerselskab, our independent registered public accounting firm, as stated in their report on the Company’s financial statements and internal control over financial reporting as of December 31, 2022, which is included under Item 18 below.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120" w:lineRule="exact"/>
        <w:rPr>
          <w:sz w:val="20"/>
          <w:szCs w:val="20"/>
          <w:color w:val="auto"/>
        </w:rPr>
      </w:pPr>
    </w:p>
    <w:p>
      <w:pPr>
        <w:ind w:right="1500"/>
        <w:spacing w:after="0" w:line="28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Deloitte Statsautoriseret Revisionspartnerselskab, an independent registered public accounting firm, as stated in their report, which appears in Item 18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12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2022, the Company has implemented new processes and controls related to convertible notes and derivative liabilities, following the financing completed in March 2022. There has been no other changes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0"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Mr. Lars Holtug, an independent director under Nasdaq Rule 5605(a)(2) and Rule 10A-3 of the Exchange Act and a member of the Audit Committee, qualifies as an “audit committee financial expert,” as defined in Item 16A(b) of Form 20-F and as determined by our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members of our senior management and members of our board of directors, including those members of our senior management responsible for financial reporting. Our code of ethics is posted on our Company website at: http://www.ascendispharma.com. We will disclose any substantive amendments to the code of business conduct and ethics, or any waiver of its provisions, on our website. The reference to our website does not constitute incorporation by reference of the information contained at or available through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our independent public accountants and the percentage of each of the fees out of the total amount billed by the accountants.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3"/>
          </w:tcPr>
          <w:p>
            <w:pPr>
              <w:jc w:val="center"/>
              <w:ind w:left="681"/>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5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60" w:type="dxa"/>
            <w:vAlign w:val="bottom"/>
          </w:tcPr>
          <w:p>
            <w:pPr>
              <w:spacing w:after="0"/>
              <w:rPr>
                <w:sz w:val="16"/>
                <w:szCs w:val="16"/>
                <w:color w:val="auto"/>
              </w:rPr>
            </w:pPr>
          </w:p>
        </w:tc>
        <w:tc>
          <w:tcPr>
            <w:tcW w:w="2000" w:type="dxa"/>
            <w:vAlign w:val="bottom"/>
            <w:gridSpan w:val="4"/>
          </w:tcPr>
          <w:p>
            <w:pPr>
              <w:jc w:val="center"/>
              <w:ind w:left="8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5800" w:type="dxa"/>
            <w:vAlign w:val="bottom"/>
          </w:tcPr>
          <w:p>
            <w:pPr>
              <w:spacing w:after="0"/>
              <w:rPr>
                <w:sz w:val="14"/>
                <w:szCs w:val="14"/>
                <w:color w:val="auto"/>
              </w:rPr>
            </w:pPr>
          </w:p>
        </w:tc>
        <w:tc>
          <w:tcPr>
            <w:tcW w:w="8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78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7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814</w:t>
            </w: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20"/>
                <w:szCs w:val="20"/>
                <w:color w:val="auto"/>
              </w:rPr>
            </w:pPr>
          </w:p>
        </w:tc>
      </w:tr>
      <w:tr>
        <w:trPr>
          <w:trHeight w:val="238"/>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2"/>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8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5"/>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952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20"/>
                <w:szCs w:val="20"/>
                <w:color w:val="auto"/>
              </w:rPr>
            </w:pPr>
          </w:p>
        </w:tc>
      </w:tr>
      <w:tr>
        <w:trPr>
          <w:trHeight w:val="428"/>
        </w:trPr>
        <w:tc>
          <w:tcPr>
            <w:tcW w:w="58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186</w:t>
            </w: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58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-528955</wp:posOffset>
            </wp:positionV>
            <wp:extent cx="76835" cy="1708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-528955</wp:posOffset>
            </wp:positionV>
            <wp:extent cx="68580" cy="1708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-528955</wp:posOffset>
            </wp:positionV>
            <wp:extent cx="68580" cy="1708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-528955</wp:posOffset>
            </wp:positionV>
            <wp:extent cx="68580" cy="1708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89" w:name="page190"/>
    <w:bookmarkEnd w:id="189"/>
    <w:p>
      <w:pPr>
        <w:jc w:val="both"/>
        <w:ind w:right="2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Audit Fees </w:t>
      </w:r>
      <w:r>
        <w:rPr>
          <w:rFonts w:ascii="Times New Roman" w:cs="Times New Roman" w:eastAsia="Times New Roman" w:hAnsi="Times New Roman"/>
          <w:sz w:val="18"/>
          <w:szCs w:val="18"/>
          <w:color w:val="auto"/>
        </w:rPr>
        <w:t>are defined as the standard audit work that needs to be performed each year to issue opinions on our consolidated financial statements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reports on our local statutory financial statements. Also included are services that can only be provided by our auditor, such as reviews of quarterly financial results, consents and comfort letters and any other audit services required for SEC or other regulatory filings.</w:t>
      </w:r>
    </w:p>
    <w:p>
      <w:pPr>
        <w:spacing w:after="0" w:line="170"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Audit Related Fees </w:t>
      </w:r>
      <w:r>
        <w:rPr>
          <w:rFonts w:ascii="Times New Roman" w:cs="Times New Roman" w:eastAsia="Times New Roman" w:hAnsi="Times New Roman"/>
          <w:sz w:val="18"/>
          <w:szCs w:val="18"/>
          <w:color w:val="auto"/>
        </w:rPr>
        <w:t>include those other assurance services provided by the independent auditor but not restricted to those that can only be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auditor signing the audit report.</w:t>
      </w:r>
    </w:p>
    <w:p>
      <w:pPr>
        <w:spacing w:after="0" w:line="154" w:lineRule="exact"/>
        <w:rPr>
          <w:sz w:val="20"/>
          <w:szCs w:val="20"/>
          <w:color w:val="auto"/>
        </w:rPr>
      </w:pPr>
    </w:p>
    <w:p>
      <w:pPr>
        <w:ind w:right="60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relate to the aggregate fees billed in each of the last two fiscal years for professional services rendered by the principal accountant for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tax advice, and tax planning.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All Other Fees </w:t>
      </w:r>
      <w:r>
        <w:rPr>
          <w:rFonts w:ascii="Times New Roman" w:cs="Times New Roman" w:eastAsia="Times New Roman" w:hAnsi="Times New Roman"/>
          <w:sz w:val="18"/>
          <w:szCs w:val="18"/>
          <w:color w:val="auto"/>
        </w:rPr>
        <w:t>are any additional amounts billed for products and services provided by the principal accountant.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 for Non-Audit Services</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Audit Committee has adopted a policy pursuant to which we will not engage our auditors to perform any non-audit services unless the audit committee pre-approves the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connection with the issuance of an aggregate principal amount of $575.0 million of fixed rate 2.25% convertible notes, we used $116.7 million (€105.3 million) of the net proceeds to repurchase 1,000,000 ADSs representing the Company’s ordinary shares. Total holding of treasury shares is disclosed in Note 16, “Financial Risk Management”.</w:t>
      </w:r>
    </w:p>
    <w:p>
      <w:pPr>
        <w:spacing w:after="0" w:line="17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The table below is a summary of the shares repurchased by us during the 2022 fiscal year. All ADSs were repurchased pursuant to the before mentioned convertible notes issuance.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ADSs Purchased</w:t>
            </w:r>
          </w:p>
        </w:tc>
        <w:tc>
          <w:tcPr>
            <w:tcW w:w="2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May Yet</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0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5640" w:type="dxa"/>
            <w:vAlign w:val="bottom"/>
            <w:vMerge w:val="restart"/>
          </w:tcPr>
          <w:p>
            <w:pPr>
              <w:ind w:left="26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8"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200" w:type="dxa"/>
            <w:vAlign w:val="bottom"/>
          </w:tcPr>
          <w:p>
            <w:pPr>
              <w:spacing w:after="0"/>
              <w:rPr>
                <w:sz w:val="12"/>
                <w:szCs w:val="12"/>
                <w:color w:val="auto"/>
              </w:rPr>
            </w:pPr>
          </w:p>
        </w:tc>
        <w:tc>
          <w:tcPr>
            <w:tcW w:w="11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86"/>
        </w:trPr>
        <w:tc>
          <w:tcPr>
            <w:tcW w:w="5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ADS (US$)*</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25, 2022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200" w:type="dxa"/>
            <w:vAlign w:val="bottom"/>
          </w:tcPr>
          <w:p>
            <w:pPr>
              <w:spacing w:after="0"/>
              <w:rPr>
                <w:sz w:val="19"/>
                <w:szCs w:val="19"/>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 Total value includes fees and costs associated with the repurchases.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467" w:right="4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In addition to the home country practices described under “Item 6 C. Directors, Senior Management and Employees—Board Practices”, the home country practices followed by our Company in lieu of Nasdaq rules are described below:</w:t>
      </w:r>
    </w:p>
    <w:p>
      <w:pPr>
        <w:spacing w:after="0" w:line="76" w:lineRule="exact"/>
        <w:rPr>
          <w:sz w:val="20"/>
          <w:szCs w:val="20"/>
          <w:color w:val="auto"/>
        </w:rPr>
      </w:pPr>
    </w:p>
    <w:p>
      <w:pPr>
        <w:ind w:left="1020" w:right="160" w:hanging="504"/>
        <w:spacing w:after="0" w:line="265" w:lineRule="auto"/>
        <w:tabs>
          <w:tab w:leader="none" w:pos="1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quorum requirements applicable to meetings of shareholders. In accordance with Danish corporate law and generally accepted business practice, our articles of association do not provide quorum requirements generally applicable to general meetings of shareholders.</w:t>
      </w:r>
    </w:p>
    <w:p>
      <w:pPr>
        <w:spacing w:after="0" w:line="67" w:lineRule="exact"/>
        <w:rPr>
          <w:rFonts w:ascii="Times New Roman" w:cs="Times New Roman" w:eastAsia="Times New Roman" w:hAnsi="Times New Roman"/>
          <w:sz w:val="18"/>
          <w:szCs w:val="18"/>
          <w:color w:val="auto"/>
        </w:rPr>
      </w:pPr>
    </w:p>
    <w:p>
      <w:pPr>
        <w:ind w:left="1020" w:right="120" w:hanging="504"/>
        <w:spacing w:after="0" w:line="259" w:lineRule="auto"/>
        <w:tabs>
          <w:tab w:leader="none" w:pos="1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requirements regarding the provision of proxy statements for general meetings of shareholders. Danish corporate law does not have a regulatory regime for the solicitation of proxies and the solicitation of proxies is not a generally accepted business practice in Denmark. We do intend to provide shareholders with an agenda and other relevant documents for the general meeting of shareholders.</w:t>
      </w:r>
    </w:p>
    <w:p>
      <w:pPr>
        <w:spacing w:after="0" w:line="75" w:lineRule="exact"/>
        <w:rPr>
          <w:rFonts w:ascii="Times New Roman" w:cs="Times New Roman" w:eastAsia="Times New Roman" w:hAnsi="Times New Roman"/>
          <w:sz w:val="18"/>
          <w:szCs w:val="18"/>
          <w:color w:val="auto"/>
        </w:rPr>
      </w:pPr>
    </w:p>
    <w:p>
      <w:pPr>
        <w:ind w:left="1020" w:right="20" w:hanging="504"/>
        <w:spacing w:after="0" w:line="254" w:lineRule="auto"/>
        <w:tabs>
          <w:tab w:leader="none" w:pos="1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requirements regarding shareholder approval for certain issuances of securities under Nasdaq Rule 5635. Pursuant to Danish corporate law,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We intend to take all actions necessary for us to maintain compliance as a foreign private issuer under the applicable corporate governance requirements of the Sarbanes-Oxley Act of 2002, the rules adopted by the SEC and Nasdaq’s listing standards. As a Danish company not listed on a regulated market within the EU/EEA, we do not need to comply with the Danish corporate governance principles nor do we need to explain any deviation from these provisions in our Danish statutory annual report.</w:t>
      </w:r>
    </w:p>
    <w:p>
      <w:pPr>
        <w:spacing w:after="0" w:line="77" w:lineRule="exact"/>
        <w:rPr>
          <w:rFonts w:ascii="Times New Roman" w:cs="Times New Roman" w:eastAsia="Times New Roman" w:hAnsi="Times New Roman"/>
          <w:sz w:val="18"/>
          <w:szCs w:val="18"/>
          <w:color w:val="auto"/>
        </w:rPr>
      </w:pPr>
    </w:p>
    <w:p>
      <w:pPr>
        <w:ind w:left="1020" w:right="80" w:hanging="504"/>
        <w:spacing w:after="0" w:line="257" w:lineRule="auto"/>
        <w:tabs>
          <w:tab w:leader="none" w:pos="1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follow Nasdaq’s requirements regarding shareholder approval for all equity compensation plans. Generally, Nasdaq Rule 5635(c) requires each issuer to obtain shareholder approval of all equity compensation plans (including warrant incentive plans) and material amendments to such plans. However, pursuant to Nasdaq Rule 5615(a)(3), we have elected to follow our home country’s practices (in this case, being Danish practices) in lieu of the requirements of Nasdaq Rule 5635(c). Our home country practices do not require us to obtain a shareholders’ approval for amendments to our existing warrant incentive program.</w:t>
      </w:r>
    </w:p>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Because we are a foreign private issuer, our members of our board of directors, executive board members and senior management are not subject to short-swing profit and insider trading reporting obligations under section 16 of the U.S. Securities Exchange Act of 1934, as amended, or the Exchange Act. They will, however, be subject to the obligations to report changes in share ownership under section 13 of the Exchange Act and related SEC rules.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ind w:right="5300"/>
        <w:spacing w:after="0" w:line="325" w:lineRule="auto"/>
        <w:rPr>
          <w:sz w:val="20"/>
          <w:szCs w:val="20"/>
          <w:color w:val="auto"/>
        </w:rPr>
      </w:pPr>
      <w:r>
        <w:rPr>
          <w:rFonts w:ascii="Times New Roman" w:cs="Times New Roman" w:eastAsia="Times New Roman" w:hAnsi="Times New Roman"/>
          <w:sz w:val="18"/>
          <w:szCs w:val="18"/>
          <w:b w:val="1"/>
          <w:bCs w:val="1"/>
          <w:color w:val="auto"/>
        </w:rPr>
        <w:t xml:space="preserve">Item 16I Disclosure Regarding Foreign Jurisdictions that Prevent Inspections </w:t>
      </w:r>
      <w:r>
        <w:rPr>
          <w:rFonts w:ascii="Times New Roman" w:cs="Times New Roman" w:eastAsia="Times New Roman" w:hAnsi="Times New Roman"/>
          <w:sz w:val="18"/>
          <w:szCs w:val="18"/>
          <w:color w:val="auto"/>
        </w:rPr>
        <w:t>Not applicable.</w:t>
      </w: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91" w:name="page192"/>
    <w:bookmarkEnd w:id="191"/>
    <w:p>
      <w:pPr>
        <w:jc w:val="right"/>
        <w:ind w:right="4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83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575" w:right="1440" w:bottom="1440" w:gutter="0" w:footer="0" w:header="0"/>
        </w:sectPr>
      </w:pPr>
    </w:p>
    <w:bookmarkStart w:id="192" w:name="page193"/>
    <w:bookmarkEnd w:id="1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ASCENDIS PHARMA A/S</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3"/>
        </w:trPr>
        <w:tc>
          <w:tcPr>
            <w:tcW w:w="10020" w:type="dxa"/>
            <w:vAlign w:val="bottom"/>
            <w:gridSpan w:val="7"/>
          </w:tcPr>
          <w:p>
            <w:pPr>
              <w:ind w:left="20"/>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220" w:type="dxa"/>
            <w:vAlign w:val="bottom"/>
          </w:tcPr>
          <w:p>
            <w:pPr>
              <w:ind w:left="960"/>
              <w:spacing w:after="0" w:line="194"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3420" w:type="dxa"/>
            <w:vAlign w:val="bottom"/>
            <w:tcBorders>
              <w:left w:val="single" w:sz="8" w:color="0000EE"/>
            </w:tcBorders>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Profit or Loss and Other Comprehensive Income for the Years Ended December 31, 2022, 2021 and 2020</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F-5</w:t>
            </w:r>
          </w:p>
        </w:tc>
      </w:tr>
      <w:tr>
        <w:trPr>
          <w:trHeight w:val="236"/>
        </w:trPr>
        <w:tc>
          <w:tcPr>
            <w:tcW w:w="960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Financial Position as of December 31, 2022 and 2021</w:t>
            </w:r>
          </w:p>
        </w:tc>
        <w:tc>
          <w:tcPr>
            <w:tcW w:w="420" w:type="dxa"/>
            <w:vAlign w:val="bottom"/>
          </w:tcPr>
          <w:p>
            <w:pPr>
              <w:spacing w:after="0"/>
              <w:rPr>
                <w:sz w:val="20"/>
                <w:szCs w:val="20"/>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3420" w:type="dxa"/>
            <w:vAlign w:val="bottom"/>
            <w:tcBorders>
              <w:left w:val="single" w:sz="8" w:color="0000EE"/>
            </w:tcBorders>
            <w:shd w:val="clear" w:color="auto" w:fill="0000FF"/>
          </w:tcPr>
          <w:p>
            <w:pPr>
              <w:spacing w:after="0" w:line="20" w:lineRule="exact"/>
              <w:rPr>
                <w:sz w:val="1"/>
                <w:szCs w:val="1"/>
                <w:color w:val="auto"/>
              </w:rPr>
            </w:pPr>
          </w:p>
        </w:tc>
        <w:tc>
          <w:tcPr>
            <w:tcW w:w="24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Equity at December 31, 2022, 2021 and 2020</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3420" w:type="dxa"/>
            <w:vAlign w:val="bottom"/>
            <w:tcBorders>
              <w:left w:val="single" w:sz="8" w:color="0000EE"/>
            </w:tcBorders>
            <w:shd w:val="clear" w:color="auto" w:fill="0000FF"/>
          </w:tcPr>
          <w:p>
            <w:pPr>
              <w:spacing w:after="0" w:line="20" w:lineRule="exact"/>
              <w:rPr>
                <w:sz w:val="1"/>
                <w:szCs w:val="1"/>
                <w:color w:val="auto"/>
              </w:rPr>
            </w:pPr>
          </w:p>
        </w:tc>
        <w:tc>
          <w:tcPr>
            <w:tcW w:w="274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6"/>
        </w:trPr>
        <w:tc>
          <w:tcPr>
            <w:tcW w:w="67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Cash Flow Statements for the Years Ended December 31, 2022, 2021 and 2020</w:t>
            </w:r>
          </w:p>
        </w:tc>
        <w:tc>
          <w:tcPr>
            <w:tcW w:w="3320" w:type="dxa"/>
            <w:vAlign w:val="bottom"/>
            <w:gridSpan w:val="2"/>
          </w:tcPr>
          <w:p>
            <w:pPr>
              <w:spacing w:after="0"/>
              <w:rPr>
                <w:sz w:val="20"/>
                <w:szCs w:val="20"/>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F-8</w:t>
            </w:r>
          </w:p>
        </w:tc>
      </w:tr>
      <w:tr>
        <w:trPr>
          <w:trHeight w:val="236"/>
        </w:trPr>
        <w:tc>
          <w:tcPr>
            <w:tcW w:w="10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F-9</w:t>
            </w:r>
          </w:p>
        </w:tc>
      </w:tr>
      <w:tr>
        <w:trPr>
          <w:trHeight w:val="680"/>
        </w:trPr>
        <w:tc>
          <w:tcPr>
            <w:tcW w:w="342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578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F-1</w:t>
            </w:r>
          </w:p>
        </w:tc>
        <w:tc>
          <w:tcPr>
            <w:tcW w:w="1220" w:type="dxa"/>
            <w:vAlign w:val="bottom"/>
          </w:tcPr>
          <w:p>
            <w:pPr>
              <w:spacing w:after="0"/>
              <w:rPr>
                <w:sz w:val="24"/>
                <w:szCs w:val="24"/>
                <w:color w:val="auto"/>
              </w:rPr>
            </w:pPr>
          </w:p>
        </w:tc>
      </w:tr>
      <w:tr>
        <w:trPr>
          <w:trHeight w:val="114"/>
        </w:trPr>
        <w:tc>
          <w:tcPr>
            <w:tcW w:w="34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3" w:name="page194"/>
    <w:bookmarkEnd w:id="193"/>
    <w:p>
      <w:pPr>
        <w:ind w:right="5080"/>
        <w:spacing w:after="0" w:line="41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477645" cy="273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477645" cy="273050"/>
                    </a:xfrm>
                    <a:prstGeom prst="rect">
                      <a:avLst/>
                    </a:prstGeom>
                    <a:noFill/>
                  </pic:spPr>
                </pic:pic>
              </a:graphicData>
            </a:graphic>
          </wp:anchor>
        </w:drawing>
        <w:t xml:space="preserve">REPORT OF INDEPENDENT REGISTERED PUBLIC ACCOUNTING FIRM </w:t>
      </w:r>
      <w:r>
        <w:rPr>
          <w:rFonts w:ascii="Times New Roman" w:cs="Times New Roman" w:eastAsia="Times New Roman" w:hAnsi="Times New Roman"/>
          <w:sz w:val="18"/>
          <w:szCs w:val="18"/>
          <w:color w:val="auto"/>
        </w:rPr>
        <w:t>To the Shareholders and Board of Directors of Ascendis Pharma A/S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statements of financial position of Ascendis Pharma A/S and subsidiaries (the "Company") as of December 31, 2022 and 2021, the related consolidated statements of profit or loss and other comprehensive income, the consolidated statements of changes in equity, and the consolidated cash flow statements for each of the three years in the period ended December 31, 2022, and the related notes (collectively referred to as the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8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as issued by the International Accounting Standards Board.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COSO.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67" w:right="359" w:bottom="1440" w:gutter="0" w:footer="0" w:header="0"/>
        </w:sectPr>
      </w:pPr>
    </w:p>
    <w:bookmarkStart w:id="194" w:name="page195"/>
    <w:bookmarkEnd w:id="194"/>
    <w:p>
      <w:pPr>
        <w:spacing w:after="0" w:line="257" w:lineRule="auto"/>
        <w:rPr>
          <w:sz w:val="20"/>
          <w:szCs w:val="20"/>
          <w:color w:val="auto"/>
        </w:rPr>
      </w:pPr>
      <w:r>
        <w:rPr>
          <w:rFonts w:ascii="Times New Roman" w:cs="Times New Roman" w:eastAsia="Times New Roman" w:hAnsi="Times New Roman"/>
          <w:sz w:val="18"/>
          <w:szCs w:val="18"/>
          <w:color w:val="auto"/>
        </w:rPr>
        <w:t>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87" w:lineRule="exact"/>
        <w:rPr>
          <w:sz w:val="20"/>
          <w:szCs w:val="20"/>
          <w:color w:val="auto"/>
        </w:rPr>
      </w:pPr>
    </w:p>
    <w:p>
      <w:pPr>
        <w:ind w:right="548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Derivative liabilities – Refer to Notes 2, 3 and 15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March 2022, the Company issued convertible senior notes, which were separated into a financial liability and an embedded derivative component on initial recognition. The financial liability is presented as part of Borrowings on the statement of financial position and accounted for at amortized cost. The embedded derivative component has been accounted for separately as it is deemed not closely related to the financial liability and is presented under Derivative liabilities in the statement of financial position. The embedded derivative component is measured at fair value, which requires the Company to make significant estimates regarding the determination of fair value. In measuring the fair value of the embedded derivative component, the Black-Scholes option pricing model is used, incorporating observable inputs and an assumption for expected volatility. As of December 31, 2022, the derivative liabilities totaled EUR 158 million.</w:t>
      </w:r>
    </w:p>
    <w:p>
      <w:pPr>
        <w:spacing w:after="0" w:line="187"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 xml:space="preserve">We identified </w:t>
      </w:r>
      <w:r>
        <w:rPr>
          <w:rFonts w:ascii="Times New Roman" w:cs="Times New Roman" w:eastAsia="Times New Roman" w:hAnsi="Times New Roman"/>
          <w:sz w:val="17"/>
          <w:szCs w:val="17"/>
          <w:i w:val="1"/>
          <w:iCs w:val="1"/>
          <w:color w:val="auto"/>
        </w:rPr>
        <w:t>Derivative liabilities</w:t>
      </w:r>
      <w:r>
        <w:rPr>
          <w:rFonts w:ascii="Times New Roman" w:cs="Times New Roman" w:eastAsia="Times New Roman" w:hAnsi="Times New Roman"/>
          <w:sz w:val="17"/>
          <w:szCs w:val="17"/>
          <w:color w:val="auto"/>
        </w:rPr>
        <w:t xml:space="preserve"> as a critical audit matter due to the judgment related to the initial and subsequent valuation of the embedded derivative component. Significant audit effort was required to audit the valuation of the embedded derivative component, including involvement of specialists.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derivatives liabilities included the following, among others:</w:t>
      </w:r>
    </w:p>
    <w:p>
      <w:pPr>
        <w:spacing w:after="0" w:line="116" w:lineRule="exact"/>
        <w:rPr>
          <w:sz w:val="20"/>
          <w:szCs w:val="20"/>
          <w:color w:val="auto"/>
        </w:rPr>
      </w:pPr>
    </w:p>
    <w:p>
      <w:pPr>
        <w:ind w:left="1020" w:hanging="504"/>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valuation of derivative liabilities;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purchase agreement and offering memorandum to understand the details of the transaction;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accounting treatment of the derivative liabilities;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valuation techniques used for the derivative liabilities;</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80" w:lineRule="auto"/>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traced the information from the purchase agreement and offering memorandum to the inputs used in the Company’s calculations of the derivative liabilities;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traced the external inputs used in the Company’s calculations of the derivative liabilities to reliable independent sources;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71" w:right="359" w:bottom="1440" w:gutter="0" w:footer="0" w:header="0"/>
        </w:sectPr>
      </w:pPr>
    </w:p>
    <w:bookmarkStart w:id="195" w:name="page196"/>
    <w:bookmarkEnd w:id="195"/>
    <w:p>
      <w:pPr>
        <w:ind w:left="1020" w:hanging="504"/>
        <w:spacing w:after="0"/>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Company’s calculations of the derivative liabilities;</w:t>
      </w:r>
    </w:p>
    <w:p>
      <w:pPr>
        <w:spacing w:after="0" w:line="115" w:lineRule="exact"/>
        <w:rPr>
          <w:rFonts w:ascii="Times New Roman" w:cs="Times New Roman" w:eastAsia="Times New Roman" w:hAnsi="Times New Roman"/>
          <w:sz w:val="18"/>
          <w:szCs w:val="18"/>
          <w:color w:val="auto"/>
        </w:rPr>
      </w:pPr>
    </w:p>
    <w:p>
      <w:pPr>
        <w:ind w:left="1020" w:hanging="504"/>
        <w:spacing w:after="0" w:line="280" w:lineRule="auto"/>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our internal fair value specialists to independently calculate the fair value and assess the reasonableness of the valuation assumptions of the derivative liabilities at initial recognition and at year-end.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Statsautoriseret Revisionspartnerselskab</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3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580"/>
          </w:cols>
          <w:pgMar w:left="320" w:top="471" w:right="99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 for the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Profit or Loss</w:t>
            </w: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5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39,037</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4,255</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379,624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295,867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6, 11</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221,227</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160,180</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(561,814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(451,792</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(330,620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4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profit/(loss) of associate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(17,697 )</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(9,524 )</w:t>
            </w:r>
          </w:p>
        </w:tc>
        <w:tc>
          <w:tcPr>
            <w:tcW w:w="0" w:type="dxa"/>
            <w:vAlign w:val="bottom"/>
          </w:tcPr>
          <w:p>
            <w:pPr>
              <w:spacing w:after="0"/>
              <w:rPr>
                <w:sz w:val="1"/>
                <w:szCs w:val="1"/>
                <w:color w:val="auto"/>
              </w:rPr>
            </w:pPr>
          </w:p>
        </w:tc>
      </w:tr>
      <w:tr>
        <w:trPr>
          <w:trHeight w:val="24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(577,817</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(383,944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(419,174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42"/>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profit/(loss) for the year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(5,377 )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year</w:t>
            </w:r>
          </w:p>
        </w:tc>
        <w:tc>
          <w:tcPr>
            <w:tcW w:w="6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(583,194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auto"/>
              <w:bottom w:val="single" w:sz="8" w:color="auto"/>
            </w:tcBorders>
            <w:shd w:val="clear" w:color="auto" w:fill="CFF0FC"/>
          </w:tcPr>
          <w:p>
            <w:pPr>
              <w:spacing w:after="0"/>
              <w:rPr>
                <w:sz w:val="23"/>
                <w:szCs w:val="2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(383,577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(418,955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owners of the Company</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(583,194 )</w:t>
            </w:r>
          </w:p>
        </w:tc>
        <w:tc>
          <w:tcPr>
            <w:tcW w:w="20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(383,577 )</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(418,955 )</w:t>
            </w:r>
          </w:p>
        </w:tc>
        <w:tc>
          <w:tcPr>
            <w:tcW w:w="0" w:type="dxa"/>
            <w:vAlign w:val="bottom"/>
          </w:tcPr>
          <w:p>
            <w:pPr>
              <w:spacing w:after="0"/>
              <w:rPr>
                <w:sz w:val="1"/>
                <w:szCs w:val="1"/>
                <w:color w:val="auto"/>
              </w:rPr>
            </w:pPr>
          </w:p>
        </w:tc>
      </w:tr>
      <w:tr>
        <w:trPr>
          <w:trHeight w:val="240"/>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earnings/(loss) per share</w:t>
            </w: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2"/>
        </w:trPr>
        <w:tc>
          <w:tcPr>
            <w:tcW w:w="590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Weighted average number of shares used for calculation (basic and diluted) </w:t>
            </w:r>
            <w:r>
              <w:rPr>
                <w:rFonts w:ascii="Times New Roman" w:cs="Times New Roman" w:eastAsia="Times New Roman" w:hAnsi="Times New Roman"/>
                <w:sz w:val="24"/>
                <w:szCs w:val="24"/>
                <w:color w:val="auto"/>
                <w:vertAlign w:val="superscript"/>
              </w:rPr>
              <w:t>(1)</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56,071,793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54,771,763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50,616,528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gridSpan w:val="3"/>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 of Comprehensive Income</w:t>
            </w: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profit/(loss) for the year</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(583,194 )</w:t>
            </w:r>
          </w:p>
        </w:tc>
        <w:tc>
          <w:tcPr>
            <w:tcW w:w="20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(383,577 )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(418,955 )</w:t>
            </w:r>
          </w:p>
        </w:tc>
        <w:tc>
          <w:tcPr>
            <w:tcW w:w="0" w:type="dxa"/>
            <w:vAlign w:val="bottom"/>
          </w:tcPr>
          <w:p>
            <w:pPr>
              <w:spacing w:after="0"/>
              <w:rPr>
                <w:sz w:val="1"/>
                <w:szCs w:val="1"/>
                <w:color w:val="auto"/>
              </w:rPr>
            </w:pPr>
          </w:p>
        </w:tc>
      </w:tr>
      <w:tr>
        <w:trPr>
          <w:trHeight w:val="24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Items that may be reclassified subsequently to profit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or loss: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(327 )</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comprehensive income/(loss) for the year, net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(327 )</w:t>
            </w: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3,855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0" w:type="dxa"/>
            <w:vAlign w:val="bottom"/>
          </w:tcPr>
          <w:p>
            <w:pPr>
              <w:spacing w:after="0"/>
              <w:rPr>
                <w:sz w:val="1"/>
                <w:szCs w:val="1"/>
                <w:color w:val="auto"/>
              </w:rPr>
            </w:pPr>
          </w:p>
        </w:tc>
      </w:tr>
      <w:tr>
        <w:trPr>
          <w:trHeight w:val="238"/>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00" w:type="dxa"/>
            <w:vAlign w:val="bottom"/>
            <w:shd w:val="clear" w:color="auto" w:fill="CFF0FC"/>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Total comprehensive income/(loss) for the year, net</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(583,521 )</w:t>
            </w:r>
          </w:p>
        </w:tc>
        <w:tc>
          <w:tcPr>
            <w:tcW w:w="20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(379,722 )</w:t>
            </w:r>
          </w:p>
        </w:tc>
        <w:tc>
          <w:tcPr>
            <w:tcW w:w="30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(418,997 )</w:t>
            </w:r>
          </w:p>
        </w:tc>
        <w:tc>
          <w:tcPr>
            <w:tcW w:w="0" w:type="dxa"/>
            <w:vAlign w:val="bottom"/>
          </w:tcPr>
          <w:p>
            <w:pPr>
              <w:spacing w:after="0"/>
              <w:rPr>
                <w:sz w:val="1"/>
                <w:szCs w:val="1"/>
                <w:color w:val="auto"/>
              </w:rPr>
            </w:pPr>
          </w:p>
        </w:tc>
      </w:tr>
      <w:tr>
        <w:trPr>
          <w:trHeight w:val="231"/>
        </w:trPr>
        <w:tc>
          <w:tcPr>
            <w:tcW w:w="5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owners of the Company</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(583,521 )</w:t>
            </w:r>
          </w:p>
        </w:tc>
        <w:tc>
          <w:tcPr>
            <w:tcW w:w="20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(379,722 )</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(418,997 )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5121910</wp:posOffset>
            </wp:positionH>
            <wp:positionV relativeFrom="paragraph">
              <wp:posOffset>-4039870</wp:posOffset>
            </wp:positionV>
            <wp:extent cx="6858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-4039870</wp:posOffset>
            </wp:positionV>
            <wp:extent cx="68580" cy="162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-4039870</wp:posOffset>
            </wp:positionV>
            <wp:extent cx="68580"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-2468245</wp:posOffset>
            </wp:positionV>
            <wp:extent cx="2016125" cy="1879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16125" cy="187960"/>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-751205</wp:posOffset>
            </wp:positionV>
            <wp:extent cx="68580" cy="2990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299085"/>
                    </a:xfrm>
                    <a:prstGeom prst="rect">
                      <a:avLst/>
                    </a:prstGeom>
                    <a:noFill/>
                  </pic:spPr>
                </pic:pic>
              </a:graphicData>
            </a:graphic>
          </wp:anchor>
        </w:drawing>
        <w:drawing>
          <wp:anchor simplePos="0" relativeHeight="251657728" behindDoc="1" locked="0" layoutInCell="0" allowOverlap="1">
            <wp:simplePos x="0" y="0"/>
            <wp:positionH relativeFrom="column">
              <wp:posOffset>6095365</wp:posOffset>
            </wp:positionH>
            <wp:positionV relativeFrom="paragraph">
              <wp:posOffset>-751205</wp:posOffset>
            </wp:positionV>
            <wp:extent cx="68580" cy="2990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29908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-751205</wp:posOffset>
            </wp:positionV>
            <wp:extent cx="68580" cy="2990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29908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-187325</wp:posOffset>
            </wp:positionV>
            <wp:extent cx="2016125" cy="1879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016125" cy="187960"/>
                    </a:xfrm>
                    <a:prstGeom prst="rect">
                      <a:avLst/>
                    </a:prstGeom>
                    <a:noFill/>
                  </pic:spPr>
                </pic:pic>
              </a:graphicData>
            </a:graphic>
          </wp:anchor>
        </w:drawing>
      </w:r>
    </w:p>
    <w:p>
      <w:pPr>
        <w:spacing w:after="0" w:line="173" w:lineRule="exact"/>
        <w:rPr>
          <w:sz w:val="20"/>
          <w:szCs w:val="20"/>
          <w:color w:val="auto"/>
        </w:rPr>
      </w:pPr>
    </w:p>
    <w:p>
      <w:pPr>
        <w:ind w:left="520" w:right="200" w:hanging="512"/>
        <w:spacing w:after="0" w:line="234" w:lineRule="auto"/>
        <w:tabs>
          <w:tab w:leader="none" w:pos="5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total of 6,864,011 warrants outstanding as of December 31, 2022 (a total of 7,085,073 warrants and 6,148,004 warrants outstanding as of December 31, 2021 and 2020, respectively) can potentially dilute earnings per share in the future but have not been included in the calculation of diluted earnings per share because they are antidilutive for the periods presented. Similarly, 575,000 convertible senior notes which can potentially be converted into 3,456,785 ordinary shares, can potentially dilute earnings per share in the future but have not been included in the calculation of diluted earnings per share because they are antidilutive for 2022.</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97" w:name="page198"/>
    <w:bookmarkEnd w:id="1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as of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4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5, 10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5, 11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129,095</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126,049</w:t>
            </w: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associate</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38,345</w:t>
            </w: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20"/>
                <w:szCs w:val="20"/>
                <w:color w:val="auto"/>
              </w:rPr>
            </w:pPr>
          </w:p>
        </w:tc>
      </w:tr>
      <w:tr>
        <w:trPr>
          <w:trHeight w:val="244"/>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15, 16</w:t>
            </w:r>
          </w:p>
        </w:tc>
        <w:tc>
          <w:tcPr>
            <w:tcW w:w="2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41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166,267</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279,035</w:t>
            </w:r>
          </w:p>
        </w:tc>
        <w:tc>
          <w:tcPr>
            <w:tcW w:w="100" w:type="dxa"/>
            <w:vAlign w:val="bottom"/>
          </w:tcPr>
          <w:p>
            <w:pPr>
              <w:spacing w:after="0"/>
              <w:rPr>
                <w:sz w:val="20"/>
                <w:szCs w:val="20"/>
                <w:color w:val="auto"/>
              </w:rPr>
            </w:pPr>
          </w:p>
        </w:tc>
      </w:tr>
      <w:tr>
        <w:trPr>
          <w:trHeight w:val="23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130,673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75,405</w:t>
            </w: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0"/>
                <w:szCs w:val="20"/>
                <w:color w:val="auto"/>
              </w:rPr>
            </w:pPr>
          </w:p>
        </w:tc>
      </w:tr>
      <w:tr>
        <w:trPr>
          <w:trHeight w:val="24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100" w:type="dxa"/>
            <w:vAlign w:val="bottom"/>
          </w:tcPr>
          <w:p>
            <w:pPr>
              <w:spacing w:after="0"/>
              <w:rPr>
                <w:sz w:val="20"/>
                <w:szCs w:val="20"/>
                <w:color w:val="auto"/>
              </w:rPr>
            </w:pPr>
          </w:p>
        </w:tc>
      </w:tr>
      <w:tr>
        <w:trPr>
          <w:trHeight w:val="24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15, 16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290,688</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21"/>
                <w:szCs w:val="2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15, 16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444,767</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446,267</w:t>
            </w:r>
          </w:p>
        </w:tc>
        <w:tc>
          <w:tcPr>
            <w:tcW w:w="100" w:type="dxa"/>
            <w:vAlign w:val="bottom"/>
          </w:tcPr>
          <w:p>
            <w:pPr>
              <w:spacing w:after="0"/>
              <w:rPr>
                <w:sz w:val="21"/>
                <w:szCs w:val="21"/>
                <w:color w:val="auto"/>
              </w:rPr>
            </w:pPr>
          </w:p>
        </w:tc>
      </w:tr>
      <w:tr>
        <w:trPr>
          <w:trHeight w:val="233"/>
        </w:trPr>
        <w:tc>
          <w:tcPr>
            <w:tcW w:w="4100" w:type="dxa"/>
            <w:vAlign w:val="bottom"/>
            <w:tcBorders>
              <w:bottom w:val="single" w:sz="8" w:color="CFF0FC"/>
            </w:tcBorders>
            <w:shd w:val="clear" w:color="auto" w:fill="CFF0FC"/>
          </w:tcPr>
          <w:p>
            <w:pPr>
              <w:spacing w:after="0"/>
              <w:rPr>
                <w:sz w:val="20"/>
                <w:szCs w:val="20"/>
                <w:color w:val="auto"/>
              </w:rPr>
            </w:pPr>
          </w:p>
        </w:tc>
        <w:tc>
          <w:tcPr>
            <w:tcW w:w="30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923,471</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805,886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1,089,738</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1,084,921</w:t>
            </w:r>
          </w:p>
        </w:tc>
        <w:tc>
          <w:tcPr>
            <w:tcW w:w="100" w:type="dxa"/>
            <w:vAlign w:val="bottom"/>
          </w:tcPr>
          <w:p>
            <w:pPr>
              <w:spacing w:after="0"/>
              <w:rPr>
                <w:sz w:val="20"/>
                <w:szCs w:val="20"/>
                <w:color w:val="auto"/>
              </w:rPr>
            </w:pPr>
          </w:p>
        </w:tc>
      </w:tr>
      <w:tr>
        <w:trPr>
          <w:trHeight w:val="20"/>
        </w:trPr>
        <w:tc>
          <w:tcPr>
            <w:tcW w:w="4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10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capital</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20"/>
                <w:szCs w:val="20"/>
                <w:color w:val="auto"/>
              </w:rPr>
            </w:pPr>
          </w:p>
        </w:tc>
      </w:tr>
      <w:tr>
        <w:trPr>
          <w:trHeight w:val="240"/>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Distributable equity</w:t>
            </w:r>
          </w:p>
        </w:tc>
        <w:tc>
          <w:tcPr>
            <w:tcW w:w="30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255,673</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263,348</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883,635</w:t>
            </w:r>
          </w:p>
        </w:tc>
        <w:tc>
          <w:tcPr>
            <w:tcW w:w="100" w:type="dxa"/>
            <w:vAlign w:val="bottom"/>
          </w:tcPr>
          <w:p>
            <w:pPr>
              <w:spacing w:after="0"/>
              <w:rPr>
                <w:sz w:val="20"/>
                <w:szCs w:val="20"/>
                <w:color w:val="auto"/>
              </w:rPr>
            </w:pPr>
          </w:p>
        </w:tc>
      </w:tr>
      <w:tr>
        <w:trPr>
          <w:trHeight w:val="238"/>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15, 16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482,956</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97,966</w:t>
            </w: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15, 16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2"/>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21"/>
                <w:szCs w:val="21"/>
                <w:color w:val="auto"/>
              </w:rPr>
            </w:pPr>
          </w:p>
        </w:tc>
      </w:tr>
      <w:tr>
        <w:trPr>
          <w:trHeight w:val="233"/>
        </w:trPr>
        <w:tc>
          <w:tcPr>
            <w:tcW w:w="4100" w:type="dxa"/>
            <w:vAlign w:val="bottom"/>
            <w:tcBorders>
              <w:bottom w:val="single" w:sz="8" w:color="CFF0FC"/>
            </w:tcBorders>
            <w:shd w:val="clear" w:color="auto" w:fill="CFF0FC"/>
          </w:tcPr>
          <w:p>
            <w:pPr>
              <w:spacing w:after="0"/>
              <w:rPr>
                <w:sz w:val="20"/>
                <w:szCs w:val="20"/>
                <w:color w:val="auto"/>
              </w:rPr>
            </w:pPr>
          </w:p>
        </w:tc>
        <w:tc>
          <w:tcPr>
            <w:tcW w:w="30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655,119</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100,930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15, 16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25,421</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shd w:val="clear" w:color="auto" w:fill="CFF0FC"/>
          </w:tcPr>
          <w:p>
            <w:pPr>
              <w:spacing w:after="0"/>
              <w:rPr>
                <w:sz w:val="21"/>
                <w:szCs w:val="21"/>
                <w:color w:val="auto"/>
              </w:rPr>
            </w:pPr>
          </w:p>
        </w:tc>
      </w:tr>
      <w:tr>
        <w:trPr>
          <w:trHeight w:val="24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Pr>
          <w:p>
            <w:pPr>
              <w:spacing w:after="0"/>
              <w:rPr>
                <w:sz w:val="20"/>
                <w:szCs w:val="20"/>
                <w:color w:val="auto"/>
              </w:rPr>
            </w:pPr>
          </w:p>
        </w:tc>
        <w:tc>
          <w:tcPr>
            <w:tcW w:w="20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0"/>
                <w:szCs w:val="20"/>
                <w:color w:val="auto"/>
              </w:rPr>
            </w:pPr>
          </w:p>
        </w:tc>
      </w:tr>
      <w:tr>
        <w:trPr>
          <w:trHeight w:val="24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15, 16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29,952</w:t>
            </w:r>
          </w:p>
        </w:tc>
        <w:tc>
          <w:tcPr>
            <w:tcW w:w="100" w:type="dxa"/>
            <w:vAlign w:val="bottom"/>
          </w:tcPr>
          <w:p>
            <w:pPr>
              <w:spacing w:after="0"/>
              <w:rPr>
                <w:sz w:val="20"/>
                <w:szCs w:val="20"/>
                <w:color w:val="auto"/>
              </w:rPr>
            </w:pPr>
          </w:p>
        </w:tc>
      </w:tr>
      <w:tr>
        <w:trPr>
          <w:trHeight w:val="24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payables</w:t>
            </w:r>
          </w:p>
        </w:tc>
        <w:tc>
          <w:tcPr>
            <w:tcW w:w="30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0"/>
                <w:szCs w:val="20"/>
                <w:color w:val="auto"/>
              </w:rPr>
            </w:pPr>
          </w:p>
        </w:tc>
      </w:tr>
      <w:tr>
        <w:trPr>
          <w:trHeight w:val="238"/>
        </w:trPr>
        <w:tc>
          <w:tcPr>
            <w:tcW w:w="4100" w:type="dxa"/>
            <w:vAlign w:val="bottom"/>
            <w:tcBorders>
              <w:bottom w:val="single" w:sz="8" w:color="CFF0FC"/>
            </w:tcBorders>
            <w:shd w:val="clear" w:color="auto" w:fill="CFF0FC"/>
          </w:tcPr>
          <w:p>
            <w:pPr>
              <w:spacing w:after="0"/>
              <w:rPr>
                <w:sz w:val="20"/>
                <w:szCs w:val="20"/>
                <w:color w:val="auto"/>
              </w:rPr>
            </w:pPr>
          </w:p>
        </w:tc>
        <w:tc>
          <w:tcPr>
            <w:tcW w:w="30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171,271</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100,356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826,390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201,286</w:t>
            </w:r>
          </w:p>
        </w:tc>
        <w:tc>
          <w:tcPr>
            <w:tcW w:w="100" w:type="dxa"/>
            <w:vAlign w:val="bottom"/>
          </w:tcPr>
          <w:p>
            <w:pPr>
              <w:spacing w:after="0"/>
              <w:rPr>
                <w:sz w:val="20"/>
                <w:szCs w:val="20"/>
                <w:color w:val="auto"/>
              </w:rPr>
            </w:pPr>
          </w:p>
        </w:tc>
      </w:tr>
      <w:tr>
        <w:trPr>
          <w:trHeight w:val="276"/>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06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1,089,738</w:t>
            </w:r>
          </w:p>
        </w:tc>
        <w:tc>
          <w:tcPr>
            <w:tcW w:w="18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top w:val="single" w:sz="8" w:color="auto"/>
              <w:bottom w:val="single" w:sz="8" w:color="auto"/>
            </w:tcBorders>
            <w:shd w:val="clear" w:color="auto" w:fill="CFF0FC"/>
          </w:tcPr>
          <w:p>
            <w:pPr>
              <w:spacing w:after="0"/>
              <w:rPr>
                <w:sz w:val="23"/>
                <w:szCs w:val="2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1,084,921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521"/>
        </w:trPr>
        <w:tc>
          <w:tcPr>
            <w:tcW w:w="4100" w:type="dxa"/>
            <w:vAlign w:val="bottom"/>
          </w:tcPr>
          <w:p>
            <w:pPr>
              <w:spacing w:after="0"/>
              <w:rPr>
                <w:sz w:val="24"/>
                <w:szCs w:val="24"/>
                <w:color w:val="auto"/>
              </w:rPr>
            </w:pPr>
          </w:p>
        </w:tc>
        <w:tc>
          <w:tcPr>
            <w:tcW w:w="3800" w:type="dxa"/>
            <w:vAlign w:val="bottom"/>
            <w:gridSpan w:val="2"/>
          </w:tcPr>
          <w:p>
            <w:pPr>
              <w:jc w:val="right"/>
              <w:ind w:right="2088"/>
              <w:spacing w:after="0"/>
              <w:rPr>
                <w:sz w:val="20"/>
                <w:szCs w:val="20"/>
                <w:color w:val="auto"/>
              </w:rPr>
            </w:pPr>
            <w:r>
              <w:rPr>
                <w:rFonts w:ascii="Times New Roman" w:cs="Times New Roman" w:eastAsia="Times New Roman" w:hAnsi="Times New Roman"/>
                <w:sz w:val="18"/>
                <w:szCs w:val="18"/>
                <w:color w:val="auto"/>
              </w:rPr>
              <w:t>F-6</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410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6052820</wp:posOffset>
            </wp:positionH>
            <wp:positionV relativeFrom="paragraph">
              <wp:posOffset>-5492115</wp:posOffset>
            </wp:positionV>
            <wp:extent cx="68580" cy="1708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-5492115</wp:posOffset>
            </wp:positionV>
            <wp:extent cx="68580" cy="1708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-3928745</wp:posOffset>
            </wp:positionV>
            <wp:extent cx="68580" cy="1879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-3928745</wp:posOffset>
            </wp:positionV>
            <wp:extent cx="68580" cy="1879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-2971800</wp:posOffset>
            </wp:positionV>
            <wp:extent cx="68580" cy="1708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-2971800</wp:posOffset>
            </wp:positionV>
            <wp:extent cx="68580" cy="1708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-2023745</wp:posOffset>
            </wp:positionV>
            <wp:extent cx="68580" cy="162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-2023745</wp:posOffset>
            </wp:positionV>
            <wp:extent cx="68580" cy="162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-776605</wp:posOffset>
            </wp:positionV>
            <wp:extent cx="68580" cy="1708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-776605</wp:posOffset>
            </wp:positionV>
            <wp:extent cx="68580" cy="1708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-452120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-434975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-452120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-434975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8" w:name="page199"/>
    <w:bookmarkEnd w:id="1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jc w:val="center"/>
              <w:ind w:right="173"/>
              <w:spacing w:after="0"/>
              <w:rPr>
                <w:sz w:val="20"/>
                <w:szCs w:val="20"/>
                <w:color w:val="auto"/>
              </w:rPr>
            </w:pPr>
            <w:r>
              <w:rPr>
                <w:rFonts w:ascii="Times New Roman" w:cs="Times New Roman" w:eastAsia="Times New Roman" w:hAnsi="Times New Roman"/>
                <w:sz w:val="12"/>
                <w:szCs w:val="12"/>
                <w:b w:val="1"/>
                <w:bCs w:val="1"/>
                <w:color w:val="auto"/>
                <w:w w:val="96"/>
              </w:rPr>
              <w:t>Distributable Equity</w:t>
            </w:r>
          </w:p>
        </w:tc>
        <w:tc>
          <w:tcPr>
            <w:tcW w:w="10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33"/>
              <w:spacing w:after="0" w:line="134" w:lineRule="exact"/>
              <w:rPr>
                <w:sz w:val="20"/>
                <w:szCs w:val="20"/>
                <w:color w:val="auto"/>
              </w:rPr>
            </w:pPr>
            <w:r>
              <w:rPr>
                <w:rFonts w:ascii="Times New Roman" w:cs="Times New Roman" w:eastAsia="Times New Roman" w:hAnsi="Times New Roman"/>
                <w:sz w:val="12"/>
                <w:szCs w:val="12"/>
                <w:b w:val="1"/>
                <w:bCs w:val="1"/>
                <w:color w:val="auto"/>
                <w:w w:val="94"/>
              </w:rPr>
              <w:t>Foreign</w:t>
            </w: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53"/>
              <w:spacing w:after="0" w:line="134" w:lineRule="exact"/>
              <w:rPr>
                <w:sz w:val="20"/>
                <w:szCs w:val="20"/>
                <w:color w:val="auto"/>
              </w:rPr>
            </w:pPr>
            <w:r>
              <w:rPr>
                <w:rFonts w:ascii="Times New Roman" w:cs="Times New Roman" w:eastAsia="Times New Roman" w:hAnsi="Times New Roman"/>
                <w:sz w:val="12"/>
                <w:szCs w:val="12"/>
                <w:b w:val="1"/>
                <w:bCs w:val="1"/>
                <w:color w:val="auto"/>
                <w:w w:val="97"/>
              </w:rPr>
              <w:t>Currency</w:t>
            </w: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700" w:type="dxa"/>
            <w:vAlign w:val="bottom"/>
          </w:tcPr>
          <w:p>
            <w:pPr>
              <w:jc w:val="center"/>
              <w:ind w:left="262"/>
              <w:spacing w:after="0" w:line="13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right"/>
              <w:ind w:right="600"/>
              <w:spacing w:after="0" w:line="134" w:lineRule="exact"/>
              <w:rPr>
                <w:sz w:val="20"/>
                <w:szCs w:val="20"/>
                <w:color w:val="auto"/>
              </w:rPr>
            </w:pPr>
            <w:r>
              <w:rPr>
                <w:rFonts w:ascii="Times New Roman" w:cs="Times New Roman" w:eastAsia="Times New Roman" w:hAnsi="Times New Roman"/>
                <w:sz w:val="12"/>
                <w:szCs w:val="12"/>
                <w:b w:val="1"/>
                <w:bCs w:val="1"/>
                <w:color w:val="auto"/>
              </w:rPr>
              <w:t>Share</w:t>
            </w:r>
          </w:p>
        </w:tc>
        <w:tc>
          <w:tcPr>
            <w:tcW w:w="1400" w:type="dxa"/>
            <w:vAlign w:val="bottom"/>
            <w:gridSpan w:val="3"/>
          </w:tcPr>
          <w:p>
            <w:pPr>
              <w:ind w:left="280"/>
              <w:spacing w:after="0" w:line="134"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020" w:type="dxa"/>
            <w:vAlign w:val="bottom"/>
            <w:gridSpan w:val="2"/>
          </w:tcPr>
          <w:p>
            <w:pPr>
              <w:jc w:val="center"/>
              <w:ind w:right="333"/>
              <w:spacing w:after="0" w:line="134" w:lineRule="exact"/>
              <w:rPr>
                <w:sz w:val="20"/>
                <w:szCs w:val="20"/>
                <w:color w:val="auto"/>
              </w:rPr>
            </w:pPr>
            <w:r>
              <w:rPr>
                <w:rFonts w:ascii="Times New Roman" w:cs="Times New Roman" w:eastAsia="Times New Roman" w:hAnsi="Times New Roman"/>
                <w:sz w:val="12"/>
                <w:szCs w:val="12"/>
                <w:b w:val="1"/>
                <w:bCs w:val="1"/>
                <w:color w:val="auto"/>
                <w:w w:val="96"/>
              </w:rPr>
              <w:t>Translation</w:t>
            </w:r>
          </w:p>
        </w:tc>
        <w:tc>
          <w:tcPr>
            <w:tcW w:w="1220" w:type="dxa"/>
            <w:vAlign w:val="bottom"/>
            <w:gridSpan w:val="2"/>
          </w:tcPr>
          <w:p>
            <w:pPr>
              <w:jc w:val="right"/>
              <w:ind w:right="333"/>
              <w:spacing w:after="0" w:line="13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700" w:type="dxa"/>
            <w:vAlign w:val="bottom"/>
            <w:tcBorders>
              <w:bottom w:val="single" w:sz="8" w:color="auto"/>
            </w:tcBorders>
          </w:tcPr>
          <w:p>
            <w:pPr>
              <w:jc w:val="center"/>
              <w:ind w:left="262"/>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Premium</w:t>
            </w:r>
          </w:p>
        </w:tc>
        <w:tc>
          <w:tcPr>
            <w:tcW w:w="260" w:type="dxa"/>
            <w:vAlign w:val="bottom"/>
          </w:tcPr>
          <w:p>
            <w:pPr>
              <w:spacing w:after="0"/>
              <w:rPr>
                <w:sz w:val="13"/>
                <w:szCs w:val="13"/>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2"/>
                <w:szCs w:val="12"/>
                <w:b w:val="1"/>
                <w:bCs w:val="1"/>
                <w:color w:val="auto"/>
                <w:w w:val="98"/>
              </w:rPr>
              <w:t>Reserve</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center"/>
              <w:ind w:left="734"/>
              <w:spacing w:after="0"/>
              <w:rPr>
                <w:sz w:val="20"/>
                <w:szCs w:val="20"/>
                <w:color w:val="auto"/>
              </w:rPr>
            </w:pPr>
            <w:r>
              <w:rPr>
                <w:rFonts w:ascii="Times New Roman" w:cs="Times New Roman" w:eastAsia="Times New Roman" w:hAnsi="Times New Roman"/>
                <w:sz w:val="12"/>
                <w:szCs w:val="12"/>
                <w:b w:val="1"/>
                <w:bCs w:val="1"/>
                <w:color w:val="auto"/>
                <w:w w:val="95"/>
              </w:rPr>
              <w:t>(EUR ‘000)</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January 1, 2020</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6,443</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1,122,097</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(34 )</w:t>
            </w:r>
          </w:p>
        </w:tc>
        <w:tc>
          <w:tcPr>
            <w:tcW w:w="12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(531,392 )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597,114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profit / (loss) for the period</w:t>
            </w:r>
          </w:p>
        </w:tc>
        <w:tc>
          <w:tcPr>
            <w:tcW w:w="7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(418,955 )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(418,955 )</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income/(loss),</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2"/>
                <w:szCs w:val="12"/>
                <w:color w:val="auto"/>
              </w:rPr>
            </w:pPr>
          </w:p>
        </w:tc>
        <w:tc>
          <w:tcPr>
            <w:tcW w:w="180" w:type="dxa"/>
            <w:vAlign w:val="bottom"/>
            <w:vMerge w:val="restart"/>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(42 )</w:t>
            </w:r>
          </w:p>
        </w:tc>
        <w:tc>
          <w:tcPr>
            <w:tcW w:w="1220" w:type="dxa"/>
            <w:vAlign w:val="bottom"/>
            <w:gridSpan w:val="2"/>
            <w:vMerge w:val="restart"/>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(42 )</w:t>
            </w:r>
          </w:p>
        </w:tc>
        <w:tc>
          <w:tcPr>
            <w:tcW w:w="0" w:type="dxa"/>
            <w:vAlign w:val="bottom"/>
          </w:tcPr>
          <w:p>
            <w:pPr>
              <w:spacing w:after="0"/>
              <w:rPr>
                <w:sz w:val="1"/>
                <w:szCs w:val="1"/>
                <w:color w:val="auto"/>
              </w:rPr>
            </w:pPr>
          </w:p>
        </w:tc>
      </w:tr>
      <w:tr>
        <w:trPr>
          <w:trHeight w:val="161"/>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0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980" w:type="dxa"/>
            <w:vAlign w:val="bottom"/>
            <w:vMerge w:val="continue"/>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1020" w:type="dxa"/>
            <w:vAlign w:val="bottom"/>
            <w:gridSpan w:val="2"/>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1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7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(42 )</w:t>
            </w:r>
          </w:p>
        </w:tc>
        <w:tc>
          <w:tcPr>
            <w:tcW w:w="12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(418,955 )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(418,997 )</w:t>
            </w:r>
          </w:p>
        </w:tc>
        <w:tc>
          <w:tcPr>
            <w:tcW w:w="0" w:type="dxa"/>
            <w:vAlign w:val="bottom"/>
          </w:tcPr>
          <w:p>
            <w:pPr>
              <w:spacing w:after="0"/>
              <w:rPr>
                <w:sz w:val="1"/>
                <w:szCs w:val="1"/>
                <w:color w:val="auto"/>
              </w:rPr>
            </w:pPr>
          </w:p>
        </w:tc>
      </w:tr>
      <w:tr>
        <w:trPr>
          <w:trHeight w:val="168"/>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7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53,170</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53,170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increase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638,023</w:t>
            </w:r>
          </w:p>
        </w:tc>
        <w:tc>
          <w:tcPr>
            <w:tcW w:w="260" w:type="dxa"/>
            <w:vAlign w:val="bottom"/>
            <w:shd w:val="clear" w:color="auto" w:fill="CFF0FC"/>
          </w:tcPr>
          <w:p>
            <w:pPr>
              <w:spacing w:after="0"/>
              <w:rPr>
                <w:sz w:val="15"/>
                <w:szCs w:val="15"/>
                <w:color w:val="auto"/>
              </w:rPr>
            </w:pPr>
          </w:p>
        </w:tc>
        <w:tc>
          <w:tcPr>
            <w:tcW w:w="140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638,797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capital increase</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(31,373 )</w:t>
            </w: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(31,373 )</w:t>
            </w:r>
          </w:p>
        </w:tc>
        <w:tc>
          <w:tcPr>
            <w:tcW w:w="0" w:type="dxa"/>
            <w:vAlign w:val="bottom"/>
          </w:tcPr>
          <w:p>
            <w:pPr>
              <w:spacing w:after="0"/>
              <w:rPr>
                <w:sz w:val="1"/>
                <w:szCs w:val="1"/>
                <w:color w:val="auto"/>
              </w:rPr>
            </w:pPr>
          </w:p>
        </w:tc>
      </w:tr>
      <w:tr>
        <w:trPr>
          <w:trHeight w:val="208"/>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December 31, 2020</w:t>
            </w: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7,217</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1,728,747</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(76</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(897,177</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838,711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profit / (loss) for the period</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(383,577 )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(383,577 )</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income/(loss),</w:t>
            </w: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2"/>
                <w:szCs w:val="12"/>
                <w:color w:val="auto"/>
              </w:rPr>
            </w:pPr>
          </w:p>
        </w:tc>
        <w:tc>
          <w:tcPr>
            <w:tcW w:w="18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3,855</w:t>
            </w: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70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vMerge w:val="continue"/>
            <w:shd w:val="clear" w:color="auto" w:fill="CFF0FC"/>
          </w:tcPr>
          <w:p>
            <w:pPr>
              <w:spacing w:after="0"/>
              <w:rPr>
                <w:sz w:val="13"/>
                <w:szCs w:val="13"/>
                <w:color w:val="auto"/>
              </w:rPr>
            </w:pPr>
          </w:p>
        </w:tc>
        <w:tc>
          <w:tcPr>
            <w:tcW w:w="10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0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3,855</w:t>
            </w:r>
          </w:p>
        </w:tc>
        <w:tc>
          <w:tcPr>
            <w:tcW w:w="220" w:type="dxa"/>
            <w:vAlign w:val="bottom"/>
          </w:tcPr>
          <w:p>
            <w:pPr>
              <w:spacing w:after="0"/>
              <w:rPr>
                <w:sz w:val="14"/>
                <w:szCs w:val="14"/>
                <w:color w:val="auto"/>
              </w:rPr>
            </w:pPr>
          </w:p>
        </w:tc>
        <w:tc>
          <w:tcPr>
            <w:tcW w:w="12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(383,577 )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(379,722 )</w:t>
            </w:r>
          </w:p>
        </w:tc>
        <w:tc>
          <w:tcPr>
            <w:tcW w:w="0" w:type="dxa"/>
            <w:vAlign w:val="bottom"/>
          </w:tcPr>
          <w:p>
            <w:pPr>
              <w:spacing w:after="0"/>
              <w:rPr>
                <w:sz w:val="1"/>
                <w:szCs w:val="1"/>
                <w:color w:val="auto"/>
              </w:rPr>
            </w:pPr>
          </w:p>
        </w:tc>
      </w:tr>
      <w:tr>
        <w:trPr>
          <w:trHeight w:val="168"/>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7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66,830</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66,830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(21 )</w:t>
            </w: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(21,584 )</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(21,605 )</w:t>
            </w:r>
          </w:p>
        </w:tc>
        <w:tc>
          <w:tcPr>
            <w:tcW w:w="0" w:type="dxa"/>
            <w:vAlign w:val="bottom"/>
          </w:tcPr>
          <w:p>
            <w:pPr>
              <w:spacing w:after="0"/>
              <w:rPr>
                <w:sz w:val="1"/>
                <w:szCs w:val="1"/>
                <w:color w:val="auto"/>
              </w:rPr>
            </w:pPr>
          </w:p>
        </w:tc>
      </w:tr>
      <w:tr>
        <w:trPr>
          <w:trHeight w:val="17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Capital increase</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398,966</w:t>
            </w:r>
          </w:p>
        </w:tc>
        <w:tc>
          <w:tcPr>
            <w:tcW w:w="260" w:type="dxa"/>
            <w:vAlign w:val="bottom"/>
          </w:tcPr>
          <w:p>
            <w:pPr>
              <w:spacing w:after="0"/>
              <w:rPr>
                <w:sz w:val="15"/>
                <w:szCs w:val="15"/>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399,395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capital increase</w:t>
            </w: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(19,974 )</w:t>
            </w:r>
          </w:p>
        </w:tc>
        <w:tc>
          <w:tcPr>
            <w:tcW w:w="140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(19,974 )</w:t>
            </w: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December 31, 2021</w:t>
            </w:r>
          </w:p>
        </w:tc>
        <w:tc>
          <w:tcPr>
            <w:tcW w:w="7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7,646</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2,107,739</w:t>
            </w:r>
          </w:p>
        </w:tc>
        <w:tc>
          <w:tcPr>
            <w:tcW w:w="260" w:type="dxa"/>
            <w:vAlign w:val="bottom"/>
          </w:tcPr>
          <w:p>
            <w:pPr>
              <w:spacing w:after="0"/>
              <w:rPr>
                <w:sz w:val="14"/>
                <w:szCs w:val="14"/>
                <w:color w:val="auto"/>
              </w:rPr>
            </w:pPr>
          </w:p>
        </w:tc>
        <w:tc>
          <w:tcPr>
            <w:tcW w:w="12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(21 )</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3,779</w:t>
            </w:r>
          </w:p>
        </w:tc>
        <w:tc>
          <w:tcPr>
            <w:tcW w:w="220" w:type="dxa"/>
            <w:vAlign w:val="bottom"/>
          </w:tcPr>
          <w:p>
            <w:pPr>
              <w:spacing w:after="0"/>
              <w:rPr>
                <w:sz w:val="14"/>
                <w:szCs w:val="14"/>
                <w:color w:val="auto"/>
              </w:rPr>
            </w:pPr>
          </w:p>
        </w:tc>
        <w:tc>
          <w:tcPr>
            <w:tcW w:w="12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(1,235,508 )</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883,635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profit / (loss) for the period</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(583,194 )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(583,194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4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income/(loss),</w:t>
            </w: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(327 )</w:t>
            </w:r>
          </w:p>
        </w:tc>
        <w:tc>
          <w:tcPr>
            <w:tcW w:w="122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(327 )</w:t>
            </w:r>
          </w:p>
        </w:tc>
        <w:tc>
          <w:tcPr>
            <w:tcW w:w="0" w:type="dxa"/>
            <w:vAlign w:val="bottom"/>
          </w:tcPr>
          <w:p>
            <w:pPr>
              <w:spacing w:after="0"/>
              <w:rPr>
                <w:sz w:val="1"/>
                <w:szCs w:val="1"/>
                <w:color w:val="auto"/>
              </w:rPr>
            </w:pPr>
          </w:p>
        </w:tc>
      </w:tr>
      <w:tr>
        <w:trPr>
          <w:trHeight w:val="161"/>
        </w:trPr>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58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income/(loss)</w:t>
            </w:r>
          </w:p>
        </w:tc>
        <w:tc>
          <w:tcPr>
            <w:tcW w:w="700" w:type="dxa"/>
            <w:vAlign w:val="bottom"/>
            <w:tcBorders>
              <w:top w:val="single" w:sz="8" w:color="auto"/>
              <w:bottom w:val="single" w:sz="8" w:color="auto"/>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(327</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(583,194</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(583,521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68"/>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Transactions with Owners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payment (Note 7)</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64,180</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64,180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(134 )</w:t>
            </w:r>
          </w:p>
        </w:tc>
        <w:tc>
          <w:tcPr>
            <w:tcW w:w="180" w:type="dxa"/>
            <w:vAlign w:val="bottom"/>
          </w:tcPr>
          <w:p>
            <w:pPr>
              <w:spacing w:after="0"/>
              <w:rPr>
                <w:sz w:val="15"/>
                <w:szCs w:val="15"/>
                <w:color w:val="auto"/>
              </w:rPr>
            </w:pPr>
          </w:p>
        </w:tc>
        <w:tc>
          <w:tcPr>
            <w:tcW w:w="10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(105,965 )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(106,099 )</w:t>
            </w:r>
          </w:p>
        </w:tc>
        <w:tc>
          <w:tcPr>
            <w:tcW w:w="0" w:type="dxa"/>
            <w:vAlign w:val="bottom"/>
          </w:tcPr>
          <w:p>
            <w:pPr>
              <w:spacing w:after="0"/>
              <w:rPr>
                <w:sz w:val="1"/>
                <w:szCs w:val="1"/>
                <w:color w:val="auto"/>
              </w:rPr>
            </w:pPr>
          </w:p>
        </w:tc>
      </w:tr>
      <w:tr>
        <w:trPr>
          <w:trHeight w:val="175"/>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Transfer under stock incentive programs</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(6 )</w:t>
            </w:r>
          </w:p>
        </w:tc>
        <w:tc>
          <w:tcPr>
            <w:tcW w:w="11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5"/>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Capital increase</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5,124</w:t>
            </w:r>
          </w:p>
        </w:tc>
        <w:tc>
          <w:tcPr>
            <w:tcW w:w="260" w:type="dxa"/>
            <w:vAlign w:val="bottom"/>
          </w:tcPr>
          <w:p>
            <w:pPr>
              <w:spacing w:after="0"/>
              <w:rPr>
                <w:sz w:val="15"/>
                <w:szCs w:val="15"/>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Equity at December 31, 2022</w:t>
            </w: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7,675</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2,112,863</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(149</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3,452</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(1,860,493</w:t>
            </w:r>
          </w:p>
        </w:tc>
        <w:tc>
          <w:tcPr>
            <w:tcW w:w="220" w:type="dxa"/>
            <w:vAlign w:val="bottom"/>
            <w:tcBorders>
              <w:bottom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263,348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-3305175</wp:posOffset>
            </wp:positionV>
            <wp:extent cx="76835" cy="1193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11938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-3305175</wp:posOffset>
            </wp:positionV>
            <wp:extent cx="76835" cy="1193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11938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-3305175</wp:posOffset>
            </wp:positionV>
            <wp:extent cx="68580" cy="1193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-3305175</wp:posOffset>
            </wp:positionV>
            <wp:extent cx="68580" cy="1193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-3305175</wp:posOffset>
            </wp:positionV>
            <wp:extent cx="68580" cy="1193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-3305175</wp:posOffset>
            </wp:positionV>
            <wp:extent cx="68580" cy="1193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-2988945</wp:posOffset>
            </wp:positionV>
            <wp:extent cx="76835" cy="1282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-2988945</wp:posOffset>
            </wp:positionV>
            <wp:extent cx="76835" cy="1282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-2988945</wp:posOffset>
            </wp:positionV>
            <wp:extent cx="68580" cy="1282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-2988945</wp:posOffset>
            </wp:positionV>
            <wp:extent cx="68580" cy="1282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-2988945</wp:posOffset>
            </wp:positionV>
            <wp:extent cx="68580" cy="1282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-2988945</wp:posOffset>
            </wp:positionV>
            <wp:extent cx="68580" cy="1282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-2297430</wp:posOffset>
            </wp:positionV>
            <wp:extent cx="4006215" cy="1365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006215" cy="13652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-1964055</wp:posOffset>
            </wp:positionV>
            <wp:extent cx="76835" cy="1282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-1964055</wp:posOffset>
            </wp:positionV>
            <wp:extent cx="76835" cy="128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-1964055</wp:posOffset>
            </wp:positionV>
            <wp:extent cx="68580" cy="1282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-1964055</wp:posOffset>
            </wp:positionV>
            <wp:extent cx="68580" cy="1282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-1964055</wp:posOffset>
            </wp:positionV>
            <wp:extent cx="68580" cy="1282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-1964055</wp:posOffset>
            </wp:positionV>
            <wp:extent cx="68580" cy="1282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-1280795</wp:posOffset>
            </wp:positionV>
            <wp:extent cx="76835"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-1280795</wp:posOffset>
            </wp:positionV>
            <wp:extent cx="76835"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-1280795</wp:posOffset>
            </wp:positionV>
            <wp:extent cx="68580" cy="145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-1280795</wp:posOffset>
            </wp:positionV>
            <wp:extent cx="68580"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-1280795</wp:posOffset>
            </wp:positionV>
            <wp:extent cx="68580" cy="145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-1280795</wp:posOffset>
            </wp:positionV>
            <wp:extent cx="68580" cy="145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-708660</wp:posOffset>
            </wp:positionV>
            <wp:extent cx="76835" cy="1193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11938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-708660</wp:posOffset>
            </wp:positionV>
            <wp:extent cx="76835" cy="1193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11938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-708660</wp:posOffset>
            </wp:positionV>
            <wp:extent cx="68580" cy="1193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-708660</wp:posOffset>
            </wp:positionV>
            <wp:extent cx="68580" cy="1193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-708660</wp:posOffset>
            </wp:positionV>
            <wp:extent cx="68580" cy="1193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-708660</wp:posOffset>
            </wp:positionV>
            <wp:extent cx="68580" cy="1193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1938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-24765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-7620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-24765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-7620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6249035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9" w:name="page200"/>
    <w:bookmarkEnd w:id="1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Cash Flow Statements for the year Ended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36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8"/>
        </w:trPr>
        <w:tc>
          <w:tcPr>
            <w:tcW w:w="61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profit/(loss) for the year</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(583,194 )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(383,577 )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(418,955 )</w:t>
            </w:r>
          </w:p>
        </w:tc>
      </w:tr>
      <w:tr>
        <w:trPr>
          <w:trHeight w:val="237"/>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Reversal of finance income</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(52,181 )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(59,718 )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(1,812 )</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Reversal of finance expenses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50,487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80,842</w:t>
            </w:r>
          </w:p>
        </w:tc>
        <w:tc>
          <w:tcPr>
            <w:tcW w:w="100" w:type="dxa"/>
            <w:vAlign w:val="bottom"/>
          </w:tcPr>
          <w:p>
            <w:pPr>
              <w:spacing w:after="0"/>
              <w:rPr>
                <w:sz w:val="19"/>
                <w:szCs w:val="19"/>
                <w:color w:val="auto"/>
              </w:rPr>
            </w:pPr>
          </w:p>
        </w:tc>
      </w:tr>
      <w:tr>
        <w:trPr>
          <w:trHeight w:val="238"/>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Reversal of gain and loss on disposal of property, plant and equipment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Reversal of tax charge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(367 )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(219 )</w:t>
            </w:r>
          </w:p>
        </w:tc>
      </w:tr>
      <w:tr>
        <w:trPr>
          <w:trHeight w:val="238"/>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Increase/(decrease) in provisions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 for non-cash items: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consideration relating to revenue</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(2,547 )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(2,365 )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(3,499 )</w:t>
            </w:r>
          </w:p>
        </w:tc>
      </w:tr>
      <w:tr>
        <w:trPr>
          <w:trHeight w:val="219"/>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 of profit/(loss) of associate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17,697</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(12,041 )</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100" w:type="dxa"/>
            <w:vAlign w:val="bottom"/>
          </w:tcPr>
          <w:p>
            <w:pPr>
              <w:spacing w:after="0"/>
              <w:rPr>
                <w:sz w:val="19"/>
                <w:szCs w:val="19"/>
                <w:color w:val="auto"/>
              </w:rPr>
            </w:pPr>
          </w:p>
        </w:tc>
      </w:tr>
      <w:tr>
        <w:trPr>
          <w:trHeight w:val="238"/>
        </w:trPr>
        <w:tc>
          <w:tcPr>
            <w:tcW w:w="6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Share-based payment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64,180</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66,830</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53,170</w:t>
            </w:r>
          </w:p>
        </w:tc>
        <w:tc>
          <w:tcPr>
            <w:tcW w:w="100" w:type="dxa"/>
            <w:vAlign w:val="bottom"/>
            <w:shd w:val="clear" w:color="auto" w:fill="CFF0FC"/>
          </w:tcPr>
          <w:p>
            <w:pPr>
              <w:spacing w:after="0"/>
              <w:rPr>
                <w:sz w:val="20"/>
                <w:szCs w:val="20"/>
                <w:color w:val="auto"/>
              </w:rPr>
            </w:pPr>
          </w:p>
        </w:tc>
      </w:tr>
      <w:tr>
        <w:trPr>
          <w:trHeight w:val="219"/>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9,448</w:t>
            </w:r>
          </w:p>
        </w:tc>
        <w:tc>
          <w:tcPr>
            <w:tcW w:w="100" w:type="dxa"/>
            <w:vAlign w:val="bottom"/>
          </w:tcPr>
          <w:p>
            <w:pPr>
              <w:spacing w:after="0"/>
              <w:rPr>
                <w:sz w:val="19"/>
                <w:szCs w:val="19"/>
                <w:color w:val="auto"/>
              </w:rPr>
            </w:pPr>
          </w:p>
        </w:tc>
      </w:tr>
      <w:tr>
        <w:trPr>
          <w:trHeight w:val="238"/>
        </w:trPr>
        <w:tc>
          <w:tcPr>
            <w:tcW w:w="6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working capital:</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(55,268 )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(75,405 )</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(11,531 )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(6,659 )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(1,996 )</w:t>
            </w:r>
          </w:p>
        </w:tc>
      </w:tr>
      <w:tr>
        <w:trPr>
          <w:trHeight w:val="238"/>
        </w:trPr>
        <w:tc>
          <w:tcPr>
            <w:tcW w:w="6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Prepayments</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(6,409 )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(11,238 )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(6,357 )</w:t>
            </w:r>
          </w:p>
        </w:tc>
      </w:tr>
      <w:tr>
        <w:trPr>
          <w:trHeight w:val="219"/>
        </w:trPr>
        <w:tc>
          <w:tcPr>
            <w:tcW w:w="69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Contract liabilities (deferred income)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(495 )</w:t>
            </w:r>
          </w:p>
        </w:tc>
      </w:tr>
      <w:tr>
        <w:trPr>
          <w:trHeight w:val="232"/>
        </w:trPr>
        <w:tc>
          <w:tcPr>
            <w:tcW w:w="69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Trade payables, accrued expenses and other payables</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45,943</w:t>
            </w:r>
          </w:p>
        </w:tc>
        <w:tc>
          <w:tcPr>
            <w:tcW w:w="2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39,186</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generated from/(used in) operations</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(494,673 )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(419,657 )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(272,465 )</w:t>
            </w:r>
          </w:p>
        </w:tc>
      </w:tr>
      <w:tr>
        <w:trPr>
          <w:trHeight w:val="237"/>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income received</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shd w:val="clear" w:color="auto" w:fill="CFF0FC"/>
          </w:tcPr>
          <w:p>
            <w:pPr>
              <w:spacing w:after="0"/>
              <w:rPr>
                <w:sz w:val="20"/>
                <w:szCs w:val="20"/>
                <w:color w:val="auto"/>
              </w:rPr>
            </w:pP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expenses paid</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(9,294 )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(1,841 )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(1,504 )</w:t>
            </w:r>
          </w:p>
        </w:tc>
      </w:tr>
      <w:tr>
        <w:trPr>
          <w:trHeight w:val="229"/>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taxes received/(paid)</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shd w:val="clear" w:color="auto" w:fill="CFF0FC"/>
          </w:tcPr>
          <w:p>
            <w:pPr>
              <w:spacing w:after="0"/>
              <w:rPr>
                <w:sz w:val="19"/>
                <w:szCs w:val="19"/>
                <w:color w:val="auto"/>
              </w:rPr>
            </w:pPr>
          </w:p>
        </w:tc>
      </w:tr>
      <w:tr>
        <w:trPr>
          <w:trHeight w:val="23"/>
        </w:trPr>
        <w:tc>
          <w:tcPr>
            <w:tcW w:w="61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2"/>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operating activities</w:t>
            </w: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(495,699 )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(417,649 )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(271,548 )</w:t>
            </w:r>
          </w:p>
        </w:tc>
      </w:tr>
      <w:tr>
        <w:trPr>
          <w:trHeight w:val="229"/>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 in associate</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(10,187 )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(14,489 )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(23,704 )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(19,860 )</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Reimbursement for acquisition of property, plant and equipment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2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5,054</w:t>
            </w:r>
          </w:p>
        </w:tc>
        <w:tc>
          <w:tcPr>
            <w:tcW w:w="100" w:type="dxa"/>
            <w:vAlign w:val="bottom"/>
          </w:tcPr>
          <w:p>
            <w:pPr>
              <w:spacing w:after="0"/>
              <w:rPr>
                <w:sz w:val="19"/>
                <w:szCs w:val="19"/>
                <w:color w:val="auto"/>
              </w:rPr>
            </w:pPr>
          </w:p>
        </w:tc>
      </w:tr>
      <w:tr>
        <w:trPr>
          <w:trHeight w:val="238"/>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Development expenditures (software)</w:t>
            </w: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(530 )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(1,692 )</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(213,842 )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(226,038 )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(537,752 )</w:t>
            </w:r>
          </w:p>
        </w:tc>
      </w:tr>
      <w:tr>
        <w:trPr>
          <w:trHeight w:val="232"/>
        </w:trPr>
        <w:tc>
          <w:tcPr>
            <w:tcW w:w="6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 of marketable securities</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280,528</w:t>
            </w:r>
          </w:p>
        </w:tc>
        <w:tc>
          <w:tcPr>
            <w:tcW w:w="2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149,880</w:t>
            </w: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263,051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2"/>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investing activities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61,732</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(110,579 )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(291,199 )</w:t>
            </w:r>
          </w:p>
        </w:tc>
      </w:tr>
      <w:tr>
        <w:trPr>
          <w:trHeight w:val="229"/>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 of principal portion of lease liabilities</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(6,356 )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(6,429 )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(4,774 )</w:t>
            </w:r>
          </w:p>
        </w:tc>
      </w:tr>
      <w:tr>
        <w:trPr>
          <w:trHeight w:val="238"/>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proceeds from convertible senior notes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503,281</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26,882</w:t>
            </w:r>
          </w:p>
        </w:tc>
        <w:tc>
          <w:tcPr>
            <w:tcW w:w="100" w:type="dxa"/>
            <w:vAlign w:val="bottom"/>
          </w:tcPr>
          <w:p>
            <w:pPr>
              <w:spacing w:after="0"/>
              <w:rPr>
                <w:sz w:val="19"/>
                <w:szCs w:val="19"/>
                <w:color w:val="auto"/>
              </w:rPr>
            </w:pPr>
          </w:p>
        </w:tc>
      </w:tr>
      <w:tr>
        <w:trPr>
          <w:trHeight w:val="238"/>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proceeds from follow-on public offerings</w:t>
            </w: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367,884</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580,542</w:t>
            </w:r>
          </w:p>
        </w:tc>
        <w:tc>
          <w:tcPr>
            <w:tcW w:w="100" w:type="dxa"/>
            <w:vAlign w:val="bottom"/>
            <w:shd w:val="clear" w:color="auto" w:fill="CFF0FC"/>
          </w:tcPr>
          <w:p>
            <w:pPr>
              <w:spacing w:after="0"/>
              <w:rPr>
                <w:sz w:val="20"/>
                <w:szCs w:val="20"/>
                <w:color w:val="auto"/>
              </w:rPr>
            </w:pPr>
          </w:p>
        </w:tc>
      </w:tr>
      <w:tr>
        <w:trPr>
          <w:trHeight w:val="222"/>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Acquisitions of treasury shares, net of transactions costs</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(105,305 )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(21,605 )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6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from/(used in) financing activities</w:t>
            </w: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396,773</w:t>
            </w:r>
          </w:p>
        </w:tc>
        <w:tc>
          <w:tcPr>
            <w:tcW w:w="2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351,387</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602,650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(37,194 )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(176,841 )</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39,903</w:t>
            </w:r>
          </w:p>
        </w:tc>
        <w:tc>
          <w:tcPr>
            <w:tcW w:w="100" w:type="dxa"/>
            <w:vAlign w:val="bottom"/>
          </w:tcPr>
          <w:p>
            <w:pPr>
              <w:spacing w:after="0"/>
              <w:rPr>
                <w:sz w:val="19"/>
                <w:szCs w:val="19"/>
                <w:color w:val="auto"/>
              </w:rPr>
            </w:pPr>
          </w:p>
        </w:tc>
      </w:tr>
      <w:tr>
        <w:trPr>
          <w:trHeight w:val="229"/>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January 1</w:t>
            </w: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446,267</w:t>
            </w:r>
          </w:p>
        </w:tc>
        <w:tc>
          <w:tcPr>
            <w:tcW w:w="20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584,517</w:t>
            </w:r>
          </w:p>
        </w:tc>
        <w:tc>
          <w:tcPr>
            <w:tcW w:w="2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598,106</w:t>
            </w:r>
          </w:p>
        </w:tc>
        <w:tc>
          <w:tcPr>
            <w:tcW w:w="100" w:type="dxa"/>
            <w:vAlign w:val="bottom"/>
            <w:shd w:val="clear" w:color="auto" w:fill="CFF0FC"/>
          </w:tcPr>
          <w:p>
            <w:pPr>
              <w:spacing w:after="0"/>
              <w:rPr>
                <w:sz w:val="19"/>
                <w:szCs w:val="19"/>
                <w:color w:val="auto"/>
              </w:rPr>
            </w:pPr>
          </w:p>
        </w:tc>
      </w:tr>
      <w:tr>
        <w:trPr>
          <w:trHeight w:val="222"/>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balances held in foreign currencies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35,694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38,591</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(53,492 )</w:t>
            </w:r>
          </w:p>
        </w:tc>
      </w:tr>
      <w:tr>
        <w:trPr>
          <w:trHeight w:val="262"/>
        </w:trPr>
        <w:tc>
          <w:tcPr>
            <w:tcW w:w="6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December 31</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444,767</w:t>
            </w:r>
          </w:p>
        </w:tc>
        <w:tc>
          <w:tcPr>
            <w:tcW w:w="20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446,267</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584,517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include: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Bank deposits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427,810</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441,736</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581,872</w:t>
            </w:r>
          </w:p>
        </w:tc>
        <w:tc>
          <w:tcPr>
            <w:tcW w:w="100" w:type="dxa"/>
            <w:vAlign w:val="bottom"/>
            <w:shd w:val="clear" w:color="auto" w:fill="CFF0FC"/>
          </w:tcPr>
          <w:p>
            <w:pPr>
              <w:spacing w:after="0"/>
              <w:rPr>
                <w:sz w:val="20"/>
                <w:szCs w:val="20"/>
                <w:color w:val="auto"/>
              </w:rPr>
            </w:pPr>
          </w:p>
        </w:tc>
      </w:tr>
      <w:tr>
        <w:trPr>
          <w:trHeight w:val="222"/>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16,957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tcPr>
          <w:p>
            <w:pPr>
              <w:spacing w:after="0"/>
              <w:rPr>
                <w:sz w:val="19"/>
                <w:szCs w:val="19"/>
                <w:color w:val="auto"/>
              </w:rPr>
            </w:pPr>
          </w:p>
        </w:tc>
      </w:tr>
      <w:tr>
        <w:trPr>
          <w:trHeight w:val="262"/>
        </w:trPr>
        <w:tc>
          <w:tcPr>
            <w:tcW w:w="6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December 31</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444,767</w:t>
            </w:r>
          </w:p>
        </w:tc>
        <w:tc>
          <w:tcPr>
            <w:tcW w:w="20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446,267</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584,517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5241290</wp:posOffset>
            </wp:positionH>
            <wp:positionV relativeFrom="paragraph">
              <wp:posOffset>-4202430</wp:posOffset>
            </wp:positionV>
            <wp:extent cx="68580" cy="1536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-4202430</wp:posOffset>
            </wp:positionV>
            <wp:extent cx="68580" cy="1536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-4202430</wp:posOffset>
            </wp:positionV>
            <wp:extent cx="68580" cy="1536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-3612515</wp:posOffset>
            </wp:positionV>
            <wp:extent cx="68580" cy="162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-3612515</wp:posOffset>
            </wp:positionV>
            <wp:extent cx="68580"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-3612515</wp:posOffset>
            </wp:positionV>
            <wp:extent cx="68580" cy="162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-2433955</wp:posOffset>
            </wp:positionV>
            <wp:extent cx="68580" cy="162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-2433955</wp:posOffset>
            </wp:positionV>
            <wp:extent cx="68580" cy="162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-2433955</wp:posOffset>
            </wp:positionV>
            <wp:extent cx="68580" cy="162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-1246505</wp:posOffset>
            </wp:positionV>
            <wp:extent cx="68580"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-1246505</wp:posOffset>
            </wp:positionV>
            <wp:extent cx="6858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-1246505</wp:posOffset>
            </wp:positionV>
            <wp:extent cx="68580" cy="162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-640080</wp:posOffset>
            </wp:positionV>
            <wp:extent cx="1896110" cy="1708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896110" cy="17081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Note 1—General Information</w:t>
      </w:r>
    </w:p>
    <w:p>
      <w:pPr>
        <w:spacing w:after="0" w:line="12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Ascendis Pharma A/S, together with its subsidiaries, is applying its innovative TransCon technologies to build a leading, fully integrated, global biopharma company. Ascendis Pharma A/S was incorporated in 2006 and is headquartered in Hellerup, Denmark. Unless the context otherwise requires, references to the “Company,” “we,” “us,” and “our,” refer to Ascendis Pharma A/S and its subsidiaries.</w:t>
      </w:r>
    </w:p>
    <w:p>
      <w:pPr>
        <w:spacing w:after="0" w:line="17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address of the Company’s registered office is Tuborg Boulevard 12, DK-2900 Hellerup, Denmark. The Company’s registration number in Denmark is 29918791.</w:t>
      </w:r>
    </w:p>
    <w:p>
      <w:pPr>
        <w:spacing w:after="0" w:line="16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On February 2, 2015, the Company completed an initial public offering (“IPO”), which resulted in the listing of American Depositary Shares (“ADSs”), representing the Company’s ordinary shares, under the symbol “ASND” in the United States on The Nasdaq Global Select Market.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approved these consolidated financial statements on February 16, 2023.</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20"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International Financial Reporting Standards (“IFRS”), as issued by the International Accounting Standards Board (“IASB”), and as adopted by the European Union (the “EU”).</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accounting policies applied when preparing the consolidated financial statements are described in detail below and are applied for all entities. Significant accounting judgements and sources of estimation uncertainties used when exercising the accounting policies are described in Note 3 “Significant Accounting Judgements and Estimates”.</w:t>
      </w:r>
    </w:p>
    <w:p>
      <w:pPr>
        <w:spacing w:after="0" w:line="17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under the historical cost convention, apart from certain financial instruments that are measured at fair value at initial recognition.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 and Disclosures</w:t>
      </w:r>
    </w:p>
    <w:p>
      <w:pPr>
        <w:spacing w:after="0" w:line="12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Several amendments to and interpretations of IFRS applied for the first time in 2022, which has not had an impact on the accounting policies applied by the Company. Thus, the accounting policies applied when preparing these consolidated financial statements have been applied consistently to all the periods presented.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 of Distributable Equity Reserves</w:t>
      </w:r>
    </w:p>
    <w:p>
      <w:pPr>
        <w:spacing w:after="0" w:line="118"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For the financial year ended December 31, 2020, and 2021, the “Share-based Payment Reserve” amounted to €133.1 million and €199.9 million, respectively, and was presented as a separate reserve within “Distributable Equity” in the consolidated statements of changes in equity, comprising accumulated corresponding entries to the share-based payment expense recognized in the consolidated statement of profit or loss, arising from warrant programs and RSU programs. For the financial year ended December 31, 2022, the “Share-based Payment Reserve” is presented as part of accumulated deficit.</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For the financial year ended December 31, 2021, the “Treasury Shares Reserve” amounted to €21.6 million, and was presented as a separate reserve within “Distributable Equity” in the consolidated statements of changes in equity, comprising total costs of treasury shares acquired. For the financial year ended December 31, 2022, the “Treasury Shares Reserve” represents only the nominal amount of treasury shares acquired, whereas the treasury shares premium is presented as part of accumulated deficit. At December 31, 2021, nominal amount of treasury shares amounted to €0.02 million.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01" w:name="page202"/>
    <w:bookmarkEnd w:id="201"/>
    <w:p>
      <w:pPr>
        <w:ind w:right="60"/>
        <w:spacing w:after="0" w:line="265" w:lineRule="auto"/>
        <w:rPr>
          <w:sz w:val="20"/>
          <w:szCs w:val="20"/>
          <w:color w:val="auto"/>
        </w:rPr>
      </w:pPr>
      <w:r>
        <w:rPr>
          <w:rFonts w:ascii="Times New Roman" w:cs="Times New Roman" w:eastAsia="Times New Roman" w:hAnsi="Times New Roman"/>
          <w:sz w:val="18"/>
          <w:szCs w:val="18"/>
          <w:color w:val="auto"/>
        </w:rPr>
        <w:t>We have decided to change the presentation to simplify and rationalize disclosure in the consolidated financial statements. Comparative figures in the consolidated statements of changes in equity have been reclassified to reflect the change in presentations. The change in presentations had no other impact on the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0"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The Company’s Board of Directors has at the time of approving the consolidated financial statements, a reasonable expectation that the Company has adequate resources to continue in operational existence for the foreseeable future. Thus, the Company continues to adopt the going concern basis of accounting in preparing the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include the parent company, Ascendis Pharma A/S, and all enterprises over which the parent company has control. Control of an enterprise exists when the Company has exposure, or rights to, variable returns from its involvement with the enterprise and has the ability to control those returns through its power over the enterprise. Accordingly, the consolidated financial statements include Ascendis Pharma A/S and the subsidiaries listed in Note 19, “Investment in Group Enterprises”.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Principles</w:t>
      </w:r>
    </w:p>
    <w:p>
      <w:pPr>
        <w:spacing w:after="0" w:line="12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Subsidiaries, which are enterprises the Company controls at the reporting date, are fully consolidated from the date upon which control is transferred to the Company. They are deconsolidated from the date control ceases.</w:t>
      </w:r>
    </w:p>
    <w:p>
      <w:pPr>
        <w:spacing w:after="0" w:line="163" w:lineRule="exact"/>
        <w:rPr>
          <w:sz w:val="20"/>
          <w:szCs w:val="20"/>
          <w:color w:val="auto"/>
        </w:rPr>
      </w:pPr>
    </w:p>
    <w:p>
      <w:pPr>
        <w:ind w:right="760"/>
        <w:spacing w:after="0" w:line="280" w:lineRule="auto"/>
        <w:rPr>
          <w:sz w:val="20"/>
          <w:szCs w:val="20"/>
          <w:color w:val="auto"/>
        </w:rPr>
      </w:pPr>
      <w:r>
        <w:rPr>
          <w:rFonts w:ascii="Times New Roman" w:cs="Times New Roman" w:eastAsia="Times New Roman" w:hAnsi="Times New Roman"/>
          <w:sz w:val="18"/>
          <w:szCs w:val="18"/>
          <w:color w:val="auto"/>
        </w:rPr>
        <w:t>Control over an enterprise is reassessed if facts and circumstances indicate that there are changes to one or more of the three elements of control, respectively:</w:t>
      </w:r>
    </w:p>
    <w:p>
      <w:pPr>
        <w:spacing w:after="0" w:line="55" w:lineRule="exact"/>
        <w:rPr>
          <w:sz w:val="20"/>
          <w:szCs w:val="20"/>
          <w:color w:val="auto"/>
        </w:rPr>
      </w:pPr>
    </w:p>
    <w:p>
      <w:pPr>
        <w:ind w:left="1020" w:hanging="504"/>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with the other vote holders of the enterprise;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voting rights and potential voting rights;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arising from other contractual arrangements.</w:t>
      </w:r>
    </w:p>
    <w:p>
      <w:pPr>
        <w:spacing w:after="0" w:line="22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group enterprises are eliminated in full on consolidation.</w:t>
      </w:r>
    </w:p>
    <w:p>
      <w:pPr>
        <w:spacing w:after="0" w:line="163"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Subsidiaries apply accounting policies in line with the Company’s accounting policies. When necessary, adjustments are made to bring the entities’ accounting policies in line with those of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Associates</w:t>
      </w:r>
    </w:p>
    <w:p>
      <w:pPr>
        <w:spacing w:after="0" w:line="118"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An associate is an entity over which the Company has significant influence over financial and operational decisions but without having control or joint control. The Company’s associate is accounted for using the equity method and is initially recognized at cost. Thereafter, the carrying amount of the investment is adjusted to recognize changes in the Company’s share of net assets of the associate since the acquisition or establishment date.</w:t>
      </w:r>
    </w:p>
    <w:p>
      <w:pPr>
        <w:spacing w:after="0" w:line="175"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The consolidated statements of profit or loss include the Company’s share of result after tax of the associate after any adjustments made to bring the associates accounting policies in line with those of the Company. Transactions between the associate and the Company are eliminated proportionally according to the Company’s interest in the associate. Unrealized gains and losses resulting from transactions between the Company and its associate is eliminated to the extent of the Company’s interest in the associate.</w:t>
      </w:r>
    </w:p>
    <w:p>
      <w:pPr>
        <w:spacing w:after="0" w:line="1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On each reporting date, the Company determines whether there are indications that the investment is impaired. If there is such evidence, the amount of impairment is calculated as the difference between the recoverable amount of the associate and its carrying amount. Any impairment loss is recognized in the consolidated statements of profit or loss.</w:t>
      </w:r>
    </w:p>
    <w:p>
      <w:pPr>
        <w:spacing w:after="0" w:line="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579"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and Presentation Currency</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Items included in the consolidated financial statements are measured using the functional currency of each group entity. Functional currency is the currency of the primary economic environment in which the entity operates. The consolidated financial statements are presented in Euros (“EUR”), which is also the functional currency of the parent company.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Translation of Transactions and Balances</w:t>
      </w:r>
    </w:p>
    <w:p>
      <w:pPr>
        <w:spacing w:after="0" w:line="1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On initial recognition, transactions in currencies other than the individual entity’s functional currency are translated applying the exchange rate in effect at the date of the transaction. Receivables, payables and other monetary items denominated in foreign currencies that have not been settled at the reporting date are translated using the exchange rate in effect at the reporting date. Monetary items carried at fair value that are denominated in foreign currencies are translated at the rates prevailing at the date when the fair value was determined.</w:t>
      </w:r>
    </w:p>
    <w:p>
      <w:pPr>
        <w:spacing w:after="0" w:line="183"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Exchange rate differences that arise between the rate at the transaction date and the rate in effect at the payment date, or the rate at the reporting date, are recognized in profit or loss as finance income or finance expenses. Property, plant and equipment, intangible assets and other non-monetary items that are measured in terms of historical cost in a foreign currency are translated using the exchange rates as of the dates of the initial transactions.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 of Group Enterprises</w:t>
      </w:r>
    </w:p>
    <w:p>
      <w:pPr>
        <w:spacing w:after="0" w:line="11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When subsidiaries or the associate present their financial statements in a functional currency other than EUR, their statements of profit or loss are translated at average exchange rates. Balance sheet items are translated using the exchange rates at the reporting date. Exchange rate differences arising from translation of foreign entities’ balance sheet items at the beginning of the year to the reporting date exchange rates as well as from translation of statements of profit or loss from average rates to the exchange rates at the reporting date are recognized in other comprehensive income. Similarly, exchange rate differences arising from changes that have been made directly in a foreign subsidiary’s equity are recognized in other comprehensive income.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Commercial Sale of Products</w:t>
      </w:r>
    </w:p>
    <w:p>
      <w:pPr>
        <w:spacing w:after="0" w:line="11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Revenue is recognized when the customer has obtained control of the goods and it is probable that the Company will collect the consideration to which it is entitled for transferring the goods. Control is transferred upon delivery.</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Revenue is measured at the contractual sales price, reflecting the consideration received or receivable from customers, net of value added taxes, and provisions for a variety of sales deductions such as prompt pay discounts, shelf stock adjustments and applicable sales rebates attributable to various commercial arrangements, managed healthcare organizations, and government programs such as Medicaid and the 340B Drug Pricing Program (chargebacks), and co-pay arrangements. In addition, goods are principally sold on a “sale-or-return” basis, where customers may return products in line with the Company’s return policy. Sales deductions and product returns are considered variable consideration and are estimated at the time of sale using the expected value method. The amount of variable consideration that is included in the transaction price may be constrained and is included in the net contractual price only to the extent that it is probable that a significant reversal will not occur.</w:t>
      </w:r>
    </w:p>
    <w:p>
      <w:pPr>
        <w:spacing w:after="0" w:line="189"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8"/>
          <w:szCs w:val="18"/>
          <w:color w:val="auto"/>
        </w:rPr>
        <w:t>Unsettled sales rebates and product returns are recognized as provisions when timing or amount is uncertain. Payable amounts that are absolute are recognized as other liabilities. Sales discounts and rebates that are payable to customers are offset in trade receivables.</w:t>
      </w:r>
    </w:p>
    <w:p>
      <w:pPr>
        <w:spacing w:after="0" w:line="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Other revenue relates to collaboration and license agreements. In addition, other revenue is generated from feasibility studies for potential partners to evaluate if TransCon technologies enable certain advantages for their product candidates of interest. Such feasibility studies are often structured as short-term agreements with fixed fees for the work that the Company performs.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When contracts with customers are entered into, the goods and/or services promised in the contract are assessed to identify distinct performance obligations.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promise in the agreement is considered a distinct performance obligation if both of the following criteria are met:</w:t>
      </w:r>
    </w:p>
    <w:p>
      <w:pPr>
        <w:spacing w:after="0" w:line="97" w:lineRule="exact"/>
        <w:rPr>
          <w:sz w:val="20"/>
          <w:szCs w:val="20"/>
          <w:color w:val="auto"/>
        </w:rPr>
      </w:pPr>
    </w:p>
    <w:p>
      <w:pPr>
        <w:ind w:left="1020" w:right="120" w:hanging="504"/>
        <w:spacing w:after="0" w:line="280"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(i.e., the good or service is capable of being distinct); and</w:t>
      </w:r>
    </w:p>
    <w:p>
      <w:pPr>
        <w:spacing w:after="0" w:line="55" w:lineRule="exact"/>
        <w:rPr>
          <w:rFonts w:ascii="Times New Roman" w:cs="Times New Roman" w:eastAsia="Times New Roman" w:hAnsi="Times New Roman"/>
          <w:sz w:val="18"/>
          <w:szCs w:val="18"/>
          <w:color w:val="auto"/>
        </w:rPr>
      </w:pPr>
    </w:p>
    <w:p>
      <w:pPr>
        <w:ind w:left="1020" w:right="460" w:hanging="504"/>
        <w:spacing w:after="0" w:line="280" w:lineRule="auto"/>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6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Under collaboration, license, and other agreements that contain multiple promises to the customer, the promises are identified and accounted for as separate performance obligations, if these are distinct. If promises are not distinct, those goods or services are combined with other promised goods or services until a bundle of goods or services that is distinct is identified.</w:t>
      </w:r>
    </w:p>
    <w:p>
      <w:pPr>
        <w:spacing w:after="0" w:line="175"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color w:val="auto"/>
        </w:rPr>
        <w:t>The transaction price in the contract is measured at fair value and reflects the consideration the Company expects to be entitled to in exchange for those goods or services. The transaction price is allocated to each performance obligation according to their stand-alone selling prices and is recognized when control of the goods or services is transferred to the customer, either over time or at a point in time, depending on the specific terms and conditions in the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Research and development costs consist primarily of manufacturing costs, preclinical and clinical study costs and costs for process optimizations and improvements performed by Clinical Research Organizations (“CROs”) and Contract Manufacturing Organizations (“CMOs”), salaries and other personnel costs including pension and share-based payment, the cost of facilities, professional fees, cost of obtaining and maintaining the Company’s intellectual property portfolio, and depreciation of non-current assets related to research and development activities.</w:t>
      </w:r>
    </w:p>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Research costs are incurred at the early stages of the drug development cycle from the initial drug discovery and include a variety of preclinical research activities in order to assess potential drug candidates in non-human subjects, prior to filing an Investigational New Drug Application (“IND”), or equivalent. Research costs are recognized in the consolidated statement of profit or loss when incurred.</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Development activities relate to activities following an IND, or equivalent, and typically involve a single product candidate undergoing a series of studies to illustrate its safety profile and effect on human beings, prior to obtaining the necessary approval from the appropriate authorities. Development activities comprise drug candidates undergoing clinical trials starting in phase I (first time drug is administrated in a small group of humans), and further into Phase II and III, which include administration of drugs in larger patient groups. Following, and depending on clinical trial results, a Biologic License Application (“BLA”) or New Drug Application (“NDA”) may be submitted to the authorities, to apply for marketing approval, which, with a positive outcome will permit the Company to market and sell the products. Long-term extension trials may be ongoing following submission of a BLA or NDA.</w:t>
      </w:r>
    </w:p>
    <w:p>
      <w:pPr>
        <w:spacing w:after="0" w:line="18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Development costs also include product development and pre-commercial manufacturing costs related to development product candidates, and write-downs of inventories manufactured for late-stage development product candidates prior to marketing approval being obtained (pre-launch inventories).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4" w:name="page205"/>
    <w:bookmarkEnd w:id="204"/>
    <w:p>
      <w:pPr>
        <w:spacing w:after="0" w:line="265" w:lineRule="auto"/>
        <w:rPr>
          <w:sz w:val="20"/>
          <w:szCs w:val="20"/>
          <w:color w:val="auto"/>
        </w:rPr>
      </w:pPr>
      <w:r>
        <w:rPr>
          <w:rFonts w:ascii="Times New Roman" w:cs="Times New Roman" w:eastAsia="Times New Roman" w:hAnsi="Times New Roman"/>
          <w:sz w:val="18"/>
          <w:szCs w:val="18"/>
          <w:color w:val="auto"/>
        </w:rPr>
        <w:t>Due to the risk related to the development of pharmaceutical products, the Company cannot estimate the future economic benefits associated with individual development activities with sufficient certainty until the development activities have been finalized and the necessary market approval of the final product has been obtained. As a consequence, all development costs are recognized in the consolidated statement of profit or loss when incurred.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comprise salaries and other personnel costs including pension and share-based payment, office supplies, cost of facilities, professional fees, and depreciation of non-current assets related to selling, general and administrative activities, including pre-commercial and commercial activities. Selling, general and administrative expenses are recognized in the consolidated statement of profit or loss when incurred.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Programs</w:t>
      </w:r>
    </w:p>
    <w:p>
      <w:pPr>
        <w:spacing w:after="0" w:line="120"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Share-based incentive programs comprise warrant programs and Restricted Stock Unit programs (“RSU-programs”) and are classified as equity-settled share-based payment transactions.</w:t>
      </w:r>
    </w:p>
    <w:p>
      <w:pPr>
        <w:spacing w:after="0" w:line="16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cost of equity-settled transactions is determined by the fair value at the date of grant. For warrant programs, the fair value of each warrant granted is determined using the Black-Scholes valuation model. For RSU-programs, the fair value of each RSU granted is equal to the closing share price on the date of grant of the underlying ADS.</w:t>
      </w:r>
    </w:p>
    <w:p>
      <w:pPr>
        <w:spacing w:after="0" w:line="1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cost is recognized together with a corresponding increase in equity over the period in which the performance and/or service conditions are fulfilled (i.e., the vesting period). The fair value determined at the grant date of the equity-settled share-based payment is expensed on a straight-line basis over the vesting period for each tranche, based on the best estimate of the number of equity instruments that will ultimately vest. No expense is recognized for grants that do not ultimately vest.</w:t>
      </w:r>
    </w:p>
    <w:p>
      <w:pPr>
        <w:spacing w:after="0" w:line="18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Where an equity-settled grant is cancelled other than upon forfeiture when vesting conditions are not satisfied, the grant is treated as if it vested on the date of the cancellation, and any expense not yet recognized for the grant is recognized immediately.</w:t>
      </w:r>
    </w:p>
    <w:p>
      <w:pPr>
        <w:spacing w:after="0" w:line="16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Where the terms and conditions for an equity-settled grant is modified, the services measured at the grant date fair value over the vesting period are recognized, subject to performance and/or service conditions that was specified at the initial grant date(s). Additionally, at the date of modification, unvested grants are re-measured and any increase in the total fair value is recognized over the vesting period. If a new grant is substituted for the cancelled grant and designated as a replacement grant on the date that it is granted, the cancelled and new grants are treated as if they were a modification of the original grant.</w:t>
      </w:r>
    </w:p>
    <w:p>
      <w:pPr>
        <w:spacing w:after="0" w:line="183"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color w:val="auto"/>
        </w:rPr>
        <w:t>Any social security contributions payable in connection with the grant or exercise of the warrants are recognized as expenses when incurred. The assumptions used for estimating the fair value of share-based payment transactions are disclosed in Note 7 “Share-based Payment”.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and Expenses</w:t>
      </w:r>
    </w:p>
    <w:p>
      <w:pPr>
        <w:spacing w:after="0" w:line="120" w:lineRule="exact"/>
        <w:rPr>
          <w:sz w:val="20"/>
          <w:szCs w:val="20"/>
          <w:color w:val="auto"/>
        </w:rPr>
      </w:pPr>
    </w:p>
    <w:p>
      <w:pPr>
        <w:ind w:right="880"/>
        <w:spacing w:after="0" w:line="280" w:lineRule="auto"/>
        <w:rPr>
          <w:sz w:val="20"/>
          <w:szCs w:val="20"/>
          <w:color w:val="auto"/>
        </w:rPr>
      </w:pPr>
      <w:r>
        <w:rPr>
          <w:rFonts w:ascii="Times New Roman" w:cs="Times New Roman" w:eastAsia="Times New Roman" w:hAnsi="Times New Roman"/>
          <w:sz w:val="18"/>
          <w:szCs w:val="18"/>
          <w:color w:val="auto"/>
        </w:rPr>
        <w:t>Finance income and expenses comprise interest income and expenses and realized and unrealized exchange rate gains and losses on transactions denominated in foreign currencies.</w:t>
      </w:r>
    </w:p>
    <w:p>
      <w:pPr>
        <w:spacing w:after="0" w:line="16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Interest income and interest expenses are stated on an accrual basis using the principal and the effective interest rate. The effective interest rate is the discount rate that is used to discount expected future cash payments or receipts through the expected life of the financial asset or financial liability to the amortized cost (the carrying amount) of such asset or liability.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Tax for the year, which consists of current tax for the year and changes in deferred tax, is recognized in the consolidated statement of profit or loss by the portion attributable to the profit or loss for the year and recognized directly in equity or other comprehensive income by the portion attributable to entries directly in equity and in other comprehensive income. The current tax payable or receivable is recognized in the consolidated statement of financial position, stated as tax computed on this year’s taxable income, adjusted for prepaid tax.</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When computing the current tax for the year, the tax rates and tax rules enacted or substantially enacted at the reporting date are used. Current tax payable is based on taxable profit or loss for the year. Taxable profit or loss differs from net profit or loss as reported in the consolidated statements of profit or loss because it excludes items of income or expense that are taxable or deductible in prior or future years. In addition, taxable profit or loss excludes items that are never taxable or deductible.</w:t>
      </w:r>
    </w:p>
    <w:p>
      <w:pPr>
        <w:spacing w:after="0" w:line="18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Deferred tax is recognized according to the balance sheet liability method of all temporary differences between carrying amounts and tax-based values of assets and liabilities, apart from deferred tax on all temporary differences occurring on initial recognition of goodwill or on initial recognition of a transaction which is not a business combination, and for which the temporary difference found at the time of initial recognition neither affects profit or loss nor taxable income.</w:t>
      </w:r>
    </w:p>
    <w:p>
      <w:pPr>
        <w:spacing w:after="0" w:line="183" w:lineRule="exact"/>
        <w:rPr>
          <w:sz w:val="20"/>
          <w:szCs w:val="20"/>
          <w:color w:val="auto"/>
        </w:rPr>
      </w:pPr>
    </w:p>
    <w:p>
      <w:pPr>
        <w:jc w:val="both"/>
        <w:ind w:right="260"/>
        <w:spacing w:after="0" w:line="311" w:lineRule="auto"/>
        <w:rPr>
          <w:sz w:val="20"/>
          <w:szCs w:val="20"/>
          <w:color w:val="auto"/>
        </w:rPr>
      </w:pPr>
      <w:r>
        <w:rPr>
          <w:rFonts w:ascii="Times New Roman" w:cs="Times New Roman" w:eastAsia="Times New Roman" w:hAnsi="Times New Roman"/>
          <w:sz w:val="17"/>
          <w:szCs w:val="17"/>
          <w:color w:val="auto"/>
        </w:rPr>
        <w:t>Deferred tax liabilities are recognized on all temporary differences related to investments in subsidiaries and/or associates, unless the Company is able to control when the deferred tax is realized, and it is probable that the deferred tax will not become due and payable as current tax in the foreseeable future.</w:t>
      </w:r>
    </w:p>
    <w:p>
      <w:pPr>
        <w:spacing w:after="0" w:line="13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Deferred tax assets, including the tax base of tax loss carry forwards, are recognized in the statement of financial position at their estimated realizable value, either as a set-off against deferred tax liabilities or as net tax assets for offset against future positive taxable income. Deferred tax assets are only offset against deferred tax liabilities if the entity has a legally enforceable right to offset, and the deferred tax assets and deferred tax liabilities relate to income taxes levied by the same tax jurisdiction. Deferred tax is calculated based on the planned use of each asset and the settlement of each liability, respectively.</w:t>
      </w:r>
    </w:p>
    <w:p>
      <w:pPr>
        <w:spacing w:after="0" w:line="16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Deferred tax is measured using the tax rates and tax rules in the relevant countries that, based on acts in force or acts in reality in force at the reporting date are expected to apply when the deferred tax is expected to crystallize as current tax. Changes in deferred tax resulting from changed tax rates or tax rules are recognized in the consolidated statement of profit or loss unless the deferred tax is attributable to transactions previously recognized directly in equity or other comprehensive income. In the latter case, such changes are also recognized in equity or other comprehensive income. On every reporting date, it is assessed whether sufficient taxable income is likely to arise in the future for the deferred tax asset to be utilized.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Goodwill acquired in a business combination is initially measured at cost, being the excess of the aggregate of the consideration transferred and the amount recognized for non-controlling interests over the net identifiable assets acquired and liabilities assumed.</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After initial recognition, goodwill is measured at cost less any accumulated impairment losses. Goodwill is not amortized but is subject to impairment testing at least on a yearly basis. For the purpose of impairment testing, goodwill acquired in a business combination is allocated to each of the cash-generating units, or group of cash-generating units, that are expected to benefit from the synergies of the combination. Each cash-generating unit or group of cash-generating units to which goodwill is allocated represent the lowest level within the Company at which the goodwill is monitored for internal management purposes.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assets comprise administrative applications and serve general purposes to support the Company’s operations.</w:t>
      </w:r>
    </w:p>
    <w:p>
      <w:pPr>
        <w:spacing w:after="0" w:line="22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Development costs that are directly attributable to the design, customization, implementation, and testing of identifiable and unique software assets controlled by the Company are recognized as intangible assets from the time that; (1) the software asset is clearly defined and identifiable; (2) technological feasibility, adequate resources to complete, and an internal use of the software asset can be demonstrated; (3) the expenditure attributable to the software asset can be measured reliably; and (4) the Company has the intention to use the software asset internally. The Company does not capitalize software with no alternative use, or where economic benefit depends on marketing approvals of drug candidates and where marketing approvals have not been obtained.</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Following initial recognition of the development expenditure as an asset, the asset is carried at cost less any accumulated amortization and accumulated impairment losses. Amortization of the asset begins when the development is complete, and the asset is available for use. Software assets are amortized over the period of expected future benefits. Amortization is recognized in research and development costs, and selling, general and administrative expenses, as appropriate. Expenditures, that do not meet the criteria above are recognized as an expense as incurred.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primarily comprises leasehold improvements, office facilities, and process equipment and tools which are located at CMOs.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also includes right-of-use assets. Refer to the separate section “Leases”.</w:t>
      </w:r>
    </w:p>
    <w:p>
      <w:pPr>
        <w:spacing w:after="0" w:line="20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Property, plant and equipment is measured at cost less accumulated depreciation and impairment losses. Cost comprises the acquisition price, costs directly attributable to the acquisition and preparation costs of the asset until the time when it is ready to be used in operation. Subsequent costs are included in the carrying amount of the asset or recognized as a separate asset, as appropriate, only when it is probable that future economic benefits associated with the assets will flow to the Company and costs of the items can be measured reliably. All repair and maintenance costs are charged to the consolidated statement of profit or loss during the financial periods in which they are incurred.</w:t>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Plant and equipment acquired for research and development activities with alternative use, which is expected to be used for more than one year, is capitalized and depreciated over the estimated useful life as research and development costs. Plant and equipment acquired for research and development activities, which has no alternative use, is recognized as research and development costs when incurred.</w:t>
      </w:r>
    </w:p>
    <w:p>
      <w:pPr>
        <w:spacing w:after="0" w:line="175"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If the acquisition or use of the asset involves an obligation to incur costs of decommissioning or restoration of the asset, the estimated related costs are recognized as a provision and as part of the relevant asset’s cost, respectively.</w:t>
      </w:r>
    </w:p>
    <w:p>
      <w:pPr>
        <w:spacing w:after="0" w:line="1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basis for depreciation is cost less estimated residual value. The residual value is the estimated amount that would be earned if selling the asset today net of selling costs, assuming that the asset is of an age and a condition that is expected after the end of its useful life. Cost of a combined asset is divided into smaller components, with such significant components depreciated individually if their useful lives vary. Depreciation commences when the asset is available for use, which is when it is in the location and condition necessary for it to be capable of operating in the manner intended.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Depreciation is calculated on a straight-line basis, based on an asset’s expected useful life, being within the following ranges: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40" w:type="dxa"/>
            <w:vAlign w:val="bottom"/>
          </w:tcPr>
          <w:p>
            <w:pPr>
              <w:spacing w:after="0"/>
              <w:rPr>
                <w:sz w:val="21"/>
                <w:szCs w:val="21"/>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Process plant and machinery</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5 - 10 years</w:t>
            </w:r>
          </w:p>
        </w:tc>
      </w:tr>
      <w:tr>
        <w:trPr>
          <w:trHeight w:val="238"/>
        </w:trPr>
        <w:tc>
          <w:tcPr>
            <w:tcW w:w="114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46"/>
        </w:trPr>
        <w:tc>
          <w:tcPr>
            <w:tcW w:w="1140" w:type="dxa"/>
            <w:vAlign w:val="bottom"/>
          </w:tcPr>
          <w:p>
            <w:pPr>
              <w:spacing w:after="0"/>
              <w:rPr>
                <w:sz w:val="21"/>
                <w:szCs w:val="21"/>
                <w:color w:val="auto"/>
              </w:rPr>
            </w:pPr>
          </w:p>
        </w:tc>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3 - 11 years</w:t>
            </w:r>
          </w:p>
        </w:tc>
      </w:tr>
      <w:tr>
        <w:trPr>
          <w:trHeight w:val="234"/>
        </w:trPr>
        <w:tc>
          <w:tcPr>
            <w:tcW w:w="114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2 - 11 years</w:t>
            </w:r>
          </w:p>
        </w:tc>
      </w:tr>
      <w:tr>
        <w:trPr>
          <w:trHeight w:val="47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methods, useful lives and residual amounts are reassessed at least annually.</w:t>
            </w:r>
          </w:p>
        </w:tc>
        <w:tc>
          <w:tcPr>
            <w:tcW w:w="2300" w:type="dxa"/>
            <w:vAlign w:val="bottom"/>
          </w:tcPr>
          <w:p>
            <w:pPr>
              <w:spacing w:after="0"/>
              <w:rPr>
                <w:sz w:val="24"/>
                <w:szCs w:val="24"/>
                <w:color w:val="auto"/>
              </w:rPr>
            </w:pPr>
          </w:p>
        </w:tc>
      </w:tr>
    </w:tbl>
    <w:p>
      <w:pPr>
        <w:spacing w:after="0" w:line="19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Property, plant and equipment is written down to the lower of recoverable amount and carrying amount, as described in the “Impairment” section below. Depreciation and impairment losses of property, plant and equipment is recognized in the consolidated statement of profit or loss as cost of sales, research and development costs or as selling, general and administrative expenses, as appropriate.</w:t>
      </w:r>
    </w:p>
    <w:p>
      <w:pPr>
        <w:spacing w:after="0" w:line="175"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Gains and losses on disposal of property, plant and equipment are recognized in the consolidated statement of profit or loss at its net proceeds, as either other operating income or other operating expenses, as appropriate.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2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The recoverable amount of goodwill is estimated annually irrespective of any recorded indications of impairment. Property, plant and equipment and finite-lived intangible assets are reviewed for impairment whenever events or circumstances indicate that the carrying amount may not be recoverable.</w:t>
      </w:r>
    </w:p>
    <w:p>
      <w:pPr>
        <w:spacing w:after="0" w:line="16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an asset’s fair value less costs of disposal and value in use. For the purpose of assessing impairment, assets are grouped at the lowest levels for which there are largely independent cash inflows, or cash-generating units, which for goodwill represent the lowest level within the enterprise at which the goodwill is monitored for internal management purposes. Prior impairments of non-financial assets, other than goodwill, are reviewed for possible reversal at each reporting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0"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Inventories comprise raw materials, work in progress and finished goods. Work in progress and finished goods comprise service expenses incurred at CMOs, raw materials consumed, incremental storage and transportation, other direct materials, and a proportion of manufacturing overheads based on normal operation capacity.</w:t>
      </w:r>
    </w:p>
    <w:p>
      <w:pPr>
        <w:spacing w:after="0" w:line="1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Inventories are measured at the lower of cost incurred in bringing it to its present location and condition, and net realizable value. Net realizable value is the estimated selling price in the ordinary course of business, less estimated costs of completion and the estimated costs necessary to make the sale. Work in progress and finished goods are measured under a standard cost method that takes into account normal levels of consumption, yields, labor, efficiency and capacity utilization. Production processes are complex, where actual yields and consumptions are sensitive to a wide variety of manufacturing conditions. Standard cost variances are reviewed regularly and adjusted to ensure inventories approximate actual cost of production.</w:t>
      </w:r>
    </w:p>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net realizable value is lower than cost, a write-down is recognized as the excess amount by which cost exceeds net realizable value, as part of cost of sales when incurred. The amount of reversal of write-down of inventories arising from an increase in net realizable value is recognized as a reduction in cost of sales in the period in which the reversal occurs.</w:t>
      </w:r>
    </w:p>
    <w:p>
      <w:pPr>
        <w:spacing w:after="0" w:line="17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Manufacturing of pre-launch inventories is initiated for late-stage product candidates where manufacturing costs are recognized as inventories. However, since pre-launch inventories are not realizable prior to obtaining marketing approval, pre-launch inventories are immediately written down to zero through research and development costs. If marketing approval is obtained, prior write-downs of pre-launch inventories are reversed through research and development costs.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color w:val="auto"/>
        </w:rPr>
        <w:t>Cost of inventories is recognized as part of cost of sales in the period in which the related revenue is recognized.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comprise trade receivables, income tax receivables and other receivables.</w:t>
      </w:r>
    </w:p>
    <w:p>
      <w:pPr>
        <w:spacing w:after="0" w:line="223"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Trade receivables are classified as financial assets at amortized cost, as these are held to collect contractual cash flows and thus give rise to cash flows representing solely payments of principal and interest. Trade receivables are initially recognized at their transaction price and subsequently measured at amortized cost. Income tax receivables, and other receivables related to deposits, VAT and other indirect taxes are measured at cost less impairment. Carrying amounts of receivables usually equals their nominal value less provision for impairments.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comprise advance payments relating to a future financial period. Prepayments are measured at cost.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may comprise government bonds, treasury bills, commercial papers, and other securities traded on established markets.</w:t>
      </w:r>
    </w:p>
    <w:p>
      <w:pPr>
        <w:spacing w:after="0" w:line="22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At initial recognition (trade-date), contractual terms of individual securities are analyzed to determine whether these give rise on specified dates to cash flows that are solely payments of principal and interest on the principal outstanding ("SPPI-test"). All marketable securities held at the reporting date have passed the SPPI-test.</w:t>
      </w:r>
    </w:p>
    <w:p>
      <w:pPr>
        <w:spacing w:after="0" w:line="17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Marketable securities are initially recognized at fair value at trade-date, and subsequently measured at amortized cost under the effective interest method. Interest income is recognized as finance income in the consolidated statement of profit or loss. Marketable securities are subject to impairment test to accommodate expected credit loss. Gains and losses are recognized as finance income or expenses in the consolidated statement of profit or loss when the specific security or portfolio of securities is derecognized, modified or impaired.</w:t>
      </w:r>
    </w:p>
    <w:p>
      <w:pPr>
        <w:spacing w:after="0" w:line="183"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Marketable securities, having maturity profiles of three months or less after the date of acquisition are presented as cash equivalents in the consolidated statements of financial position, where securities having maturities of more than three months after the date of acquisition are presented separately as marketable securities as current (i.e., those maturing within twelve months after the reporting date) or non-current assets, as appropriate.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Cash and cash equivalents comprise cash and on-demand deposits with financial institutions, and highly liquid marketable securities with a maturity of three months or less after the date of acquisition (trade-date). Cash and cash equivalents are measured at amortized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 on Financial Assets</w:t>
      </w:r>
    </w:p>
    <w:p>
      <w:pPr>
        <w:spacing w:after="0" w:line="12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Financial assets comprise receivables (excluding receivables relating to VAT, other indirect tax and income tax), marketable securities and cash and cash equivalents. Impairment of financial assets is determined on the basis of a forward-looking Expected Credit Loss (“ECL”) Model. ECLs are based on the difference between the contractual cash flows due in accordance with the contract and the cash flows expected to be received, discounted by an approximation of the original effective interest rate.</w:t>
      </w:r>
    </w:p>
    <w:p>
      <w:pPr>
        <w:spacing w:after="0" w:line="1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For receivables, a simplified approach in calculating ECLs is applied. Therefore, changes in credit risks are not tracked, but instead, a loss allowance based on lifetime ECL is assessed at each reporting date. Lifetime ECLs are assessed on historical credit loss experience, adjusted for forward-looking factors specific to the counterparts and the economic environment.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09" w:name="page210"/>
    <w:bookmarkEnd w:id="209"/>
    <w:p>
      <w:pPr>
        <w:ind w:right="140"/>
        <w:spacing w:after="0" w:line="259" w:lineRule="auto"/>
        <w:rPr>
          <w:sz w:val="20"/>
          <w:szCs w:val="20"/>
          <w:color w:val="auto"/>
        </w:rPr>
      </w:pPr>
      <w:r>
        <w:rPr>
          <w:rFonts w:ascii="Times New Roman" w:cs="Times New Roman" w:eastAsia="Times New Roman" w:hAnsi="Times New Roman"/>
          <w:sz w:val="18"/>
          <w:szCs w:val="18"/>
          <w:color w:val="auto"/>
        </w:rPr>
        <w:t>For cash, cash equivalents and marketable securities, ECLs are assessed for credit losses that result from default events that are possible within the next twelve months (12-month ECL). Credit risk is continuously tracked and monitored in order to identify significant deterioration. For those credit exposures for which there have been a significant increase in credit risk since initial recognition, an allowance is recognized for credit losses expected over the remaining life of the exposure, irrespective of the timing of the default.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share capital comprises the nominal amount of the parent company’s ordinary shares, each at a nominal value of DKK 1, or approximately €0.13. All shares are fully paid.</w:t>
      </w:r>
    </w:p>
    <w:p>
      <w:pPr>
        <w:spacing w:after="0" w:line="1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Share premium comprises the amounts received, attributable to shareholders’ equity, in excess of the nominal amount of the shares issued at the parent company’s capital increases, reduced by any expenses directly attributable to the capital increases. Under Danish legislation, share premium is an unrestricted reserve that is available to be distributed as dividends to a company’s shareholders. Also, under Danish legislation, the share premium reserve can be used to offset accumulated deficits.</w:t>
      </w:r>
    </w:p>
    <w:p>
      <w:pPr>
        <w:spacing w:after="0" w:line="18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Treasury shares reserve comprise nominal amounts of holding of own equity instruments. No gain or loss is recognized in profit or loss on the purchase, sale, transfer or cancellation of the Company’s own equity instruments. The treasury shares reserve is part of unrestricted reserves and accordingly, reduce the amount available to be distributed as dividends to the Company’s shareholders.</w:t>
      </w:r>
    </w:p>
    <w:p>
      <w:pPr>
        <w:spacing w:after="0" w:line="1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Foreign currency translation reserve includes exchange rate adjustments relating to the translation of the results and net assets of foreign operations from their functional currencies to the presentation currency. The accumulated reserve of a foreign operation is reclassified to the consolidated statement of profit or loss at the time the Company loses control, and thus cease to consolidate such foreign operation. The foreign currency translation reserve is an unrestricted reserve that is available to be distributed as dividends to the Company’s shareholders.</w:t>
      </w:r>
    </w:p>
    <w:p>
      <w:pPr>
        <w:spacing w:after="0" w:line="18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Retained earnings/(accumulated deficit) represents the accumulated profits or losses from the Company’s operations, including corresponding entries to share-based payments recognized in the consolidated statement of profit or loss, arising from warrant programs and RSU-programs. In addition, premium from acquisition and sale of treasury shares are recognized as part of this reserve. A positive reserve is available to be distributed as dividends to the Company’s shareholders.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and Embedded Derivative Liabilities</w:t>
      </w:r>
    </w:p>
    <w:p>
      <w:pPr>
        <w:spacing w:after="0" w:line="120" w:lineRule="exact"/>
        <w:rPr>
          <w:sz w:val="20"/>
          <w:szCs w:val="20"/>
          <w:color w:val="auto"/>
        </w:rPr>
      </w:pPr>
    </w:p>
    <w:p>
      <w:pPr>
        <w:ind w:right="480"/>
        <w:spacing w:after="0" w:line="311" w:lineRule="auto"/>
        <w:rPr>
          <w:sz w:val="20"/>
          <w:szCs w:val="20"/>
          <w:color w:val="auto"/>
        </w:rPr>
      </w:pPr>
      <w:r>
        <w:rPr>
          <w:rFonts w:ascii="Times New Roman" w:cs="Times New Roman" w:eastAsia="Times New Roman" w:hAnsi="Times New Roman"/>
          <w:sz w:val="17"/>
          <w:szCs w:val="17"/>
          <w:color w:val="auto"/>
        </w:rPr>
        <w:t>Convertible senior notes (“convertible notes”) are separated into a financial liability and an embedded derivative component based on the terms and conditions of the contract. The embedded derivative component is accounted for separately if it is not deemed closely related to the financial liability.</w:t>
      </w:r>
    </w:p>
    <w:p>
      <w:pPr>
        <w:spacing w:after="0" w:line="13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convertible notes include an embedded equity conversion option which is not deemed closely related to the financial liability, and initially recognized and measured separately at fair value as derivative liabilities based on the stated terms upon issuance of the convertible notes. The conversion option is classified as a foreign currency conversion option and thus not convertible into a fixed number of shares for a fixed amount of cash. Accordingly, the conversion option is subsequently recognized and measured as a derivative liability at fair value through profit or loss, with any subsequent remeasurement gains or losses recognized as part of finance income or expenses.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addition, the convertible notes include a redemption option, which entitle the Company to redeem the notes at a cash amount equal to the principal amount of the convertible notes, plus accrued and unpaid interest. The redemption option is closely related to the financial liability, and not separately accounted for. The initial carrying amount of the financial liability component including the redemption option is the residual amount of the proceeds, net of transaction costs, after separating the derivative component.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10" w:name="page211"/>
    <w:bookmarkEnd w:id="210"/>
    <w:p>
      <w:pPr>
        <w:ind w:right="480"/>
        <w:spacing w:after="0" w:line="265" w:lineRule="auto"/>
        <w:rPr>
          <w:sz w:val="20"/>
          <w:szCs w:val="20"/>
          <w:color w:val="auto"/>
        </w:rPr>
      </w:pPr>
      <w:r>
        <w:rPr>
          <w:rFonts w:ascii="Times New Roman" w:cs="Times New Roman" w:eastAsia="Times New Roman" w:hAnsi="Times New Roman"/>
          <w:sz w:val="18"/>
          <w:szCs w:val="18"/>
          <w:color w:val="auto"/>
        </w:rPr>
        <w:t>Transaction costs are apportioned between the financial liability and derivative component based on the allocation of proceeds when the instrument is initially recognized. Transaction costs apportioned to the financial liability component form part of the effective interest and are amortized over the expected lifetime of the liability. Transaction costs allocated to the derivative component are expensed as incurred.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liability is subsequently measured at amortized cost until it is extinguished on conversion, optional redemption or upon repayment at maturity.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liability is presented as part of borrowings on the statement of financial position.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Right-of-use Assets</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Right-of-use assets are recognized at the lease commencement date, defined as the date the underlying asset is available for use. Right-of-use assets are measured at cost, less any accumulated depreciations and impairment losses, and adjusted for any remeasurement of lease liabilities. The cost of right-of-use assets include the amount of lease liabilities recognized, initial direct costs incurred, and lease payments made at or before the commencement date less any incentives received. In addition, right-of-use assets also include an estimate of costs to be incurred by the Company in dismantling or restoring the underlying asset to the condition if required by the terms and condition of the lease, if any.</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Right-of-use assets are presented as part of property, plant and equipment, and depreciated on a straight-line basis over the shorter of the lease term and the estimated useful lives of the assets.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Liabilities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the lease commencement date, lease liabilities are recognized and measured at the present value of fixed lease payments and variable lease payments that depend on an index or a rate, whereas variable lease payments and payments related to non-lease components are excluded. Variable lease payments that do not depend on an index or a rate are recognized as expenses in the consolidated statement of profit or loss when incurred.</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interest rates implicit in the lease contracts are not readily available, the present value of lease payments are calculated by applying the incremental borrowing rate of the relevant entity holding the lease. Following the commencement date, the incremental borrowing rate is not changed unless the lease term is modified, or if the lease payments are modified and this modification results from a change in floating interest rates. From the lease commencement date and over the lease term, the carrying amount of lease liabilities is increased to reflect the accretion of interest and reduced for the lease payments made. In addition, the carrying amount of lease liabilities is remeasured if there is a modification, a change in lease term, or a change in lease payments, including changes to future payments resulting from a change in an index used to determine such lease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are presented as part of borrowings on the statement of financial position.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comprise unsettled sales deductions and product returns regarding sale of commercial products where amount or timing of payment is uncertain.</w:t>
      </w:r>
    </w:p>
    <w:p>
      <w:pPr>
        <w:spacing w:after="0" w:line="22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Provisions for sales deductions attributed to various commercial arrangements, managed healthcare organizations, and government programs such as Medicare, Medicaid and the 340B Drug Pricing Program (“chargebacks”), and co-pay arrangements are recognized when the related sales takes place and measured using the expected value method. Payable amounts for managed healthcare organizations, government programs and chargebacks are generally settled within 90-180 days from the transaction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estimated product returns are measured according to contractual sales price based on expected product returns.</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i w:val="1"/>
          <w:iCs w:val="1"/>
          <w:color w:val="auto"/>
        </w:rPr>
        <w:t>Trade Payables and Accrued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 and accrued expenses are measured at amortized cost.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Other liabilities comprise payables to public authorities, short-term employee benefits, and sales rebates. Other liabilities are measured at their net-realizable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0"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Contract liabilities comprise deferred income from collaboration and license agreements, where consideration received does not match the individual deliverables with respect to amount and satisfied performance obligations.</w:t>
      </w:r>
    </w:p>
    <w:p>
      <w:pPr>
        <w:spacing w:after="0" w:line="16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Contract liabilities are measured at the fair value of the consideration received and is recognized as revenue in the consolidated statement of profit or loss when the relevant performance obligation, to which the deferred income relates, is satisfied.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Statement</w:t>
      </w:r>
    </w:p>
    <w:p>
      <w:pPr>
        <w:spacing w:after="0" w:line="12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cash flow statement shows cash flows from operating, investing and financing activities as well as cash and cash equivalents at the beginning and the end of the financial year.</w:t>
      </w:r>
    </w:p>
    <w:p>
      <w:pPr>
        <w:spacing w:after="0" w:line="16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Cash flows from operating activities are presented using the indirect method and calculated as the profit or loss adjusted for non-cash items, working capital changes as well as finance income, finance expenses and income taxes paid.</w:t>
      </w:r>
    </w:p>
    <w:p>
      <w:pPr>
        <w:spacing w:after="0" w:line="163"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Cash flows from investing activities include payments in connection with acquisition, development, improvement and sale, etc., of property, plant and equipment, investment in associate and marketable securities.</w:t>
      </w:r>
    </w:p>
    <w:p>
      <w:pPr>
        <w:spacing w:after="0" w:line="163"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Cash flows from financing activities comprise payments related to the capital structure of the Company, including lease liabilities, changes in the share capital and treasury shares and issuance of convertible senior notes.</w:t>
      </w:r>
    </w:p>
    <w:p>
      <w:pPr>
        <w:spacing w:after="0" w:line="163"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effect of exchange rate changes on cash and cash equivalents held or due in a foreign currency is presented separately from cash flows from operating, investing and financing activities. Cash flows in currencies other than the functional currency are recognized in the cash flow statement, using the average exchange rates.</w:t>
      </w:r>
    </w:p>
    <w:p>
      <w:pPr>
        <w:spacing w:after="0" w:line="17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Cash and cash equivalents comprise cash and on-demand deposits with financial institutions and highly liquid marketable securities with a maturity of three months or less after the date of acquisition (trade-date).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Earnings per Share</w:t>
      </w:r>
    </w:p>
    <w:p>
      <w:pPr>
        <w:spacing w:after="0" w:line="1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Basic Earnings per Share (“EPS”) is calculated as the consolidated net income or loss from continuing operations for the period divided by the weighted average number of ordinary shares outstanding. The weighted average number of shares takes into account the weighted average number of treasury shares during the year.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p>
    <w:p>
      <w:pPr>
        <w:spacing w:after="0" w:line="12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Diluted EPS is calculated as the consolidated net income or loss from continuing operations for the period divided by the weighted average number of ordinary shares outstanding adjusted for the weighted average effect of changes in treasury shares during the year, and the dilutive effect of outstanding warrants and convertible notes. If the consolidated statement of profit or loss shows a net loss, no adjustment is made for the dilutive effect, as such effect would be anti-dilutive.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i w:val="1"/>
          <w:iCs w:val="1"/>
          <w:color w:val="auto"/>
        </w:rPr>
        <w:t>New International Financial Reporting Standards Not Yet Effective</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IASB has issued a number of new or amended standards, which have not yet become effective or have not yet been adopted by the EU. Therefore, these new standards have not been incorporated in these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IAS 1, “Classification of Liabilities as Current or Non-current”</w:t>
      </w:r>
    </w:p>
    <w:p>
      <w:pPr>
        <w:spacing w:after="0" w:line="118"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In January 2020, the IASB issued amendments to paragraphs 69 to 76 of IAS 1, “Presentation of Financial Statements”, to specify the requirements for classifying liabilities as current or non-current. The amendments clarify:</w:t>
      </w:r>
    </w:p>
    <w:p>
      <w:pPr>
        <w:spacing w:after="0" w:line="55" w:lineRule="exact"/>
        <w:rPr>
          <w:sz w:val="20"/>
          <w:szCs w:val="20"/>
          <w:color w:val="auto"/>
        </w:rPr>
      </w:pPr>
    </w:p>
    <w:p>
      <w:pPr>
        <w:ind w:left="1020" w:hanging="504"/>
        <w:spacing w:after="0"/>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meant by a right to defer settlement;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right to defer must exist at the end of the reporting period;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classification is unaffected by the likelihood that an entity will exercise its deferral right; and</w:t>
      </w:r>
    </w:p>
    <w:p>
      <w:pPr>
        <w:spacing w:after="0" w:line="115" w:lineRule="exact"/>
        <w:rPr>
          <w:rFonts w:ascii="Times New Roman" w:cs="Times New Roman" w:eastAsia="Times New Roman" w:hAnsi="Times New Roman"/>
          <w:sz w:val="18"/>
          <w:szCs w:val="18"/>
          <w:color w:val="auto"/>
        </w:rPr>
      </w:pPr>
    </w:p>
    <w:p>
      <w:pPr>
        <w:ind w:left="1020" w:right="680" w:hanging="504"/>
        <w:spacing w:after="0" w:line="280" w:lineRule="auto"/>
        <w:tabs>
          <w:tab w:leader="none" w:pos="10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only if an embedded derivative in a convertible liability is itself an equity instrument would the terms of a liability not impact its classification.</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If approved by the EU, the amendments are effective for annual reporting periods beginning on or after January 1, 2024 and must be applied retrospectively. The amendments are expected to require the convertible notes (presented as part of borrowings on the statement of financial position) and derivative liabilities, presented as non-current liabilities at December 31, 2022, to be presented as current liabilities. On December 31, 2022, the carrying amount of convertible notes and derivative liabilities were €399.2 million and €158.0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are not expected to be affected by other new or amended standards.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Significant Accounting Judgements and Estimates</w:t>
      </w:r>
    </w:p>
    <w:p>
      <w:pPr>
        <w:spacing w:after="0" w:line="1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 the application of the Company’s accounting policies, management is required to make judgements, estimates and assumptions about the carrying amounts of assets and liabilities that are not readily apparent from other sources. Judgements, estimates and assumptions applied are based on historical experience and other factors that are relevant, and which are available at the reporting date. Uncertainty concerning estimates and assumptions could result in outcomes, that require a material adjustment to assets and liabilities in future periods.</w:t>
      </w:r>
    </w:p>
    <w:p>
      <w:pPr>
        <w:spacing w:after="0" w:line="18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Estimates and underlying assumptions are reviewed on an ongoing basis. Revisions to accounting estimates are recognized prospectively. While the application of critical accounting estimates is subject to material estimation uncertainties, management’s ongoing revisions of critical accounting estimates and underlying assumptions have not revealed any material impact in any of the years presented in these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Judgements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judgements which have a material impact on the consolidated financial statements are described in the following sections.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 Generated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Drug Candidates</w:t>
      </w:r>
    </w:p>
    <w:p>
      <w:pPr>
        <w:spacing w:after="0" w:line="1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3" w:name="page214"/>
    <w:bookmarkEnd w:id="213"/>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Estimation Uncertainties</w:t>
      </w:r>
    </w:p>
    <w:p>
      <w:pPr>
        <w:spacing w:after="0" w:line="120"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have a risk of causing a material adjustment to the carrying amounts of assets and liabilities within the next financial year, are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Provisions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Sales Rebates and Product Returns</w:t>
      </w:r>
    </w:p>
    <w:p>
      <w:pPr>
        <w:spacing w:after="0" w:line="118" w:lineRule="exact"/>
        <w:rPr>
          <w:sz w:val="20"/>
          <w:szCs w:val="20"/>
          <w:color w:val="auto"/>
        </w:rPr>
      </w:pPr>
    </w:p>
    <w:p>
      <w:pPr>
        <w:jc w:val="both"/>
        <w:ind w:right="620"/>
        <w:spacing w:after="0" w:line="265" w:lineRule="auto"/>
        <w:rPr>
          <w:sz w:val="20"/>
          <w:szCs w:val="20"/>
          <w:color w:val="auto"/>
        </w:rPr>
      </w:pPr>
      <w:r>
        <w:rPr>
          <w:rFonts w:ascii="Times New Roman" w:cs="Times New Roman" w:eastAsia="Times New Roman" w:hAnsi="Times New Roman"/>
          <w:sz w:val="18"/>
          <w:szCs w:val="18"/>
          <w:color w:val="auto"/>
        </w:rPr>
        <w:t>Sales deductions and product returns are considered variable consideration and constrained to the extent that a significant reversal in the amount of recognized revenue will not occur when the uncertainties associated with the rebate item are subsequently resolved, or for product returns, when the products are distributed to patients.</w:t>
      </w:r>
    </w:p>
    <w:p>
      <w:pPr>
        <w:spacing w:after="0" w:line="17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Provisions for unsettled sales deductions and product returns are estimated on the basis of a percentage of sales as defined by individual agreements and contracts, and for government rebates by individual state- and plan agreements. Further input in the calculations is based on payer channel mix, current contract prices under eligible programs, patient groups and current inventory levels in the distribution channels. Provisions are adjusted to absolute amounts and recognized as other liabilities when estimated sales rebates and returns are processed.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provisions for sales rebates and product returns was €7.3 million compared to €1.2 million, as of December 31, 2021.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Compensation Costs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IFRS 2, “Share-Based Payment” requires an entity to reflect in its consolidated statement of profit or loss and financial position, the effects of share-based payment transactions. Warrant compensation costs are recognized as cost of sales, research and development costs or selling, general and administrative expenses, as appropriate, over the vesting period, based on management’s best estimate of the number of warrants that will ultimately vest, which is subject to uncertainty.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Warrant compensation costs are measured according to the grant date fair value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 These inputs include expected volatility of the Company’s share price for a historic period equaling the expected lifetime of the warrants, reflecting the assumption that the historical volatility over a period similar to the life of the warrants is indicative of future trends, expected forfeitures and expected lifetime of warrants.</w:t>
      </w:r>
    </w:p>
    <w:p>
      <w:pPr>
        <w:spacing w:after="0" w:line="18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 2021, the Company for the first time, in connection with determining the grant date fair value of warrants and accordingly, warrant compensation costs, applied the price of the Company’s ADSs, each representing one ordinary share of the Company, as input for expected volatility. Until December 31, 2020, the expected volatility was calculated using a simple average of daily historical data of comparable publicly traded companies, as the Company did not have sufficient data for the volatility of the Company’s own share price. Refer to Note 7 “Share-based Payment”, for additional details on the Company’s warrant program and option-pricing model input.</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4" w:name="page215"/>
    <w:bookmarkEnd w:id="214"/>
    <w:p>
      <w:pPr>
        <w:spacing w:after="0" w:line="280" w:lineRule="auto"/>
        <w:rPr>
          <w:sz w:val="20"/>
          <w:szCs w:val="20"/>
          <w:color w:val="auto"/>
        </w:rPr>
      </w:pPr>
      <w:r>
        <w:rPr>
          <w:rFonts w:ascii="Times New Roman" w:cs="Times New Roman" w:eastAsia="Times New Roman" w:hAnsi="Times New Roman"/>
          <w:sz w:val="18"/>
          <w:szCs w:val="18"/>
          <w:color w:val="auto"/>
        </w:rPr>
        <w:t>Warrant compensation cost recognized in the consolidated statement of profit or loss was €55.2 million, €66.1 million and €53.2 million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Accruals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Development Costs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Development of drug candidates requires significant resources, and establishment of long-term working relationships with CROs and CMOs. Work performed by CROs and CMOs and other suppliers often comprise deliveries for more than one reporting period, and where payment terms for contractual work do not necessarily reflect the stage of completion of the individual projects and activities. Accordingly, determination of the stage of completion for ongoing project activities include estimation uncertainties as future efforts to complete the specific activity may be difficult to predict.</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On each reporting date, all significant ongoing activities are reviewed to determine the stage of completion and compared to the invoices received. Accruals are recognized for individual projects where the stage of completion exceeds costs of invoices received. Similarly, prepayments are recognized for invoiced costs in excess of the stage of completion. The Company has implemented accrual calculation models and policies, to ensure that consistent accrual procedures are applied, which includes analyzing significant project stages and payment structures, comparing project milestones to planned performance, and revisiting prior periods estimates.</w:t>
      </w:r>
    </w:p>
    <w:p>
      <w:pPr>
        <w:spacing w:after="0" w:line="18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As of December 31, 2022, the consolidated statement of financial position included prepaid project costs of €4.4 million and accrued project costs of €38.0 million, compared to €8.0 million and €23.5 million, respectively, as of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Embedded Derivatives</w:t>
      </w:r>
    </w:p>
    <w:p>
      <w:pPr>
        <w:spacing w:after="0" w:line="12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Foreign currency conversion options embedded in the convertible notes are accounted for separately as derivative liabilities at fair value through profit or loss.</w:t>
      </w:r>
    </w:p>
    <w:p>
      <w:pPr>
        <w:spacing w:after="0" w:line="16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Fair value cannot be measured based on quoted prices in active markets, or other observable input, and accordingly, derivative liabilities are measured by use of valuation techniques in form of the Black-Scholes Option Pricing model. Subjective judgements and assumptions, which are subject to estimation uncertainties, need to be exercised in determining the appropriate unobservable input to the valuation model (Level 3 in the fair value hierarchy). This includes volatility of the Company’s share price for a historic period, reflecting the assumption that the historical volatility is indicative of a period similar to the expected lifetime of the options.</w:t>
      </w:r>
    </w:p>
    <w:p>
      <w:pPr>
        <w:spacing w:after="0" w:line="18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As of December 31, 2022, the valuation of the derivative liabilities was €158.0 million compared to €142.5 million at initial recognition on March 2022. Changes in assumptions relating to these factors could affect the reported fair value of derivative liabilities. Refer to Note 15, “Financial Assets and Liabilities”, for additional details.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t>Note 4—Revenue</w:t>
      </w:r>
    </w:p>
    <w:p>
      <w:pPr>
        <w:spacing w:after="0" w:line="127"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Revenue from commercial sale of products relates to sale of SKYTROFA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(lonapegsomatropin-tcgd) in the U.S. market, which is sold to specialty pharmacies and specialty distributors (“commercial customers”). Customer payment terms are typically 30 days from the transaction date. SKYTROFA was approved by the U.S. Food and Drug Administration in August 2021, and the Company began shipping products to commercial customers in the fourth quarter of 2021.</w:t>
      </w:r>
    </w:p>
    <w:p>
      <w:pPr>
        <w:spacing w:after="0" w:line="197" w:lineRule="exact"/>
        <w:rPr>
          <w:sz w:val="20"/>
          <w:szCs w:val="20"/>
          <w:color w:val="auto"/>
        </w:rPr>
      </w:pPr>
    </w:p>
    <w:p>
      <w:pPr>
        <w:ind w:right="800"/>
        <w:spacing w:after="0" w:line="311" w:lineRule="auto"/>
        <w:rPr>
          <w:sz w:val="20"/>
          <w:szCs w:val="20"/>
          <w:color w:val="auto"/>
        </w:rPr>
      </w:pPr>
      <w:r>
        <w:rPr>
          <w:rFonts w:ascii="Times New Roman" w:cs="Times New Roman" w:eastAsia="Times New Roman" w:hAnsi="Times New Roman"/>
          <w:sz w:val="17"/>
          <w:szCs w:val="17"/>
          <w:color w:val="auto"/>
        </w:rPr>
        <w:t>Other revenue is generated primarily from three license agreements, which were entered into in 2018. The licenses grant VISEN Pharmaceuticals (“VISEN”), exclusive rights to develop and commercialize TransCon hGH, TransCon PTH and TransCon CNP in Greater China.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has been recognized in the consolidated statements of profit or loss with the following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ind w:left="71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6"/>
                <w:szCs w:val="16"/>
                <w:color w:val="auto"/>
              </w:rPr>
            </w:pPr>
          </w:p>
        </w:tc>
        <w:tc>
          <w:tcPr>
            <w:tcW w:w="158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8"/>
        </w:trPr>
        <w:tc>
          <w:tcPr>
            <w:tcW w:w="66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sale of products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35,659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Rendering of services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of clinical supply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20"/>
                <w:szCs w:val="20"/>
                <w:color w:val="auto"/>
              </w:rPr>
            </w:pPr>
          </w:p>
        </w:tc>
      </w:tr>
      <w:tr>
        <w:trPr>
          <w:trHeight w:val="24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51,174</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6,953</w:t>
            </w:r>
          </w:p>
        </w:tc>
        <w:tc>
          <w:tcPr>
            <w:tcW w:w="100" w:type="dxa"/>
            <w:vAlign w:val="bottom"/>
          </w:tcPr>
          <w:p>
            <w:pPr>
              <w:spacing w:after="0"/>
              <w:rPr>
                <w:sz w:val="20"/>
                <w:szCs w:val="20"/>
                <w:color w:val="auto"/>
              </w:rPr>
            </w:pPr>
          </w:p>
        </w:tc>
      </w:tr>
      <w:tr>
        <w:trPr>
          <w:trHeight w:val="20"/>
        </w:trPr>
        <w:tc>
          <w:tcPr>
            <w:tcW w:w="7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8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customers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35,659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partners and license agreements</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15,515</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51,174</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6,953</w:t>
            </w:r>
          </w:p>
        </w:tc>
        <w:tc>
          <w:tcPr>
            <w:tcW w:w="100" w:type="dxa"/>
            <w:vAlign w:val="bottom"/>
          </w:tcPr>
          <w:p>
            <w:pPr>
              <w:spacing w:after="0"/>
              <w:rPr>
                <w:sz w:val="20"/>
                <w:szCs w:val="20"/>
                <w:color w:val="auto"/>
              </w:rPr>
            </w:pPr>
          </w:p>
        </w:tc>
      </w:tr>
      <w:tr>
        <w:trPr>
          <w:trHeight w:val="20"/>
        </w:trPr>
        <w:tc>
          <w:tcPr>
            <w:tcW w:w="7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by timing of recognition</w:t>
            </w:r>
          </w:p>
        </w:tc>
        <w:tc>
          <w:tcPr>
            <w:tcW w:w="8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20"/>
                <w:szCs w:val="20"/>
                <w:color w:val="auto"/>
              </w:rPr>
            </w:pPr>
          </w:p>
        </w:tc>
      </w:tr>
      <w:tr>
        <w:trPr>
          <w:trHeight w:val="24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46,740</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51,174</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6,953</w:t>
            </w:r>
          </w:p>
        </w:tc>
        <w:tc>
          <w:tcPr>
            <w:tcW w:w="100" w:type="dxa"/>
            <w:vAlign w:val="bottom"/>
          </w:tcPr>
          <w:p>
            <w:pPr>
              <w:spacing w:after="0"/>
              <w:rPr>
                <w:sz w:val="20"/>
                <w:szCs w:val="20"/>
                <w:color w:val="auto"/>
              </w:rPr>
            </w:pPr>
          </w:p>
        </w:tc>
      </w:tr>
      <w:tr>
        <w:trPr>
          <w:trHeight w:val="20"/>
        </w:trPr>
        <w:tc>
          <w:tcPr>
            <w:tcW w:w="7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per geographical location</w:t>
            </w:r>
          </w:p>
        </w:tc>
        <w:tc>
          <w:tcPr>
            <w:tcW w:w="8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44,156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20"/>
                <w:szCs w:val="20"/>
                <w:color w:val="auto"/>
              </w:rPr>
            </w:pP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51,174</w:t>
            </w:r>
          </w:p>
        </w:tc>
        <w:tc>
          <w:tcPr>
            <w:tcW w:w="2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7,778</w:t>
            </w:r>
          </w:p>
        </w:tc>
        <w:tc>
          <w:tcPr>
            <w:tcW w:w="2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36"/>
        </w:trPr>
        <w:tc>
          <w:tcPr>
            <w:tcW w:w="74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F-24</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6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5078730</wp:posOffset>
            </wp:positionH>
            <wp:positionV relativeFrom="paragraph">
              <wp:posOffset>-2852420</wp:posOffset>
            </wp:positionV>
            <wp:extent cx="76835" cy="1879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-2852420</wp:posOffset>
            </wp:positionV>
            <wp:extent cx="68580" cy="1879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-2852420</wp:posOffset>
            </wp:positionV>
            <wp:extent cx="68580" cy="1879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-2203450</wp:posOffset>
            </wp:positionV>
            <wp:extent cx="76835" cy="1879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-2203450</wp:posOffset>
            </wp:positionV>
            <wp:extent cx="68580" cy="1879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-2203450</wp:posOffset>
            </wp:positionV>
            <wp:extent cx="68580" cy="1879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-1553845</wp:posOffset>
            </wp:positionV>
            <wp:extent cx="76835" cy="1879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-1553845</wp:posOffset>
            </wp:positionV>
            <wp:extent cx="68580" cy="1879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-1553845</wp:posOffset>
            </wp:positionV>
            <wp:extent cx="68580" cy="1879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-588645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-571500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-588645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-571500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-588645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-571500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Note 5—Segment Information</w:t>
      </w:r>
    </w:p>
    <w:p>
      <w:pPr>
        <w:spacing w:after="0" w:line="12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Company is managed and operated as one business unit. No separate business areas or separate business units have been identified in relation to product candidates or geographical markets. Accordingly, except for entity wide disclosures, no information on business segments or geographical markets is disclosed. Entity wide disclosures regarding revenue are included in Note 4, “Revenue”.</w:t>
      </w:r>
    </w:p>
    <w:p>
      <w:pPr>
        <w:spacing w:after="0" w:line="17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Company’s intangible assets and property, plant and equipment located by country are specified below, and defines the Company’s non-current segment assets: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6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segment assets</w:t>
            </w: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 (domicile country)</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100" w:type="dxa"/>
            <w:vAlign w:val="bottom"/>
          </w:tcPr>
          <w:p>
            <w:pPr>
              <w:spacing w:after="0"/>
              <w:rPr>
                <w:sz w:val="20"/>
                <w:szCs w:val="20"/>
                <w:color w:val="auto"/>
              </w:rPr>
            </w:pP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89,439</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91,755</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tcPr>
          <w:p>
            <w:pPr>
              <w:spacing w:after="0"/>
              <w:rPr>
                <w:sz w:val="20"/>
                <w:szCs w:val="20"/>
                <w:color w:val="auto"/>
              </w:rPr>
            </w:pPr>
          </w:p>
        </w:tc>
      </w:tr>
      <w:tr>
        <w:trPr>
          <w:trHeight w:val="23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segment assets</w:t>
            </w: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133,923</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131,321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associate</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38,345</w:t>
            </w:r>
          </w:p>
        </w:tc>
        <w:tc>
          <w:tcPr>
            <w:tcW w:w="100" w:type="dxa"/>
            <w:vAlign w:val="bottom"/>
          </w:tcPr>
          <w:p>
            <w:pPr>
              <w:spacing w:after="0"/>
              <w:rPr>
                <w:sz w:val="20"/>
                <w:szCs w:val="20"/>
                <w:color w:val="auto"/>
              </w:rPr>
            </w:pP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107,561</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20"/>
                <w:szCs w:val="20"/>
                <w:color w:val="auto"/>
              </w:rPr>
            </w:pP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166,267</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279,035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4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6—Employee costs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2"/>
        </w:trPr>
        <w:tc>
          <w:tcPr>
            <w:tcW w:w="664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24"/>
                <w:szCs w:val="24"/>
                <w:color w:val="auto"/>
              </w:rPr>
            </w:pPr>
          </w:p>
        </w:tc>
        <w:tc>
          <w:tcPr>
            <w:tcW w:w="132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r>
      <w:tr>
        <w:trPr>
          <w:trHeight w:val="168"/>
        </w:trPr>
        <w:tc>
          <w:tcPr>
            <w:tcW w:w="66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costs</w:t>
            </w: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Wages and salaries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140,420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104,583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77,374</w:t>
            </w:r>
          </w:p>
        </w:tc>
        <w:tc>
          <w:tcPr>
            <w:tcW w:w="100" w:type="dxa"/>
            <w:vAlign w:val="bottom"/>
          </w:tcPr>
          <w:p>
            <w:pPr>
              <w:spacing w:after="0"/>
              <w:rPr>
                <w:sz w:val="20"/>
                <w:szCs w:val="20"/>
                <w:color w:val="auto"/>
              </w:rPr>
            </w:pP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64,180</w:t>
            </w:r>
          </w:p>
        </w:tc>
        <w:tc>
          <w:tcPr>
            <w:tcW w:w="15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66,830</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53,170</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Pensions (defined contribution plans)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4,163</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0"/>
                <w:szCs w:val="20"/>
                <w:color w:val="auto"/>
              </w:rPr>
            </w:pPr>
          </w:p>
        </w:tc>
      </w:tr>
      <w:tr>
        <w:trPr>
          <w:trHeight w:val="24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Social security costs</w:t>
            </w: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5,898</w:t>
            </w: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employee costs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214,661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178,400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136,845</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Included in the profit or loss</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7,239</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119,904</w:t>
            </w:r>
          </w:p>
        </w:tc>
        <w:tc>
          <w:tcPr>
            <w:tcW w:w="1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106,558</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92,468</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87,518</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70,462</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44,377</w:t>
            </w:r>
          </w:p>
        </w:tc>
        <w:tc>
          <w:tcPr>
            <w:tcW w:w="100" w:type="dxa"/>
            <w:vAlign w:val="bottom"/>
          </w:tcPr>
          <w:p>
            <w:pPr>
              <w:spacing w:after="0"/>
              <w:rPr>
                <w:sz w:val="20"/>
                <w:szCs w:val="20"/>
                <w:color w:val="auto"/>
              </w:rPr>
            </w:pP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employee costs</w:t>
            </w:r>
          </w:p>
        </w:tc>
        <w:tc>
          <w:tcPr>
            <w:tcW w:w="13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214,661</w:t>
            </w:r>
          </w:p>
        </w:tc>
        <w:tc>
          <w:tcPr>
            <w:tcW w:w="2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178,400</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136,845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 employees</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-3236595</wp:posOffset>
            </wp:positionV>
            <wp:extent cx="76835" cy="162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-3236595</wp:posOffset>
            </wp:positionV>
            <wp:extent cx="68580" cy="162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-2604770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-2587625</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-2604770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-2587625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-1152525</wp:posOffset>
            </wp:positionV>
            <wp:extent cx="76835" cy="1879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-1152525</wp:posOffset>
            </wp:positionV>
            <wp:extent cx="68580" cy="1879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-1152525</wp:posOffset>
            </wp:positionV>
            <wp:extent cx="68580" cy="1879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-187325</wp:posOffset>
            </wp:positionV>
            <wp:extent cx="2058670" cy="1879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058670" cy="187960"/>
                    </a:xfrm>
                    <a:prstGeom prst="rect">
                      <a:avLst/>
                    </a:prstGeom>
                    <a:noFill/>
                  </pic:spPr>
                </pic:pic>
              </a:graphicData>
            </a:graphic>
          </wp:anchor>
        </w:drawing>
      </w:r>
    </w:p>
    <w:p>
      <w:pPr>
        <w:spacing w:after="0" w:line="6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Key Management Personnel comprises the Board of Directors, the Executive Board and Non-executive Senior Management. Compensation to Key Management Personnel comprises salaries, participation in annual bonus schemes, pensions (defined contributions plans), and share-based compensation. Share-based compensation is elaborated in further details in Note 7, “Share-based Payment”.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Compensation to Key Management Personnel included within total employee costs is summarized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Board of Directors </w:t>
            </w:r>
            <w:r>
              <w:rPr>
                <w:rFonts w:ascii="Times New Roman" w:cs="Times New Roman" w:eastAsia="Times New Roman" w:hAnsi="Times New Roman"/>
                <w:sz w:val="19"/>
                <w:szCs w:val="19"/>
                <w:b w:val="1"/>
                <w:bCs w:val="1"/>
                <w:color w:val="auto"/>
                <w:vertAlign w:val="superscript"/>
              </w:rPr>
              <w:t>(1)</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Executive Board </w:t>
            </w:r>
            <w:r>
              <w:rPr>
                <w:rFonts w:ascii="Times New Roman" w:cs="Times New Roman" w:eastAsia="Times New Roman" w:hAnsi="Times New Roman"/>
                <w:sz w:val="19"/>
                <w:szCs w:val="19"/>
                <w:b w:val="1"/>
                <w:bCs w:val="1"/>
                <w:color w:val="auto"/>
                <w:w w:val="98"/>
                <w:vertAlign w:val="superscript"/>
              </w:rPr>
              <w:t>(2)</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Non-executive Senior Management</w:t>
            </w:r>
          </w:p>
        </w:tc>
        <w:tc>
          <w:tcPr>
            <w:tcW w:w="100" w:type="dxa"/>
            <w:vAlign w:val="bottom"/>
          </w:tcPr>
          <w:p>
            <w:pPr>
              <w:spacing w:after="0"/>
              <w:rPr>
                <w:sz w:val="18"/>
                <w:szCs w:val="18"/>
                <w:color w:val="auto"/>
              </w:rPr>
            </w:pPr>
          </w:p>
        </w:tc>
      </w:tr>
      <w:tr>
        <w:trPr>
          <w:trHeight w:val="168"/>
        </w:trPr>
        <w:tc>
          <w:tcPr>
            <w:tcW w:w="2540" w:type="dxa"/>
            <w:vAlign w:val="bottom"/>
          </w:tcPr>
          <w:p>
            <w:pPr>
              <w:spacing w:after="0"/>
              <w:rPr>
                <w:sz w:val="14"/>
                <w:szCs w:val="14"/>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7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(EUR ‘000)</w:t>
            </w: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Wages and salaries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tcPr>
          <w:p>
            <w:pPr>
              <w:spacing w:after="0"/>
              <w:rPr>
                <w:sz w:val="20"/>
                <w:szCs w:val="20"/>
                <w:color w:val="auto"/>
              </w:rPr>
            </w:pPr>
          </w:p>
        </w:tc>
      </w:tr>
      <w:tr>
        <w:trPr>
          <w:trHeight w:val="246"/>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shd w:val="clear" w:color="auto" w:fill="CFF0FC"/>
          </w:tcPr>
          <w:p>
            <w:pPr>
              <w:spacing w:after="0"/>
              <w:rPr>
                <w:sz w:val="21"/>
                <w:szCs w:val="21"/>
                <w:color w:val="auto"/>
              </w:rPr>
            </w:pPr>
          </w:p>
        </w:tc>
      </w:tr>
      <w:tr>
        <w:trPr>
          <w:trHeight w:val="21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Pensions (defined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 plans)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r>
      <w:tr>
        <w:trPr>
          <w:trHeight w:val="245"/>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Social security costs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15,302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11,541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20,633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19,395</w:t>
            </w:r>
          </w:p>
        </w:tc>
        <w:tc>
          <w:tcPr>
            <w:tcW w:w="10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-187325</wp:posOffset>
            </wp:positionV>
            <wp:extent cx="76835" cy="1879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-187325</wp:posOffset>
            </wp:positionV>
            <wp:extent cx="76835" cy="1879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-187325</wp:posOffset>
            </wp:positionV>
            <wp:extent cx="76835" cy="1879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3985260</wp:posOffset>
            </wp:positionH>
            <wp:positionV relativeFrom="paragraph">
              <wp:posOffset>-187325</wp:posOffset>
            </wp:positionV>
            <wp:extent cx="76835" cy="1879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-187325</wp:posOffset>
            </wp:positionV>
            <wp:extent cx="68580" cy="1879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-187325</wp:posOffset>
            </wp:positionV>
            <wp:extent cx="68580" cy="1879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-187325</wp:posOffset>
            </wp:positionV>
            <wp:extent cx="68580" cy="1879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-187325</wp:posOffset>
            </wp:positionV>
            <wp:extent cx="68580" cy="1879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1879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181" w:lineRule="exact"/>
        <w:rPr>
          <w:sz w:val="20"/>
          <w:szCs w:val="20"/>
          <w:color w:val="auto"/>
        </w:rPr>
      </w:pPr>
    </w:p>
    <w:p>
      <w:pPr>
        <w:ind w:left="640" w:hanging="513"/>
        <w:spacing w:after="0"/>
        <w:tabs>
          <w:tab w:leader="none" w:pos="6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comprised six to seven persons in 2022 and 2021. In 2020, the Board of Directors comprised seven persons.</w:t>
      </w:r>
    </w:p>
    <w:p>
      <w:pPr>
        <w:spacing w:after="0" w:line="125" w:lineRule="exact"/>
        <w:rPr>
          <w:rFonts w:ascii="Times New Roman" w:cs="Times New Roman" w:eastAsia="Times New Roman" w:hAnsi="Times New Roman"/>
          <w:sz w:val="16"/>
          <w:szCs w:val="16"/>
          <w:color w:val="auto"/>
        </w:rPr>
      </w:pPr>
    </w:p>
    <w:p>
      <w:pPr>
        <w:ind w:left="640" w:hanging="513"/>
        <w:spacing w:after="0"/>
        <w:tabs>
          <w:tab w:leader="none" w:pos="64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Board comprised four persons in 2022. For 2021 and 2020, the Executive Board comprised two to four persons and two persons respectively.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7—Share-based Payment</w:t>
      </w:r>
    </w:p>
    <w:p>
      <w:pPr>
        <w:spacing w:after="0" w:line="12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As an incentive to employees, members of the Board of Directors and select consultants, Ascendis Pharma A/S has established warrant programs and, since December 2021, Restricted Stock Unit programs (“RSU programs”), which are equity-settled share-based payment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Program</w:t>
      </w:r>
    </w:p>
    <w:p>
      <w:pPr>
        <w:spacing w:after="0" w:line="1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Restricted Stock Units (“RSUs”) are granted by the Board of Directors in accordance with authorizations given to it by the shareholders of Ascendis Pharma A/S to the Executive Board, select employees and members of the Board of Directors (“RSU-holders”) in accordance with the Company’s Restricted Stock Unit Program adopted in December 2021. Further, RSUs may be granted to select consultants. One RSU represents a right for the RSU-holder to receive one ADS of Ascendis Pharma A/S upon vesting if the vesting conditions are met or waived by the Board of Directors at its discretion. ADSs underlying RSUs are treasury shares that have been repurchased in the market. Upon vesting, the Company may at its sole discretion choose to make a cash settlement instead of delivering ADSs.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Conditions</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RSUs granted vest over a predetermined service period, and accordingly require RSU-holders to be employed, or provide a specified period of service. RSUs vest over three years with 1/3 of the RSUs vesting on each anniversary date from the date of grant, and in the case of RSUs granted to the Company’s Chief Executive Officer, subject to the achievement of performance conditions as determined by the Company’s Board of Directors. RSUs generally cease to vest from the date of termination of employment, or for Board of Directors, termination of board membership, whereas unvested RSUs will lapse. In addition, vesting may be contingent upon additional vesting criteria (non-market performance conditions). The Board of Directors may at its discretion and on an individual basis decide to deviate from the vesting conditions, including, decide to accelerate vesting in the event of termination of employment or board membership, as applicable.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RSU-holders are entitled to an adjustment of the number of RSUs granted, applicable in the event of certain corporate changes, including among other events, increases or decreases to the share capital at a price below or above market value, the issuance of bonus shares, and changes in the nominal value of each share. In addition, The RSU program contains provisions to accelerate vesting, or compensate with grant of new equity instruments, in the event of restructuring events including change in control events.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i w:val="1"/>
          <w:iCs w:val="1"/>
          <w:color w:val="auto"/>
        </w:rPr>
        <w:t>RSU Activity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148,148 RSUs were granted for the first time in December 2021. The following table specifies the number of RSUs granted and outstanding RSUs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20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9220" w:type="dxa"/>
            <w:vAlign w:val="bottom"/>
          </w:tcPr>
          <w:p>
            <w:pPr>
              <w:spacing w:after="0"/>
              <w:rPr>
                <w:sz w:val="16"/>
                <w:szCs w:val="16"/>
                <w:color w:val="auto"/>
              </w:rPr>
            </w:pPr>
          </w:p>
        </w:tc>
        <w:tc>
          <w:tcPr>
            <w:tcW w:w="20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33"/>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2022</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148,148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during the period</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(41,685 )</w:t>
            </w:r>
          </w:p>
        </w:tc>
      </w:tr>
      <w:tr>
        <w:trPr>
          <w:trHeight w:val="242"/>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(23,971 )</w:t>
            </w:r>
          </w:p>
        </w:tc>
      </w:tr>
      <w:tr>
        <w:trPr>
          <w:trHeight w:val="238"/>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82,492</w:t>
            </w:r>
          </w:p>
        </w:tc>
        <w:tc>
          <w:tcPr>
            <w:tcW w:w="100" w:type="dxa"/>
            <w:vAlign w:val="bottom"/>
            <w:tcBorders>
              <w:top w:val="single" w:sz="8" w:color="CFF0FC"/>
            </w:tcBorders>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Specified by vesting date</w:t>
            </w: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41,240</w:t>
            </w:r>
          </w:p>
        </w:tc>
        <w:tc>
          <w:tcPr>
            <w:tcW w:w="100" w:type="dxa"/>
            <w:vAlign w:val="bottom"/>
          </w:tcPr>
          <w:p>
            <w:pPr>
              <w:spacing w:after="0"/>
              <w:rPr>
                <w:sz w:val="20"/>
                <w:szCs w:val="20"/>
                <w:color w:val="auto"/>
              </w:rPr>
            </w:pPr>
          </w:p>
        </w:tc>
      </w:tr>
      <w:tr>
        <w:trPr>
          <w:trHeight w:val="242"/>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82,492</w:t>
            </w:r>
          </w:p>
        </w:tc>
        <w:tc>
          <w:tcPr>
            <w:tcW w:w="100" w:type="dxa"/>
            <w:vAlign w:val="bottom"/>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-1152525</wp:posOffset>
            </wp:positionV>
            <wp:extent cx="68580" cy="162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-836295</wp:posOffset>
            </wp:positionV>
            <wp:extent cx="68580" cy="1879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1879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one RSU at the date of grant was €123.46 for the year ended December 31, 2021.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program</w:t>
      </w:r>
    </w:p>
    <w:p>
      <w:pPr>
        <w:spacing w:after="0" w:line="1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Warrants are granted by the Board of Directors in accordance with authorizations given to it by the shareholders of Ascendis Pharma A/S to all employees, members of the Board of Directors and select consultants (“warrantholders”). Each warrant carries the right to subscribe for one ordinary share of a nominal value of DKK 1. The exercise price is equal to the fair market value of the Company’s ordinary shares at the time of grant as determined by the Board of Directors. Vested warrants may be exercised in two or four annual exercise periods as described below. Apart from exercise prices, exercise periods and vesting conditions for board members, the programs are similar.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 Conditions</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Warrants granted vest over a predetermined service period and require warrantholders provide a specified period of service. Warrants generally cease to vest from the date of termination in the event that (i) the employee terminates the employment contract and the termination is not a result of breach of the employment terms by the Company, or (ii) in the event that the Company terminates the employment contract and the employee has given the Company good reason to do so. In relation to board members, the vesting shall cease on the termination date of the board membership regardless of the reason. In relation to consultants, the vesting shall cease on the termination date of the consultancy relationship. The warrantholder will, however, be entitled to exercise vested warrants in the first exercise period after termination.</w:t>
      </w:r>
    </w:p>
    <w:p>
      <w:pPr>
        <w:spacing w:after="0" w:line="18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In the event that the employment contract is terminated, and the employee has not given the Company good reason to do so, the warrantholder may keep the right to continued vesting and exercise of warrants as if the employment was still in effect. In such case, any expense not yet recognized for the outstanding warrants is recognized immediately.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granted 2012 until November 2021</w:t>
      </w:r>
    </w:p>
    <w:p>
      <w:pPr>
        <w:spacing w:after="0" w:line="11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Warrants granted from 2012 until November 2021, generally vest over 48 months with 1/48 of the warrants vesting per month from the date of grant. However, effective from January 2015, certain warrants granted to board members vest over 24 months with 1/24 of the warrants vesting per month from the date of grant.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granted from December 2021</w:t>
      </w:r>
    </w:p>
    <w:p>
      <w:pPr>
        <w:spacing w:after="0" w:line="11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For warrants granted to employees and consultants, 25% of the warrants vest one year after the date of grant, and the remaining 75% of the warrants granted vest over 36 months, with 1/36 of the warrants vesting per month, from one year after the date of grant.</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9" w:name="page220"/>
    <w:bookmarkEnd w:id="219"/>
    <w:p>
      <w:pPr>
        <w:spacing w:after="0" w:line="259" w:lineRule="auto"/>
        <w:rPr>
          <w:sz w:val="20"/>
          <w:szCs w:val="20"/>
          <w:color w:val="auto"/>
        </w:rPr>
      </w:pPr>
      <w:r>
        <w:rPr>
          <w:rFonts w:ascii="Times New Roman" w:cs="Times New Roman" w:eastAsia="Times New Roman" w:hAnsi="Times New Roman"/>
          <w:sz w:val="18"/>
          <w:szCs w:val="18"/>
          <w:color w:val="auto"/>
        </w:rPr>
        <w:t>For warrants granted to board members upon the board members accession, 25% of the warrants granted vest one year after the date of grant, and the remaining 75% of the warrants granted shall vest over 36 months, with 1/36 per month from one year after the date of grant. Regarding subsequent grants of warrants to board members, 50 % of the warrants vest one year after the date of grant, and the remaining 50% of the warrants vest over 12 months, with 1/12 per month from one year after the date of grant.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Periods</w:t>
      </w:r>
    </w:p>
    <w:p>
      <w:pPr>
        <w:spacing w:after="0" w:line="120"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Vested warrants may be exercised during certain exercise periods each year, within certain periods after publication of earnings data of a fiscal quarter, interim and annual reports, as per each program's terms and conditions.</w:t>
      </w:r>
    </w:p>
    <w:p>
      <w:pPr>
        <w:spacing w:after="0" w:line="163"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Warrants expire ten years after the grant date. Warrants not exercised by the warrantholder during the last exercise period shall become null and void without further notice or compensation or payment of any kind to the warrantholder. If the warrantholder is a consultant, advisor or board member, the exercise of warrants is conditional upon the warrantholder’s continued service to the Company at the time the warrants are exercised. If the consultant’s, advisor’s or board member’s relationship with the Company should cease without this being attributable to the warrantholder’s actions or omissions, the warrantholder shall be entitled to exercise vested warrants in the pre-defined exercise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Warrantholders are entitled to an adjustment of the number of warrants issued and/or the exercise price applicable in the event of certain corporate changes. Events giving rise to an adjustment include, among other things, increases or decreases to the share capital at a price below or above market value, the issuance of bonus shares, changes in the nominal value of each share, and payment of dividends in excess of 10% of the Company’s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Activity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the number and weighted average exercise prices of, and movements, in warrants during the year: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2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Price EUR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2020</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5,820,211</w:t>
            </w: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46.36</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1,485,931</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72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(905,395 )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(252,743 )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6,148,004</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3,044,827</w:t>
            </w:r>
          </w:p>
        </w:tc>
        <w:tc>
          <w:tcPr>
            <w:tcW w:w="2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1,445,981</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72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(312,296 )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(196,616 )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7,085,073</w:t>
            </w:r>
          </w:p>
        </w:tc>
        <w:tc>
          <w:tcPr>
            <w:tcW w:w="22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4,022,011</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357,092</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72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Exercised during the year </w:t>
            </w:r>
            <w:r>
              <w:rPr>
                <w:rFonts w:ascii="Times New Roman" w:cs="Times New Roman" w:eastAsia="Times New Roman" w:hAnsi="Times New Roman"/>
                <w:sz w:val="24"/>
                <w:szCs w:val="24"/>
                <w:color w:val="auto"/>
                <w:vertAlign w:val="superscript"/>
              </w:rPr>
              <w:t>(1)</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(214,613 )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(363,541 )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6,864,011</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81.30</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at the reporting date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4,972,026</w:t>
            </w:r>
          </w:p>
        </w:tc>
        <w:tc>
          <w:tcPr>
            <w:tcW w:w="2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-2459355</wp:posOffset>
            </wp:positionV>
            <wp:extent cx="1221740" cy="1797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21740" cy="17970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-1972945</wp:posOffset>
            </wp:positionV>
            <wp:extent cx="1221740" cy="3505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21740" cy="35052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-819150</wp:posOffset>
            </wp:positionV>
            <wp:extent cx="68580" cy="162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-819150</wp:posOffset>
            </wp:positionV>
            <wp:extent cx="68580" cy="162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-349885</wp:posOffset>
            </wp:positionV>
            <wp:extent cx="1221740" cy="3505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21740" cy="350520"/>
                    </a:xfrm>
                    <a:prstGeom prst="rect">
                      <a:avLst/>
                    </a:prstGeom>
                    <a:noFill/>
                  </pic:spPr>
                </pic:pic>
              </a:graphicData>
            </a:graphic>
          </wp:anchor>
        </w:drawing>
      </w:r>
    </w:p>
    <w:p>
      <w:pPr>
        <w:spacing w:after="0" w:line="208" w:lineRule="exact"/>
        <w:rPr>
          <w:sz w:val="20"/>
          <w:szCs w:val="20"/>
          <w:color w:val="auto"/>
        </w:rPr>
      </w:pPr>
    </w:p>
    <w:p>
      <w:pPr>
        <w:ind w:left="520" w:right="360" w:hanging="512"/>
        <w:spacing w:after="0" w:line="296" w:lineRule="auto"/>
        <w:tabs>
          <w:tab w:leader="none" w:pos="5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share price (listed in $) at the date of exercise was €113.60, €124.62 and €128.32 for the years ended December 31, 2022, 2021 and 2020, respectively.</w:t>
      </w:r>
    </w:p>
    <w:p>
      <w:pPr>
        <w:spacing w:after="0" w:line="160"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As of December 31, 2022, the Board of Directors was authorized to grant up to 1,959,496 additional warrants to employees, board members and select consultants without preemptive subscription rights for the shareholders of Ascendis Pharma A/S.</w:t>
      </w:r>
    </w:p>
    <w:p>
      <w:pPr>
        <w:spacing w:after="0" w:line="16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The following table specifies the weighted average exercise prices and weighted average remaining contractual life for outstanding warrants at December 31, 2022 per grant year.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EUR</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2012-2018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3,052,158</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2019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2020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2021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in 2022</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347,082</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6,864,011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5070475</wp:posOffset>
            </wp:positionH>
            <wp:positionV relativeFrom="paragraph">
              <wp:posOffset>-187325</wp:posOffset>
            </wp:positionV>
            <wp:extent cx="76835" cy="1879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-187325</wp:posOffset>
            </wp:positionV>
            <wp:extent cx="68580" cy="1879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1879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6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At December 31, 2022, the exercise prices of outstanding warrants under the Company’s warrant programs range from €6.48 to €145.50 depending on the grant dates.</w:t>
      </w:r>
    </w:p>
    <w:p>
      <w:pPr>
        <w:spacing w:after="0" w:line="163" w:lineRule="exact"/>
        <w:rPr>
          <w:sz w:val="20"/>
          <w:szCs w:val="20"/>
          <w:color w:val="auto"/>
        </w:rPr>
      </w:pPr>
    </w:p>
    <w:p>
      <w:pPr>
        <w:ind w:right="580"/>
        <w:spacing w:after="0" w:line="311" w:lineRule="auto"/>
        <w:rPr>
          <w:sz w:val="20"/>
          <w:szCs w:val="20"/>
          <w:color w:val="auto"/>
        </w:rPr>
      </w:pPr>
      <w:r>
        <w:rPr>
          <w:rFonts w:ascii="Times New Roman" w:cs="Times New Roman" w:eastAsia="Times New Roman" w:hAnsi="Times New Roman"/>
          <w:sz w:val="17"/>
          <w:szCs w:val="17"/>
          <w:color w:val="auto"/>
        </w:rPr>
        <w:t>The range of exercise prices for outstanding warrants was €6.48 to €145.50 for the years ended December 31, 2021 and 2020. The weighted average remaining life for outstanding warrants was 87 months and 91 months, for the financial years ended December 31, 2021 and 2020, respectively.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Compensation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compensation costs are recognized in the consolidated statements of profit or loss over the vesting period of the warrants granted.</w:t>
      </w:r>
    </w:p>
    <w:p>
      <w:pPr>
        <w:spacing w:after="0" w:line="22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Warrant compensation costs are determined with basis in the grant date fair value of the warrants granted and recognized over the vesting period. Fair value of the warrants is calculated at the grant dates by use of the Black-Scholes Option Pricing model with the following assumptions: (1) an exercise price equal to the estimated market price of the Company’s shares at the date of grant; (2) an expected lifetime of the warrants determined as a weighted average of the time from grant date to date of becoming exercisable and from grant date to expiry of the warrants; (3) a risk-free interest rate equaling the effective interest rate on a Danish government bond with the same lifetime as the warrants; (4) no payment of dividends; and (5) an expected volatility using the Company’s own share price (from 2021).</w:t>
      </w:r>
    </w:p>
    <w:p>
      <w:pPr>
        <w:spacing w:after="0" w:line="18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input to the Black-Scholes Option Pricing model and the calculated fair values for warrant grants in 2022,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r>
      <w:tr>
        <w:trPr>
          <w:trHeight w:val="23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 49</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 55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tcPr>
          <w:p>
            <w:pPr>
              <w:spacing w:after="0"/>
              <w:rPr>
                <w:sz w:val="20"/>
                <w:szCs w:val="20"/>
                <w:color w:val="auto"/>
              </w:rPr>
            </w:pPr>
          </w:p>
        </w:tc>
        <w:tc>
          <w:tcPr>
            <w:tcW w:w="1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(0.08) - 2.54 %</w:t>
            </w:r>
          </w:p>
        </w:tc>
        <w:tc>
          <w:tcPr>
            <w:tcW w:w="500" w:type="dxa"/>
            <w:vAlign w:val="bottom"/>
          </w:tcPr>
          <w:p>
            <w:pPr>
              <w:spacing w:after="0"/>
              <w:rPr>
                <w:sz w:val="20"/>
                <w:szCs w:val="20"/>
                <w:color w:val="auto"/>
              </w:rPr>
            </w:pPr>
          </w:p>
        </w:tc>
        <w:tc>
          <w:tcPr>
            <w:tcW w:w="1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(0.54)–(0.27) %</w:t>
            </w:r>
          </w:p>
        </w:tc>
        <w:tc>
          <w:tcPr>
            <w:tcW w:w="4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(0.93)–(0.32) %</w:t>
            </w:r>
          </w:p>
        </w:tc>
      </w:tr>
      <w:tr>
        <w:trPr>
          <w:trHeight w:val="26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5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5.05 – 7.10</w:t>
            </w:r>
          </w:p>
        </w:tc>
      </w:tr>
      <w:tr>
        <w:trPr>
          <w:trHeight w:val="24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4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4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220" w:type="dxa"/>
            <w:vAlign w:val="bottom"/>
          </w:tcPr>
          <w:p>
            <w:pPr>
              <w:spacing w:after="0"/>
              <w:rPr>
                <w:sz w:val="21"/>
                <w:szCs w:val="21"/>
                <w:color w:val="auto"/>
              </w:rPr>
            </w:pPr>
          </w:p>
        </w:tc>
      </w:tr>
      <w:tr>
        <w:trPr>
          <w:trHeight w:val="26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granted in the year</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36.55 - 60.85</w:t>
            </w:r>
          </w:p>
        </w:tc>
        <w:tc>
          <w:tcPr>
            <w:tcW w:w="420" w:type="dxa"/>
            <w:vAlign w:val="bottom"/>
            <w:shd w:val="clear" w:color="auto" w:fill="CFF0FC"/>
          </w:tcPr>
          <w:p>
            <w:pPr>
              <w:spacing w:after="0"/>
              <w:rPr>
                <w:sz w:val="22"/>
                <w:szCs w:val="22"/>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45.91 – 64.28</w:t>
            </w:r>
          </w:p>
        </w:tc>
        <w:tc>
          <w:tcPr>
            <w:tcW w:w="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48.43 – 75.77</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Principal Accountant Fees and Services</w:t>
      </w:r>
    </w:p>
    <w:p>
      <w:pPr>
        <w:spacing w:after="0" w:line="12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the Company’s independent public accountants and the proportion of each of the fees out of the total amount billed by the accountants.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gridSpan w:val="2"/>
          </w:tcPr>
          <w:p>
            <w:pPr>
              <w:ind w:left="7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46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4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8"/>
        </w:trPr>
        <w:tc>
          <w:tcPr>
            <w:tcW w:w="69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0"/>
                <w:szCs w:val="20"/>
                <w:color w:val="auto"/>
              </w:rPr>
            </w:pPr>
          </w:p>
        </w:tc>
      </w:tr>
      <w:tr>
        <w:trPr>
          <w:trHeight w:val="246"/>
        </w:trPr>
        <w:tc>
          <w:tcPr>
            <w:tcW w:w="7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1"/>
                <w:szCs w:val="21"/>
                <w:color w:val="auto"/>
              </w:rPr>
            </w:pPr>
          </w:p>
        </w:tc>
      </w:tr>
      <w:tr>
        <w:trPr>
          <w:trHeight w:val="238"/>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78"/>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 accountant fees and services</w:t>
            </w:r>
          </w:p>
        </w:tc>
        <w:tc>
          <w:tcPr>
            <w:tcW w:w="900" w:type="dxa"/>
            <w:vAlign w:val="bottom"/>
            <w:tcBorders>
              <w:top w:val="single" w:sz="8" w:color="auto"/>
              <w:bottom w:val="single" w:sz="8" w:color="auto"/>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1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1"/>
        </w:trPr>
        <w:tc>
          <w:tcPr>
            <w:tcW w:w="78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69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-452120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-434975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-452120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-434975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-452120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-434975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Note 9—Tax on Profit/(Loss) for the Year and Deferred Tax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6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on profit/(loss) for the year:</w:t>
            </w: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tax (expense)/income</w:t>
            </w:r>
          </w:p>
        </w:tc>
        <w:tc>
          <w:tcPr>
            <w:tcW w:w="16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(5,377 )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65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2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for the year can be explained as follows:</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Profit/(loss) before tax</w:t>
            </w:r>
          </w:p>
        </w:tc>
        <w:tc>
          <w:tcPr>
            <w:tcW w:w="160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(577,817 )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(383,944 )</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(419,174 )</w:t>
            </w:r>
          </w:p>
        </w:tc>
        <w:tc>
          <w:tcPr>
            <w:tcW w:w="100" w:type="dxa"/>
            <w:vAlign w:val="bottom"/>
          </w:tcPr>
          <w:p>
            <w:pPr>
              <w:spacing w:after="0"/>
              <w:rPr>
                <w:sz w:val="21"/>
                <w:szCs w:val="21"/>
                <w:color w:val="auto"/>
              </w:rPr>
            </w:pPr>
          </w:p>
        </w:tc>
      </w:tr>
      <w:tr>
        <w:trPr>
          <w:trHeight w:val="24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at the Danish corporation tax rate of 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127,120</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84,468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effect of:</w:t>
            </w: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costs</w:t>
            </w:r>
          </w:p>
        </w:tc>
        <w:tc>
          <w:tcPr>
            <w:tcW w:w="16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(17,094 )</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(14,800 )</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(11,815 )</w:t>
            </w:r>
          </w:p>
        </w:tc>
        <w:tc>
          <w:tcPr>
            <w:tcW w:w="100" w:type="dxa"/>
            <w:vAlign w:val="bottom"/>
          </w:tcPr>
          <w:p>
            <w:pPr>
              <w:spacing w:after="0"/>
              <w:rPr>
                <w:sz w:val="20"/>
                <w:szCs w:val="20"/>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tax deductions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from associate</w:t>
            </w:r>
          </w:p>
        </w:tc>
        <w:tc>
          <w:tcPr>
            <w:tcW w:w="16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(3,893 )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(1,326 )</w:t>
            </w:r>
          </w:p>
        </w:tc>
        <w:tc>
          <w:tcPr>
            <w:tcW w:w="100" w:type="dxa"/>
            <w:vAlign w:val="bottom"/>
          </w:tcPr>
          <w:p>
            <w:pPr>
              <w:spacing w:after="0"/>
              <w:rPr>
                <w:sz w:val="20"/>
                <w:szCs w:val="20"/>
                <w:color w:val="auto"/>
              </w:rPr>
            </w:pPr>
          </w:p>
        </w:tc>
      </w:tr>
      <w:tr>
        <w:trPr>
          <w:trHeight w:val="24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effects including effect of different tax rates</w:t>
            </w:r>
          </w:p>
        </w:tc>
        <w:tc>
          <w:tcPr>
            <w:tcW w:w="160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(2,716 )</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(122,514 )</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(89,892 )</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(106,095 )</w:t>
            </w:r>
          </w:p>
        </w:tc>
        <w:tc>
          <w:tcPr>
            <w:tcW w:w="100" w:type="dxa"/>
            <w:vAlign w:val="bottom"/>
          </w:tcPr>
          <w:p>
            <w:pPr>
              <w:spacing w:after="0"/>
              <w:rPr>
                <w:sz w:val="20"/>
                <w:szCs w:val="20"/>
                <w:color w:val="auto"/>
              </w:rPr>
            </w:pPr>
          </w:p>
        </w:tc>
      </w:tr>
      <w:tr>
        <w:trPr>
          <w:trHeight w:val="278"/>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Tax on profit/(loss) for the year</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200" w:type="dxa"/>
            <w:vAlign w:val="bottom"/>
            <w:tcBorders>
              <w:bottom w:val="single" w:sz="8" w:color="CFF0FC"/>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0.93 </w:t>
            </w:r>
            <w:r>
              <w:rPr>
                <w:rFonts w:ascii="Times New Roman" w:cs="Times New Roman" w:eastAsia="Times New Roman" w:hAnsi="Times New Roman"/>
                <w:sz w:val="18"/>
                <w:szCs w:val="18"/>
                <w:b w:val="1"/>
                <w:bCs w:val="1"/>
                <w:color w:val="auto"/>
                <w:highlight w:val="white"/>
              </w:rPr>
              <w:t>%</w:t>
            </w:r>
          </w:p>
        </w:tc>
        <w:tc>
          <w:tcPr>
            <w:tcW w:w="1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xml:space="preserve">(0.10 </w:t>
            </w:r>
            <w:r>
              <w:rPr>
                <w:rFonts w:ascii="Times New Roman" w:cs="Times New Roman" w:eastAsia="Times New Roman" w:hAnsi="Times New Roman"/>
                <w:sz w:val="18"/>
                <w:szCs w:val="18"/>
                <w:b w:val="1"/>
                <w:bCs w:val="1"/>
                <w:color w:val="auto"/>
                <w:highlight w:val="white"/>
              </w:rPr>
              <w:t>)</w:t>
            </w:r>
            <w:r>
              <w:rPr>
                <w:rFonts w:ascii="Times New Roman" w:cs="Times New Roman" w:eastAsia="Times New Roman" w:hAnsi="Times New Roman"/>
                <w:sz w:val="18"/>
                <w:szCs w:val="18"/>
                <w:b w:val="1"/>
                <w:bCs w:val="1"/>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(0.05 </w:t>
            </w:r>
            <w:r>
              <w:rPr>
                <w:rFonts w:ascii="Times New Roman" w:cs="Times New Roman" w:eastAsia="Times New Roman" w:hAnsi="Times New Roman"/>
                <w:sz w:val="18"/>
                <w:szCs w:val="18"/>
                <w:b w:val="1"/>
                <w:bCs w:val="1"/>
                <w:color w:val="auto"/>
                <w:highlight w:val="white"/>
              </w:rPr>
              <w:t>)</w:t>
            </w:r>
            <w:r>
              <w:rPr>
                <w:rFonts w:ascii="Times New Roman" w:cs="Times New Roman" w:eastAsia="Times New Roman" w:hAnsi="Times New Roman"/>
                <w:sz w:val="18"/>
                <w:szCs w:val="18"/>
                <w:b w:val="1"/>
                <w:bCs w:val="1"/>
                <w:color w:val="auto"/>
              </w:rPr>
              <w:t>%</w:t>
            </w:r>
          </w:p>
        </w:tc>
      </w:tr>
      <w:tr>
        <w:trPr>
          <w:trHeight w:val="244"/>
        </w:trPr>
        <w:tc>
          <w:tcPr>
            <w:tcW w:w="65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6580" w:type="dxa"/>
            <w:vAlign w:val="bottom"/>
          </w:tcPr>
          <w:p>
            <w:pPr>
              <w:spacing w:after="0"/>
              <w:rPr>
                <w:sz w:val="19"/>
                <w:szCs w:val="19"/>
                <w:color w:val="auto"/>
              </w:rPr>
            </w:pPr>
          </w:p>
        </w:tc>
        <w:tc>
          <w:tcPr>
            <w:tcW w:w="14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5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80" w:type="dxa"/>
            <w:vAlign w:val="bottom"/>
            <w:gridSpan w:val="3"/>
            <w:shd w:val="clear" w:color="auto" w:fill="CFF0FC"/>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Specification of Deferred Tax Assets</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deductible losses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433,174</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313,011</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227,234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0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(453,135 )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(325,867 )</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(234,960 )</w:t>
            </w:r>
          </w:p>
        </w:tc>
        <w:tc>
          <w:tcPr>
            <w:tcW w:w="100" w:type="dxa"/>
            <w:vAlign w:val="bottom"/>
          </w:tcPr>
          <w:p>
            <w:pPr>
              <w:spacing w:after="0"/>
              <w:rPr>
                <w:sz w:val="21"/>
                <w:szCs w:val="21"/>
                <w:color w:val="auto"/>
              </w:rPr>
            </w:pPr>
          </w:p>
        </w:tc>
      </w:tr>
      <w:tr>
        <w:trPr>
          <w:trHeight w:val="238"/>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 at December 31</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FF0FC"/>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-1442720</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-1442720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-1442720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-187325</wp:posOffset>
            </wp:positionV>
            <wp:extent cx="76835" cy="1879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-187325</wp:posOffset>
            </wp:positionV>
            <wp:extent cx="68580" cy="1879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1879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69"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No changes to deferred tax have been recognized in the consolidated statement of profit or loss for 2022, 2021 or 2020. Deferred tax assets have not been recognized in the consolidated statements of financial position due to uncertainty relating to future utilization. Deferred tax assets can be carried forward without timing limitations.</w:t>
      </w:r>
    </w:p>
    <w:p>
      <w:pPr>
        <w:spacing w:after="0" w:line="17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Company had tax losses carried forward of €1,985.0 million and €1,437.0 million at December 31, 2022 and 2021, respectively. Tax losses can be carried forward indefinitely, where certain limitations exist for amounts to be utilized each year. Under Danish tax legislation, tax losses may be partly refunded by the tax authorities to the extent such tax losses arise from research and development activities. The jointly taxed Danish entities had a negative taxable income, and accordingly were entitled to a tax refund of approximately €0.7 million for each of the years ended December 31, 2022, 2021 and 2020, respectively.</w:t>
      </w:r>
    </w:p>
    <w:p>
      <w:pPr>
        <w:spacing w:after="0" w:line="18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The Company is entitled to additional tax deductions, determined by annual warrants exercised by employees. For the year ended December 31, 2022, the Company was entitled to additional tax deductions with a tax value of €5.2 million, compared to €4.8 million and €16.3 million for the years ended December 31, 2021, and 2020, respectively. These future tax deductions depends on the timing and amounts of warrant exercises, and accordingly, future additional tax deductions are subject to uncertainties. Refer to Note 7, “Share-based Payment”, regarding a description of warrant programs.</w:t>
      </w:r>
    </w:p>
    <w:p>
      <w:pPr>
        <w:spacing w:after="0" w:line="183"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The parent company Ascendis Pharma A/S is jointly taxed with its Danish subsidiaries. The current Danish corporation tax is allocated between the jointly taxed Danish companies in proportion to their taxable income (full absorption with refunds for tax losses). These companies are taxed under the on-account tax scheme.</w:t>
      </w:r>
    </w:p>
    <w:p>
      <w:pPr>
        <w:spacing w:after="0" w:line="3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682"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Note 10—Intangible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2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tcPr>
          <w:p>
            <w:pPr>
              <w:spacing w:after="0"/>
              <w:rPr>
                <w:sz w:val="16"/>
                <w:szCs w:val="16"/>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8"/>
        </w:trPr>
        <w:tc>
          <w:tcPr>
            <w:tcW w:w="706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tcPr>
          <w:p>
            <w:pPr>
              <w:spacing w:after="0"/>
              <w:rPr>
                <w:sz w:val="20"/>
                <w:szCs w:val="20"/>
                <w:color w:val="auto"/>
              </w:rPr>
            </w:pPr>
          </w:p>
        </w:tc>
      </w:tr>
      <w:tr>
        <w:trPr>
          <w:trHeight w:val="244"/>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5,717</w:t>
            </w:r>
          </w:p>
        </w:tc>
        <w:tc>
          <w:tcPr>
            <w:tcW w:w="100" w:type="dxa"/>
            <w:vAlign w:val="bottom"/>
          </w:tcPr>
          <w:p>
            <w:pPr>
              <w:spacing w:after="0"/>
              <w:rPr>
                <w:sz w:val="20"/>
                <w:szCs w:val="20"/>
                <w:color w:val="auto"/>
              </w:rPr>
            </w:pPr>
          </w:p>
        </w:tc>
      </w:tr>
      <w:tr>
        <w:trPr>
          <w:trHeight w:val="238"/>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 and impairments</w:t>
            </w:r>
          </w:p>
        </w:tc>
        <w:tc>
          <w:tcPr>
            <w:tcW w:w="12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(445 )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(445 )</w:t>
            </w:r>
          </w:p>
        </w:tc>
      </w:tr>
      <w:tr>
        <w:trPr>
          <w:trHeight w:val="24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(445 )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(445 )</w:t>
            </w:r>
          </w:p>
        </w:tc>
      </w:tr>
      <w:tr>
        <w:trPr>
          <w:trHeight w:val="20"/>
        </w:trPr>
        <w:tc>
          <w:tcPr>
            <w:tcW w:w="706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(444 )</w:t>
            </w:r>
          </w:p>
        </w:tc>
      </w:tr>
      <w:tr>
        <w:trPr>
          <w:trHeight w:val="24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(889 )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(889 )</w:t>
            </w:r>
          </w:p>
        </w:tc>
      </w:tr>
      <w:tr>
        <w:trPr>
          <w:trHeight w:val="236"/>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82"/>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1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1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4,828</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-1468755</wp:posOffset>
            </wp:positionV>
            <wp:extent cx="76835" cy="1708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-1468755</wp:posOffset>
            </wp:positionV>
            <wp:extent cx="68580" cy="1708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-1468755</wp:posOffset>
            </wp:positionV>
            <wp:extent cx="68580" cy="1708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-836295</wp:posOffset>
            </wp:positionV>
            <wp:extent cx="76835" cy="162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-836295</wp:posOffset>
            </wp:positionV>
            <wp:extent cx="68580" cy="162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-836295</wp:posOffset>
            </wp:positionV>
            <wp:extent cx="68580" cy="162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-520700</wp:posOffset>
            </wp:positionV>
            <wp:extent cx="76835" cy="1625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-520700</wp:posOffset>
            </wp:positionV>
            <wp:extent cx="68580" cy="1625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-520700</wp:posOffset>
            </wp:positionV>
            <wp:extent cx="68580" cy="1625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-204470</wp:posOffset>
            </wp:positionV>
            <wp:extent cx="1853565" cy="2051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853565" cy="205105"/>
                    </a:xfrm>
                    <a:prstGeom prst="rect">
                      <a:avLst/>
                    </a:prstGeom>
                    <a:noFill/>
                  </pic:spPr>
                </pic:pic>
              </a:graphicData>
            </a:graphic>
          </wp:anchor>
        </w:drawing>
      </w:r>
    </w:p>
    <w:p>
      <w:pPr>
        <w:spacing w:after="0" w:line="6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At the reporting date, no internally generated intangible assets from development of pharmaceutical drug candidates have been recognized. Thus, all related research and development costs incurred for the years ended December 31, 2022, 2021, and 2020, were recognized in the consolidated statements of profit or loss.</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Goodwill relates to the acquisition of Complex Biosystems GmbH (now Ascendis Pharma GmbH) in 2007. Goodwill was calculated as the excess amount of the purchase price to the fair value of identifiable assets acquired, and liabilities assumed at the acquisition date. Ascendis Pharma GmbH was initially a separate technology platform company but is now an integral part of the Company’s research and development activities. Accordingly, it is not possible to look separately at Ascendis Pharma GmbH when considering the recoverable amount of the goodwill. Goodwill is monitored and tested for impairment on a consolidated level as the Company is considered to represent one cash-generating unit.</w:t>
      </w:r>
    </w:p>
    <w:p>
      <w:pPr>
        <w:spacing w:after="0" w:line="18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The recoverable amount of the cash-generating unit is determined based on an estimation of the Company’s fair value less costs of disposal. The fair value of goodwill has been determined after taking into account the market value of the Company’s ADSs as of the reporting date. The computation of the market value including an estimation of selling costs, significantly exceeded the carrying amount of the net assets, leaving sufficient value to cover the carrying amount of goodwill. Considering the excess value, no further assumptions are deemed relevant to be applied in determining whether goodwill is impaired.</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Note 11—Property, Plant and Equipment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2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4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26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200" w:type="dxa"/>
            <w:vAlign w:val="bottom"/>
            <w:gridSpan w:val="4"/>
          </w:tcPr>
          <w:p>
            <w:pPr>
              <w:jc w:val="center"/>
              <w:ind w:right="110"/>
              <w:spacing w:after="0" w:line="148" w:lineRule="exact"/>
              <w:rPr>
                <w:sz w:val="20"/>
                <w:szCs w:val="20"/>
                <w:color w:val="auto"/>
              </w:rPr>
            </w:pPr>
            <w:r>
              <w:rPr>
                <w:rFonts w:ascii="Times New Roman" w:cs="Times New Roman" w:eastAsia="Times New Roman" w:hAnsi="Times New Roman"/>
                <w:sz w:val="14"/>
                <w:szCs w:val="14"/>
                <w:b w:val="1"/>
                <w:bCs w:val="1"/>
                <w:color w:val="auto"/>
                <w:w w:val="99"/>
              </w:rPr>
              <w:t>Improve-</w:t>
            </w:r>
          </w:p>
        </w:tc>
        <w:tc>
          <w:tcPr>
            <w:tcW w:w="1260" w:type="dxa"/>
            <w:vAlign w:val="bottom"/>
            <w:gridSpan w:val="3"/>
            <w:vMerge w:val="continue"/>
          </w:tcPr>
          <w:p>
            <w:pPr>
              <w:spacing w:after="0"/>
              <w:rPr>
                <w:sz w:val="12"/>
                <w:szCs w:val="12"/>
                <w:color w:val="auto"/>
              </w:rPr>
            </w:pPr>
          </w:p>
        </w:tc>
        <w:tc>
          <w:tcPr>
            <w:tcW w:w="1300" w:type="dxa"/>
            <w:vAlign w:val="bottom"/>
            <w:gridSpan w:val="2"/>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14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ments</w:t>
            </w:r>
          </w:p>
        </w:tc>
        <w:tc>
          <w:tcPr>
            <w:tcW w:w="126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99,566</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2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(1,822 )</w:t>
            </w:r>
          </w:p>
        </w:tc>
        <w:tc>
          <w:tcPr>
            <w:tcW w:w="0" w:type="dxa"/>
            <w:vAlign w:val="bottom"/>
          </w:tcPr>
          <w:p>
            <w:pPr>
              <w:spacing w:after="0"/>
              <w:rPr>
                <w:sz w:val="1"/>
                <w:szCs w:val="1"/>
                <w:color w:val="auto"/>
              </w:rPr>
            </w:pPr>
          </w:p>
        </w:tc>
      </w:tr>
      <w:tr>
        <w:trPr>
          <w:trHeight w:val="242"/>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16,946</w:t>
            </w:r>
          </w:p>
        </w:tc>
        <w:tc>
          <w:tcPr>
            <w:tcW w:w="14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8,822</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18,067</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116,135</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2,487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(5,907 )</w:t>
            </w:r>
          </w:p>
        </w:tc>
        <w:tc>
          <w:tcPr>
            <w:tcW w:w="0" w:type="dxa"/>
            <w:vAlign w:val="bottom"/>
          </w:tcPr>
          <w:p>
            <w:pPr>
              <w:spacing w:after="0"/>
              <w:rPr>
                <w:sz w:val="1"/>
                <w:szCs w:val="1"/>
                <w:color w:val="auto"/>
              </w:rPr>
            </w:pPr>
          </w:p>
        </w:tc>
      </w:tr>
      <w:tr>
        <w:trPr>
          <w:trHeight w:val="242"/>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24,944</w:t>
            </w:r>
          </w:p>
        </w:tc>
        <w:tc>
          <w:tcPr>
            <w:tcW w:w="14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11,203</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20,130</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119,466</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(4,781 )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(2,287 )</w:t>
            </w:r>
          </w:p>
        </w:tc>
        <w:tc>
          <w:tcPr>
            <w:tcW w:w="8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(1,134 )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(11,584 )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(19,786 )</w:t>
            </w:r>
          </w:p>
        </w:tc>
        <w:tc>
          <w:tcPr>
            <w:tcW w:w="0" w:type="dxa"/>
            <w:vAlign w:val="bottom"/>
          </w:tcPr>
          <w:p>
            <w:pPr>
              <w:spacing w:after="0"/>
              <w:rPr>
                <w:sz w:val="1"/>
                <w:szCs w:val="1"/>
                <w:color w:val="auto"/>
              </w:rPr>
            </w:pPr>
          </w:p>
        </w:tc>
      </w:tr>
      <w:tr>
        <w:trPr>
          <w:trHeight w:val="24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(1,499 )</w:t>
            </w: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8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(1,284 )</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(10,963 )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(14,946 )</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(5,527 )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(3,547 )</w:t>
            </w:r>
          </w:p>
        </w:tc>
        <w:tc>
          <w:tcPr>
            <w:tcW w:w="8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(2,488 )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(22,359 )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(33,921 )</w:t>
            </w:r>
          </w:p>
        </w:tc>
        <w:tc>
          <w:tcPr>
            <w:tcW w:w="0" w:type="dxa"/>
            <w:vAlign w:val="bottom"/>
          </w:tcPr>
          <w:p>
            <w:pPr>
              <w:spacing w:after="0"/>
              <w:rPr>
                <w:sz w:val="1"/>
                <w:szCs w:val="1"/>
                <w:color w:val="auto"/>
              </w:rPr>
            </w:pPr>
          </w:p>
        </w:tc>
      </w:tr>
      <w:tr>
        <w:trPr>
          <w:trHeight w:val="238"/>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charge</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(7,584 )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(5,023 )</w:t>
            </w:r>
          </w:p>
        </w:tc>
        <w:tc>
          <w:tcPr>
            <w:tcW w:w="8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(4,497 )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(29,544 )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(46,648 )</w:t>
            </w:r>
          </w:p>
        </w:tc>
        <w:tc>
          <w:tcPr>
            <w:tcW w:w="0" w:type="dxa"/>
            <w:vAlign w:val="bottom"/>
          </w:tcPr>
          <w:p>
            <w:pPr>
              <w:spacing w:after="0"/>
              <w:rPr>
                <w:sz w:val="1"/>
                <w:szCs w:val="1"/>
                <w:color w:val="auto"/>
              </w:rPr>
            </w:pPr>
          </w:p>
        </w:tc>
      </w:tr>
      <w:tr>
        <w:trPr>
          <w:trHeight w:val="238"/>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2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11,419</w:t>
            </w:r>
          </w:p>
        </w:tc>
        <w:tc>
          <w:tcPr>
            <w:tcW w:w="14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5,275</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15,579</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93,776</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126,049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17,360</w:t>
            </w:r>
          </w:p>
        </w:tc>
        <w:tc>
          <w:tcPr>
            <w:tcW w:w="1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6,180</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15,633</w:t>
            </w:r>
          </w:p>
        </w:tc>
        <w:tc>
          <w:tcPr>
            <w:tcW w:w="1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89,922</w:t>
            </w:r>
          </w:p>
        </w:tc>
        <w:tc>
          <w:tcPr>
            <w:tcW w:w="1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129,095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charges are specified below:</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top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charges</w:t>
            </w: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10,892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charges</w:t>
            </w:r>
          </w:p>
        </w:tc>
        <w:tc>
          <w:tcPr>
            <w:tcW w:w="1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17,514</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14,946</w:t>
            </w:r>
          </w:p>
        </w:tc>
        <w:tc>
          <w:tcPr>
            <w:tcW w:w="240" w:type="dxa"/>
            <w:vAlign w:val="bottom"/>
            <w:tcBorders>
              <w:bottom w:val="single" w:sz="8" w:color="CFF0FC"/>
              <w:right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4660" w:type="dxa"/>
            <w:vAlign w:val="bottom"/>
          </w:tcPr>
          <w:p>
            <w:pPr>
              <w:spacing w:after="0"/>
              <w:rPr>
                <w:sz w:val="24"/>
                <w:szCs w:val="24"/>
                <w:color w:val="auto"/>
              </w:rPr>
            </w:pPr>
          </w:p>
        </w:tc>
        <w:tc>
          <w:tcPr>
            <w:tcW w:w="1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F-33</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-4851400</wp:posOffset>
            </wp:positionV>
            <wp:extent cx="76835" cy="1708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-4851400</wp:posOffset>
            </wp:positionV>
            <wp:extent cx="76835" cy="1708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-4851400</wp:posOffset>
            </wp:positionV>
            <wp:extent cx="68580" cy="1708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-4851400</wp:posOffset>
            </wp:positionV>
            <wp:extent cx="68580" cy="1708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-4851400</wp:posOffset>
            </wp:positionV>
            <wp:extent cx="68580" cy="1708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-4218940</wp:posOffset>
            </wp:positionV>
            <wp:extent cx="76835" cy="1708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-4218940</wp:posOffset>
            </wp:positionV>
            <wp:extent cx="76835" cy="1708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-4218940</wp:posOffset>
            </wp:positionV>
            <wp:extent cx="68580" cy="1708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-4218940</wp:posOffset>
            </wp:positionV>
            <wp:extent cx="68580" cy="1708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-4218940</wp:posOffset>
            </wp:positionV>
            <wp:extent cx="68580" cy="1708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-3279775</wp:posOffset>
            </wp:positionV>
            <wp:extent cx="76835" cy="1708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-3279775</wp:posOffset>
            </wp:positionV>
            <wp:extent cx="76835" cy="1708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-3279775</wp:posOffset>
            </wp:positionV>
            <wp:extent cx="68580" cy="1708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-3279775</wp:posOffset>
            </wp:positionV>
            <wp:extent cx="68580" cy="1708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-3279775</wp:posOffset>
            </wp:positionV>
            <wp:extent cx="68580" cy="1708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-2647315</wp:posOffset>
            </wp:positionV>
            <wp:extent cx="76835" cy="1708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-2647315</wp:posOffset>
            </wp:positionV>
            <wp:extent cx="76835" cy="1708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-2647315</wp:posOffset>
            </wp:positionV>
            <wp:extent cx="68580" cy="1708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-2647315</wp:posOffset>
            </wp:positionV>
            <wp:extent cx="68580" cy="1708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-2647315</wp:posOffset>
            </wp:positionV>
            <wp:extent cx="68580" cy="1708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-1989455</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-1972945</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-1989455</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-1972945</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-1989455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-1972945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-1989455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-1972945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-1989455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-1972945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-614680</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-597535</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-614680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-597535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-614680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-597535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Note 12—Investment in Associate</w:t>
      </w:r>
    </w:p>
    <w:p>
      <w:pPr>
        <w:spacing w:after="0" w:line="12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VISEN is a private company with business activities within development, manufacturing and commercialization of endocrinology rare disease therapies in Greater China. The Company’s interest in VISEN is accounted for as an associate using the equity method in the consolidated financial statements as the Company has determined that it has significant influence but not joint control.</w:t>
      </w:r>
    </w:p>
    <w:p>
      <w:pPr>
        <w:spacing w:after="0" w:line="17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Company has granted VISEN exclusive rights to develop and commercialize TransCon hGH, TransCon PTH and TransCon CNP in Greater China, and as consideration for the granting of such rights has received a 50% ownership of VISEN’s issued and outstanding shares. On January 8, 2021, the Company entered into an equity investment of $12.5 million as part of VISEN’s $150 million Series B financing. Following VISEN’s Series B financing, the Company retained 43.93% of VISEN’s issued and outstanding shares. As a result, a non-cash gain of €42.3 million was recognized in the consolidated statement of profit or loss as part of Share of profit/(loss) of associate in 2021. The Series B financing did not change the accounting treatment of VISEN.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the summarized relevant financial information of VISEN: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3"/>
        </w:trPr>
        <w:tc>
          <w:tcPr>
            <w:tcW w:w="7640" w:type="dxa"/>
            <w:vAlign w:val="bottom"/>
          </w:tcPr>
          <w:p>
            <w:pPr>
              <w:spacing w:after="0"/>
              <w:rPr>
                <w:sz w:val="24"/>
                <w:szCs w:val="24"/>
                <w:color w:val="auto"/>
              </w:rPr>
            </w:pPr>
          </w:p>
        </w:tc>
        <w:tc>
          <w:tcPr>
            <w:tcW w:w="2860" w:type="dxa"/>
            <w:vAlign w:val="bottom"/>
            <w:gridSpan w:val="4"/>
          </w:tcPr>
          <w:p>
            <w:pPr>
              <w:jc w:val="center"/>
              <w:ind w:left="559"/>
              <w:spacing w:after="0"/>
              <w:rPr>
                <w:sz w:val="20"/>
                <w:szCs w:val="20"/>
                <w:color w:val="auto"/>
              </w:rPr>
            </w:pPr>
            <w:r>
              <w:rPr>
                <w:rFonts w:ascii="Times New Roman" w:cs="Times New Roman" w:eastAsia="Times New Roman" w:hAnsi="Times New Roman"/>
                <w:sz w:val="18"/>
                <w:szCs w:val="18"/>
                <w:b w:val="1"/>
                <w:bCs w:val="1"/>
                <w:color w:val="auto"/>
                <w:w w:val="99"/>
              </w:rPr>
              <w:t>VISEN Pharmaceuticals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9"/>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place of business</w:t>
            </w:r>
          </w:p>
        </w:tc>
        <w:tc>
          <w:tcPr>
            <w:tcW w:w="1860" w:type="dxa"/>
            <w:vAlign w:val="bottom"/>
            <w:gridSpan w:val="3"/>
            <w:shd w:val="clear" w:color="auto" w:fill="CFF0FC"/>
          </w:tcPr>
          <w:p>
            <w:pPr>
              <w:jc w:val="center"/>
              <w:ind w:right="288"/>
              <w:spacing w:after="0"/>
              <w:rPr>
                <w:sz w:val="20"/>
                <w:szCs w:val="20"/>
                <w:color w:val="auto"/>
              </w:rPr>
            </w:pPr>
            <w:r>
              <w:rPr>
                <w:rFonts w:ascii="Times New Roman" w:cs="Times New Roman" w:eastAsia="Times New Roman" w:hAnsi="Times New Roman"/>
                <w:sz w:val="14"/>
                <w:szCs w:val="14"/>
                <w:color w:val="auto"/>
              </w:rPr>
              <w:t>China</w:t>
            </w: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7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7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60" w:type="dxa"/>
            <w:vAlign w:val="bottom"/>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for the year from continuing operations</w:t>
            </w:r>
          </w:p>
        </w:tc>
        <w:tc>
          <w:tcPr>
            <w:tcW w:w="8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(40,283 )</w:t>
            </w:r>
          </w:p>
        </w:tc>
        <w:tc>
          <w:tcPr>
            <w:tcW w:w="9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(69,283 )</w:t>
            </w:r>
          </w:p>
        </w:tc>
        <w:tc>
          <w:tcPr>
            <w:tcW w:w="60" w:type="dxa"/>
            <w:vAlign w:val="bottom"/>
          </w:tcPr>
          <w:p>
            <w:pPr>
              <w:spacing w:after="0"/>
              <w:rPr>
                <w:sz w:val="20"/>
                <w:szCs w:val="20"/>
                <w:color w:val="auto"/>
              </w:rPr>
            </w:pP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(40,273</w:t>
            </w:r>
          </w:p>
        </w:tc>
        <w:tc>
          <w:tcPr>
            <w:tcW w:w="2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(69,306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20"/>
                <w:szCs w:val="20"/>
                <w:color w:val="auto"/>
              </w:rPr>
            </w:pPr>
          </w:p>
        </w:tc>
      </w:tr>
      <w:tr>
        <w:trPr>
          <w:trHeight w:val="236"/>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21,410</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92,204</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113,614</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147,424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100,062</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6"/>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113,614</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147,424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Company’s share of equity before eliminations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43,957</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59,455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Elimination of internal profit and other equity method adjustments</w:t>
            </w:r>
          </w:p>
        </w:tc>
        <w:tc>
          <w:tcPr>
            <w:tcW w:w="10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i w:val="1"/>
                <w:iCs w:val="1"/>
                <w:color w:val="auto"/>
              </w:rPr>
              <w:t>(21,025 )</w:t>
            </w:r>
          </w:p>
        </w:tc>
        <w:tc>
          <w:tcPr>
            <w:tcW w:w="9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(21,110 )</w:t>
            </w:r>
          </w:p>
        </w:tc>
        <w:tc>
          <w:tcPr>
            <w:tcW w:w="60" w:type="dxa"/>
            <w:vAlign w:val="bottom"/>
          </w:tcPr>
          <w:p>
            <w:pPr>
              <w:spacing w:after="0"/>
              <w:rPr>
                <w:sz w:val="20"/>
                <w:szCs w:val="20"/>
                <w:color w:val="auto"/>
              </w:rPr>
            </w:pPr>
          </w:p>
        </w:tc>
      </w:tr>
      <w:tr>
        <w:trPr>
          <w:trHeight w:val="237"/>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Company’s share of equity</w:t>
            </w:r>
          </w:p>
        </w:tc>
        <w:tc>
          <w:tcPr>
            <w:tcW w:w="10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22,932</w:t>
            </w:r>
          </w:p>
        </w:tc>
        <w:tc>
          <w:tcPr>
            <w:tcW w:w="24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38,345</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associate at December 31</w:t>
            </w:r>
          </w:p>
        </w:tc>
        <w:tc>
          <w:tcPr>
            <w:tcW w:w="1000" w:type="dxa"/>
            <w:vAlign w:val="bottom"/>
            <w:tcBorders>
              <w:bottom w:val="single" w:sz="8" w:color="auto"/>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22,932</w:t>
            </w:r>
          </w:p>
        </w:tc>
        <w:tc>
          <w:tcPr>
            <w:tcW w:w="2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38,345</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221"/>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ownership at December 31</w:t>
            </w:r>
          </w:p>
        </w:tc>
        <w:tc>
          <w:tcPr>
            <w:tcW w:w="8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 xml:space="preserve">43.93 </w:t>
            </w:r>
            <w:r>
              <w:rPr>
                <w:rFonts w:ascii="Times New Roman" w:cs="Times New Roman" w:eastAsia="Times New Roman" w:hAnsi="Times New Roman"/>
                <w:sz w:val="18"/>
                <w:szCs w:val="18"/>
                <w:color w:val="auto"/>
                <w:highlight w:val="white"/>
              </w:rPr>
              <w:t>%</w:t>
            </w:r>
          </w:p>
        </w:tc>
        <w:tc>
          <w:tcPr>
            <w:tcW w:w="9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43.93 </w:t>
            </w:r>
            <w:r>
              <w:rPr>
                <w:rFonts w:ascii="Times New Roman" w:cs="Times New Roman" w:eastAsia="Times New Roman" w:hAnsi="Times New Roman"/>
                <w:sz w:val="18"/>
                <w:szCs w:val="18"/>
                <w:color w:val="auto"/>
                <w:highlight w:val="white"/>
              </w:rPr>
              <w:t>%</w:t>
            </w:r>
          </w:p>
        </w:tc>
      </w:tr>
      <w:tr>
        <w:trPr>
          <w:trHeight w:val="24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as of December 31</w:t>
            </w:r>
          </w:p>
        </w:tc>
        <w:tc>
          <w:tcPr>
            <w:tcW w:w="10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Invoicing of goods and services to associate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 from associate</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792"/>
        </w:trPr>
        <w:tc>
          <w:tcPr>
            <w:tcW w:w="86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F-34</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76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-3159760</wp:posOffset>
            </wp:positionV>
            <wp:extent cx="76835" cy="1625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-3159760</wp:posOffset>
            </wp:positionV>
            <wp:extent cx="68580" cy="1625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-2527935</wp:posOffset>
            </wp:positionV>
            <wp:extent cx="76835" cy="1625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-2527935</wp:posOffset>
            </wp:positionV>
            <wp:extent cx="68580" cy="1625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-1895475</wp:posOffset>
            </wp:positionV>
            <wp:extent cx="76835" cy="1625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-1895475</wp:posOffset>
            </wp:positionV>
            <wp:extent cx="68580" cy="1625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-1579880</wp:posOffset>
            </wp:positionV>
            <wp:extent cx="76835" cy="1708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-1579880</wp:posOffset>
            </wp:positionV>
            <wp:extent cx="68580" cy="1708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17081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-1255395</wp:posOffset>
            </wp:positionV>
            <wp:extent cx="768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-1255395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-597535</wp:posOffset>
            </wp:positionV>
            <wp:extent cx="768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-597535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898" w:right="2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Note 13—Inventories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20"/>
                <w:szCs w:val="20"/>
                <w:color w:val="auto"/>
              </w:rPr>
            </w:pPr>
          </w:p>
        </w:tc>
      </w:tr>
      <w:tr>
        <w:trPr>
          <w:trHeight w:val="246"/>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112,885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68,865</w:t>
            </w:r>
          </w:p>
        </w:tc>
        <w:tc>
          <w:tcPr>
            <w:tcW w:w="100" w:type="dxa"/>
            <w:vAlign w:val="bottom"/>
            <w:shd w:val="clear" w:color="auto" w:fill="CFF0FC"/>
          </w:tcPr>
          <w:p>
            <w:pPr>
              <w:spacing w:after="0"/>
              <w:rPr>
                <w:sz w:val="21"/>
                <w:szCs w:val="21"/>
                <w:color w:val="auto"/>
              </w:rPr>
            </w:pP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130,673</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75,405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-24765</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-7620</wp:posOffset>
            </wp:positionV>
            <wp:extent cx="768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production lead time, work in progress includes inventories that are not sellable before more than twelve months after the reporting date.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14—Contract Liabilities</w:t>
      </w:r>
    </w:p>
    <w:p>
      <w:pPr>
        <w:spacing w:after="0" w:line="120"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8"/>
          <w:szCs w:val="18"/>
          <w:color w:val="auto"/>
        </w:rPr>
        <w:t>At December 31, 2022, contract liabilities comprise unsatisfied performance obligations relating to delivery of commercial supply under one of the Company’s license agreements.</w:t>
      </w:r>
    </w:p>
    <w:p>
      <w:pPr>
        <w:spacing w:after="0" w:line="163" w:lineRule="exact"/>
        <w:rPr>
          <w:sz w:val="20"/>
          <w:szCs w:val="20"/>
          <w:color w:val="auto"/>
        </w:rPr>
      </w:pPr>
    </w:p>
    <w:p>
      <w:pPr>
        <w:ind w:right="460"/>
        <w:spacing w:after="0" w:line="311" w:lineRule="auto"/>
        <w:rPr>
          <w:sz w:val="20"/>
          <w:szCs w:val="20"/>
          <w:color w:val="auto"/>
        </w:rPr>
      </w:pPr>
      <w:r>
        <w:rPr>
          <w:rFonts w:ascii="Times New Roman" w:cs="Times New Roman" w:eastAsia="Times New Roman" w:hAnsi="Times New Roman"/>
          <w:sz w:val="17"/>
          <w:szCs w:val="17"/>
          <w:color w:val="auto"/>
        </w:rPr>
        <w:t>Revenue recognized from contract liabilities was €10.5 million, €0.4 million and €1.0 million for the years ended December 31, 2022, 2021 and 2020, respectively, and primarily related to delivery of clinical supply and research and development services under the Company’s license agreements.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15—Financial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comprise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8"/>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by category</w:t>
            </w: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0"/>
                <w:szCs w:val="20"/>
                <w:color w:val="auto"/>
              </w:rPr>
            </w:pPr>
          </w:p>
        </w:tc>
      </w:tr>
      <w:tr>
        <w:trPr>
          <w:trHeight w:val="246"/>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receivables (excluding income tax and indirect tax receivables)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100" w:type="dxa"/>
            <w:vAlign w:val="bottom"/>
            <w:shd w:val="clear" w:color="auto" w:fill="CFF0FC"/>
          </w:tcPr>
          <w:p>
            <w:pPr>
              <w:spacing w:after="0"/>
              <w:rPr>
                <w:sz w:val="21"/>
                <w:szCs w:val="21"/>
                <w:color w:val="auto"/>
              </w:rPr>
            </w:pP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298,180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343,358</w:t>
            </w:r>
          </w:p>
        </w:tc>
        <w:tc>
          <w:tcPr>
            <w:tcW w:w="100" w:type="dxa"/>
            <w:vAlign w:val="bottom"/>
          </w:tcPr>
          <w:p>
            <w:pPr>
              <w:spacing w:after="0"/>
              <w:rPr>
                <w:sz w:val="20"/>
                <w:szCs w:val="20"/>
                <w:color w:val="auto"/>
              </w:rPr>
            </w:pPr>
          </w:p>
        </w:tc>
      </w:tr>
      <w:tr>
        <w:trPr>
          <w:trHeight w:val="24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444,767</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758,741</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804,101</w:t>
            </w:r>
          </w:p>
        </w:tc>
        <w:tc>
          <w:tcPr>
            <w:tcW w:w="100" w:type="dxa"/>
            <w:vAlign w:val="bottom"/>
          </w:tcPr>
          <w:p>
            <w:pPr>
              <w:spacing w:after="0"/>
              <w:rPr>
                <w:sz w:val="20"/>
                <w:szCs w:val="20"/>
                <w:color w:val="auto"/>
              </w:rPr>
            </w:pPr>
          </w:p>
        </w:tc>
      </w:tr>
      <w:tr>
        <w:trPr>
          <w:trHeight w:val="20"/>
        </w:trPr>
        <w:tc>
          <w:tcPr>
            <w:tcW w:w="8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980" w:type="dxa"/>
            <w:vAlign w:val="bottom"/>
            <w:tcBorders>
              <w:top w:val="single" w:sz="8" w:color="auto"/>
              <w:bottom w:val="single" w:sz="8" w:color="auto"/>
            </w:tcBorders>
            <w:shd w:val="clear" w:color="auto" w:fill="CFF0FC"/>
          </w:tcPr>
          <w:p>
            <w:pPr>
              <w:spacing w:after="0"/>
              <w:rPr>
                <w:sz w:val="22"/>
                <w:szCs w:val="22"/>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758,741</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804,101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109,369</w:t>
            </w:r>
          </w:p>
        </w:tc>
        <w:tc>
          <w:tcPr>
            <w:tcW w:w="100" w:type="dxa"/>
            <w:vAlign w:val="bottom"/>
            <w:shd w:val="clear" w:color="auto" w:fill="CFF0FC"/>
          </w:tcPr>
          <w:p>
            <w:pPr>
              <w:spacing w:after="0"/>
              <w:rPr>
                <w:sz w:val="21"/>
                <w:szCs w:val="21"/>
                <w:color w:val="auto"/>
              </w:rPr>
            </w:pP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749,329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694,732</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758,741</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804,101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870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by category</w:t>
            </w: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8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399,186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109,191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104,961</w:t>
            </w:r>
          </w:p>
        </w:tc>
        <w:tc>
          <w:tcPr>
            <w:tcW w:w="100" w:type="dxa"/>
            <w:vAlign w:val="bottom"/>
          </w:tcPr>
          <w:p>
            <w:pPr>
              <w:spacing w:after="0"/>
              <w:rPr>
                <w:sz w:val="20"/>
                <w:szCs w:val="20"/>
                <w:color w:val="auto"/>
              </w:rPr>
            </w:pPr>
          </w:p>
        </w:tc>
      </w:tr>
      <w:tr>
        <w:trPr>
          <w:trHeight w:val="24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101,032</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609,409</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164,378</w:t>
            </w:r>
          </w:p>
        </w:tc>
        <w:tc>
          <w:tcPr>
            <w:tcW w:w="100" w:type="dxa"/>
            <w:vAlign w:val="bottom"/>
          </w:tcPr>
          <w:p>
            <w:pPr>
              <w:spacing w:after="0"/>
              <w:rPr>
                <w:sz w:val="20"/>
                <w:szCs w:val="20"/>
                <w:color w:val="auto"/>
              </w:rPr>
            </w:pPr>
          </w:p>
        </w:tc>
      </w:tr>
      <w:tr>
        <w:trPr>
          <w:trHeight w:val="20"/>
        </w:trPr>
        <w:tc>
          <w:tcPr>
            <w:tcW w:w="8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157,950</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157,950</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
        </w:trPr>
        <w:tc>
          <w:tcPr>
            <w:tcW w:w="8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980" w:type="dxa"/>
            <w:vAlign w:val="bottom"/>
            <w:tcBorders>
              <w:top w:val="single" w:sz="8" w:color="auto"/>
              <w:bottom w:val="single" w:sz="8" w:color="auto"/>
            </w:tcBorders>
            <w:shd w:val="clear" w:color="auto" w:fill="CFF0FC"/>
          </w:tcPr>
          <w:p>
            <w:pPr>
              <w:spacing w:after="0"/>
              <w:rPr>
                <w:sz w:val="22"/>
                <w:szCs w:val="22"/>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767,359</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164,378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in the statement of financial position</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4"/>
        </w:trPr>
        <w:tc>
          <w:tcPr>
            <w:tcW w:w="8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640,907</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97,966</w:t>
            </w:r>
          </w:p>
        </w:tc>
        <w:tc>
          <w:tcPr>
            <w:tcW w:w="100" w:type="dxa"/>
            <w:vAlign w:val="bottom"/>
            <w:shd w:val="clear" w:color="auto" w:fill="CFF0FC"/>
          </w:tcPr>
          <w:p>
            <w:pPr>
              <w:spacing w:after="0"/>
              <w:rPr>
                <w:sz w:val="21"/>
                <w:szCs w:val="21"/>
                <w:color w:val="auto"/>
              </w:rPr>
            </w:pPr>
          </w:p>
        </w:tc>
      </w:tr>
      <w:tr>
        <w:trPr>
          <w:trHeight w:val="23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126,452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66,412</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98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767,359</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164,378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1"/>
        </w:trPr>
        <w:tc>
          <w:tcPr>
            <w:tcW w:w="870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77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-3723640</wp:posOffset>
            </wp:positionV>
            <wp:extent cx="76835" cy="1879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-3723640</wp:posOffset>
            </wp:positionV>
            <wp:extent cx="68580" cy="1879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-3382010</wp:posOffset>
            </wp:positionV>
            <wp:extent cx="1221740" cy="1797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21740" cy="17970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-2733040</wp:posOffset>
            </wp:positionV>
            <wp:extent cx="1221740" cy="1797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21740" cy="17970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-1784985</wp:posOffset>
            </wp:positionV>
            <wp:extent cx="76835" cy="1879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-1784985</wp:posOffset>
            </wp:positionV>
            <wp:extent cx="68580" cy="1879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-1442720</wp:posOffset>
            </wp:positionV>
            <wp:extent cx="76835" cy="1879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-1442720</wp:posOffset>
            </wp:positionV>
            <wp:extent cx="68580" cy="1879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-1101090</wp:posOffset>
            </wp:positionV>
            <wp:extent cx="1221740" cy="1797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21740" cy="17970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-452120</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-434975</wp:posOffset>
            </wp:positionV>
            <wp:extent cx="768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-452120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-434975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color w:val="auto"/>
        </w:rPr>
        <w:t>Finance income and expenses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ind w:left="71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6"/>
                <w:szCs w:val="16"/>
                <w:color w:val="auto"/>
              </w:rPr>
            </w:pPr>
          </w:p>
        </w:tc>
        <w:tc>
          <w:tcPr>
            <w:tcW w:w="1580" w:type="dxa"/>
            <w:vAlign w:val="bottom"/>
            <w:gridSpan w:val="2"/>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8"/>
        </w:trPr>
        <w:tc>
          <w:tcPr>
            <w:tcW w:w="66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2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0"/>
                <w:szCs w:val="20"/>
                <w:color w:val="auto"/>
              </w:rPr>
            </w:pPr>
          </w:p>
        </w:tc>
      </w:tr>
      <w:tr>
        <w:trPr>
          <w:trHeight w:val="24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rate gains (net)</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44,755</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52,181</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59,718</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1,812</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7480" w:type="dxa"/>
            <w:vAlign w:val="bottom"/>
            <w:gridSpan w:val="2"/>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expenses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30,682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loss, derivatives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15,483</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financial expenses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rate losses (net)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78,924</w:t>
            </w:r>
          </w:p>
        </w:tc>
        <w:tc>
          <w:tcPr>
            <w:tcW w:w="100" w:type="dxa"/>
            <w:vAlign w:val="bottom"/>
          </w:tcPr>
          <w:p>
            <w:pPr>
              <w:spacing w:after="0"/>
              <w:rPr>
                <w:sz w:val="20"/>
                <w:szCs w:val="20"/>
                <w:color w:val="auto"/>
              </w:rPr>
            </w:pP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expenses</w:t>
            </w: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50,487</w:t>
            </w:r>
          </w:p>
        </w:tc>
        <w:tc>
          <w:tcPr>
            <w:tcW w:w="2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3,911</w:t>
            </w:r>
          </w:p>
        </w:tc>
        <w:tc>
          <w:tcPr>
            <w:tcW w:w="2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80,842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5078730</wp:posOffset>
            </wp:positionH>
            <wp:positionV relativeFrom="paragraph">
              <wp:posOffset>-1297940</wp:posOffset>
            </wp:positionV>
            <wp:extent cx="76835" cy="1879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-1297940</wp:posOffset>
            </wp:positionV>
            <wp:extent cx="68580" cy="1879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-1297940</wp:posOffset>
            </wp:positionV>
            <wp:extent cx="68580" cy="1879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-24765</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-7620</wp:posOffset>
            </wp:positionV>
            <wp:extent cx="768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-24765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6078220</wp:posOffset>
            </wp:positionH>
            <wp:positionV relativeFrom="paragraph">
              <wp:posOffset>-7620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Interest income and interest expenses relate to financial assets and liabilities measured at amortized cost. Net exchange rate gains and losses primarily relate to U.S. Dollar/Euro fluctuations pertaining to the Company’s cash, cash equivalents, marketable securities and convertible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8"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In March 2022, the Company issued an aggregate principal amount of $575.0 million of fixed rate 2.25% convertible notes. The net proceeds from the offering of the convertible notes were $557.9 million (€503.3 million), after deducting the initial purchasers’ discounts and commissions, and transaction costs. The convertible notes rank equally in right of payment with all future senior unsecured indebtedness. Unless earlier converted or redeemed, the convertible notes will mature on April 1, 2028.</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convertible notes accrue interest at a rate of 2.25% per annum, payable semi-annually in arrears on April 1 and October 1 of each year, beginning on October 1, 2022. At any time before the close of business on the second scheduled trading day immediately before the maturity date, noteholders may convert their convertible notes at their option into the Company’s ordinary shares represented by ADSs, together, if applicable, with cash in lieu of any fractional ADS, at the then-applicable conversion rate. The initial conversion rate is 6.0118 ADSs per $1,000 principal amount of convertible notes, which represents an initial conversion price of $166.34 per ADS. The conversion rate and conversion price will be subject to customary adjustments upon the occurrence of certain events.</w:t>
      </w:r>
    </w:p>
    <w:p>
      <w:pPr>
        <w:spacing w:after="0" w:line="18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convertible notes will be optionally redeemable, in whole or in part (subject to certain limitations), at the Company’s option at any time, and from time to time, on or after April 7, 2025, but only if the last reported sale price per ADS exceeds 130% of the conversion price on each of (i) at least 20 trading days, whether or not consecutive, during the 30 consecutive trading days ending on, and including, the trading day immediately before the date the Company sends the related optional redemption notice; and (ii) the trading day immediately before the date the Company sends such notice.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Company primarily leases office and laboratory facilities. Lease arrangements contain a range of different terms and conditions and are typically entered into for fixed periods. In order to improve flexibility to the Company’s operations, lease arrangements may provide the Company with option to extend the lease or terminate the lease within the enforceable lease term. In the Company’s current lease portfolio, extension and termination options range between six months to five years, in addition to the non-cancellable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expenses relating to lease activities are recognized in the consolidated statements of profit or loss: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186"/>
        </w:trPr>
        <w:tc>
          <w:tcPr>
            <w:tcW w:w="7520" w:type="dxa"/>
            <w:vAlign w:val="bottom"/>
            <w:gridSpan w:val="2"/>
          </w:tcPr>
          <w:p>
            <w:pPr>
              <w:ind w:left="72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60" w:type="dxa"/>
            <w:vAlign w:val="bottom"/>
          </w:tcPr>
          <w:p>
            <w:pPr>
              <w:spacing w:after="0"/>
              <w:rPr>
                <w:sz w:val="16"/>
                <w:szCs w:val="16"/>
                <w:color w:val="auto"/>
              </w:rPr>
            </w:pPr>
          </w:p>
        </w:tc>
        <w:tc>
          <w:tcPr>
            <w:tcW w:w="1580" w:type="dxa"/>
            <w:vAlign w:val="bottom"/>
            <w:gridSpan w:val="2"/>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8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8"/>
        </w:trPr>
        <w:tc>
          <w:tcPr>
            <w:tcW w:w="66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42"/>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expenses</w:t>
            </w: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11,740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246"/>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leases and leases of low value assets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interest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expenses</w:t>
            </w:r>
          </w:p>
        </w:tc>
        <w:tc>
          <w:tcPr>
            <w:tcW w:w="880" w:type="dxa"/>
            <w:vAlign w:val="bottom"/>
            <w:tcBorders>
              <w:top w:val="single" w:sz="8" w:color="auto"/>
              <w:bottom w:val="single" w:sz="8" w:color="auto"/>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15,862</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14,545</w:t>
            </w:r>
          </w:p>
        </w:tc>
        <w:tc>
          <w:tcPr>
            <w:tcW w:w="16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5130165</wp:posOffset>
            </wp:positionH>
            <wp:positionV relativeFrom="paragraph">
              <wp:posOffset>-24765</wp:posOffset>
            </wp:positionV>
            <wp:extent cx="1022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-7620</wp:posOffset>
            </wp:positionV>
            <wp:extent cx="1022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-24765</wp:posOffset>
            </wp:positionV>
            <wp:extent cx="939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-7620</wp:posOffset>
            </wp:positionV>
            <wp:extent cx="939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February 2022, the Company entered into a facility lease in Germany with an enforceable lease term of 15 years, which is expected to commence in 2025 and comprise total lease cash-outflows of €70.3 million.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in borrowings related to financing activities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Non-cash items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Separation of</w:t>
            </w:r>
          </w:p>
        </w:tc>
        <w:tc>
          <w:tcPr>
            <w:tcW w:w="120" w:type="dxa"/>
            <w:vAlign w:val="bottom"/>
          </w:tcPr>
          <w:p>
            <w:pPr>
              <w:spacing w:after="0"/>
              <w:rPr>
                <w:sz w:val="11"/>
                <w:szCs w:val="11"/>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Accretion of</w:t>
            </w:r>
          </w:p>
        </w:tc>
        <w:tc>
          <w:tcPr>
            <w:tcW w:w="12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1"/>
                <w:szCs w:val="11"/>
                <w:color w:val="auto"/>
              </w:rPr>
            </w:pPr>
          </w:p>
        </w:tc>
        <w:tc>
          <w:tcPr>
            <w:tcW w:w="10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120" w:type="dxa"/>
            <w:vAlign w:val="bottom"/>
          </w:tcPr>
          <w:p>
            <w:pPr>
              <w:spacing w:after="0"/>
              <w:rPr>
                <w:sz w:val="12"/>
                <w:szCs w:val="12"/>
                <w:color w:val="auto"/>
              </w:rPr>
            </w:pPr>
          </w:p>
        </w:tc>
        <w:tc>
          <w:tcPr>
            <w:tcW w:w="10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embedded</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6"/>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3"/>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503,281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(142,467)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0" w:type="dxa"/>
            <w:vAlign w:val="bottom"/>
          </w:tcPr>
          <w:p>
            <w:pPr>
              <w:spacing w:after="0"/>
              <w:rPr>
                <w:sz w:val="1"/>
                <w:szCs w:val="1"/>
                <w:color w:val="auto"/>
              </w:rPr>
            </w:pPr>
          </w:p>
        </w:tc>
      </w:tr>
      <w:tr>
        <w:trPr>
          <w:trHeight w:val="240"/>
        </w:trPr>
        <w:tc>
          <w:tcPr>
            <w:tcW w:w="2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104,961</w:t>
            </w: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0" w:type="dxa"/>
            <w:vAlign w:val="bottom"/>
          </w:tcPr>
          <w:p>
            <w:pPr>
              <w:spacing w:after="0"/>
              <w:rPr>
                <w:sz w:val="1"/>
                <w:szCs w:val="1"/>
                <w:color w:val="auto"/>
              </w:rPr>
            </w:pPr>
          </w:p>
        </w:tc>
      </w:tr>
      <w:tr>
        <w:trPr>
          <w:trHeight w:val="23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104,961</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503,281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(142,467)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34,058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508,377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91,975</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104,961</w:t>
            </w:r>
          </w:p>
        </w:tc>
        <w:tc>
          <w:tcPr>
            <w:tcW w:w="0" w:type="dxa"/>
            <w:vAlign w:val="bottom"/>
          </w:tcPr>
          <w:p>
            <w:pPr>
              <w:spacing w:after="0"/>
              <w:rPr>
                <w:sz w:val="1"/>
                <w:szCs w:val="1"/>
                <w:color w:val="auto"/>
              </w:rPr>
            </w:pPr>
          </w:p>
        </w:tc>
      </w:tr>
      <w:tr>
        <w:trPr>
          <w:trHeight w:val="278"/>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financing activities</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91,975</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(7,755)</w:t>
            </w:r>
          </w:p>
        </w:tc>
        <w:tc>
          <w:tcPr>
            <w:tcW w:w="1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10,812</w:t>
            </w:r>
          </w:p>
        </w:tc>
        <w:tc>
          <w:tcPr>
            <w:tcW w:w="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3,396</w:t>
            </w:r>
          </w:p>
        </w:tc>
        <w:tc>
          <w:tcPr>
            <w:tcW w:w="1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6,533</w:t>
            </w:r>
          </w:p>
        </w:tc>
        <w:tc>
          <w:tcPr>
            <w:tcW w:w="1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-1195070</wp:posOffset>
            </wp:positionV>
            <wp:extent cx="76835" cy="3587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35877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-1195070</wp:posOffset>
            </wp:positionV>
            <wp:extent cx="76835" cy="3587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35877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-1195070</wp:posOffset>
            </wp:positionV>
            <wp:extent cx="76835" cy="3587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35877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-1195070</wp:posOffset>
            </wp:positionV>
            <wp:extent cx="68580" cy="3587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358775"/>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-1195070</wp:posOffset>
            </wp:positionV>
            <wp:extent cx="68580" cy="3587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35877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-1195070</wp:posOffset>
            </wp:positionV>
            <wp:extent cx="68580" cy="3587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35877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-1195070</wp:posOffset>
            </wp:positionV>
            <wp:extent cx="68580" cy="3587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35877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-24765</wp:posOffset>
            </wp:positionV>
            <wp:extent cx="768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-7620</wp:posOffset>
            </wp:positionV>
            <wp:extent cx="768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-24765</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-7620</wp:posOffset>
            </wp:positionV>
            <wp:extent cx="768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-24765</wp:posOffset>
            </wp:positionV>
            <wp:extent cx="768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768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-24765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-7620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-24765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-7620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-24765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-7620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-24765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-7620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17"/>
          <w:szCs w:val="17"/>
          <w:color w:val="auto"/>
        </w:rPr>
        <w:t>For December 31, 2022, "separation of embedded derivative" on convertible senior notes relates to derivative liabilities that is separated from convertible senior notes and presented separately in the consolidated statement of financial position, please refer to following section, “Derivative Liabilities”.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Derivative liabilities relate to the foreign currency conversion option embedded in the convertible notes. Fair value of derivative liabilities cannot be measured based on quoted prices in active markets, or other observable input, and accordingly, derivative liabilities are measured by using the Black-Scholes Option Pricing model (Level 3 in the fair value hierarchy). The fair value of the options is calculated, applying the following assumptions: (1) conversion price; (2) own share price; (3) maturity of the options; (4) a risk-free interest rate equaling the effective interest rate on a U.S. government bond with the same lifetime as the maturity of the options; (5) no payment of dividends; and (6) an expected volatility using the Company’s own share price (49.24% as of December 31,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liabilities were recognized in March 2022 at the initial fair value of €142.5 million.</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229" w:name="page230"/>
    <w:bookmarkEnd w:id="229"/>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On December 31, 2022, all other inputs and assumptions held constant, a 10% increase in volatility, will increase the fair value of derivative liabilities by approximately €15.7 million and indicates a decrease in profit or loss and equity before tax. Similarly, a 10% decrease in volatility indicates the opposite impact.</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Similarly, on December 31, 2022, all other inputs and assumptions held constant, a 10% increase in the share price, will increase the fair value of derivative liabilities by approximately €27.6 million and indicates a decrease in profit or loss and equity before tax. Similarly, a 10% decrease in the share price indicates the opposite impact.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liabilities are measured at fair value. All other financial assets and liabilities are measured at amortized cost.</w:t>
      </w:r>
    </w:p>
    <w:p>
      <w:pPr>
        <w:spacing w:after="0" w:line="22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Because of the short-term maturity for cash and cash equivalents, receivables and trade payables, their fair value approximate carrying amount. Fair value of marketable securities, convertible notes and derivatives and their level in the fair value hierarchy is summarized in following table, where</w:t>
      </w:r>
    </w:p>
    <w:p>
      <w:pPr>
        <w:spacing w:after="0" w:line="51" w:lineRule="exact"/>
        <w:rPr>
          <w:sz w:val="20"/>
          <w:szCs w:val="20"/>
          <w:color w:val="auto"/>
        </w:rPr>
      </w:pPr>
    </w:p>
    <w:p>
      <w:pPr>
        <w:ind w:right="460"/>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quoted prices (unadjusted) in active markets for identical assets or liabilities that the entity can access at the measurement date;</w:t>
      </w:r>
      <w:r>
        <w:rPr>
          <w:rFonts w:ascii="Times New Roman" w:cs="Times New Roman" w:eastAsia="Times New Roman" w:hAnsi="Times New Roman"/>
          <w:sz w:val="18"/>
          <w:szCs w:val="18"/>
          <w:b w:val="1"/>
          <w:bCs w:val="1"/>
          <w:color w:val="auto"/>
        </w:rPr>
        <w:t xml:space="preserve"> Level 2 </w:t>
      </w:r>
      <w:r>
        <w:rPr>
          <w:rFonts w:ascii="Times New Roman" w:cs="Times New Roman" w:eastAsia="Times New Roman" w:hAnsi="Times New Roman"/>
          <w:sz w:val="18"/>
          <w:szCs w:val="18"/>
          <w:color w:val="auto"/>
        </w:rPr>
        <w:t>inputs are inputs other than quoted prices included within Level 1 that are observable for the asset or liability, either directly or indirectly; and</w:t>
      </w:r>
      <w:r>
        <w:rPr>
          <w:rFonts w:ascii="Times New Roman" w:cs="Times New Roman" w:eastAsia="Times New Roman" w:hAnsi="Times New Roman"/>
          <w:sz w:val="18"/>
          <w:szCs w:val="18"/>
          <w:b w:val="1"/>
          <w:bCs w:val="1"/>
          <w:color w:val="auto"/>
        </w:rPr>
        <w:t xml:space="preserve"> Level 3 </w:t>
      </w:r>
      <w:r>
        <w:rPr>
          <w:rFonts w:ascii="Times New Roman" w:cs="Times New Roman" w:eastAsia="Times New Roman" w:hAnsi="Times New Roman"/>
          <w:sz w:val="18"/>
          <w:szCs w:val="18"/>
          <w:color w:val="auto"/>
        </w:rPr>
        <w:t>inputs are unobservable inputs for the asset or liability.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(1-3)</w:t>
            </w:r>
          </w:p>
        </w:tc>
        <w:tc>
          <w:tcPr>
            <w:tcW w:w="0" w:type="dxa"/>
            <w:vAlign w:val="bottom"/>
          </w:tcPr>
          <w:p>
            <w:pPr>
              <w:spacing w:after="0"/>
              <w:rPr>
                <w:sz w:val="1"/>
                <w:szCs w:val="1"/>
                <w:color w:val="auto"/>
              </w:rPr>
            </w:pPr>
          </w:p>
        </w:tc>
      </w:tr>
      <w:tr>
        <w:trPr>
          <w:trHeight w:val="242"/>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298,180</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295,843</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343,358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342,731</w:t>
            </w:r>
          </w:p>
        </w:tc>
        <w:tc>
          <w:tcPr>
            <w:tcW w:w="124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343,358</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342,731</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343,358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342,731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399,186</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382,459</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 through profit or loss</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spacing w:after="0"/>
              <w:rPr>
                <w:sz w:val="23"/>
                <w:szCs w:val="2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top w:val="single" w:sz="8" w:color="auto"/>
              <w:bottom w:val="single" w:sz="8" w:color="auto"/>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spacing w:after="0"/>
              <w:rPr>
                <w:sz w:val="23"/>
                <w:szCs w:val="23"/>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spacing w:after="0"/>
              <w:rPr>
                <w:sz w:val="23"/>
                <w:szCs w:val="23"/>
                <w:color w:val="auto"/>
              </w:rPr>
            </w:pPr>
          </w:p>
        </w:tc>
        <w:tc>
          <w:tcPr>
            <w:tcW w:w="540" w:type="dxa"/>
            <w:vAlign w:val="bottom"/>
            <w:tcBorders>
              <w:top w:val="single" w:sz="8" w:color="auto"/>
              <w:bottom w:val="single" w:sz="8" w:color="auto"/>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Movements in level 3 fair value measurements are specified below:</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1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142,467</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recognized in financial income or expense</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15,483</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157,950</w:t>
            </w:r>
          </w:p>
        </w:tc>
        <w:tc>
          <w:tcPr>
            <w:tcW w:w="1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44"/>
        </w:trPr>
        <w:tc>
          <w:tcPr>
            <w:tcW w:w="5180" w:type="dxa"/>
            <w:vAlign w:val="bottom"/>
          </w:tcPr>
          <w:p>
            <w:pPr>
              <w:spacing w:after="0"/>
              <w:rPr>
                <w:sz w:val="24"/>
                <w:szCs w:val="24"/>
                <w:color w:val="auto"/>
              </w:rPr>
            </w:pPr>
          </w:p>
        </w:tc>
        <w:tc>
          <w:tcPr>
            <w:tcW w:w="146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F-38</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-3194050</wp:posOffset>
            </wp:positionV>
            <wp:extent cx="76835" cy="18796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-3194050</wp:posOffset>
            </wp:positionV>
            <wp:extent cx="76835" cy="1879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-3194050</wp:posOffset>
            </wp:positionV>
            <wp:extent cx="76835" cy="18796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-3194050</wp:posOffset>
            </wp:positionV>
            <wp:extent cx="76835" cy="1879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-2536190</wp:posOffset>
            </wp:positionV>
            <wp:extent cx="76835" cy="1708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-2536190</wp:posOffset>
            </wp:positionV>
            <wp:extent cx="76835" cy="1708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-2536190</wp:posOffset>
            </wp:positionV>
            <wp:extent cx="76835" cy="1708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6351905</wp:posOffset>
            </wp:positionH>
            <wp:positionV relativeFrom="paragraph">
              <wp:posOffset>-2536190</wp:posOffset>
            </wp:positionV>
            <wp:extent cx="76835" cy="1708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6835" cy="17081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-2211705</wp:posOffset>
            </wp:positionV>
            <wp:extent cx="2434590" cy="2051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434590" cy="20510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-657225</wp:posOffset>
            </wp:positionV>
            <wp:extent cx="1022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-640080</wp:posOffset>
            </wp:positionV>
            <wp:extent cx="1022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-657225</wp:posOffset>
            </wp:positionV>
            <wp:extent cx="939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-640080</wp:posOffset>
            </wp:positionV>
            <wp:extent cx="939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t>Note 16 – Financial Risk Management</w:t>
      </w:r>
    </w:p>
    <w:p>
      <w:pPr>
        <w:spacing w:after="0" w:line="120"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The Company manages capital to ensure that all group enterprises will be able to continue as going concern while maximizing the return to shareholders through the optimization of debt and equity balances. The overall strategy in this regard has remained unchanged since 2012.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w:t>
      </w:r>
    </w:p>
    <w:p>
      <w:pPr>
        <w:spacing w:after="0" w:line="120"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color w:val="auto"/>
        </w:rPr>
        <w:t>The Company’s capital structure consists of equity and external debt obtained through issuance of convertible notes. The Company is not subject to any externally imposed capital requirements or covenants. The capital structure is reviewed on an ongoing basis for the adequacy of the Company’s capital compared to the resources required for carrying out ordinary activities</w:t>
      </w:r>
      <w:r>
        <w:rPr>
          <w:rFonts w:ascii="Times New Roman" w:cs="Times New Roman" w:eastAsia="Times New Roman" w:hAnsi="Times New Roman"/>
          <w:sz w:val="18"/>
          <w:szCs w:val="18"/>
          <w:color w:val="404040"/>
        </w:rPr>
        <w:t>.</w:t>
      </w:r>
    </w:p>
    <w:p>
      <w:pPr>
        <w:spacing w:after="0" w:line="175" w:lineRule="exact"/>
        <w:rPr>
          <w:sz w:val="20"/>
          <w:szCs w:val="20"/>
          <w:color w:val="auto"/>
        </w:rPr>
      </w:pPr>
    </w:p>
    <w:p>
      <w:pPr>
        <w:jc w:val="both"/>
        <w:ind w:right="420"/>
        <w:spacing w:after="0" w:line="280" w:lineRule="auto"/>
        <w:rPr>
          <w:sz w:val="20"/>
          <w:szCs w:val="20"/>
          <w:color w:val="auto"/>
        </w:rPr>
      </w:pPr>
      <w:r>
        <w:rPr>
          <w:rFonts w:ascii="Times New Roman" w:cs="Times New Roman" w:eastAsia="Times New Roman" w:hAnsi="Times New Roman"/>
          <w:sz w:val="18"/>
          <w:szCs w:val="18"/>
          <w:color w:val="auto"/>
        </w:rPr>
        <w:t>Development in the Company’s share capital and treasury shares reserves are described in the following sections. Other equity reserves are described in Note 2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capital of Ascendis Pharma A/S consists of 57,152,295 fully paid shares at a nominal value of DKK 1, all in the same share class.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outstanding shares of the Company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r>
      <w:tr>
        <w:trPr>
          <w:trHeight w:val="168"/>
        </w:trPr>
        <w:tc>
          <w:tcPr>
            <w:tcW w:w="41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share capital</w:t>
            </w: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January 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56,937,682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53,750,386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47,985,837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42,135,448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36,984,292</w:t>
            </w:r>
          </w:p>
        </w:tc>
        <w:tc>
          <w:tcPr>
            <w:tcW w:w="100" w:type="dxa"/>
            <w:vAlign w:val="bottom"/>
          </w:tcPr>
          <w:p>
            <w:pPr>
              <w:spacing w:after="0"/>
              <w:rPr>
                <w:sz w:val="20"/>
                <w:szCs w:val="20"/>
                <w:color w:val="auto"/>
              </w:rPr>
            </w:pPr>
          </w:p>
        </w:tc>
      </w:tr>
      <w:tr>
        <w:trPr>
          <w:trHeight w:val="242"/>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through cash contributions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214,613</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3,187,296</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5,764,549</w:t>
            </w: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5,850,389</w:t>
            </w: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57,152,295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56,937,682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53,750,386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47,985,837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42,135,448</w:t>
            </w:r>
          </w:p>
        </w:tc>
        <w:tc>
          <w:tcPr>
            <w:tcW w:w="100" w:type="dxa"/>
            <w:vAlign w:val="bottom"/>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-187325</wp:posOffset>
            </wp:positionV>
            <wp:extent cx="76835" cy="1879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-187325</wp:posOffset>
            </wp:positionV>
            <wp:extent cx="76835" cy="18796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6835" cy="18796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-187325</wp:posOffset>
            </wp:positionV>
            <wp:extent cx="68580" cy="18796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-187325</wp:posOffset>
            </wp:positionV>
            <wp:extent cx="68580" cy="18796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1879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-187325</wp:posOffset>
            </wp:positionV>
            <wp:extent cx="68580" cy="1879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18796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 Reserve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holding of treasury shares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Holding in</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0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3"/>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1600" w:type="dxa"/>
            <w:vAlign w:val="bottom"/>
            <w:gridSpan w:val="3"/>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10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68"/>
        </w:trPr>
        <w:tc>
          <w:tcPr>
            <w:tcW w:w="6600" w:type="dxa"/>
            <w:vAlign w:val="bottom"/>
          </w:tcPr>
          <w:p>
            <w:pPr>
              <w:spacing w:after="0"/>
              <w:rPr>
                <w:sz w:val="14"/>
                <w:szCs w:val="14"/>
                <w:color w:val="auto"/>
              </w:rPr>
            </w:pPr>
          </w:p>
        </w:tc>
        <w:tc>
          <w:tcPr>
            <w:tcW w:w="104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3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January 1, 2021</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from third parties</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154,837</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2021</w:t>
            </w:r>
          </w:p>
        </w:tc>
        <w:tc>
          <w:tcPr>
            <w:tcW w:w="10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154,837</w:t>
            </w:r>
          </w:p>
        </w:tc>
        <w:tc>
          <w:tcPr>
            <w:tcW w:w="22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from third parties</w:t>
            </w:r>
          </w:p>
        </w:tc>
        <w:tc>
          <w:tcPr>
            <w:tcW w:w="10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Transferred under stock incentive programs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(41,685 )</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10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1,113,152</w:t>
            </w:r>
          </w:p>
        </w:tc>
        <w:tc>
          <w:tcPr>
            <w:tcW w:w="22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955" cy="18796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955" cy="18796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 Objectives</w:t>
      </w:r>
    </w:p>
    <w:p>
      <w:pPr>
        <w:spacing w:after="0" w:line="120"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The Company regularly monitors the access to domestic and international financial markets, manages the financial risks relating to its operations, and analyze exposures to risk, including market risk, such as foreign currency risk and interest rate risk, credit risk and liquidity risk.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risk exposure and risk management policies are described in the following sections.</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20"/>
          </w:cols>
          <w:pgMar w:left="320" w:top="898" w:right="2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The Company’s activities expose the group enterprises to the financial risks of changes in foreign currency exchange rates and interest rates. Derivative financial instruments are not applied to manage exposure to such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exposed to foreign currency exchange risks arising from various currency exposures, primarily with respect to the U.S. Dollar (“USD”).</w:t>
      </w:r>
    </w:p>
    <w:p>
      <w:pPr>
        <w:spacing w:after="0" w:line="2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Foreign currency exchange risks are unchanged to prior year, and primarily relate to sale and purchases in foreign currencies, and cash, cash equivalents and marketable securities, countered by convertible notes. The exposure from foreign currency exchange risks is managed by maintaining cash positions in the currencies in which the majority of future expenses are denominated, and payments are made from those reserves.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Sensitivity Analysis</w:t>
      </w:r>
    </w:p>
    <w:p>
      <w:pPr>
        <w:spacing w:after="0" w:line="1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following table details how a strengthening of the USD against the EUR would impact profit and loss, and equity before tax at the reporting date. A similar weakening of the USD would have the opposite effect with similar amounts. A positive number indicates an increase in profit or loss and equity before tax, while a negative number indicates the opposite. The sensitivity analysis is deemed representative of the inherent foreign currency exchange risk associated with the operations.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Hypothetical impact on consolidated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660" w:type="dxa"/>
            <w:vAlign w:val="bottom"/>
            <w:gridSpan w:val="3"/>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Profit and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60" w:type="dxa"/>
            <w:vAlign w:val="bottom"/>
            <w:gridSpan w:val="3"/>
          </w:tcPr>
          <w:p>
            <w:pPr>
              <w:jc w:val="center"/>
              <w:ind w:right="400"/>
              <w:spacing w:after="0" w:line="14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120" w:type="dxa"/>
            <w:vAlign w:val="bottom"/>
            <w:gridSpan w:val="2"/>
            <w:vMerge w:val="continue"/>
          </w:tcPr>
          <w:p>
            <w:pPr>
              <w:spacing w:after="0"/>
              <w:rPr>
                <w:sz w:val="12"/>
                <w:szCs w:val="12"/>
                <w:color w:val="auto"/>
              </w:rPr>
            </w:pPr>
          </w:p>
        </w:tc>
        <w:tc>
          <w:tcPr>
            <w:tcW w:w="11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0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positions</w:t>
            </w:r>
          </w:p>
        </w:tc>
        <w:tc>
          <w:tcPr>
            <w:tcW w:w="1660" w:type="dxa"/>
            <w:vAlign w:val="bottom"/>
            <w:gridSpan w:val="3"/>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120" w:type="dxa"/>
            <w:vAlign w:val="bottom"/>
            <w:gridSpan w:val="2"/>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w:t>
            </w: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w w:val="87"/>
              </w:rPr>
              <w:t>(EUR</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‘000)</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USD/EUR</w:t>
            </w: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60,581</w:t>
            </w:r>
          </w:p>
        </w:tc>
        <w:tc>
          <w:tcPr>
            <w:tcW w:w="2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549,243</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54,924</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1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Outstanding convertible notes comprise a 2.25% coupon fixed rate structure. In addition, interest rate on lease liabilities is fixed at the lease commencement date. Future indebtedness including those related to lease arrangements, if any, may be subject to higher interest rates. In addition, future interest income from interest-bearing bank deposits and marketable securities may fall short of expectations due to changes in interest rates.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structure of marketable securities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60" w:type="dxa"/>
            <w:vAlign w:val="bottom"/>
          </w:tcPr>
          <w:p>
            <w:pPr>
              <w:spacing w:after="0"/>
              <w:rPr>
                <w:sz w:val="11"/>
                <w:szCs w:val="11"/>
                <w:color w:val="auto"/>
              </w:rPr>
            </w:pPr>
          </w:p>
        </w:tc>
        <w:tc>
          <w:tcPr>
            <w:tcW w:w="1140" w:type="dxa"/>
            <w:vAlign w:val="bottom"/>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18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80" w:type="dxa"/>
            <w:vAlign w:val="bottom"/>
          </w:tcPr>
          <w:p>
            <w:pPr>
              <w:jc w:val="right"/>
              <w:ind w:right="17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11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1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specified by rate structure</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203,543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323,176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Floating rate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Zero-coupon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80,527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343,358</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342,731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-24765</wp:posOffset>
            </wp:positionV>
            <wp:extent cx="768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-7620</wp:posOffset>
            </wp:positionV>
            <wp:extent cx="768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-24765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-24765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-7620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Derivative liabilities are measured at fair value through profit or loss. Accordingly, since the fair value is exposed from the development in interest rates, the profit or loss is exposed to volatility from such development. The effects of interest rate fluctuations are not considered a material risk to the Company’s financial position. Accordingly, no interest sensitivity analysis has been presented.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120"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8"/>
          <w:szCs w:val="18"/>
          <w:color w:val="auto"/>
        </w:rPr>
        <w:t>The Company has adopted an investment policy with the primary purpose of preserving capital, fulfilling liquidity needs and diversifying the risks associated with cash, cash equivalents and marketable securities. This investment policy establishes minimum ratings for institutions with which the Company holds cash and cash equivalents, as well as rating and concentration limits for marketable securities held.</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exposure to credit risk primarily relates to cash, cash equivalents, and marketable securities. The credit risk on bank deposits is limited because the counterparties, holding significant deposits, are banks with minimum credit-ratings of A3/A- assigned by international credit-rating agencies. The banks are reviewed on a regular basis and deposits may be transferred during the year to mitigate credit risk. In order to mitigate the concentration of credit risks on bank deposits and to preserve capital, a portion of the bank deposits have been placed into primarily U.S. government bonds, treasury bills, corporate bonds, and agency bonds. The Company’s investment policy, approved by the Board of Directors, only allows investment in marketable securities having investment grade credit-ratings, assigned by international credit-rating agencies. Accordingly, the risk from probability of default is low. On each reporting date, the risk of expected credit loss on bank deposits and marketable securities, including the hypothetical impact arising from the probability of default is considered in conjunction with the expected loss caused by default by banks or securities with similar credit-ratings and attributes. In line with previous periods, this assessment did not reveal a material impairment loss, and accordingly no provision for expected credit loss has been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specified by investment grade credit rating are specified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60" w:type="dxa"/>
            <w:vAlign w:val="bottom"/>
          </w:tcPr>
          <w:p>
            <w:pPr>
              <w:spacing w:after="0"/>
              <w:rPr>
                <w:sz w:val="11"/>
                <w:szCs w:val="11"/>
                <w:color w:val="auto"/>
              </w:rPr>
            </w:pPr>
          </w:p>
        </w:tc>
        <w:tc>
          <w:tcPr>
            <w:tcW w:w="1140" w:type="dxa"/>
            <w:vAlign w:val="bottom"/>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1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80" w:type="dxa"/>
            <w:vAlign w:val="bottom"/>
          </w:tcPr>
          <w:p>
            <w:pPr>
              <w:jc w:val="right"/>
              <w:ind w:right="17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11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1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specified by investment grade credit rating</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grade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Upper medium grade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94,650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93,795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196,909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medium grade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343,358</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342,731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-24765</wp:posOffset>
            </wp:positionV>
            <wp:extent cx="768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-7620</wp:posOffset>
            </wp:positionV>
            <wp:extent cx="768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-24765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-7620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-24765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-7620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At the reporting dates, there are no significant overdue trade receivable balances. As a result, write-down to accommodate expected credit-losses is not deemed 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 Management</w:t>
      </w:r>
    </w:p>
    <w:p>
      <w:pPr>
        <w:spacing w:after="0" w:line="12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Historically, the risk of insufficient funds has been addressed through proceeds from sale of the Company’s securities in private and public offerings and in 2022, through issuance of convertible notes.</w:t>
      </w:r>
    </w:p>
    <w:p>
      <w:pPr>
        <w:spacing w:after="0" w:line="16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Liquidity risk is managed by maintaining adequate cash reserves and banking facilities, and by matching the maturity profiles of marketable securities with cash-forecasts. The risk of shortage of funds is monitored, using a liquidity planning tool, to ensure sufficient funds are available to settle liabilities as they fall due.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33" w:name="page234"/>
    <w:bookmarkEnd w:id="233"/>
    <w:p>
      <w:pPr>
        <w:ind w:right="140"/>
        <w:spacing w:after="0" w:line="280" w:lineRule="auto"/>
        <w:rPr>
          <w:sz w:val="20"/>
          <w:szCs w:val="20"/>
          <w:color w:val="auto"/>
        </w:rPr>
      </w:pPr>
      <w:r>
        <w:rPr>
          <w:rFonts w:ascii="Times New Roman" w:cs="Times New Roman" w:eastAsia="Times New Roman" w:hAnsi="Times New Roman"/>
          <w:sz w:val="18"/>
          <w:szCs w:val="18"/>
          <w:color w:val="auto"/>
        </w:rPr>
        <w:t>Besides marketable securities and deposits, the Company’s financial assets are recoverable within twelve months after the reporting date. The composition of the marketable securities portfolio and its maturity profiles are specified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860" w:type="dxa"/>
            <w:vAlign w:val="bottom"/>
          </w:tcPr>
          <w:p>
            <w:pPr>
              <w:spacing w:after="0"/>
              <w:rPr>
                <w:sz w:val="11"/>
                <w:szCs w:val="11"/>
                <w:color w:val="auto"/>
              </w:rPr>
            </w:pPr>
          </w:p>
        </w:tc>
        <w:tc>
          <w:tcPr>
            <w:tcW w:w="114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18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8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1"/>
                <w:szCs w:val="11"/>
                <w:color w:val="auto"/>
              </w:rPr>
            </w:pPr>
          </w:p>
        </w:tc>
        <w:tc>
          <w:tcPr>
            <w:tcW w:w="11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1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specified by security type</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79,043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99,337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104,236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103,301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226,771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343,358</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342,731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Classified based on maturity profiles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107,561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290,688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288,642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298,180</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295,843</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343,358</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342,731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-674370</wp:posOffset>
            </wp:positionV>
            <wp:extent cx="2691130" cy="1797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691130" cy="179705"/>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-24765</wp:posOffset>
            </wp:positionV>
            <wp:extent cx="768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-7620</wp:posOffset>
            </wp:positionV>
            <wp:extent cx="768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-24765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-7620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-24765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-7620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Marketable securities have a weighted average duration of 3.0 and 12.6 months, for current (i.e., those maturing within twelve months after the reporting date) and non-current positions, respectively. The entire portfolio of marketable securities (current and non-current) has a weighted average duration of 3.2 months.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analysis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cashflows for non-derivative financial liabilities recognized in the consolidated statements of financial position are specified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0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00" w:type="dxa"/>
            <w:vAlign w:val="bottom"/>
          </w:tcPr>
          <w:p>
            <w:pPr>
              <w:spacing w:after="0"/>
              <w:rPr>
                <w:sz w:val="12"/>
                <w:szCs w:val="12"/>
                <w:color w:val="auto"/>
              </w:rPr>
            </w:pPr>
          </w:p>
        </w:tc>
        <w:tc>
          <w:tcPr>
            <w:tcW w:w="9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220" w:type="dxa"/>
            <w:vAlign w:val="bottom"/>
          </w:tcPr>
          <w:p>
            <w:pPr>
              <w:spacing w:after="0"/>
              <w:rPr>
                <w:sz w:val="12"/>
                <w:szCs w:val="12"/>
                <w:color w:val="auto"/>
              </w:rPr>
            </w:pPr>
          </w:p>
        </w:tc>
        <w:tc>
          <w:tcPr>
            <w:tcW w:w="96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&gt;5 years</w:t>
            </w:r>
          </w:p>
        </w:tc>
        <w:tc>
          <w:tcPr>
            <w:tcW w:w="18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cash-flows</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(EUR’000)</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128,763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2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48,519</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545,161</w:t>
            </w: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605,810</w:t>
            </w:r>
          </w:p>
        </w:tc>
        <w:tc>
          <w:tcPr>
            <w:tcW w:w="2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102,340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606,107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734,573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2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127,158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102,340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606,107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835,605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68,378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126,918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7,098</w:t>
            </w:r>
          </w:p>
        </w:tc>
        <w:tc>
          <w:tcPr>
            <w:tcW w:w="20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51,442</w:t>
            </w:r>
          </w:p>
        </w:tc>
        <w:tc>
          <w:tcPr>
            <w:tcW w:w="22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68,378</w:t>
            </w:r>
          </w:p>
        </w:tc>
        <w:tc>
          <w:tcPr>
            <w:tcW w:w="1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126,918</w:t>
            </w:r>
          </w:p>
        </w:tc>
        <w:tc>
          <w:tcPr>
            <w:tcW w:w="20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104,961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 and accrued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66,515</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51,442</w:t>
            </w: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68,378</w:t>
            </w:r>
          </w:p>
        </w:tc>
        <w:tc>
          <w:tcPr>
            <w:tcW w:w="1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186,335</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164,378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5420" w:type="dxa"/>
            <w:vAlign w:val="bottom"/>
          </w:tcPr>
          <w:p>
            <w:pPr>
              <w:spacing w:after="0"/>
              <w:rPr>
                <w:sz w:val="24"/>
                <w:szCs w:val="24"/>
                <w:color w:val="auto"/>
              </w:rPr>
            </w:pPr>
          </w:p>
        </w:tc>
        <w:tc>
          <w:tcPr>
            <w:tcW w:w="10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F-42</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4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-2220595</wp:posOffset>
            </wp:positionV>
            <wp:extent cx="76835" cy="1625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-2220595</wp:posOffset>
            </wp:positionV>
            <wp:extent cx="76835" cy="1625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-2220595</wp:posOffset>
            </wp:positionV>
            <wp:extent cx="68580" cy="1625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-2220595</wp:posOffset>
            </wp:positionV>
            <wp:extent cx="68580" cy="1625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-2220595</wp:posOffset>
            </wp:positionV>
            <wp:extent cx="68580" cy="1625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-1904365</wp:posOffset>
            </wp:positionV>
            <wp:extent cx="76835" cy="3587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6835" cy="35877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-1904365</wp:posOffset>
            </wp:positionV>
            <wp:extent cx="76835" cy="3587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835" cy="35877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-1904365</wp:posOffset>
            </wp:positionV>
            <wp:extent cx="68580" cy="3587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358775"/>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-1904365</wp:posOffset>
            </wp:positionV>
            <wp:extent cx="68580" cy="3587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35877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-1904365</wp:posOffset>
            </wp:positionV>
            <wp:extent cx="68580" cy="3587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35877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-452120</wp:posOffset>
            </wp:positionV>
            <wp:extent cx="768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-434975</wp:posOffset>
            </wp:positionV>
            <wp:extent cx="768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-452120</wp:posOffset>
            </wp:positionV>
            <wp:extent cx="768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-434975</wp:posOffset>
            </wp:positionV>
            <wp:extent cx="768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-452120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-434975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-452120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-434975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-452120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-434975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color w:val="auto"/>
        </w:rPr>
        <w:t>Note 17—Commitments and Contingencies</w:t>
      </w:r>
    </w:p>
    <w:p>
      <w:pPr>
        <w:spacing w:after="0" w:line="1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Contractual commitments for the acquisition of property, plant and equipment were €4.4 million and €8.4 million for the years ended December 31, 2022 and 2021, respectively. Further, with certain suppliers, the Company has agreed minimum commitments related to the manufacturing of product supply, subject to continuous negotiation and adjustments according to the individual contractual terms and conditions. Cost of product supply is recognized when the Company obtains control of the goods. In addition, the Company has commitments related to short-term leases and leases of low value assets, contracts of various lengths in respect of research and development with CROs, and IT and facility related services. Costs relating to those commitments are recognized as services are received.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aware of any significant legal claims or disputes.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18—Related Party Transactions</w:t>
      </w:r>
    </w:p>
    <w:p>
      <w:pPr>
        <w:spacing w:after="0" w:line="12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Board of Directors, the Executive Board and Non-executive Senior Management (“Key Management Personnel”) are considered related parties as they have authorities and responsibilities with planning and directing the Company’s operations. Related parties also include undertakings in which such individuals have a controlling or joint controlling interest. Additionally, all group enterprises and associates are considered related parties.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Company’s related parties or major shareholders hold a controlling, joint controlling, or significant interest in the Group.</w:t>
      </w:r>
    </w:p>
    <w:p>
      <w:pPr>
        <w:spacing w:after="0" w:line="22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Company has entered into employment agreements with and issued warrants and RSUs to Key Management Personnel. In addition, the Company pays fees for board tenure and board committee tenure to the independent members of the Board of Directors. For further details, refer to Note 6, “Employee Costs”. Indemnification agreements have been entered with members of the Board of Directors, the Executive Board and Non-executive Senior Management.</w:t>
      </w:r>
    </w:p>
    <w:p>
      <w:pPr>
        <w:spacing w:after="0" w:line="1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Transactions between the parent company and group enterprises comprise management and license fees, research and development services, and clinical and commercial supplies. These transactions have been eliminated in the consolidated financial statements. Transactions and outstanding balances with the associate are disclosed in Note 12, “Investment in Associate”.</w:t>
      </w:r>
    </w:p>
    <w:p>
      <w:pPr>
        <w:spacing w:after="0" w:line="17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In addition, the parent company Ascendis Pharma A/S is jointly taxed with its Danish subsidiaries, where the current Danish corporation tax is allocated between the jointly taxed Danish companies. For further details, refer to Note 9, “Tax on Profit/(Loss) for the Year and Deferred Tax”.</w:t>
      </w:r>
    </w:p>
    <w:p>
      <w:pPr>
        <w:spacing w:after="0" w:line="16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Except for the information disclosed above, the Company has not undertaken any significant transactions with members of the Key Management Personnel, or undertakings in which the identified related parties have a controlling or joint controlling interest.</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color w:val="auto"/>
        </w:rPr>
        <w:t>Note 19—Investments in Group Enterprises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Ascendis Pharma A/S’s (parent company) investments in group enterprises at December 31, 2022, comprise: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6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Domicile</w:t>
            </w:r>
          </w:p>
        </w:tc>
        <w:tc>
          <w:tcPr>
            <w:tcW w:w="120" w:type="dxa"/>
            <w:vAlign w:val="bottom"/>
          </w:tcPr>
          <w:p>
            <w:pPr>
              <w:spacing w:after="0"/>
              <w:rPr>
                <w:sz w:val="16"/>
                <w:szCs w:val="16"/>
                <w:color w:val="auto"/>
              </w:rPr>
            </w:pPr>
          </w:p>
        </w:tc>
        <w:tc>
          <w:tcPr>
            <w:tcW w:w="18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27"/>
        </w:trPr>
        <w:tc>
          <w:tcPr>
            <w:tcW w:w="7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Ascendis Pharma GmbH</w:t>
            </w:r>
          </w:p>
        </w:tc>
        <w:tc>
          <w:tcPr>
            <w:tcW w:w="180" w:type="dxa"/>
            <w:vAlign w:val="bottom"/>
          </w:tcPr>
          <w:p>
            <w:pPr>
              <w:spacing w:after="0"/>
              <w:rPr>
                <w:sz w:val="19"/>
                <w:szCs w:val="19"/>
                <w:color w:val="auto"/>
              </w:rPr>
            </w:pPr>
          </w:p>
        </w:tc>
        <w:tc>
          <w:tcPr>
            <w:tcW w:w="1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GmbH</w:t>
            </w:r>
          </w:p>
        </w:tc>
        <w:tc>
          <w:tcPr>
            <w:tcW w:w="18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Inc.</w:t>
            </w:r>
          </w:p>
        </w:tc>
        <w:tc>
          <w:tcPr>
            <w:tcW w:w="18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Inc.</w:t>
            </w:r>
          </w:p>
        </w:tc>
        <w:tc>
          <w:tcPr>
            <w:tcW w:w="18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Ophthalmology Division A/S</w:t>
            </w:r>
          </w:p>
        </w:tc>
        <w:tc>
          <w:tcPr>
            <w:tcW w:w="18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Endocrinology Division A/S</w:t>
            </w:r>
          </w:p>
        </w:tc>
        <w:tc>
          <w:tcPr>
            <w:tcW w:w="18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Bone Diseases A/S</w:t>
            </w:r>
          </w:p>
        </w:tc>
        <w:tc>
          <w:tcPr>
            <w:tcW w:w="18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Growth Disorders A/S</w:t>
            </w:r>
          </w:p>
        </w:tc>
        <w:tc>
          <w:tcPr>
            <w:tcW w:w="18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Ascendis Pharma Oncology Division A/S</w:t>
            </w:r>
          </w:p>
        </w:tc>
        <w:tc>
          <w:tcPr>
            <w:tcW w:w="18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82"/>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5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180" w:type="dxa"/>
            <w:vAlign w:val="bottom"/>
            <w:tcBorders>
              <w:bottom w:val="single" w:sz="8" w:color="CFF0FC"/>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Domicile</w:t>
            </w:r>
          </w:p>
        </w:tc>
        <w:tc>
          <w:tcPr>
            <w:tcW w:w="12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VISEN Pharmaceuticals</w:t>
            </w:r>
          </w:p>
        </w:tc>
        <w:tc>
          <w:tcPr>
            <w:tcW w:w="18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43.93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-1821815</wp:posOffset>
            </wp:positionV>
            <wp:extent cx="7132955" cy="15367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-1514475</wp:posOffset>
            </wp:positionV>
            <wp:extent cx="7132955" cy="15367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-1207135</wp:posOffset>
            </wp:positionV>
            <wp:extent cx="7132955" cy="15367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955" cy="15367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955" cy="15367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-156210</wp:posOffset>
            </wp:positionV>
            <wp:extent cx="119380" cy="1625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19380" cy="16256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-156210</wp:posOffset>
            </wp:positionV>
            <wp:extent cx="85725" cy="1625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20—Ownership</w:t>
      </w:r>
    </w:p>
    <w:p>
      <w:pPr>
        <w:spacing w:after="0" w:line="12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The following investors, or groups of affiliated investors, are known by us to beneficially own more than 5% of the Company’s outstanding ordinary shares at December 31, 2022:</w:t>
      </w:r>
    </w:p>
    <w:p>
      <w:pPr>
        <w:spacing w:after="0" w:line="55"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Rowe Price Associates, Inc.,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RA Capital Management, LLC,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Artisan Partners Limited Partnership,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FMR LLC,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Bros. Advisors LP,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Wellington Management Group LLP, USA</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Janus Henderson Group plc, United Kingdom</w:t>
      </w:r>
    </w:p>
    <w:p>
      <w:pPr>
        <w:spacing w:after="0" w:line="22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Company’s American Depository Shares are held through BNY (Nominees) Limited as nominee, of The Bank of New York Mellon, UK (as registered holder of the Company’s outstanding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21—Subsequent Events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events have occurred after the reporting date that would influence the evaluation of these consolidated financial statements.</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682" w:right="2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annual report:</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gridSpan w:val="20"/>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24"/>
                <w:szCs w:val="24"/>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24"/>
                <w:szCs w:val="24"/>
                <w:color w:val="auto"/>
              </w:rPr>
            </w:pPr>
          </w:p>
        </w:tc>
        <w:tc>
          <w:tcPr>
            <w:tcW w:w="10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24"/>
                <w:szCs w:val="2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restart"/>
          </w:tcPr>
          <w:p>
            <w:pPr>
              <w:spacing w:after="0"/>
              <w:rPr>
                <w:sz w:val="24"/>
                <w:szCs w:val="24"/>
                <w:color w:val="auto"/>
              </w:rPr>
            </w:pP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7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Articles of Association, currently in effect (English</w:t>
              </w:r>
            </w:hyperlink>
          </w:p>
        </w:tc>
        <w:tc>
          <w:tcPr>
            <w:tcW w:w="84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6-K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2/15/2023</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FF"/>
                <w:w w:val="99"/>
              </w:rPr>
            </w:pPr>
            <w:hyperlink r:id="rId648">
              <w:r>
                <w:rPr>
                  <w:rFonts w:ascii="Times New Roman" w:cs="Times New Roman" w:eastAsia="Times New Roman" w:hAnsi="Times New Roman"/>
                  <w:sz w:val="18"/>
                  <w:szCs w:val="18"/>
                  <w:color w:val="0000FF"/>
                  <w:w w:val="99"/>
                </w:rPr>
                <w:t>translation).</w:t>
              </w:r>
            </w:hyperlink>
          </w:p>
        </w:tc>
        <w:tc>
          <w:tcPr>
            <w:tcW w:w="366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649">
              <w:r>
                <w:rPr>
                  <w:rFonts w:ascii="Times New Roman" w:cs="Times New Roman" w:eastAsia="Times New Roman" w:hAnsi="Times New Roman"/>
                  <w:sz w:val="18"/>
                  <w:szCs w:val="18"/>
                  <w:color w:val="0000FF"/>
                </w:rPr>
                <w:t>Deposit Agreement dated January 27, 2015 among Ascendis</w:t>
              </w:r>
            </w:hyperlink>
          </w:p>
        </w:tc>
        <w:tc>
          <w:tcPr>
            <w:tcW w:w="1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F-3</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2/2/2016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333-209336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2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649">
              <w:r>
                <w:rPr>
                  <w:rFonts w:ascii="Times New Roman" w:cs="Times New Roman" w:eastAsia="Times New Roman" w:hAnsi="Times New Roman"/>
                  <w:sz w:val="18"/>
                  <w:szCs w:val="18"/>
                  <w:color w:val="0000FF"/>
                </w:rPr>
                <w:t>Pharma A/S The Bank of New York Mellon and Owners and</w:t>
              </w:r>
            </w:hyperlink>
          </w:p>
        </w:tc>
        <w:tc>
          <w:tcPr>
            <w:tcW w:w="14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0000FF"/>
              </w:rPr>
            </w:pPr>
            <w:hyperlink r:id="rId649">
              <w:r>
                <w:rPr>
                  <w:rFonts w:ascii="Times New Roman" w:cs="Times New Roman" w:eastAsia="Times New Roman" w:hAnsi="Times New Roman"/>
                  <w:sz w:val="18"/>
                  <w:szCs w:val="18"/>
                  <w:color w:val="0000FF"/>
                </w:rPr>
                <w:t>Holders of American Depositary Shares.</w:t>
              </w:r>
            </w:hyperlink>
          </w:p>
        </w:tc>
        <w:tc>
          <w:tcPr>
            <w:tcW w:w="1600" w:type="dxa"/>
            <w:vAlign w:val="bottom"/>
            <w:gridSpan w:val="15"/>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649">
              <w:r>
                <w:rPr>
                  <w:rFonts w:ascii="Times New Roman" w:cs="Times New Roman" w:eastAsia="Times New Roman" w:hAnsi="Times New Roman"/>
                  <w:sz w:val="18"/>
                  <w:szCs w:val="18"/>
                  <w:color w:val="0000FF"/>
                </w:rPr>
                <w:t>Form of American Depositary Receipt (included in Exhibit</w:t>
              </w:r>
            </w:hyperlink>
          </w:p>
        </w:tc>
        <w:tc>
          <w:tcPr>
            <w:tcW w:w="28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36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FF"/>
                <w:w w:val="96"/>
              </w:rPr>
            </w:pPr>
            <w:hyperlink r:id="rId649">
              <w:r>
                <w:rPr>
                  <w:rFonts w:ascii="Times New Roman" w:cs="Times New Roman" w:eastAsia="Times New Roman" w:hAnsi="Times New Roman"/>
                  <w:sz w:val="18"/>
                  <w:szCs w:val="18"/>
                  <w:color w:val="0000FF"/>
                  <w:w w:val="96"/>
                </w:rPr>
                <w:t>2.</w:t>
              </w:r>
              <w:r>
                <w:rPr>
                  <w:rFonts w:ascii="Times New Roman" w:cs="Times New Roman" w:eastAsia="Times New Roman" w:hAnsi="Times New Roman"/>
                  <w:sz w:val="18"/>
                  <w:szCs w:val="18"/>
                  <w:u w:val="single" w:color="auto"/>
                  <w:color w:val="0000FF"/>
                  <w:w w:val="96"/>
                </w:rPr>
                <w:t>1)</w:t>
              </w:r>
              <w:r>
                <w:rPr>
                  <w:rFonts w:ascii="Times New Roman" w:cs="Times New Roman" w:eastAsia="Times New Roman" w:hAnsi="Times New Roman"/>
                  <w:sz w:val="18"/>
                  <w:szCs w:val="18"/>
                  <w:color w:val="0000FF"/>
                  <w:w w:val="96"/>
                </w:rPr>
                <w:t>.</w:t>
              </w:r>
            </w:hyperlink>
          </w:p>
        </w:tc>
        <w:tc>
          <w:tcPr>
            <w:tcW w:w="20" w:type="dxa"/>
            <w:vAlign w:val="bottom"/>
            <w:tcBorders>
              <w:bottom w:val="single" w:sz="8" w:color="0000EE"/>
            </w:tcBorders>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FF"/>
              </w:rPr>
              <w:t>Description of Share Capital and American Depositary Shares.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4.1(a)</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50">
              <w:r>
                <w:rPr>
                  <w:rFonts w:ascii="Times New Roman" w:cs="Times New Roman" w:eastAsia="Times New Roman" w:hAnsi="Times New Roman"/>
                  <w:sz w:val="18"/>
                  <w:szCs w:val="18"/>
                  <w:color w:val="0000FF"/>
                </w:rPr>
                <w:t>Rental Agreement, between Technologiepark Heidelberg II</w:t>
              </w:r>
            </w:hyperlink>
          </w:p>
        </w:tc>
        <w:tc>
          <w:tcPr>
            <w:tcW w:w="26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12/18/2014</w:t>
            </w:r>
          </w:p>
        </w:tc>
        <w:tc>
          <w:tcPr>
            <w:tcW w:w="14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10.3(a)</w:t>
            </w: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333-201050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0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650">
              <w:r>
                <w:rPr>
                  <w:rFonts w:ascii="Times New Roman" w:cs="Times New Roman" w:eastAsia="Times New Roman" w:hAnsi="Times New Roman"/>
                  <w:sz w:val="18"/>
                  <w:szCs w:val="18"/>
                  <w:color w:val="0000FF"/>
                </w:rPr>
                <w:t>GmbH &amp; Co. KG and Ascendis Pharma GmbH (English</w:t>
              </w:r>
            </w:hyperlink>
          </w:p>
        </w:tc>
        <w:tc>
          <w:tcPr>
            <w:tcW w:w="460" w:type="dxa"/>
            <w:vAlign w:val="bottom"/>
            <w:gridSpan w:val="10"/>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FF"/>
                <w:w w:val="99"/>
              </w:rPr>
            </w:pPr>
            <w:hyperlink r:id="rId650">
              <w:r>
                <w:rPr>
                  <w:rFonts w:ascii="Times New Roman" w:cs="Times New Roman" w:eastAsia="Times New Roman" w:hAnsi="Times New Roman"/>
                  <w:sz w:val="18"/>
                  <w:szCs w:val="18"/>
                  <w:color w:val="0000FF"/>
                  <w:w w:val="99"/>
                </w:rPr>
                <w:t>translation).</w:t>
              </w:r>
            </w:hyperlink>
          </w:p>
        </w:tc>
        <w:tc>
          <w:tcPr>
            <w:tcW w:w="366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651">
              <w:r>
                <w:rPr>
                  <w:rFonts w:ascii="Times New Roman" w:cs="Times New Roman" w:eastAsia="Times New Roman" w:hAnsi="Times New Roman"/>
                  <w:sz w:val="18"/>
                  <w:szCs w:val="18"/>
                  <w:color w:val="0000FF"/>
                </w:rPr>
                <w:t>Supplement No. 1 to Rental Agreement, between</w:t>
              </w:r>
            </w:hyperlink>
          </w:p>
        </w:tc>
        <w:tc>
          <w:tcPr>
            <w:tcW w:w="98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12/18/2014</w:t>
            </w:r>
          </w:p>
        </w:tc>
        <w:tc>
          <w:tcPr>
            <w:tcW w:w="14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10.3(b)</w:t>
            </w: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333-201050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651">
              <w:r>
                <w:rPr>
                  <w:rFonts w:ascii="Times New Roman" w:cs="Times New Roman" w:eastAsia="Times New Roman" w:hAnsi="Times New Roman"/>
                  <w:sz w:val="18"/>
                  <w:szCs w:val="18"/>
                  <w:color w:val="0000FF"/>
                  <w:w w:val="99"/>
                </w:rPr>
                <w:t>Technologiepark Heidelberg II GmbH &amp; Co. KG and Ascendis</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8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FF"/>
              </w:rPr>
            </w:pPr>
            <w:hyperlink r:id="rId651">
              <w:r>
                <w:rPr>
                  <w:rFonts w:ascii="Times New Roman" w:cs="Times New Roman" w:eastAsia="Times New Roman" w:hAnsi="Times New Roman"/>
                  <w:sz w:val="18"/>
                  <w:szCs w:val="18"/>
                  <w:color w:val="0000FF"/>
                </w:rPr>
                <w:t>Pharma GmbH (English translation).</w:t>
              </w:r>
            </w:hyperlink>
          </w:p>
        </w:tc>
        <w:tc>
          <w:tcPr>
            <w:tcW w:w="1880" w:type="dxa"/>
            <w:vAlign w:val="bottom"/>
            <w:gridSpan w:val="16"/>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4.2(a)</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652">
              <w:r>
                <w:rPr>
                  <w:rFonts w:ascii="Times New Roman" w:cs="Times New Roman" w:eastAsia="Times New Roman" w:hAnsi="Times New Roman"/>
                  <w:sz w:val="18"/>
                  <w:szCs w:val="18"/>
                  <w:color w:val="0000FF"/>
                  <w:w w:val="98"/>
                </w:rPr>
                <w:t>Reference is made to Exhibit 1.1.</w:t>
              </w:r>
            </w:hyperlink>
          </w:p>
        </w:tc>
        <w:tc>
          <w:tcPr>
            <w:tcW w:w="40" w:type="dxa"/>
            <w:vAlign w:val="bottom"/>
            <w:tcBorders>
              <w:bottom w:val="single" w:sz="8" w:color="0000EE"/>
            </w:tcBorders>
          </w:tcPr>
          <w:p>
            <w:pPr>
              <w:spacing w:after="0"/>
              <w:rPr>
                <w:sz w:val="24"/>
                <w:szCs w:val="24"/>
                <w:color w:val="auto"/>
              </w:rPr>
            </w:pPr>
          </w:p>
        </w:tc>
        <w:tc>
          <w:tcPr>
            <w:tcW w:w="2120" w:type="dxa"/>
            <w:vAlign w:val="bottom"/>
            <w:gridSpan w:val="17"/>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4.2(b)</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653">
              <w:r>
                <w:rPr>
                  <w:rFonts w:ascii="Times New Roman" w:cs="Times New Roman" w:eastAsia="Times New Roman" w:hAnsi="Times New Roman"/>
                  <w:sz w:val="18"/>
                  <w:szCs w:val="18"/>
                  <w:color w:val="0000FF"/>
                  <w:w w:val="99"/>
                </w:rPr>
                <w:t>Form of Warrant Certificate for Warrants issued prior to</w:t>
              </w:r>
            </w:hyperlink>
          </w:p>
        </w:tc>
        <w:tc>
          <w:tcPr>
            <w:tcW w:w="50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12/18/2014</w:t>
            </w:r>
          </w:p>
        </w:tc>
        <w:tc>
          <w:tcPr>
            <w:tcW w:w="14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10.4(b)</w:t>
            </w: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333-201050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5"/>
          </w:tcPr>
          <w:p>
            <w:pPr>
              <w:spacing w:after="0" w:line="195" w:lineRule="exact"/>
              <w:rPr>
                <w:rFonts w:ascii="Times New Roman" w:cs="Times New Roman" w:eastAsia="Times New Roman" w:hAnsi="Times New Roman"/>
                <w:sz w:val="18"/>
                <w:szCs w:val="18"/>
                <w:color w:val="0000FF"/>
              </w:rPr>
            </w:pPr>
            <w:hyperlink r:id="rId653">
              <w:r>
                <w:rPr>
                  <w:rFonts w:ascii="Times New Roman" w:cs="Times New Roman" w:eastAsia="Times New Roman" w:hAnsi="Times New Roman"/>
                  <w:sz w:val="18"/>
                  <w:szCs w:val="18"/>
                  <w:color w:val="0000FF"/>
                </w:rPr>
                <w:t>December 2015.</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4.2(c)</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54">
              <w:r>
                <w:rPr>
                  <w:rFonts w:ascii="Times New Roman" w:cs="Times New Roman" w:eastAsia="Times New Roman" w:hAnsi="Times New Roman"/>
                  <w:sz w:val="18"/>
                  <w:szCs w:val="18"/>
                  <w:color w:val="0000FF"/>
                  <w:w w:val="99"/>
                </w:rPr>
                <w:t>Form of Warrant Certificate for Warrants issued since</w:t>
              </w:r>
            </w:hyperlink>
          </w:p>
        </w:tc>
        <w:tc>
          <w:tcPr>
            <w:tcW w:w="660" w:type="dxa"/>
            <w:vAlign w:val="bottom"/>
            <w:gridSpan w:val="12"/>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3/22/2017</w:t>
            </w:r>
          </w:p>
        </w:tc>
        <w:tc>
          <w:tcPr>
            <w:tcW w:w="14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4.4(c)</w:t>
            </w: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5"/>
          </w:tcPr>
          <w:p>
            <w:pPr>
              <w:spacing w:after="0" w:line="195" w:lineRule="exact"/>
              <w:rPr>
                <w:rFonts w:ascii="Times New Roman" w:cs="Times New Roman" w:eastAsia="Times New Roman" w:hAnsi="Times New Roman"/>
                <w:sz w:val="18"/>
                <w:szCs w:val="18"/>
                <w:color w:val="0000FF"/>
              </w:rPr>
            </w:pPr>
            <w:hyperlink r:id="rId654">
              <w:r>
                <w:rPr>
                  <w:rFonts w:ascii="Times New Roman" w:cs="Times New Roman" w:eastAsia="Times New Roman" w:hAnsi="Times New Roman"/>
                  <w:sz w:val="18"/>
                  <w:szCs w:val="18"/>
                  <w:color w:val="0000FF"/>
                </w:rPr>
                <w:t>December 2015.</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55">
              <w:r>
                <w:rPr>
                  <w:rFonts w:ascii="Times New Roman" w:cs="Times New Roman" w:eastAsia="Times New Roman" w:hAnsi="Times New Roman"/>
                  <w:sz w:val="18"/>
                  <w:szCs w:val="18"/>
                  <w:color w:val="0000FF"/>
                </w:rPr>
                <w:t>Form of Indemnification Agreement for board members and</w:t>
              </w:r>
            </w:hyperlink>
          </w:p>
        </w:tc>
        <w:tc>
          <w:tcPr>
            <w:tcW w:w="1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F-1</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1/16/2015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333-201050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FF"/>
              </w:rPr>
            </w:pPr>
            <w:hyperlink r:id="rId655">
              <w:r>
                <w:rPr>
                  <w:rFonts w:ascii="Times New Roman" w:cs="Times New Roman" w:eastAsia="Times New Roman" w:hAnsi="Times New Roman"/>
                  <w:sz w:val="18"/>
                  <w:szCs w:val="18"/>
                  <w:color w:val="0000FF"/>
                </w:rPr>
                <w:t>senior management.</w:t>
              </w:r>
            </w:hyperlink>
          </w:p>
        </w:tc>
        <w:tc>
          <w:tcPr>
            <w:tcW w:w="308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656">
              <w:r>
                <w:rPr>
                  <w:rFonts w:ascii="Times New Roman" w:cs="Times New Roman" w:eastAsia="Times New Roman" w:hAnsi="Times New Roman"/>
                  <w:sz w:val="18"/>
                  <w:szCs w:val="18"/>
                  <w:color w:val="0000FF"/>
                </w:rPr>
                <w:t>Registration Rights Agreement dated December 11, 2015 by</w:t>
              </w:r>
            </w:hyperlink>
          </w:p>
        </w:tc>
        <w:tc>
          <w:tcPr>
            <w:tcW w:w="16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6-K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12/14/2015</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2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rPr>
            </w:pPr>
            <w:hyperlink r:id="rId656">
              <w:r>
                <w:rPr>
                  <w:rFonts w:ascii="Times New Roman" w:cs="Times New Roman" w:eastAsia="Times New Roman" w:hAnsi="Times New Roman"/>
                  <w:sz w:val="18"/>
                  <w:szCs w:val="18"/>
                  <w:color w:val="0000FF"/>
                </w:rPr>
                <w:t>and among Ascendis Pharma A/S, Fidelity Securities Fund:</w:t>
              </w:r>
            </w:hyperlink>
          </w:p>
        </w:tc>
        <w:tc>
          <w:tcPr>
            <w:tcW w:w="24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rPr>
            </w:pPr>
            <w:hyperlink r:id="rId656">
              <w:r>
                <w:rPr>
                  <w:rFonts w:ascii="Times New Roman" w:cs="Times New Roman" w:eastAsia="Times New Roman" w:hAnsi="Times New Roman"/>
                  <w:sz w:val="18"/>
                  <w:szCs w:val="18"/>
                  <w:color w:val="0000FF"/>
                </w:rPr>
                <w:t>Fidelity Series Small Cap Opportunities Fund—Healthcare</w:t>
              </w:r>
            </w:hyperlink>
          </w:p>
        </w:tc>
        <w:tc>
          <w:tcPr>
            <w:tcW w:w="28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656">
              <w:r>
                <w:rPr>
                  <w:rFonts w:ascii="Times New Roman" w:cs="Times New Roman" w:eastAsia="Times New Roman" w:hAnsi="Times New Roman"/>
                  <w:sz w:val="18"/>
                  <w:szCs w:val="18"/>
                  <w:color w:val="0000FF"/>
                  <w:w w:val="99"/>
                </w:rPr>
                <w:t>Sub and Fidelity Stock Selector Small Cap Fund—Health Care</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5"/>
          </w:tcPr>
          <w:p>
            <w:pPr>
              <w:spacing w:after="0" w:line="195" w:lineRule="exact"/>
              <w:rPr>
                <w:rFonts w:ascii="Times New Roman" w:cs="Times New Roman" w:eastAsia="Times New Roman" w:hAnsi="Times New Roman"/>
                <w:sz w:val="18"/>
                <w:szCs w:val="18"/>
                <w:color w:val="0000FF"/>
              </w:rPr>
            </w:pPr>
            <w:hyperlink r:id="rId656">
              <w:r>
                <w:rPr>
                  <w:rFonts w:ascii="Times New Roman" w:cs="Times New Roman" w:eastAsia="Times New Roman" w:hAnsi="Times New Roman"/>
                  <w:sz w:val="18"/>
                  <w:szCs w:val="18"/>
                  <w:color w:val="0000FF"/>
                </w:rPr>
                <w:t>Sub.</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657">
              <w:r>
                <w:rPr>
                  <w:rFonts w:ascii="Times New Roman" w:cs="Times New Roman" w:eastAsia="Times New Roman" w:hAnsi="Times New Roman"/>
                  <w:sz w:val="18"/>
                  <w:szCs w:val="18"/>
                  <w:color w:val="0000FF"/>
                </w:rPr>
                <w:t>Lease Agreement dated September 7, 2015 between Ascendis</w:t>
              </w:r>
            </w:hyperlink>
          </w:p>
        </w:tc>
        <w:tc>
          <w:tcPr>
            <w:tcW w:w="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F-3</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2/2/2016</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5"/>
          </w:tcPr>
          <w:p>
            <w:pPr>
              <w:spacing w:after="0" w:line="195" w:lineRule="exact"/>
              <w:rPr>
                <w:rFonts w:ascii="Times New Roman" w:cs="Times New Roman" w:eastAsia="Times New Roman" w:hAnsi="Times New Roman"/>
                <w:sz w:val="18"/>
                <w:szCs w:val="18"/>
                <w:color w:val="0000FF"/>
              </w:rPr>
            </w:pPr>
            <w:hyperlink r:id="rId657">
              <w:r>
                <w:rPr>
                  <w:rFonts w:ascii="Times New Roman" w:cs="Times New Roman" w:eastAsia="Times New Roman" w:hAnsi="Times New Roman"/>
                  <w:sz w:val="18"/>
                  <w:szCs w:val="18"/>
                  <w:color w:val="0000FF"/>
                </w:rPr>
                <w:t>Pharma A/S and Dades AS.</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58">
              <w:r>
                <w:rPr>
                  <w:rFonts w:ascii="Times New Roman" w:cs="Times New Roman" w:eastAsia="Times New Roman" w:hAnsi="Times New Roman"/>
                  <w:sz w:val="18"/>
                  <w:szCs w:val="18"/>
                  <w:color w:val="0000FF"/>
                </w:rPr>
                <w:t>Manufacturing and Supply Agreement dated December 21,</w:t>
              </w:r>
            </w:hyperlink>
          </w:p>
        </w:tc>
        <w:tc>
          <w:tcPr>
            <w:tcW w:w="26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3/28/2018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tcBorders>
              <w:bottom w:val="single" w:sz="8" w:color="0000EE"/>
            </w:tcBorders>
            <w:gridSpan w:val="20"/>
          </w:tcPr>
          <w:p>
            <w:pPr>
              <w:spacing w:after="0" w:line="195" w:lineRule="exact"/>
              <w:rPr>
                <w:rFonts w:ascii="Times New Roman" w:cs="Times New Roman" w:eastAsia="Times New Roman" w:hAnsi="Times New Roman"/>
                <w:sz w:val="18"/>
                <w:szCs w:val="18"/>
                <w:color w:val="0000FF"/>
              </w:rPr>
            </w:pPr>
            <w:hyperlink r:id="rId658">
              <w:r>
                <w:rPr>
                  <w:rFonts w:ascii="Times New Roman" w:cs="Times New Roman" w:eastAsia="Times New Roman" w:hAnsi="Times New Roman"/>
                  <w:sz w:val="18"/>
                  <w:szCs w:val="18"/>
                  <w:color w:val="0000FF"/>
                </w:rPr>
                <w:t>2017, between Ascendis Pharma A/S and NOF Corporation.</w:t>
              </w:r>
            </w:hyperlink>
          </w:p>
        </w:tc>
        <w:tc>
          <w:tcPr>
            <w:tcW w:w="18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659">
              <w:r>
                <w:rPr>
                  <w:rFonts w:ascii="Times New Roman" w:cs="Times New Roman" w:eastAsia="Times New Roman" w:hAnsi="Times New Roman"/>
                  <w:sz w:val="18"/>
                  <w:szCs w:val="18"/>
                  <w:color w:val="0000FF"/>
                </w:rPr>
                <w:t>Manufacturing and Supply Agreement dated January 12, 2017,</w:t>
              </w:r>
            </w:hyperlink>
          </w:p>
        </w:tc>
        <w:tc>
          <w:tcPr>
            <w:tcW w:w="140" w:type="dxa"/>
            <w:vAlign w:val="bottom"/>
          </w:tcPr>
          <w:p>
            <w:pPr>
              <w:spacing w:after="0"/>
              <w:rPr>
                <w:sz w:val="24"/>
                <w:szCs w:val="24"/>
                <w:color w:val="auto"/>
              </w:rPr>
            </w:pPr>
          </w:p>
        </w:tc>
        <w:tc>
          <w:tcPr>
            <w:tcW w:w="5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3/28/2018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140" w:type="dxa"/>
            <w:vAlign w:val="bottom"/>
          </w:tcPr>
          <w:p>
            <w:pPr>
              <w:spacing w:after="0"/>
              <w:rPr>
                <w:sz w:val="24"/>
                <w:szCs w:val="24"/>
                <w:color w:val="auto"/>
              </w:rPr>
            </w:pPr>
          </w:p>
        </w:tc>
        <w:tc>
          <w:tcPr>
            <w:tcW w:w="11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2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659">
              <w:r>
                <w:rPr>
                  <w:rFonts w:ascii="Times New Roman" w:cs="Times New Roman" w:eastAsia="Times New Roman" w:hAnsi="Times New Roman"/>
                  <w:sz w:val="18"/>
                  <w:szCs w:val="18"/>
                  <w:color w:val="0000FF"/>
                </w:rPr>
                <w:t>between Ascendis Pharma A/S and Medicom Innovation</w:t>
              </w:r>
            </w:hyperlink>
          </w:p>
        </w:tc>
        <w:tc>
          <w:tcPr>
            <w:tcW w:w="440" w:type="dxa"/>
            <w:vAlign w:val="bottom"/>
            <w:gridSpan w:val="9"/>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5"/>
          </w:tcPr>
          <w:p>
            <w:pPr>
              <w:spacing w:after="0" w:line="195" w:lineRule="exact"/>
              <w:rPr>
                <w:rFonts w:ascii="Times New Roman" w:cs="Times New Roman" w:eastAsia="Times New Roman" w:hAnsi="Times New Roman"/>
                <w:sz w:val="18"/>
                <w:szCs w:val="18"/>
                <w:color w:val="0000FF"/>
              </w:rPr>
            </w:pPr>
            <w:hyperlink r:id="rId659">
              <w:r>
                <w:rPr>
                  <w:rFonts w:ascii="Times New Roman" w:cs="Times New Roman" w:eastAsia="Times New Roman" w:hAnsi="Times New Roman"/>
                  <w:sz w:val="18"/>
                  <w:szCs w:val="18"/>
                  <w:color w:val="0000FF"/>
                </w:rPr>
                <w:t>Partner A/S.</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27"/>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24"/>
                <w:szCs w:val="24"/>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24"/>
                <w:szCs w:val="24"/>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restart"/>
          </w:tcPr>
          <w:p>
            <w:pPr>
              <w:spacing w:after="0"/>
              <w:rPr>
                <w:sz w:val="24"/>
                <w:szCs w:val="24"/>
                <w:color w:val="auto"/>
              </w:rPr>
            </w:pPr>
          </w:p>
        </w:tc>
        <w:tc>
          <w:tcPr>
            <w:tcW w:w="11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27"/>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661">
              <w:r>
                <w:rPr>
                  <w:rFonts w:ascii="Times New Roman" w:cs="Times New Roman" w:eastAsia="Times New Roman" w:hAnsi="Times New Roman"/>
                  <w:sz w:val="18"/>
                  <w:szCs w:val="18"/>
                  <w:color w:val="0000FF"/>
                </w:rPr>
                <w:t>Supply Agreement dated January 1, 2019, between Ascendis</w:t>
              </w:r>
            </w:hyperlink>
          </w:p>
        </w:tc>
        <w:tc>
          <w:tcPr>
            <w:tcW w:w="14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4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8"/>
              </w:rPr>
            </w:pPr>
            <w:hyperlink r:id="rId661">
              <w:r>
                <w:rPr>
                  <w:rFonts w:ascii="Times New Roman" w:cs="Times New Roman" w:eastAsia="Times New Roman" w:hAnsi="Times New Roman"/>
                  <w:sz w:val="18"/>
                  <w:szCs w:val="18"/>
                  <w:color w:val="0000FF"/>
                  <w:w w:val="98"/>
                </w:rPr>
                <w:t>Pharma A/S and Vetter Pharma International GMBH.</w:t>
              </w:r>
            </w:hyperlink>
          </w:p>
        </w:tc>
        <w:tc>
          <w:tcPr>
            <w:tcW w:w="60" w:type="dxa"/>
            <w:vAlign w:val="bottom"/>
            <w:tcBorders>
              <w:bottom w:val="single" w:sz="8" w:color="0000EE"/>
            </w:tcBorders>
          </w:tcPr>
          <w:p>
            <w:pPr>
              <w:spacing w:after="0"/>
              <w:rPr>
                <w:sz w:val="16"/>
                <w:szCs w:val="16"/>
                <w:color w:val="auto"/>
              </w:rPr>
            </w:pPr>
          </w:p>
        </w:tc>
        <w:tc>
          <w:tcPr>
            <w:tcW w:w="660" w:type="dxa"/>
            <w:vAlign w:val="bottom"/>
            <w:gridSpan w:val="20"/>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662">
              <w:r>
                <w:rPr>
                  <w:rFonts w:ascii="Times New Roman" w:cs="Times New Roman" w:eastAsia="Times New Roman" w:hAnsi="Times New Roman"/>
                  <w:sz w:val="18"/>
                  <w:szCs w:val="18"/>
                  <w:color w:val="0000FF"/>
                  <w:w w:val="99"/>
                </w:rPr>
                <w:t>Manufacturing and Supply Agreement dated October 26, 2018,</w:t>
              </w:r>
            </w:hyperlink>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60" w:type="dxa"/>
            <w:vAlign w:val="bottom"/>
            <w:tcBorders>
              <w:bottom w:val="single" w:sz="8" w:color="0000EE"/>
            </w:tcBorders>
            <w:gridSpan w:val="17"/>
          </w:tcPr>
          <w:p>
            <w:pPr>
              <w:spacing w:after="0" w:line="195" w:lineRule="exact"/>
              <w:rPr>
                <w:rFonts w:ascii="Times New Roman" w:cs="Times New Roman" w:eastAsia="Times New Roman" w:hAnsi="Times New Roman"/>
                <w:sz w:val="18"/>
                <w:szCs w:val="18"/>
                <w:color w:val="0000FF"/>
              </w:rPr>
            </w:pPr>
            <w:hyperlink r:id="rId662">
              <w:r>
                <w:rPr>
                  <w:rFonts w:ascii="Times New Roman" w:cs="Times New Roman" w:eastAsia="Times New Roman" w:hAnsi="Times New Roman"/>
                  <w:sz w:val="18"/>
                  <w:szCs w:val="18"/>
                  <w:color w:val="0000FF"/>
                </w:rPr>
                <w:t>between Ascendis Pharma A/S and Carbogen Amcis AG.</w:t>
              </w:r>
            </w:hyperlink>
          </w:p>
        </w:tc>
        <w:tc>
          <w:tcPr>
            <w:tcW w:w="40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663">
              <w:r>
                <w:rPr>
                  <w:rFonts w:ascii="Times New Roman" w:cs="Times New Roman" w:eastAsia="Times New Roman" w:hAnsi="Times New Roman"/>
                  <w:sz w:val="18"/>
                  <w:szCs w:val="18"/>
                  <w:color w:val="0000FF"/>
                </w:rPr>
                <w:t>Commercial Supply Agreement dated January 9, 2019,</w:t>
              </w:r>
            </w:hyperlink>
          </w:p>
        </w:tc>
        <w:tc>
          <w:tcPr>
            <w:tcW w:w="560" w:type="dxa"/>
            <w:vAlign w:val="bottom"/>
            <w:gridSpan w:val="16"/>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2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rPr>
            </w:pPr>
            <w:hyperlink r:id="rId663">
              <w:r>
                <w:rPr>
                  <w:rFonts w:ascii="Times New Roman" w:cs="Times New Roman" w:eastAsia="Times New Roman" w:hAnsi="Times New Roman"/>
                  <w:sz w:val="18"/>
                  <w:szCs w:val="18"/>
                  <w:color w:val="0000FF"/>
                </w:rPr>
                <w:t>between Ascendis Pharma A/S and Fujifilm Diosynth</w:t>
              </w:r>
            </w:hyperlink>
          </w:p>
        </w:tc>
        <w:tc>
          <w:tcPr>
            <w:tcW w:w="64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FF"/>
              </w:rPr>
            </w:pPr>
            <w:hyperlink r:id="rId663">
              <w:r>
                <w:rPr>
                  <w:rFonts w:ascii="Times New Roman" w:cs="Times New Roman" w:eastAsia="Times New Roman" w:hAnsi="Times New Roman"/>
                  <w:sz w:val="18"/>
                  <w:szCs w:val="18"/>
                  <w:color w:val="0000FF"/>
                </w:rPr>
                <w:t>Biotechnologies UK Limited.</w:t>
              </w:r>
            </w:hyperlink>
          </w:p>
        </w:tc>
        <w:tc>
          <w:tcPr>
            <w:tcW w:w="2380" w:type="dxa"/>
            <w:vAlign w:val="bottom"/>
            <w:gridSpan w:val="24"/>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664">
              <w:r>
                <w:rPr>
                  <w:rFonts w:ascii="Times New Roman" w:cs="Times New Roman" w:eastAsia="Times New Roman" w:hAnsi="Times New Roman"/>
                  <w:sz w:val="18"/>
                  <w:szCs w:val="18"/>
                  <w:color w:val="0000FF"/>
                </w:rPr>
                <w:t>Exclusive Licence Agreement dated November 7, 2018,</w:t>
              </w:r>
            </w:hyperlink>
          </w:p>
        </w:tc>
        <w:tc>
          <w:tcPr>
            <w:tcW w:w="500" w:type="dxa"/>
            <w:vAlign w:val="bottom"/>
            <w:gridSpan w:val="15"/>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8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rPr>
            </w:pPr>
            <w:hyperlink r:id="rId664">
              <w:r>
                <w:rPr>
                  <w:rFonts w:ascii="Times New Roman" w:cs="Times New Roman" w:eastAsia="Times New Roman" w:hAnsi="Times New Roman"/>
                  <w:sz w:val="18"/>
                  <w:szCs w:val="18"/>
                  <w:color w:val="0000FF"/>
                </w:rPr>
                <w:t>between Ascendis Pharma Growth Disorders A/S and VISEN</w:t>
              </w:r>
            </w:hyperlink>
          </w:p>
        </w:tc>
        <w:tc>
          <w:tcPr>
            <w:tcW w:w="8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FF"/>
              </w:rPr>
            </w:pPr>
            <w:hyperlink r:id="rId664">
              <w:r>
                <w:rPr>
                  <w:rFonts w:ascii="Times New Roman" w:cs="Times New Roman" w:eastAsia="Times New Roman" w:hAnsi="Times New Roman"/>
                  <w:sz w:val="18"/>
                  <w:szCs w:val="18"/>
                  <w:color w:val="0000FF"/>
                </w:rPr>
                <w:t>Pharmaceuticals (CNP).</w:t>
              </w:r>
            </w:hyperlink>
          </w:p>
        </w:tc>
        <w:tc>
          <w:tcPr>
            <w:tcW w:w="2780" w:type="dxa"/>
            <w:vAlign w:val="bottom"/>
            <w:gridSpan w:val="25"/>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665">
              <w:r>
                <w:rPr>
                  <w:rFonts w:ascii="Times New Roman" w:cs="Times New Roman" w:eastAsia="Times New Roman" w:hAnsi="Times New Roman"/>
                  <w:sz w:val="18"/>
                  <w:szCs w:val="18"/>
                  <w:color w:val="0000FF"/>
                </w:rPr>
                <w:t>Exclusive Licence Agreement dated November 7, 2018,</w:t>
              </w:r>
            </w:hyperlink>
          </w:p>
        </w:tc>
        <w:tc>
          <w:tcPr>
            <w:tcW w:w="500" w:type="dxa"/>
            <w:vAlign w:val="bottom"/>
            <w:gridSpan w:val="15"/>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6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665">
              <w:r>
                <w:rPr>
                  <w:rFonts w:ascii="Times New Roman" w:cs="Times New Roman" w:eastAsia="Times New Roman" w:hAnsi="Times New Roman"/>
                  <w:sz w:val="18"/>
                  <w:szCs w:val="18"/>
                  <w:color w:val="0000FF"/>
                </w:rPr>
                <w:t>between Ascendis Pharma Endocrinology Division A/S and</w:t>
              </w:r>
            </w:hyperlink>
          </w:p>
        </w:tc>
        <w:tc>
          <w:tcPr>
            <w:tcW w:w="20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6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FF"/>
              </w:rPr>
            </w:pPr>
            <w:hyperlink r:id="rId665">
              <w:r>
                <w:rPr>
                  <w:rFonts w:ascii="Times New Roman" w:cs="Times New Roman" w:eastAsia="Times New Roman" w:hAnsi="Times New Roman"/>
                  <w:sz w:val="18"/>
                  <w:szCs w:val="18"/>
                  <w:color w:val="0000FF"/>
                </w:rPr>
                <w:t>VISEN Pharmaceuticals (hGH).</w:t>
              </w:r>
            </w:hyperlink>
          </w:p>
        </w:tc>
        <w:tc>
          <w:tcPr>
            <w:tcW w:w="2200" w:type="dxa"/>
            <w:vAlign w:val="bottom"/>
            <w:gridSpan w:val="23"/>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666">
              <w:r>
                <w:rPr>
                  <w:rFonts w:ascii="Times New Roman" w:cs="Times New Roman" w:eastAsia="Times New Roman" w:hAnsi="Times New Roman"/>
                  <w:sz w:val="18"/>
                  <w:szCs w:val="18"/>
                  <w:color w:val="0000FF"/>
                </w:rPr>
                <w:t>Exclusive Licence Agreement dated November 7, 2018,</w:t>
              </w:r>
            </w:hyperlink>
          </w:p>
        </w:tc>
        <w:tc>
          <w:tcPr>
            <w:tcW w:w="500" w:type="dxa"/>
            <w:vAlign w:val="bottom"/>
            <w:gridSpan w:val="15"/>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4/3/2019</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4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rPr>
            </w:pPr>
            <w:hyperlink r:id="rId666">
              <w:r>
                <w:rPr>
                  <w:rFonts w:ascii="Times New Roman" w:cs="Times New Roman" w:eastAsia="Times New Roman" w:hAnsi="Times New Roman"/>
                  <w:sz w:val="18"/>
                  <w:szCs w:val="18"/>
                  <w:color w:val="0000FF"/>
                </w:rPr>
                <w:t>between Ascendis Pharma Bone Diseases A/S and VISEN</w:t>
              </w:r>
            </w:hyperlink>
          </w:p>
        </w:tc>
        <w:tc>
          <w:tcPr>
            <w:tcW w:w="32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FF"/>
              </w:rPr>
            </w:pPr>
            <w:hyperlink r:id="rId666">
              <w:r>
                <w:rPr>
                  <w:rFonts w:ascii="Times New Roman" w:cs="Times New Roman" w:eastAsia="Times New Roman" w:hAnsi="Times New Roman"/>
                  <w:sz w:val="18"/>
                  <w:szCs w:val="18"/>
                  <w:color w:val="0000FF"/>
                </w:rPr>
                <w:t>Pharmaceuticals (PTH).</w:t>
              </w:r>
            </w:hyperlink>
          </w:p>
        </w:tc>
        <w:tc>
          <w:tcPr>
            <w:tcW w:w="2800" w:type="dxa"/>
            <w:vAlign w:val="bottom"/>
            <w:gridSpan w:val="26"/>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667">
              <w:r>
                <w:rPr>
                  <w:rFonts w:ascii="Times New Roman" w:cs="Times New Roman" w:eastAsia="Times New Roman" w:hAnsi="Times New Roman"/>
                  <w:sz w:val="18"/>
                  <w:szCs w:val="18"/>
                  <w:color w:val="0000FF"/>
                  <w:w w:val="99"/>
                </w:rPr>
                <w:t>Tech Transfer and Manufacturing Services Agreement dated</w:t>
              </w:r>
            </w:hyperlink>
          </w:p>
        </w:tc>
        <w:tc>
          <w:tcPr>
            <w:tcW w:w="18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4/2/2020</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2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667">
              <w:r>
                <w:rPr>
                  <w:rFonts w:ascii="Times New Roman" w:cs="Times New Roman" w:eastAsia="Times New Roman" w:hAnsi="Times New Roman"/>
                  <w:sz w:val="18"/>
                  <w:szCs w:val="18"/>
                  <w:color w:val="0000FF"/>
                </w:rPr>
                <w:t>December 12, 2019 between Ascendis Pharma A/S and Lonza</w:t>
              </w:r>
            </w:hyperlink>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667">
              <w:r>
                <w:rPr>
                  <w:rFonts w:ascii="Times New Roman" w:cs="Times New Roman" w:eastAsia="Times New Roman" w:hAnsi="Times New Roman"/>
                  <w:sz w:val="18"/>
                  <w:szCs w:val="18"/>
                  <w:color w:val="0000FF"/>
                  <w:w w:val="94"/>
                </w:rPr>
                <w:t>Ltd.</w:t>
              </w:r>
            </w:hyperlink>
          </w:p>
        </w:tc>
        <w:tc>
          <w:tcPr>
            <w:tcW w:w="40" w:type="dxa"/>
            <w:vAlign w:val="bottom"/>
            <w:tcBorders>
              <w:bottom w:val="single" w:sz="8" w:color="0000EE"/>
            </w:tcBorders>
          </w:tcPr>
          <w:p>
            <w:pPr>
              <w:spacing w:after="0"/>
              <w:rPr>
                <w:sz w:val="16"/>
                <w:szCs w:val="16"/>
                <w:color w:val="auto"/>
              </w:rPr>
            </w:pPr>
          </w:p>
        </w:tc>
        <w:tc>
          <w:tcPr>
            <w:tcW w:w="4220" w:type="dxa"/>
            <w:vAlign w:val="bottom"/>
            <w:gridSpan w:val="28"/>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68">
              <w:r>
                <w:rPr>
                  <w:rFonts w:ascii="Times New Roman" w:cs="Times New Roman" w:eastAsia="Times New Roman" w:hAnsi="Times New Roman"/>
                  <w:sz w:val="18"/>
                  <w:szCs w:val="18"/>
                  <w:color w:val="0000FF"/>
                </w:rPr>
                <w:t>Packaging and Supply Agreement dated December 1, 2019</w:t>
              </w:r>
            </w:hyperlink>
          </w:p>
        </w:tc>
        <w:tc>
          <w:tcPr>
            <w:tcW w:w="28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4/2/2020</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8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0000FF"/>
              </w:rPr>
            </w:pPr>
            <w:hyperlink r:id="rId668">
              <w:r>
                <w:rPr>
                  <w:rFonts w:ascii="Times New Roman" w:cs="Times New Roman" w:eastAsia="Times New Roman" w:hAnsi="Times New Roman"/>
                  <w:sz w:val="18"/>
                  <w:szCs w:val="18"/>
                  <w:color w:val="0000FF"/>
                </w:rPr>
                <w:t>between Ascendis Pharma A/S and Sharp Corporation.</w:t>
              </w:r>
            </w:hyperlink>
          </w:p>
        </w:tc>
        <w:tc>
          <w:tcPr>
            <w:tcW w:w="580" w:type="dxa"/>
            <w:vAlign w:val="bottom"/>
            <w:gridSpan w:val="17"/>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69">
              <w:r>
                <w:rPr>
                  <w:rFonts w:ascii="Times New Roman" w:cs="Times New Roman" w:eastAsia="Times New Roman" w:hAnsi="Times New Roman"/>
                  <w:sz w:val="18"/>
                  <w:szCs w:val="18"/>
                  <w:color w:val="0000FF"/>
                </w:rPr>
                <w:t>Manufacturing and Supply Agreement dated December 27,</w:t>
              </w:r>
            </w:hyperlink>
          </w:p>
        </w:tc>
        <w:tc>
          <w:tcPr>
            <w:tcW w:w="260" w:type="dxa"/>
            <w:vAlign w:val="bottom"/>
            <w:gridSpan w:val="10"/>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30"/>
          </w:tcPr>
          <w:p>
            <w:pPr>
              <w:spacing w:after="0" w:line="195" w:lineRule="exact"/>
              <w:rPr>
                <w:rFonts w:ascii="Times New Roman" w:cs="Times New Roman" w:eastAsia="Times New Roman" w:hAnsi="Times New Roman"/>
                <w:sz w:val="18"/>
                <w:szCs w:val="18"/>
                <w:color w:val="0000FF"/>
              </w:rPr>
            </w:pPr>
            <w:hyperlink r:id="rId669">
              <w:r>
                <w:rPr>
                  <w:rFonts w:ascii="Times New Roman" w:cs="Times New Roman" w:eastAsia="Times New Roman" w:hAnsi="Times New Roman"/>
                  <w:sz w:val="18"/>
                  <w:szCs w:val="18"/>
                  <w:color w:val="0000FF"/>
                </w:rPr>
                <w:t>2020, between Ascendis Pharma A/S and Bachem AG.</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670">
              <w:r>
                <w:rPr>
                  <w:rFonts w:ascii="Times New Roman" w:cs="Times New Roman" w:eastAsia="Times New Roman" w:hAnsi="Times New Roman"/>
                  <w:sz w:val="18"/>
                  <w:szCs w:val="18"/>
                  <w:color w:val="0000FF"/>
                </w:rPr>
                <w:t>Manufacturing and Supply Agreement dated May 27, 2021,</w:t>
              </w:r>
            </w:hyperlink>
          </w:p>
        </w:tc>
        <w:tc>
          <w:tcPr>
            <w:tcW w:w="22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30"/>
          </w:tcPr>
          <w:p>
            <w:pPr>
              <w:spacing w:after="0" w:line="195" w:lineRule="exact"/>
              <w:rPr>
                <w:rFonts w:ascii="Times New Roman" w:cs="Times New Roman" w:eastAsia="Times New Roman" w:hAnsi="Times New Roman"/>
                <w:sz w:val="18"/>
                <w:szCs w:val="18"/>
                <w:color w:val="0000FF"/>
              </w:rPr>
            </w:pPr>
            <w:hyperlink r:id="rId670">
              <w:r>
                <w:rPr>
                  <w:rFonts w:ascii="Times New Roman" w:cs="Times New Roman" w:eastAsia="Times New Roman" w:hAnsi="Times New Roman"/>
                  <w:sz w:val="18"/>
                  <w:szCs w:val="18"/>
                  <w:color w:val="0000FF"/>
                </w:rPr>
                <w:t>between Ascendis Pharma A/S and Carbogen Amcis AG.</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gridSpan w:val="6"/>
            <w:shd w:val="clear" w:color="auto" w:fill="0000FF"/>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671">
              <w:r>
                <w:rPr>
                  <w:rFonts w:ascii="Times New Roman" w:cs="Times New Roman" w:eastAsia="Times New Roman" w:hAnsi="Times New Roman"/>
                  <w:sz w:val="18"/>
                  <w:szCs w:val="18"/>
                  <w:color w:val="0000FF"/>
                </w:rPr>
                <w:t>Manufacturing and Supply Agreement dated August 31, 2020</w:t>
              </w:r>
            </w:hyperlink>
          </w:p>
        </w:tc>
        <w:tc>
          <w:tcPr>
            <w:tcW w:w="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3/2/2022</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30"/>
          </w:tcPr>
          <w:p>
            <w:pPr>
              <w:spacing w:after="0" w:line="195" w:lineRule="exact"/>
              <w:rPr>
                <w:rFonts w:ascii="Times New Roman" w:cs="Times New Roman" w:eastAsia="Times New Roman" w:hAnsi="Times New Roman"/>
                <w:sz w:val="18"/>
                <w:szCs w:val="18"/>
                <w:color w:val="0000FF"/>
              </w:rPr>
            </w:pPr>
            <w:hyperlink r:id="rId671">
              <w:r>
                <w:rPr>
                  <w:rFonts w:ascii="Times New Roman" w:cs="Times New Roman" w:eastAsia="Times New Roman" w:hAnsi="Times New Roman"/>
                  <w:sz w:val="18"/>
                  <w:szCs w:val="18"/>
                  <w:color w:val="0000FF"/>
                </w:rPr>
                <w:t>between Ascendis Pharma A/S and NOF Corporation.</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672">
              <w:r>
                <w:rPr>
                  <w:rFonts w:ascii="Times New Roman" w:cs="Times New Roman" w:eastAsia="Times New Roman" w:hAnsi="Times New Roman"/>
                  <w:sz w:val="18"/>
                  <w:szCs w:val="18"/>
                  <w:color w:val="0000FF"/>
                </w:rPr>
                <w:t>Amended and Restated Shareholders Agreement dated January</w:t>
              </w:r>
            </w:hyperlink>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672">
              <w:r>
                <w:rPr>
                  <w:rFonts w:ascii="Times New Roman" w:cs="Times New Roman" w:eastAsia="Times New Roman" w:hAnsi="Times New Roman"/>
                  <w:sz w:val="18"/>
                  <w:szCs w:val="18"/>
                  <w:color w:val="0000FF"/>
                </w:rPr>
                <w:t>8, 2021, by and among Ascendis Pharma A/S and the parties</w:t>
              </w:r>
            </w:hyperlink>
          </w:p>
        </w:tc>
        <w:tc>
          <w:tcPr>
            <w:tcW w:w="16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30"/>
          </w:tcPr>
          <w:p>
            <w:pPr>
              <w:spacing w:after="0" w:line="195" w:lineRule="exact"/>
              <w:rPr>
                <w:rFonts w:ascii="Times New Roman" w:cs="Times New Roman" w:eastAsia="Times New Roman" w:hAnsi="Times New Roman"/>
                <w:sz w:val="18"/>
                <w:szCs w:val="18"/>
                <w:color w:val="0000FF"/>
              </w:rPr>
            </w:pPr>
            <w:hyperlink r:id="rId672">
              <w:r>
                <w:rPr>
                  <w:rFonts w:ascii="Times New Roman" w:cs="Times New Roman" w:eastAsia="Times New Roman" w:hAnsi="Times New Roman"/>
                  <w:sz w:val="18"/>
                  <w:szCs w:val="18"/>
                  <w:color w:val="0000FF"/>
                </w:rPr>
                <w:t>set forth therein.</w:t>
              </w:r>
            </w:hyperlink>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673">
              <w:r>
                <w:rPr>
                  <w:rFonts w:ascii="Times New Roman" w:cs="Times New Roman" w:eastAsia="Times New Roman" w:hAnsi="Times New Roman"/>
                  <w:sz w:val="18"/>
                  <w:szCs w:val="18"/>
                  <w:color w:val="0000FF"/>
                </w:rPr>
                <w:t>Amendment Letter to the Exclusive Licence Agreement dated</w:t>
              </w:r>
            </w:hyperlink>
          </w:p>
        </w:tc>
        <w:tc>
          <w:tcPr>
            <w:tcW w:w="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3/10/2021</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6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rPr>
            </w:pPr>
            <w:hyperlink r:id="rId673">
              <w:r>
                <w:rPr>
                  <w:rFonts w:ascii="Times New Roman" w:cs="Times New Roman" w:eastAsia="Times New Roman" w:hAnsi="Times New Roman"/>
                  <w:sz w:val="18"/>
                  <w:szCs w:val="18"/>
                  <w:color w:val="0000FF"/>
                </w:rPr>
                <w:t>January 4, 2021 between Ascendis Pharma Growth Disorders</w:t>
              </w:r>
            </w:hyperlink>
          </w:p>
        </w:tc>
        <w:tc>
          <w:tcPr>
            <w:tcW w:w="10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8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FF"/>
              </w:rPr>
            </w:pPr>
            <w:hyperlink r:id="rId673">
              <w:r>
                <w:rPr>
                  <w:rFonts w:ascii="Times New Roman" w:cs="Times New Roman" w:eastAsia="Times New Roman" w:hAnsi="Times New Roman"/>
                  <w:sz w:val="18"/>
                  <w:szCs w:val="18"/>
                  <w:color w:val="0000FF"/>
                </w:rPr>
                <w:t>A/S and VISEN Pharmaceuticals (CNP).</w:t>
              </w:r>
            </w:hyperlink>
          </w:p>
        </w:tc>
        <w:tc>
          <w:tcPr>
            <w:tcW w:w="158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5835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411" w:right="35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80" w:type="dxa"/>
            <w:vAlign w:val="bottom"/>
            <w:gridSpan w:val="11"/>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24"/>
                <w:szCs w:val="24"/>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24"/>
                <w:szCs w:val="24"/>
                <w:color w:val="auto"/>
              </w:rPr>
            </w:pP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24"/>
                <w:szCs w:val="24"/>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restart"/>
          </w:tcPr>
          <w:p>
            <w:pPr>
              <w:spacing w:after="0"/>
              <w:rPr>
                <w:sz w:val="24"/>
                <w:szCs w:val="24"/>
                <w:color w:val="auto"/>
              </w:rPr>
            </w:pP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1"/>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675">
              <w:r>
                <w:rPr>
                  <w:rFonts w:ascii="Times New Roman" w:cs="Times New Roman" w:eastAsia="Times New Roman" w:hAnsi="Times New Roman"/>
                  <w:sz w:val="18"/>
                  <w:szCs w:val="18"/>
                  <w:color w:val="0000FF"/>
                </w:rPr>
                <w:t>Amendment Letter to the Exclusive Licence Agreement dated</w:t>
              </w:r>
            </w:hyperlink>
          </w:p>
        </w:tc>
        <w:tc>
          <w:tcPr>
            <w:tcW w:w="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3/10/2021</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24"/>
                <w:szCs w:val="24"/>
                <w:color w:val="auto"/>
              </w:rPr>
            </w:pPr>
          </w:p>
        </w:tc>
        <w:tc>
          <w:tcPr>
            <w:tcW w:w="11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4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rPr>
            </w:pPr>
            <w:hyperlink r:id="rId675">
              <w:r>
                <w:rPr>
                  <w:rFonts w:ascii="Times New Roman" w:cs="Times New Roman" w:eastAsia="Times New Roman" w:hAnsi="Times New Roman"/>
                  <w:sz w:val="18"/>
                  <w:szCs w:val="18"/>
                  <w:color w:val="0000FF"/>
                </w:rPr>
                <w:t>January 4, 2021 between Ascendis Pharma Endocrinology</w:t>
              </w:r>
            </w:hyperlink>
          </w:p>
        </w:tc>
        <w:tc>
          <w:tcPr>
            <w:tcW w:w="32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4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FF"/>
              </w:rPr>
            </w:pPr>
            <w:hyperlink r:id="rId675">
              <w:r>
                <w:rPr>
                  <w:rFonts w:ascii="Times New Roman" w:cs="Times New Roman" w:eastAsia="Times New Roman" w:hAnsi="Times New Roman"/>
                  <w:sz w:val="18"/>
                  <w:szCs w:val="18"/>
                  <w:color w:val="0000FF"/>
                </w:rPr>
                <w:t>Division A/S and VISEN Pharmaceuticals (hGH).</w:t>
              </w:r>
            </w:hyperlink>
          </w:p>
        </w:tc>
        <w:tc>
          <w:tcPr>
            <w:tcW w:w="92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676">
              <w:r>
                <w:rPr>
                  <w:rFonts w:ascii="Times New Roman" w:cs="Times New Roman" w:eastAsia="Times New Roman" w:hAnsi="Times New Roman"/>
                  <w:sz w:val="18"/>
                  <w:szCs w:val="18"/>
                  <w:color w:val="0000FF"/>
                </w:rPr>
                <w:t>Amendment Letter to the Exclusive Licence Agreement dated</w:t>
              </w:r>
            </w:hyperlink>
          </w:p>
        </w:tc>
        <w:tc>
          <w:tcPr>
            <w:tcW w:w="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20-F</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3/10/2021</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24"/>
                <w:szCs w:val="24"/>
                <w:color w:val="auto"/>
              </w:rPr>
            </w:pPr>
          </w:p>
        </w:tc>
        <w:tc>
          <w:tcPr>
            <w:tcW w:w="11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001-36815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4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rPr>
            </w:pPr>
            <w:hyperlink r:id="rId676">
              <w:r>
                <w:rPr>
                  <w:rFonts w:ascii="Times New Roman" w:cs="Times New Roman" w:eastAsia="Times New Roman" w:hAnsi="Times New Roman"/>
                  <w:sz w:val="18"/>
                  <w:szCs w:val="18"/>
                  <w:color w:val="0000FF"/>
                </w:rPr>
                <w:t>January 4, 2021 between Ascendis Pharma Bone Diseases A/S</w:t>
              </w:r>
            </w:hyperlink>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0000FF"/>
              </w:rPr>
            </w:pPr>
            <w:hyperlink r:id="rId676">
              <w:r>
                <w:rPr>
                  <w:rFonts w:ascii="Times New Roman" w:cs="Times New Roman" w:eastAsia="Times New Roman" w:hAnsi="Times New Roman"/>
                  <w:sz w:val="18"/>
                  <w:szCs w:val="18"/>
                  <w:color w:val="0000FF"/>
                </w:rPr>
                <w:t>and VISEN Pharmaceuticals (PTH).</w:t>
              </w:r>
            </w:hyperlink>
          </w:p>
        </w:tc>
        <w:tc>
          <w:tcPr>
            <w:tcW w:w="1920" w:type="dxa"/>
            <w:vAlign w:val="bottom"/>
            <w:gridSpan w:val="10"/>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677">
              <w:r>
                <w:rPr>
                  <w:rFonts w:ascii="Times New Roman" w:cs="Times New Roman" w:eastAsia="Times New Roman" w:hAnsi="Times New Roman"/>
                  <w:sz w:val="18"/>
                  <w:szCs w:val="18"/>
                  <w:color w:val="0000FF"/>
                </w:rPr>
                <w:t>Ascendis Pharma A/S Restricted Stock Unit Program.</w:t>
              </w:r>
            </w:hyperlink>
          </w:p>
        </w:tc>
        <w:tc>
          <w:tcPr>
            <w:tcW w:w="64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5"/>
              </w:rPr>
              <w:t>S-8</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12/9/2021</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24"/>
                <w:szCs w:val="24"/>
                <w:color w:val="auto"/>
              </w:rPr>
            </w:pPr>
          </w:p>
        </w:tc>
        <w:tc>
          <w:tcPr>
            <w:tcW w:w="11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8"/>
              </w:rPr>
              <w:t>333-261550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w:t>
            </w:r>
          </w:p>
        </w:tc>
        <w:tc>
          <w:tcPr>
            <w:tcW w:w="5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00" w:type="dxa"/>
            <w:vAlign w:val="bottom"/>
            <w:tcBorders>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06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Section</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00" w:type="dxa"/>
            <w:vAlign w:val="bottom"/>
            <w:tcBorders>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660" w:type="dxa"/>
            <w:vAlign w:val="bottom"/>
            <w:gridSpan w:val="9"/>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w:t>
            </w:r>
          </w:p>
        </w:tc>
        <w:tc>
          <w:tcPr>
            <w:tcW w:w="52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00" w:type="dxa"/>
            <w:vAlign w:val="bottom"/>
            <w:tcBorders>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06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by Principal Financial Officer Pursuant to Section</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00" w:type="dxa"/>
            <w:vAlign w:val="bottom"/>
            <w:tcBorders>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660" w:type="dxa"/>
            <w:vAlign w:val="bottom"/>
            <w:gridSpan w:val="9"/>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7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EX-101.INS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5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EX-101.SCH</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EX-101.CAL</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EX-101.DEF</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EX-101.IAB</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EX-101.PRE</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included in Exhibit 101).</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9480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8">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 Confidential treatment has been granted for certain information contained in this Exhibit. Such information has been omitted and filed separately with the SEC.</w:t>
      </w:r>
    </w:p>
    <w:p>
      <w:pPr>
        <w:spacing w:after="0" w:line="26" w:lineRule="exact"/>
        <w:rPr>
          <w:sz w:val="20"/>
          <w:szCs w:val="20"/>
          <w:color w:val="auto"/>
        </w:rPr>
      </w:pPr>
    </w:p>
    <w:p>
      <w:pPr>
        <w:ind w:left="100" w:right="40" w:firstLine="7"/>
        <w:spacing w:after="0" w:line="286" w:lineRule="auto"/>
        <w:tabs>
          <w:tab w:leader="none" w:pos="221"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(indicated by asterisks) have been omitted pursuant to Regulation S-K, Item 601(b)(10). Such excluded information is not material and is the type that the registrant treats as private or confidential.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5835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40" w:top="411" w:right="359" w:bottom="1440" w:gutter="0" w:footer="0" w:header="0"/>
        </w:sectPr>
      </w:pPr>
    </w:p>
    <w:bookmarkStart w:id="239" w:name="page240"/>
    <w:bookmarkEnd w:id="23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Ascendis Pharma A/S</w:t>
      </w:r>
    </w:p>
    <w:p>
      <w:pPr>
        <w:spacing w:after="0" w:line="2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25400</wp:posOffset>
            </wp:positionV>
            <wp:extent cx="258000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Jan Møller Mikkelsen</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Board Member</w:t>
      </w:r>
    </w:p>
    <w:p>
      <w:pPr>
        <w:spacing w:after="0" w:line="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25400</wp:posOffset>
            </wp:positionV>
            <wp:extent cx="258000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Scott T. Smith</w:t>
      </w:r>
    </w:p>
    <w:p>
      <w:pPr>
        <w:spacing w:after="0" w:line="3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83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359" w:right="519" w:bottom="1440" w:gutter="0" w:footer="0" w:header="0"/>
        </w:sectPr>
      </w:pPr>
    </w:p>
    <w:bookmarkStart w:id="240" w:name="page241"/>
    <w:bookmarkEnd w:id="240"/>
    <w:p>
      <w:pPr>
        <w:ind w:left="10360"/>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Set forth below is a summary of certain information concerning our share capital as well as a description of certain provisions of our articles of association, the registration rights agreement entered into in December 2015 to which we and certain holders of American Depositary Shares, also referred to as ADSs, are parties or the 2015 Registration Rights Agreement, and relevant provisions of the Danish Companies Act (in Danish: Selskabsloven). Because the following is only a summary, it does not contain all of the information that may be important to you. The summary includes certain references to and descriptions of material provisions of our articles of association, the 2015 Registration Rights Agreement and Danish law in effect as of the date of our Annual Report on Form 20-F. The summary below does not purport to be complete and is qualified in its entirety by reference to applicable Danish Law and our articles of association and the 2015 Registration Rights Agreement, copies of which are incorporated by reference into our Annual Report on Form 20-F. Further, please note that ADS holders are not treated as our shareholders and do not have rights as a shareholder. For more information regarding the rights of ADS holders, see “Description of American Depositary Shares”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company was incorporated on September 21, 2006 as a private limited liability company (in Danish: </w:t>
      </w:r>
      <w:r>
        <w:rPr>
          <w:rFonts w:ascii="Times New Roman" w:cs="Times New Roman" w:eastAsia="Times New Roman" w:hAnsi="Times New Roman"/>
          <w:sz w:val="18"/>
          <w:szCs w:val="18"/>
          <w:i w:val="1"/>
          <w:iCs w:val="1"/>
          <w:color w:val="auto"/>
        </w:rPr>
        <w:t>Anpartsselskab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ApS</w:t>
      </w:r>
      <w:r>
        <w:rPr>
          <w:rFonts w:ascii="Times New Roman" w:cs="Times New Roman" w:eastAsia="Times New Roman" w:hAnsi="Times New Roman"/>
          <w:sz w:val="18"/>
          <w:szCs w:val="18"/>
          <w:color w:val="auto"/>
        </w:rPr>
        <w:t>) under Danish law and is</w:t>
      </w:r>
    </w:p>
    <w:p>
      <w:pPr>
        <w:spacing w:after="0" w:line="29"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 xml:space="preserve">registered with the Danish Business Authority (in Danish: </w:t>
      </w:r>
      <w:r>
        <w:rPr>
          <w:rFonts w:ascii="Times New Roman" w:cs="Times New Roman" w:eastAsia="Times New Roman" w:hAnsi="Times New Roman"/>
          <w:sz w:val="18"/>
          <w:szCs w:val="18"/>
          <w:i w:val="1"/>
          <w:iCs w:val="1"/>
          <w:color w:val="auto"/>
        </w:rPr>
        <w:t>Erhvervsstyrelsen</w:t>
      </w:r>
      <w:r>
        <w:rPr>
          <w:rFonts w:ascii="Times New Roman" w:cs="Times New Roman" w:eastAsia="Times New Roman" w:hAnsi="Times New Roman"/>
          <w:sz w:val="18"/>
          <w:szCs w:val="18"/>
          <w:color w:val="auto"/>
        </w:rPr>
        <w:t xml:space="preserve">) in Copenhagen, Denmark under registration number 29918791. On December 17, 2007, our company was converted into a public limited liability company (in Danish: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A/S</w:t>
      </w:r>
      <w:r>
        <w:rPr>
          <w:rFonts w:ascii="Times New Roman" w:cs="Times New Roman" w:eastAsia="Times New Roman" w:hAnsi="Times New Roman"/>
          <w:sz w:val="18"/>
          <w:szCs w:val="18"/>
          <w:color w:val="auto"/>
        </w:rPr>
        <w:t>). Our company’s headquarters and registered office is Tuborg Boulevard 12, DK-2900 Hellerup, Denmark.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Authorizations to our board of directors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our board of directors is authorized to increase the share capital as follows:</w:t>
      </w:r>
    </w:p>
    <w:p>
      <w:pPr>
        <w:spacing w:after="0" w:line="116" w:lineRule="exact"/>
        <w:rPr>
          <w:sz w:val="20"/>
          <w:szCs w:val="20"/>
          <w:color w:val="auto"/>
        </w:rPr>
      </w:pPr>
    </w:p>
    <w:p>
      <w:pPr>
        <w:ind w:left="1020" w:right="180" w:hanging="504"/>
        <w:spacing w:after="0" w:line="280"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increase our share capital by up to 9,000,000 shares with pre-emptive subscription rights for existing shareholders in connection with cash contributions. This authorization is valid until May 28, 2024.</w:t>
      </w:r>
    </w:p>
    <w:p>
      <w:pPr>
        <w:spacing w:after="0" w:line="55" w:lineRule="exact"/>
        <w:rPr>
          <w:rFonts w:ascii="Times New Roman" w:cs="Times New Roman" w:eastAsia="Times New Roman" w:hAnsi="Times New Roman"/>
          <w:sz w:val="18"/>
          <w:szCs w:val="18"/>
          <w:color w:val="auto"/>
        </w:rPr>
      </w:pPr>
    </w:p>
    <w:p>
      <w:pPr>
        <w:ind w:left="1020" w:right="20" w:hanging="504"/>
        <w:spacing w:after="0" w:line="259"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at one or more times to increase our share capital by up to nominal DKK 6,125,000 without pre-emptive subscription rights for existing shareholders. Capital increases according to this authorization can be carried out by our board of directors by way of contributions in kind, conversion of debt and/or cash contributions, and must be carried out at market price. This authorization is valid until May 27, 2026.</w:t>
      </w:r>
    </w:p>
    <w:p>
      <w:pPr>
        <w:spacing w:after="0" w:line="75"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578,717 warrants and to increase our share capital by up to nominal 578,717 shares without pre-emptive subscription rights for existing shareholders in connection with the exercise, if any, of said warrants and to determine the terms and conditions thereof. This authorization is valid until May 28, 2025.</w:t>
      </w:r>
    </w:p>
    <w:p>
      <w:pPr>
        <w:spacing w:after="0" w:line="67" w:lineRule="exact"/>
        <w:rPr>
          <w:rFonts w:ascii="Times New Roman" w:cs="Times New Roman" w:eastAsia="Times New Roman" w:hAnsi="Times New Roman"/>
          <w:sz w:val="18"/>
          <w:szCs w:val="18"/>
          <w:color w:val="auto"/>
        </w:rPr>
      </w:pPr>
    </w:p>
    <w:p>
      <w:pPr>
        <w:ind w:left="1020" w:right="140" w:hanging="504"/>
        <w:spacing w:after="0" w:line="257"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without pre-emptive rights for existing shareholders, authorized to obtain loans against issuance of convertible bonds which confer the right to subscribe up to 9,000,000 shares. The convertible bonds shall be offered at a subscription price and a conversion price that correspond in aggregate to at least the market price of the shares at the time of the decision of our board of directors to issue the convertible bonds. The loans shall be paid in cash and our board of directors shall determine the terms and conditions for the convertible bonds. This authorization is valid until May 29, 2027.</w:t>
      </w:r>
    </w:p>
    <w:p>
      <w:pPr>
        <w:spacing w:after="0" w:line="75" w:lineRule="exact"/>
        <w:rPr>
          <w:rFonts w:ascii="Times New Roman" w:cs="Times New Roman" w:eastAsia="Times New Roman" w:hAnsi="Times New Roman"/>
          <w:sz w:val="18"/>
          <w:szCs w:val="18"/>
          <w:color w:val="auto"/>
        </w:rPr>
      </w:pPr>
    </w:p>
    <w:p>
      <w:pPr>
        <w:ind w:left="1020" w:right="20" w:hanging="504"/>
        <w:spacing w:after="0" w:line="257"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on one or more occasions authorized to issue 380,779 warrants to members of the executive management and employees, advisors and consultants of our company or our subsidiaries and to increase our share capital by up to 380,779 shares, without pre-emptive subscription rights for existing shareholders in connection with the exercise, if any, of said warrants and to determine the terms and conditions thereof. The exercise price for the warrants shall at least be equal to the market price of the shares at the time of issuance. This authorization is valid until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83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41" w:name="page242"/>
    <w:bookmarkEnd w:id="241"/>
    <w:p>
      <w:pPr>
        <w:ind w:left="1020" w:right="200" w:hanging="504"/>
        <w:spacing w:after="0" w:line="276" w:lineRule="auto"/>
        <w:tabs>
          <w:tab w:leader="none" w:pos="10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is on one or more occasions authorized to issue 1,000,000 warrants to members of the executive management and employees, advisors and consultants of the company or our subsidiaries and to increase our share capital by up to 1,000,000 shares, without pre-emptive subscription rights for existing shareholders in connection with the exercise, if any, of said warrants and to determine the terms and conditions thereof. The exercise price for the warrants shall be determined by the board of directors in consultation with the company’s advisors and shall at least be equal to the market price of the shares at the time of issuance. This authorization is valid until May 29, 2027.</w:t>
      </w:r>
    </w:p>
    <w:p>
      <w:pPr>
        <w:spacing w:after="0" w:line="167"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17"/>
          <w:szCs w:val="17"/>
          <w:color w:val="auto"/>
        </w:rPr>
        <w:t>If our board of directors exercises its authorizations in full, and all warrants and convertible debt instruments are exercised fully (not including already issued warrants), then our share capital will amount to 83,236,791 shares consisting of 83,236,791 shares with a nominal value of DKK 1 each.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ADSs are listed on The Nasdaq Global Select Market under the symbol “ASND.”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warrants</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December 31, 2022, our board of directors is authorized to issue 1,959,496, warrants in the period ending May 29, 2027. As of December 31, 2022, there were outstanding 6,878,637 warrants to subscribe for our ordinary shares and such warrants had a weighted average exercise price of €81.30.</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 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our company’s equity. For the purpose of implementing the capital increases necessary in connection with the exercise of warrants, our board of directors has been authorized to increase our share capital by one or more issuances of shares with a total nominal value corresponding to the number of warrants issued upon cash payment of the exercise price without any pre-emptive subscription rights to existing shareholders.</w:t>
      </w:r>
    </w:p>
    <w:p>
      <w:pPr>
        <w:spacing w:after="0" w:line="18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warrants granted under the program from December 2012 until and including November 2021 generally vest 1/48th per month from the date of grant subject to continued service for employees, consultants and grants to board members. However, effective from December 2015, subsequent grants to board members vest 1/24th per month from the date of grant.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87"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color w:val="auto"/>
        </w:rPr>
        <w:t>Subject to earlier vesting, upon the occurrence of certain exit events, for warrants granted under the program as in effect since December 9, 2021, the following vesting applies:</w:t>
      </w:r>
    </w:p>
    <w:p>
      <w:pPr>
        <w:spacing w:after="0" w:line="16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25% of the warrants granted to employees and consultants generally vest one year after the time of grant, and the remaining 75% of the warrants granted generally vest with 1/36 per month from one year after the time of grant. As regards warrants which board members are granted in connection with appointment, 25% of the warrants granted generally vest one year after the time of the grant (the initial grant after the board member’s accession), and the remaining 75% of the warrants granted generally vest with 1/36 per month from one year after the time of the grant. Regarding any subsequent grants of warrants to board members (“Subsequent Warrants”) 50% of the Subsequent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42" w:name="page243"/>
    <w:bookmarkEnd w:id="242"/>
    <w:p>
      <w:pPr>
        <w:ind w:right="160"/>
        <w:spacing w:after="0" w:line="265" w:lineRule="auto"/>
        <w:rPr>
          <w:sz w:val="20"/>
          <w:szCs w:val="20"/>
          <w:color w:val="auto"/>
        </w:rPr>
      </w:pPr>
      <w:r>
        <w:rPr>
          <w:rFonts w:ascii="Times New Roman" w:cs="Times New Roman" w:eastAsia="Times New Roman" w:hAnsi="Times New Roman"/>
          <w:sz w:val="18"/>
          <w:szCs w:val="18"/>
          <w:color w:val="auto"/>
        </w:rPr>
        <w:t>Warrants generally vest one year after the time of such subsequent grant and the remaining 50% of the Subsequent Warrants shall generally vest with 1/12 per month from one year after the time of such subsequent grant. Warrants will generally cease vesting upon termination of service with respect to employees, consultants and board members.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Vested warrants may be exercised during certain exercise periods each year. For 299,830 outstanding warrants, granted in the period 2012 to 2014,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15,732 outstanding warrants granted in connection with our preference D financing, there are four annual exercise periods that continue for 21 days following the day of publication of (i) our interim report (three-month report); (ii) the annual report notification—or if such notification is not published—the annual report; (iii) our interim report (six-month report); and</w:t>
      </w:r>
    </w:p>
    <w:p>
      <w:pPr>
        <w:spacing w:after="0" w:line="1" w:lineRule="exact"/>
        <w:rPr>
          <w:sz w:val="20"/>
          <w:szCs w:val="20"/>
          <w:color w:val="auto"/>
        </w:rPr>
      </w:pPr>
    </w:p>
    <w:p>
      <w:pPr>
        <w:ind w:right="100" w:firstLine="8"/>
        <w:spacing w:after="0" w:line="251" w:lineRule="auto"/>
        <w:tabs>
          <w:tab w:leader="none" w:pos="3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interim report (nine-month report). For these warrants, the last exercise period is 21 days following the publication of our interim report (nine-month report) in 2023. For 6,563,075outstanding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 program</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board of directors is authorized to during the period until May 27, 2026, on one or more occasions, to purchase up to nominal DKK 2,000,000 shares or American Depositary Shares (“ADSs”) representing a corresponding amount of shares in the company as treasury shares.</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Our board of directors has partially exercised this right and the company has re-purchased nominal DKK 1,154,837 ADSs in December 2021 (nominal DKK 154,837) and March 2022 (nominal DKK 1,000,000), representing a corresponding amount of shares in the company as treasury shares primarily to be granted as Restricted Stock Units (“RSUs”) in connection with the implementation of a restricted stock units Program (“RSU Program”) in the company. In December 2022, 41,685 ADSs were transferred under the company's RSU program.</w:t>
      </w:r>
    </w:p>
    <w:p>
      <w:pPr>
        <w:spacing w:after="0" w:line="18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RSUs may be granted to members of the senior management team, non-executive directors, and other employees (“Participants”) employed with the company or another company within the company’s group. Our board of directors may also, at its sole discretion, decide to grant RSUs to consultants or members of our board of directors who are then also deemed Participants.</w:t>
      </w:r>
    </w:p>
    <w:p>
      <w:pPr>
        <w:spacing w:after="0" w:line="17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One RSU represents a right for the Participant to receive one Ascendis Pharma A/S American Depositary Share upon vesting. One Ascendis Pharma A/S American Depositary Share (“ADS”) represents one (1) ordinary share in the company with a nominal value of DKK 1.00. ADSs underlying RSUs are deemed to be treasury shares that have been repurchased in the market and, upon vesting, the company may at its sole discretion choose to make a cash settlement instead of delivering ADSs.</w:t>
      </w:r>
    </w:p>
    <w:p>
      <w:pPr>
        <w:spacing w:after="0" w:line="183"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Our board of directors may, in its sole discretion, at any given point in time, decide to grant RSUs and may at its discretion and on an individual basis decide to deviate from the vesting principles and/or the vesting conditions as set forth in the RSU Program.</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RSUs are issued and granted to the Participant free of charge. It is a condition for vesting that the Participant is still either employed or retained as consultant within the company or another company within the company’s group or appointed as member of the board of directors on the vesting date. Subject to earlier vesting, upon the occurrence of certain exit events, for each award of RSUs 1/3 of such RSUs will vest on each anniversary of the date of grant, subject to continued service and, in the case of the RSUs granted to our chief executive officer, subject to the achievement of a performance condition as determined by our board of directors.</w:t>
      </w:r>
    </w:p>
    <w:p>
      <w:pPr>
        <w:spacing w:after="0" w:line="1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On December 9, 2021, our board of directors granted an aggregate of (i) 5,352 RSUs to certain non-employee board members of the company, (ii) 104,886 RSUs to certain members of senior management of the company, and (iii) 37,910 RSUs to certain other employees of the company under the terms of the RSU Program.</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Under the 2015 Registration Rights Agreement, we were required to timely register with the SEC 1.0 million ordinary shares underlying 1.0 million ADSs (the “Fidelity Shares”), purchased by Fidelity Securities Fund: Fidelity Series Small Cap Opportunities Fund—Healthcare Sub and Fidelity Stock Selector Small Cap Fund—Health Care Sub on December 14, 2015. In addition, the owners of the Fidelity Shares are entitled to registration of the Fidelity Shares on Form F-3. In accordance with our obligations under the 2015 Registration Rights Agreement, we filed a resale registration statement in February 2016 to register for resale the Fidelity Shares.</w:t>
      </w:r>
    </w:p>
    <w:p>
      <w:pPr>
        <w:spacing w:after="0" w:line="18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Unless our ordinary shares are listed on a national securities exchange or trading system and a market for our ordinary shares not held in the form of ADSs exists, any registrable securities sold pursuant to an exercise of the registration rights will be sold in the form of ADSs.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0"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8"/>
          <w:szCs w:val="18"/>
          <w:color w:val="auto"/>
        </w:rPr>
        <w:t>Under the 2015 Registration Rights Agreement, we agreed to pay certain registration expenses of the holders of the shares registered pursuant to the registration rights described above, excluding, among other things, the expenses of counsel for Fidelity Securities Fund: Fidelity Series Small Cap Opportunities Fund—Healthcare Sub and Fidelity Stock Selector Small Cap Fund—Health Care Sub.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0"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Under the 2015 Registration Rights Agreement, the registration rights described above will expire upon the earlier of a change of control event, the disposition of the Fidelity Shares or when the Fidelity Shares can be sold under Rule 144 or Regulation S of the Securities Act during any three-month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 register</w:t>
      </w:r>
    </w:p>
    <w:p>
      <w:pPr>
        <w:spacing w:after="0" w:line="11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are obligated to maintain an owners’ register (in Danish:</w:t>
      </w:r>
      <w:r>
        <w:rPr>
          <w:rFonts w:ascii="Times New Roman" w:cs="Times New Roman" w:eastAsia="Times New Roman" w:hAnsi="Times New Roman"/>
          <w:sz w:val="18"/>
          <w:szCs w:val="18"/>
          <w:i w:val="1"/>
          <w:iCs w:val="1"/>
          <w:color w:val="auto"/>
        </w:rPr>
        <w:t>ejerbog</w:t>
      </w:r>
      <w:r>
        <w:rPr>
          <w:rFonts w:ascii="Times New Roman" w:cs="Times New Roman" w:eastAsia="Times New Roman" w:hAnsi="Times New Roman"/>
          <w:sz w:val="18"/>
          <w:szCs w:val="18"/>
          <w:color w:val="auto"/>
        </w:rPr>
        <w:t>). The owners’ register is maintained by Computershare A/S (Company Registration (CVR) no. 27088899), our Danish share registrar. It is mandatory that the owners’ register is maintained within the European Union and that it is available to public authorities.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and Danish corporate law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articles of association, the following should be emphasized: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clause</w:t>
      </w:r>
    </w:p>
    <w:p>
      <w:pPr>
        <w:spacing w:after="0" w:line="1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provisions regarding the board of directors and the executive board</w:t>
      </w:r>
    </w:p>
    <w:p>
      <w:pPr>
        <w:spacing w:after="0" w:line="12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Pursuant to our articles of association, our board of directors shall be elected by our shareholders at the general meeting and shall be composed of not less than three and no more than 10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2021 for a term expiring at the annual general meeting to be held in 2023; and a second class of directors (“Class II”) who were elected at the annual general meeting held in 2022 for a term expiring at the annual general meeting to be held in 2024. Member of Class I Dr. James I. Healy, M.D., Ph.D., resigned from the board of directors with effect as of May 30, 2022. On September 9, 2022, Siham Imani and William Carl Fairey Jr., were elected as new members of the board of directors in Class I for a term expiring at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44" w:name="page245"/>
    <w:bookmarkEnd w:id="244"/>
    <w:p>
      <w:pPr>
        <w:ind w:right="100"/>
        <w:spacing w:after="0" w:line="257" w:lineRule="auto"/>
        <w:rPr>
          <w:sz w:val="20"/>
          <w:szCs w:val="20"/>
          <w:color w:val="auto"/>
        </w:rPr>
      </w:pPr>
      <w:r>
        <w:rPr>
          <w:rFonts w:ascii="Times New Roman" w:cs="Times New Roman" w:eastAsia="Times New Roman" w:hAnsi="Times New Roman"/>
          <w:sz w:val="18"/>
          <w:szCs w:val="18"/>
          <w:color w:val="auto"/>
        </w:rPr>
        <w:t>annual general meeting to be held in 2023.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83"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Item 10 E. Additional Information—Taxation</w:t>
      </w:r>
      <w:r>
        <w:rPr>
          <w:rFonts w:ascii="Times New Roman" w:cs="Times New Roman" w:eastAsia="Times New Roman" w:hAnsi="Times New Roman"/>
          <w:sz w:val="18"/>
          <w:szCs w:val="18"/>
          <w:color w:val="auto"/>
        </w:rPr>
        <w:t>” in our Annual Report on Form 20-F for a summary of certain tax consequences in respect of dividends or distributions to holders of our ordinary shares or the ADSs.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subscription rights</w:t>
      </w:r>
    </w:p>
    <w:p>
      <w:pPr>
        <w:spacing w:after="0" w:line="1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83"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future issuances of new shares and/or pre-emptive rights are registered under the Securities Act or with any authority outside Denmark,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shareholders in jurisdictions outside Denmark may be unable to exercise their pre-emptive subscription rights.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on liquidation</w:t>
      </w:r>
    </w:p>
    <w:p>
      <w:pPr>
        <w:spacing w:after="0" w:line="12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44" w:right="3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holding of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limitations on the right to hold shares under the articles of association or Danish law.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to capital calls by us</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Under our articles of association as well as the Danish Companies Act, our shareholders are not obligated to pay further amounts to us. All our shares are fully-paid.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 provisions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or similar obligations relating to our ordinary shares.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requirements</w:t>
      </w:r>
    </w:p>
    <w:p>
      <w:pPr>
        <w:spacing w:after="0" w:line="1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or 1/3 or 2/3 are reached or no longer reached. The notification shall be given within two weeks following the date when the limits are reached or are no longer reached.</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notification must include information on the date of acquisition or disposal of the shares, the number and, if applicable, the share class, the full name, address and civil registration (CPR) number of the shareholder or the name, central business register (CVR) number and registered office of the enterprise. If the shareholder has no civil registration (CPR) number or central business (CVR) number, such notice must be accompanied by other documentation securing unambiguous identification of the shareholder. The notice must also include information on the denomination or nominal value of the shares and the voting rights attaching to the shares.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legal status of the notification obligations is not fully clarified in relation to ADS holders and an ADS holder may be subject to such obligations.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shareholders is the highest authority in all matters, subject to the limitations provided by Danish law and the articles of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general meeting shall be held in the Greater Copenhagen area not later than the end of May in each year.</w:t>
      </w:r>
    </w:p>
    <w:p>
      <w:pPr>
        <w:spacing w:after="0" w:line="20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At the annual general meeting, the audited annual report is submitted for approval, together with the proposed appropriation of profit/treatment of loss, the election of the board of directors and election of our auditors. In addition, the board of directors reports on our activities during the past year.</w:t>
      </w:r>
    </w:p>
    <w:p>
      <w:pPr>
        <w:spacing w:after="0" w:line="16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General meetings are convened by the board of directors with a minimum of two weeks’ notice and a maximum of four weeks’ notice. A convening notice will be forwarded to shareholders recorded in our owners’ register, who have requested such notification and by publication in the Danish Business Authority’s computerized information system and on the company’s website.</w:t>
      </w:r>
    </w:p>
    <w:p>
      <w:pPr>
        <w:spacing w:after="0" w:line="175"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At the latest, two weeks before a general meeting (inclusive of the day of the general meeting), we shall make the following information and documents available on our webpage:</w:t>
      </w:r>
    </w:p>
    <w:p>
      <w:pPr>
        <w:spacing w:after="0" w:line="55" w:lineRule="exact"/>
        <w:rPr>
          <w:sz w:val="20"/>
          <w:szCs w:val="20"/>
          <w:color w:val="auto"/>
        </w:rPr>
      </w:pPr>
    </w:p>
    <w:p>
      <w:pPr>
        <w:ind w:left="1020" w:hanging="504"/>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convening notice,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46" w:name="page247"/>
    <w:bookmarkEnd w:id="246"/>
    <w:p>
      <w:pPr>
        <w:ind w:left="1020" w:right="100" w:hanging="504"/>
        <w:spacing w:after="0" w:line="280"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that shall be presented at the general meeting, which will, in the case of the annual general meeting, include the annual report,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and the complete proposals.</w:t>
      </w:r>
    </w:p>
    <w:p>
      <w:pPr>
        <w:spacing w:after="0" w:line="22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8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not entitled to directly receive notices or other materials or to attend or vote at general meetings.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Resolutions in general meetings</w:t>
      </w:r>
    </w:p>
    <w:p>
      <w:pPr>
        <w:spacing w:after="0" w:line="1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0"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 out</w:t>
      </w:r>
    </w:p>
    <w:p>
      <w:pPr>
        <w:spacing w:after="0" w:line="1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According to Section 70 of the Danish Companies Act, shares in a company may be redeemed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Danish rules intended to prevent market abuse</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47" w:name="page248"/>
    <w:bookmarkEnd w:id="247"/>
    <w:p>
      <w:pPr>
        <w:ind w:right="220"/>
        <w:spacing w:after="0" w:line="280" w:lineRule="auto"/>
        <w:rPr>
          <w:sz w:val="20"/>
          <w:szCs w:val="20"/>
          <w:color w:val="auto"/>
        </w:rPr>
      </w:pPr>
      <w:r>
        <w:rPr>
          <w:rFonts w:ascii="Times New Roman" w:cs="Times New Roman" w:eastAsia="Times New Roman" w:hAnsi="Times New Roman"/>
          <w:sz w:val="18"/>
          <w:szCs w:val="18"/>
          <w:color w:val="auto"/>
        </w:rPr>
        <w:t>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w:t>
      </w:r>
    </w:p>
    <w:p>
      <w:pPr>
        <w:spacing w:after="0" w:line="120"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8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8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such indemnification, we provide our board members and senior management with directors’ and officers’ liability insurance.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Danish corporate law and our articles of association and Delaware corporate law</w:t>
      </w:r>
    </w:p>
    <w:p>
      <w:pPr>
        <w:spacing w:after="0" w:line="22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following comparison between Danish corporate law, which applies to us, and Delaware corporate law, the law under which many publicly traded companies in the United States are incorporated, discusses additional matters not otherwise described in our Annual Report on Form 20-F.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board members</w:t>
      </w:r>
    </w:p>
    <w:p>
      <w:pPr>
        <w:spacing w:after="0" w:line="118"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Public limited liability companies in Denmark are usually subject to a two-tier governance structure with the board of directors having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48" w:name="page249"/>
    <w:bookmarkEnd w:id="248"/>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board of directors bears the ultimate responsibility for managing the business and affairs of a corporation. In discharging this function,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the members of our board of directors</w:t>
      </w:r>
    </w:p>
    <w:p>
      <w:pPr>
        <w:spacing w:after="0" w:line="11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members of the board of directors of a limited liability company are generally appointed for an individual term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general meeting, shareholders are entitled at all times to dismiss a board member by a simple majority vote.</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Ascendis Pharma Endocrinology, Inc., Ascendis Pharma GmbH, and Ascendis Pharma Endocrinology GmbH may only demand representation on our board of directors provided that our general meeting adopts a resolution to that effect.</w:t>
      </w:r>
    </w:p>
    <w:p>
      <w:pPr>
        <w:spacing w:after="0" w:line="18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provides for a one-year term for directors, but permits directorships to be divided into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member vacancies</w:t>
      </w:r>
    </w:p>
    <w:p>
      <w:pPr>
        <w:spacing w:after="0" w:line="11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in the event of a vacancy, new board members are elected by the shareholders in a general meeting. Thus, a general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have to be convened to fill a vacancy on the board of directors. However, the board of directors may choose to wait to fill vacancies until the next annual general meeting of the company, provided that the remaining board members can still constitute a quorum. It is only a statutory requirement to convene a general meeting to fill vacancies if the number of remaining members on the board is less than three.</w:t>
      </w:r>
    </w:p>
    <w:p>
      <w:pPr>
        <w:spacing w:after="0" w:line="1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that vacancies and newly created directorships may be filled by a majority of the directors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office (even though less than a quorum) unless (1) otherwise provided in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49" w:name="page250"/>
    <w:bookmarkEnd w:id="249"/>
    <w:p>
      <w:pPr>
        <w:ind w:right="440"/>
        <w:spacing w:after="0" w:line="280" w:lineRule="auto"/>
        <w:rPr>
          <w:sz w:val="20"/>
          <w:szCs w:val="20"/>
          <w:color w:val="auto"/>
        </w:rPr>
      </w:pPr>
      <w:r>
        <w:rPr>
          <w:rFonts w:ascii="Times New Roman" w:cs="Times New Roman" w:eastAsia="Times New Roman" w:hAnsi="Times New Roman"/>
          <w:sz w:val="18"/>
          <w:szCs w:val="18"/>
          <w:color w:val="auto"/>
        </w:rPr>
        <w:t>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Conflict-of-interest transactions</w:t>
      </w:r>
    </w:p>
    <w:p>
      <w:pPr>
        <w:spacing w:after="0" w:line="11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board members may not take part in any matter or decision-making that involves a subject or transaction in relation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member has a conflict of interest with us.</w:t>
      </w:r>
    </w:p>
    <w:p>
      <w:pPr>
        <w:spacing w:after="0" w:line="15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generally permits transactions involving a Delaware corporation and an interested director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if:</w:t>
      </w:r>
    </w:p>
    <w:p>
      <w:pPr>
        <w:spacing w:after="0" w:line="54" w:lineRule="exact"/>
        <w:rPr>
          <w:sz w:val="20"/>
          <w:szCs w:val="20"/>
          <w:color w:val="auto"/>
        </w:rPr>
      </w:pPr>
    </w:p>
    <w:p>
      <w:pPr>
        <w:ind w:left="1020" w:hanging="504"/>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and a majority of disinterested directors’ consent;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as to the director’s relationship or interest and a majority of shares entitled to vote thereon consent; or</w:t>
      </w:r>
    </w:p>
    <w:p>
      <w:pPr>
        <w:spacing w:after="0" w:line="115" w:lineRule="exact"/>
        <w:rPr>
          <w:rFonts w:ascii="Times New Roman" w:cs="Times New Roman" w:eastAsia="Times New Roman" w:hAnsi="Times New Roman"/>
          <w:sz w:val="18"/>
          <w:szCs w:val="18"/>
          <w:color w:val="auto"/>
        </w:rPr>
      </w:pPr>
    </w:p>
    <w:p>
      <w:pPr>
        <w:ind w:left="1020" w:right="420" w:hanging="504"/>
        <w:spacing w:after="0" w:line="280" w:lineRule="auto"/>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by board members</w:t>
      </w:r>
    </w:p>
    <w:p>
      <w:pPr>
        <w:spacing w:after="0" w:line="118"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In the event that a board member in a Danish limited liability company is unable to participate in a board meeting, the elected alternate,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given access to participate in the board meeting. Unless the board of directors has decided otherwise, or as otherwise is set out in the articles of association, the board member in question may in special cases grant a power of attorney to another board member, provided that this is considered safe considering the agenda in question.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 director of a Delaware corporation may not issue a proxy representing the director’s voting rights as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meeting</w:t>
      </w:r>
    </w:p>
    <w:p>
      <w:pPr>
        <w:spacing w:after="0" w:line="11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general meetings in limited liability companies shall be convened by the board of directors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of two weeks’ notice and a maximum of four weeks’ notice as set forth in the articles of association. A convening notice shall be forwarded to shareholders recorded in the company’s owners’ register, who have requested such notification. There are specific requirements as to the information and documentation required to be disclosed in connection with the convening notice.</w:t>
      </w:r>
    </w:p>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Delaware law, unless otherwise provided in the certificate of incorporation or bylaws, written notice of any meeting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given to each stockholder entitled to vote at the meeting not less than ten nor more than 60 days before the date of the meeting and shall specify the place, date, hour, and purpose or purposes of the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Each ordinary share confers the right to cast one vote at the general meeting of shareholders, unless the articles of association provide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of ordinary shares may cast as many votes as it holds shares. Shares that are held by the company or its subsidiaries do not confer the right to vote.</w:t>
      </w:r>
    </w:p>
    <w:p>
      <w:pPr>
        <w:spacing w:after="0" w:line="17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each stockholder is entitled to one vote per share of stock, unless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250" w:name="page251"/>
    <w:bookmarkEnd w:id="250"/>
    <w:p>
      <w:pPr>
        <w:spacing w:after="0" w:line="257"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the Danish Companies Act, extraordinary general meetings of shareholders will be held whenever the board of directors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1" w:lineRule="exact"/>
        <w:rPr>
          <w:sz w:val="20"/>
          <w:szCs w:val="20"/>
          <w:color w:val="auto"/>
        </w:rPr>
      </w:pPr>
    </w:p>
    <w:p>
      <w:pPr>
        <w:jc w:val="both"/>
        <w:ind w:right="580"/>
        <w:spacing w:after="0" w:line="265" w:lineRule="auto"/>
        <w:rPr>
          <w:sz w:val="20"/>
          <w:szCs w:val="20"/>
          <w:color w:val="auto"/>
        </w:rPr>
      </w:pPr>
      <w:r>
        <w:rPr>
          <w:rFonts w:ascii="Times New Roman" w:cs="Times New Roman" w:eastAsia="Times New Roman" w:hAnsi="Times New Roman"/>
          <w:sz w:val="18"/>
          <w:szCs w:val="18"/>
          <w:color w:val="auto"/>
        </w:rPr>
        <w:t>All shareholders have the right to present proposals for adoption at the annual general meeting, provided that the proposals are made in writing and forwarded at the latest six weeks prior thereto. In the event that the proposal is received at a later date, the board of directors will decide whether the proposal has been forwarded in due time to be included on the agenda.</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Delaware law does not specifically grant stockholders the right to bring business before an annual or special meeting of stockholders.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permissible for shareholders to take action and pass resolutions by written consent in the event of unanimity;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will normally not be the case in listed companies and for a listed company, this method of adopting resolutions is generally not feasible.</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Although permitted by Delaware law, publicly listed companies do not typically permit stockholders of a corporation to take action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The concept of appraisal rights does not exist under Danish law, except in connection with statutory redemptions rights according to the Danish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w:t>
      </w:r>
    </w:p>
    <w:p>
      <w:pPr>
        <w:spacing w:after="0" w:line="16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The Delaware General Corporation Law provides for stockholder appraisal rights, or the right to demand payment in cash of the judicially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fair value of the stockholder’s shares, in connection with certain mergers and consolidations.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only a company itself can bring a civil action against a third party; an individual shareholder does not have the right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stockholder may bring a derivative action on behalf of the corporation to enforce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1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Danish limited liability companies may not subscribe for newly issued shares in their own capital. Such company may, however, according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8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corporation may purchase or redeem its own shares unless the capital of the corporation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1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it is possible to implement limited protective anti-takeover measures. Such provisions may include, among other things,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share classes with different voting rights, (ii) specific requirements to register the shares named in the company’s owners register and (iii) notification requirements concerning participation in general meetings. We have currently not adopted any such provisions.</w:t>
      </w:r>
    </w:p>
    <w:p>
      <w:pPr>
        <w:spacing w:after="0" w:line="17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68" w:lineRule="exact"/>
        <w:rPr>
          <w:sz w:val="20"/>
          <w:szCs w:val="20"/>
          <w:color w:val="auto"/>
        </w:rPr>
      </w:pPr>
    </w:p>
    <w:p>
      <w:pPr>
        <w:ind w:left="1020" w:right="240" w:hanging="504"/>
        <w:spacing w:after="0" w:line="280" w:lineRule="auto"/>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stockholder is approved by the board of directors of the target prior to the transaction;</w:t>
      </w:r>
    </w:p>
    <w:p>
      <w:pPr>
        <w:spacing w:after="0" w:line="55" w:lineRule="exact"/>
        <w:rPr>
          <w:rFonts w:ascii="Times New Roman" w:cs="Times New Roman" w:eastAsia="Times New Roman" w:hAnsi="Times New Roman"/>
          <w:sz w:val="18"/>
          <w:szCs w:val="18"/>
          <w:color w:val="auto"/>
        </w:rPr>
      </w:pPr>
    </w:p>
    <w:p>
      <w:pPr>
        <w:jc w:val="both"/>
        <w:ind w:left="1020" w:right="40" w:hanging="504"/>
        <w:spacing w:after="0" w:line="265" w:lineRule="auto"/>
        <w:tabs>
          <w:tab w:leader="none" w:pos="1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52" w:name="page253"/>
    <w:bookmarkEnd w:id="252"/>
    <w:p>
      <w:pPr>
        <w:ind w:left="1020" w:right="360" w:hanging="504"/>
        <w:spacing w:after="0" w:line="280" w:lineRule="auto"/>
        <w:tabs>
          <w:tab w:leader="none" w:pos="10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11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According to Section 150 of the Danish Companies Act, a shareholder may request an inspection of the company’s books regarding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any stockholder may inspect certain of the corporation’s books and records, for any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during the corporation’s usual hours of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shareholders have pre-emptive subscription rights in connection with capital increases that are carried out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 existing shareholders pursuant to the authorizations described above under the caption “Authorizations to our board of directors.”</w:t>
      </w:r>
    </w:p>
    <w:p>
      <w:pPr>
        <w:spacing w:after="0" w:line="18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6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stockholders have no pre-emptive rights to subscribe for additional issues of stock or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such stock unless, and to the extent that, such rights are expressly provided for in the certificate of incorporation.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the distribution of ordinary and extraordinary dividends requires the approval of a company’s shareholders at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Under the Danish Companies Act t</w:t>
      </w:r>
      <w:r>
        <w:rPr>
          <w:rFonts w:ascii="Times New Roman" w:cs="Times New Roman" w:eastAsia="Times New Roman" w:hAnsi="Times New Roman"/>
          <w:sz w:val="17"/>
          <w:szCs w:val="17"/>
          <w:color w:val="auto"/>
        </w:rPr>
        <w:t>he general meeting may authorise the board of directors to resolve to distribute extraordinary dividends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presentation of a company’s first financial statements. The authorisation may be subject to financial and time restrictions.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 The decision to pay out extraordinary dividends shall be accompanied by a balance sheet, and the board of directors determine whether it will be sufficient to use the balance sheet from the annual report or if an interim balance sheet for the period from the annual report period until the extraordinary dividend payment shall be prepared. If extraordinary dividends are paid out later than six months following the financial year for the latest annual report, an interim balance sheet showing that there are sufficient funds shall always be prepared.</w:t>
      </w:r>
    </w:p>
    <w:p>
      <w:pPr>
        <w:spacing w:after="0" w:line="1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a Delaware corporation may pay dividends out of its surplus (the excess of net assets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or in case there is no surplus, out of its net profits for the fiscal year in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4" w:right="359" w:bottom="1440" w:gutter="0" w:footer="0" w:header="0"/>
        </w:sectPr>
      </w:pPr>
    </w:p>
    <w:bookmarkStart w:id="253" w:name="page254"/>
    <w:bookmarkEnd w:id="253"/>
    <w:p>
      <w:pPr>
        <w:ind w:right="40"/>
        <w:spacing w:after="0" w:line="257" w:lineRule="auto"/>
        <w:rPr>
          <w:sz w:val="20"/>
          <w:szCs w:val="20"/>
          <w:color w:val="auto"/>
        </w:rPr>
      </w:pPr>
      <w:r>
        <w:rPr>
          <w:rFonts w:ascii="Times New Roman" w:cs="Times New Roman" w:eastAsia="Times New Roman" w:hAnsi="Times New Roman"/>
          <w:sz w:val="18"/>
          <w:szCs w:val="18"/>
          <w:color w:val="auto"/>
        </w:rPr>
        <w:t>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vote on certain reorganizations</w:t>
      </w:r>
    </w:p>
    <w:p>
      <w:pPr>
        <w:spacing w:after="0" w:line="1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Under Danish law, all amendments to the articles of association shall be approved by the general meeting of shareholders with a minimum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demergers with the company as the transferor company and demergers with the company as the existing transferee if amendment of the articles of association for any purpose other than the adoption of the transferor company’s name or secondary name as the transferee company’s secondary name is required to be made. Under Danish law, it is debatable whether the shareholders must approve a decision to sell all or virtually all of the company’s business/assets.</w:t>
      </w:r>
    </w:p>
    <w:p>
      <w:pPr>
        <w:spacing w:after="0" w:line="18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Delaware</w:t>
      </w:r>
      <w:r>
        <w:rPr>
          <w:rFonts w:ascii="Times New Roman" w:cs="Times New Roman" w:eastAsia="Times New Roman" w:hAnsi="Times New Roman"/>
          <w:sz w:val="18"/>
          <w:szCs w:val="18"/>
          <w:color w:val="auto"/>
        </w:rPr>
        <w:t>. Under the Delaware General Corporation Law, the vote of a majority of the outstanding shares of capital stock entitled to vote thereon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governing documents</w:t>
      </w:r>
    </w:p>
    <w:p>
      <w:pPr>
        <w:spacing w:after="0" w:line="1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Denmark</w:t>
      </w:r>
      <w:r>
        <w:rPr>
          <w:rFonts w:ascii="Times New Roman" w:cs="Times New Roman" w:eastAsia="Times New Roman" w:hAnsi="Times New Roman"/>
          <w:sz w:val="18"/>
          <w:szCs w:val="18"/>
          <w:color w:val="auto"/>
        </w:rPr>
        <w:t>. All resolutions made by the general meeting may be adopted by a simple majority of the votes, subject only to the mandatory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8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i w:val="1"/>
          <w:iCs w:val="1"/>
          <w:color w:val="auto"/>
        </w:rPr>
        <w:t>Delaware</w:t>
      </w:r>
      <w:r>
        <w:rPr>
          <w:rFonts w:ascii="Times New Roman" w:cs="Times New Roman" w:eastAsia="Times New Roman" w:hAnsi="Times New Roman"/>
          <w:sz w:val="17"/>
          <w:szCs w:val="17"/>
          <w:color w:val="auto"/>
        </w:rPr>
        <w:t>. Under the Delaware General Corporation Law, a corporation’s certificate of incorporation may be amended only if adopted and declared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120"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color w:val="auto"/>
        </w:rPr>
        <w:t>The depositary for the ADSs is The Bank of New York Mellon. The Bank of New York Mellon’s depositary office and its principal executive office are located at 240 Greenwich Street, New York, New York 10286.</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2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color w:val="auto"/>
        </w:rPr>
        <w:t>The Bank of New York Mellon, as depositary, registers and delivers the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also referred to as an ADR, which is a certificate evidencing a specific number of ADSs, registered in your name, or (b) by having ADSs registered in your name in the Direct Registration System, or (2)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also referred to as DTC, pursuant to which the depositary may register the ownership of uncertificated ADSs, which ownership is confirmed by periodic statements sent by the depositary to the registered holders of uncertificated ADSs.</w:t>
      </w:r>
    </w:p>
    <w:p>
      <w:pPr>
        <w:spacing w:after="0" w:line="175"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ADS holders are not treated as shareholders and do not have shareholder rights. Danish law governs shareholder rights. The depositary is the holder of the ordinary shares underlying the ADSs. As a holder of ADSs, you will have ADS holder rights. A deposit agreement among us, the depositary and you, as an ADS holder, and all other persons directly and indirectly holding ADSs sets out ADS holder rights as well as the rights and obligations of the depositary. A copy of the deposit agreement is incorporated by reference as an exhibit to our Annual Report on Form 20-F. New York law governs the deposit agreement and the ADSs.</w:t>
      </w:r>
    </w:p>
    <w:p>
      <w:pPr>
        <w:spacing w:after="0" w:line="183"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ADS. For directions on how to obtain copies of those documents, see the section titled “Item 19—Exhibits” in our Annual Report on Form 20-F.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ordinary shares?</w:t>
      </w:r>
    </w:p>
    <w:p>
      <w:pPr>
        <w:spacing w:after="0" w:line="12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depositary has agreed to pay you the cash dividends or other distributions it or the custodian receives on ordinary shares or other deposited securities, after deducting its fees and expenses. As an ADS holder, you will receive these distributions in proportion to the number of ordinary shares your ADSs represent.</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Cash</w:t>
      </w:r>
      <w:r>
        <w:rPr>
          <w:rFonts w:ascii="Times New Roman" w:cs="Times New Roman" w:eastAsia="Times New Roman" w:hAnsi="Times New Roman"/>
          <w:sz w:val="17"/>
          <w:szCs w:val="17"/>
          <w:color w:val="auto"/>
        </w:rPr>
        <w:t>. We do not expect to declare or pay any cash dividends or cash distributions on our ordinary shares for the foreseeable future. The depositary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 any cash dividend or other cash distribution we pay on the ordinary shares or any net proceeds from the sale of any ordinary shares, rights, securities or other entitlements into U.S. dollars if it can do so on a reasonable basis and at the then prevailing market rate, and can transfer the U.S. dollars to the United States. If that is not possible and lawful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Before making a distribution, any taxes or other governmental charges, together with fees and expenses of the depositary that must be paid, will be deducted. See the section titled “</w:t>
      </w:r>
      <w:r>
        <w:rPr>
          <w:rFonts w:ascii="Times New Roman" w:cs="Times New Roman" w:eastAsia="Times New Roman" w:hAnsi="Times New Roman"/>
          <w:sz w:val="17"/>
          <w:szCs w:val="17"/>
          <w:i w:val="1"/>
          <w:iCs w:val="1"/>
          <w:color w:val="auto"/>
        </w:rPr>
        <w:t>Item 10 E. Additional Information—Taxation</w:t>
      </w:r>
      <w:r>
        <w:rPr>
          <w:rFonts w:ascii="Times New Roman" w:cs="Times New Roman" w:eastAsia="Times New Roman" w:hAnsi="Times New Roman"/>
          <w:sz w:val="17"/>
          <w:szCs w:val="17"/>
          <w:color w:val="auto"/>
        </w:rPr>
        <w:t>” in our Annual Report on Form 20-F for a summary of certain tax consequences in respect of dividends or distributions to holders of ADSs.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255" w:name="page256"/>
    <w:bookmarkEnd w:id="255"/>
    <w:p>
      <w:pPr>
        <w:jc w:val="both"/>
        <w:ind w:right="200"/>
        <w:spacing w:after="0" w:line="260"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The depositary may distribute additional ADSs representing any ordinary shares we distribute as a dividend or free distribution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reasonably practicable and permissible under law. The depositary will only distribute whole ADSs.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1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Elective Distributions in Cash or Shares</w:t>
      </w:r>
      <w:r>
        <w:rPr>
          <w:rFonts w:ascii="Times New Roman" w:cs="Times New Roman" w:eastAsia="Times New Roman" w:hAnsi="Times New Roman"/>
          <w:sz w:val="18"/>
          <w:szCs w:val="18"/>
          <w:color w:val="auto"/>
        </w:rPr>
        <w:t>. If we offer holders of our ordinary shares the option to receive dividends in either cash or shares,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consultation with us, may make such elective distribution available to you as a holder of the ADSs. We must first instruct the depositary to make such elective distribution available to you. As a condition of making a distribution election available to ADS holders, the depositary may require satisfactory assurances from us that doing so would not require registration of any securities under the Securities Act. There can be no assurance that you will be given the opportunity to receive elective distributions on the same terms and conditions as the holders of ordinary shares, or at all.</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Rights to Purchase Additional Ordinary Shares</w:t>
      </w:r>
      <w:r>
        <w:rPr>
          <w:rFonts w:ascii="Times New Roman" w:cs="Times New Roman" w:eastAsia="Times New Roman" w:hAnsi="Times New Roman"/>
          <w:sz w:val="18"/>
          <w:szCs w:val="18"/>
          <w:color w:val="auto"/>
        </w:rPr>
        <w:t>. If we offer holders of our securities any rights to subscribe for additional ordinary shares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the depositary may make these rights available to ADS holders. If the depositary decides it is not legal and practical to make the rights available but that it is practical to sell the rights, the depositary will use reasonable efforts to sell the rights and distribute the proceeds in the same way as it does with cash distributions. The depositary will allow rights that are not distributed or sold to lapse. In that case, you will receive no value for them.</w:t>
      </w:r>
    </w:p>
    <w:p>
      <w:pPr>
        <w:spacing w:after="0" w:line="18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If the depositary makes rights available to you, it will exercise the rights and purchase the ordinary shares on your behalf and in accordance with your instructions. The depositary will then deposit the ordinary shares and deliver ADSs to you. It will only exercise rights if you pay it the exercise price and any other charges the rights require you to pay and comply with other applicable instructions.</w:t>
      </w:r>
    </w:p>
    <w:p>
      <w:pPr>
        <w:spacing w:after="0" w:line="17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U.S. securities laws may restrict transfers and cancellation of the ADSs representing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7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The depositary will send to you anything else we distribute to holders of deposited securities by any means it determines is equitable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practicable. If it cannot make the distribution proportionally among the owners, the depositary may adopt another equitable and practical method. It may decide to sell what we distributed and distribute the net proceeds, in the same way as it does with cash. Or, it may decide to hold what we distributed, in which case ADSs will also represent the newly distributed property.</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However, the depositary is not required to distribute any securities (other than ADSs) to ADS holders unless it receives satisfactory evidence from us that it is legal to make that distribution. In addition, the depositary may sell a portion of the distributed securities or property sufficient to pay its fees and expenses in connection with that distribution.</w:t>
      </w:r>
    </w:p>
    <w:p>
      <w:pPr>
        <w:spacing w:after="0" w:line="17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Neither we nor the depositary are responsible for any failure to determine that it may be lawful or feasible to make a distribution available to any ADS holders. We have no obligation to register ADSs, ordinary shares, rights or other securities under the Securities Act. This means that you may not receive the distributions we make on our ordinary shares or any value for them if it is illegal or impractical for us to make them available to you.</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256" w:name="page257"/>
    <w:bookmarkEnd w:id="256"/>
    <w:p>
      <w:pPr>
        <w:ind w:right="40"/>
        <w:spacing w:after="0" w:line="280" w:lineRule="auto"/>
        <w:rPr>
          <w:sz w:val="20"/>
          <w:szCs w:val="20"/>
          <w:color w:val="auto"/>
        </w:rPr>
      </w:pPr>
      <w:r>
        <w:rPr>
          <w:rFonts w:ascii="Times New Roman" w:cs="Times New Roman" w:eastAsia="Times New Roman" w:hAnsi="Times New Roman"/>
          <w:sz w:val="18"/>
          <w:szCs w:val="18"/>
          <w:color w:val="auto"/>
        </w:rPr>
        <w:t>instruments of transfer required by the depositary, the depositary will register the appropriate number of ADSs in the names you request and will deliver the ADSs to or upon the order of the person or persons that made the deposit.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2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You may surrender your ADSs at the depositary’s corporate trust office. Upon payment of its fees and expenses and of any taxes or charges, such as stamp taxes or share transfer taxes or fees, the depositary will transfer and deliver the ordinary shares and any other deposited securities underlying the ADSs to you or a person designated by you at the office of the custodian or through a book-entry delivery. Alternatively, at your request, risk and expense, the depositary will transfer and deliver the deposited securities at its corporate trust office, if feasible.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interchange between certificated ADSs and uncertificated ADSs?</w:t>
      </w:r>
    </w:p>
    <w:p>
      <w:pPr>
        <w:spacing w:after="0" w:line="12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You may surrender your ADRs to the depositary for the purpose of exchanging your ADRs for uncertificated ADSs. The depositary will cancel the ADRs and will send you a statement confirming that you are the owner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You may instruct the depositary to vote the number of whole deposited ordinary shares your ADSs represent. The depositary will notify you of shareholders’ meetings or other solicitations of consents and arrange to deliver our voting materials to you if we ask it to. Those materials will describe the matters to be voted on and explain how you may instruct the depositary how to vote. For instructions to be valid, they must reach the depositary by a date set by the depositary.</w:t>
      </w:r>
    </w:p>
    <w:p>
      <w:pPr>
        <w:spacing w:after="0" w:line="18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The depositary will try, as far as practical, and subject to the laws of Denmark and our articles of association, to vote or to have its agents vote the ordinary shares or other deposited securities as instructed by ADS holders.</w:t>
      </w:r>
    </w:p>
    <w:p>
      <w:pPr>
        <w:spacing w:after="0" w:line="1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depositary will only vote or attempt to vote as you instruct or as described above. If we ask the depositary to solicit the ADS holders’ instructions to vote and an ADS holder fails to instruct the depositary as to the manner in which to vote by the specified date, such ADS holder will be deemed to have given a discretionary proxy to a person designated by us to vote the number of deposited securities represented by its ADSs, unless we notify the depositary that we do not wish to receive a discretionary proxy, there is substantial shareholder opposition to the particular question, or the particular question would have an adverse impact on our shareholders.</w:t>
      </w:r>
    </w:p>
    <w:p>
      <w:pPr>
        <w:spacing w:after="0" w:line="183"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provided that any such failure is in good faith. This means that you may not be able to exercise your right to vote and there may be nothing you can do if your ordinary shares are not voted as you requested.</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sufficiently in advance of the meeting date.</w:t>
      </w:r>
    </w:p>
    <w:p>
      <w:pPr>
        <w:spacing w:after="0" w:line="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Except as described above, you will not be able to exercise your right to vote unless you withdraw the ordinary shares. However, you may not know about the shareholder meeting far enough in advance to withdraw the ordinary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you be responsible for paying?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terms of the deposit agreement, the holders of ADSs will be required to pay the following fees:</w:t>
      </w:r>
    </w:p>
    <w:p>
      <w:pPr>
        <w:sectPr>
          <w:pgSz w:w="11900" w:h="16838" w:orient="portrait"/>
          <w:cols w:equalWidth="0" w:num="1">
            <w:col w:w="11180"/>
          </w:cols>
          <w:pgMar w:left="320" w:top="655" w:right="399" w:bottom="1440" w:gutter="0" w:footer="0" w:header="0"/>
        </w:sectPr>
      </w:pPr>
    </w:p>
    <w:p>
      <w:pPr>
        <w:spacing w:after="0" w:line="38" w:lineRule="exact"/>
        <w:rPr>
          <w:sz w:val="20"/>
          <w:szCs w:val="20"/>
          <w:color w:val="auto"/>
        </w:rPr>
      </w:pPr>
    </w:p>
    <w:p>
      <w:pPr>
        <w:jc w:val="both"/>
        <w:ind w:left="120" w:right="20"/>
        <w:spacing w:after="0" w:line="274" w:lineRule="auto"/>
        <w:rPr>
          <w:sz w:val="20"/>
          <w:szCs w:val="20"/>
          <w:color w:val="auto"/>
        </w:rPr>
      </w:pPr>
      <w:r>
        <w:rPr>
          <w:rFonts w:ascii="Times New Roman" w:cs="Times New Roman" w:eastAsia="Times New Roman" w:hAnsi="Times New Roman"/>
          <w:sz w:val="18"/>
          <w:szCs w:val="18"/>
          <w:b w:val="1"/>
          <w:bCs w:val="1"/>
          <w:color w:val="auto"/>
        </w:rPr>
        <w:t>Persons depositing or withdrawing ordinary shares or For: ADSs must pay: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358"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ordinary shares and the shares had been deposited for issue of ADSs</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ADS per calendar year</w:t>
      </w: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143"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 pay on any ADS or share underlying an ADS, for example, share transfer taxes, stamp duty or withholding taxes</w:t>
      </w:r>
    </w:p>
    <w:p>
      <w:pPr>
        <w:spacing w:after="0" w:line="3" w:lineRule="exact"/>
        <w:rPr>
          <w:sz w:val="20"/>
          <w:szCs w:val="20"/>
          <w:color w:val="auto"/>
        </w:rPr>
      </w:pPr>
    </w:p>
    <w:p>
      <w:pPr>
        <w:jc w:val="both"/>
        <w:ind w:left="120"/>
        <w:spacing w:after="0" w:line="280"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215" w:right="180" w:hanging="215"/>
        <w:spacing w:after="0" w:line="280" w:lineRule="auto"/>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ADSs, including issues resulting from a distribution of ordinary shares or rights or other property</w:t>
      </w:r>
    </w:p>
    <w:p>
      <w:pPr>
        <w:spacing w:after="0" w:line="55" w:lineRule="exact"/>
        <w:rPr>
          <w:rFonts w:ascii="Times New Roman" w:cs="Times New Roman" w:eastAsia="Times New Roman" w:hAnsi="Times New Roman"/>
          <w:sz w:val="18"/>
          <w:szCs w:val="18"/>
          <w:color w:val="auto"/>
        </w:rPr>
      </w:pPr>
    </w:p>
    <w:p>
      <w:pPr>
        <w:ind w:left="215" w:right="160" w:hanging="215"/>
        <w:spacing w:after="0" w:line="280" w:lineRule="auto"/>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82"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you</w:t>
      </w:r>
    </w:p>
    <w:p>
      <w:pPr>
        <w:spacing w:after="0" w:line="142" w:lineRule="exact"/>
        <w:rPr>
          <w:rFonts w:ascii="Times New Roman" w:cs="Times New Roman" w:eastAsia="Times New Roman" w:hAnsi="Times New Roman"/>
          <w:sz w:val="18"/>
          <w:szCs w:val="18"/>
          <w:color w:val="auto"/>
        </w:rPr>
      </w:pPr>
    </w:p>
    <w:p>
      <w:pPr>
        <w:ind w:left="215" w:right="180" w:hanging="215"/>
        <w:spacing w:after="0" w:line="280" w:lineRule="auto"/>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which are distributed by the depositary to you</w:t>
      </w:r>
    </w:p>
    <w:p>
      <w:pPr>
        <w:spacing w:after="0" w:line="82"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 Depositary services</w:t>
      </w: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jc w:val="both"/>
        <w:ind w:left="215" w:right="160" w:hanging="215"/>
        <w:spacing w:after="0" w:line="265" w:lineRule="auto"/>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registration of ordinary shares on our share register to or from the name of the depositary or its agent when you deposit or withdraw shares</w:t>
      </w:r>
    </w:p>
    <w:p>
      <w:pPr>
        <w:spacing w:after="0" w:line="94" w:lineRule="exact"/>
        <w:rPr>
          <w:rFonts w:ascii="Times New Roman" w:cs="Times New Roman" w:eastAsia="Times New Roman" w:hAnsi="Times New Roman"/>
          <w:sz w:val="18"/>
          <w:szCs w:val="18"/>
          <w:color w:val="auto"/>
        </w:rPr>
      </w:pPr>
    </w:p>
    <w:p>
      <w:pPr>
        <w:ind w:left="215" w:right="180" w:hanging="215"/>
        <w:spacing w:after="0" w:line="280" w:lineRule="auto"/>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transmissions (when expressly provided in the deposit agreement)</w:t>
      </w:r>
    </w:p>
    <w:p>
      <w:pPr>
        <w:spacing w:after="0" w:line="82"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pacing w:after="0" w:line="142"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necessary</w:t>
      </w: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215" w:hanging="215"/>
        <w:spacing w:after="0"/>
        <w:tabs>
          <w:tab w:leader="none" w:pos="2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344" w:lineRule="exact"/>
        <w:rPr>
          <w:sz w:val="20"/>
          <w:szCs w:val="20"/>
          <w:color w:val="auto"/>
        </w:rPr>
      </w:pPr>
    </w:p>
    <w:p>
      <w:pPr>
        <w:sectPr>
          <w:pgSz w:w="11900" w:h="16838" w:orient="portrait"/>
          <w:cols w:equalWidth="0" w:num="2">
            <w:col w:w="5460" w:space="645"/>
            <w:col w:w="5075"/>
          </w:cols>
          <w:pgMar w:left="320" w:top="655" w:right="399" w:bottom="1440" w:gutter="0" w:footer="0" w:header="0"/>
          <w:type w:val="continuous"/>
        </w:sect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8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55" w:right="399" w:bottom="1440" w:gutter="0" w:footer="0" w:header="0"/>
          <w:type w:val="continuous"/>
        </w:sectPr>
      </w:pPr>
    </w:p>
    <w:bookmarkStart w:id="258" w:name="page259"/>
    <w:bookmarkEnd w:id="258"/>
    <w:p>
      <w:pPr>
        <w:ind w:right="120"/>
        <w:spacing w:after="0" w:line="265" w:lineRule="auto"/>
        <w:rPr>
          <w:sz w:val="20"/>
          <w:szCs w:val="20"/>
          <w:color w:val="auto"/>
        </w:rPr>
      </w:pPr>
      <w:r>
        <w:rPr>
          <w:rFonts w:ascii="Times New Roman" w:cs="Times New Roman" w:eastAsia="Times New Roman" w:hAnsi="Times New Roman"/>
          <w:sz w:val="18"/>
          <w:szCs w:val="18"/>
          <w:color w:val="auto"/>
        </w:rPr>
        <w:t>It may apply payments owed to you or sell deposited securities represented by your ADSs to pay any taxes owed and you will remain liable for any deficiency. If the depositary sells deposited securities, it will, if appropriate, reduce the number of ADSs registered in your name to reflect the sale and pay you any net proceeds, or send you any property, remaining after it has paid the taxes.</w:t>
      </w:r>
    </w:p>
    <w:p>
      <w:pPr>
        <w:sectPr>
          <w:pgSz w:w="11900" w:h="16838" w:orient="portrait"/>
          <w:cols w:equalWidth="0" w:num="1">
            <w:col w:w="11240"/>
          </w:cols>
          <w:pgMar w:left="320" w:top="444" w:right="3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w:t>
      </w:r>
    </w:p>
    <w:p>
      <w:pPr>
        <w:spacing w:after="0" w:line="147" w:lineRule="exact"/>
        <w:rPr>
          <w:sz w:val="20"/>
          <w:szCs w:val="20"/>
          <w:color w:val="auto"/>
        </w:rPr>
      </w:pPr>
    </w:p>
    <w:p>
      <w:pPr>
        <w:ind w:left="720" w:hanging="171"/>
        <w:spacing w:after="0" w:line="280" w:lineRule="auto"/>
        <w:tabs>
          <w:tab w:leader="none" w:pos="7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nominal or par value of our ordinary shares</w:t>
      </w:r>
    </w:p>
    <w:p>
      <w:pPr>
        <w:spacing w:after="0" w:line="82" w:lineRule="exact"/>
        <w:rPr>
          <w:rFonts w:ascii="Times New Roman" w:cs="Times New Roman" w:eastAsia="Times New Roman" w:hAnsi="Times New Roman"/>
          <w:sz w:val="18"/>
          <w:szCs w:val="18"/>
          <w:color w:val="auto"/>
        </w:rPr>
      </w:pPr>
    </w:p>
    <w:p>
      <w:pPr>
        <w:ind w:left="720" w:hanging="171"/>
        <w:spacing w:after="0" w:line="280" w:lineRule="auto"/>
        <w:tabs>
          <w:tab w:leader="none" w:pos="7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 Reclassify, split up or consolidate any of the deposited securities</w:t>
      </w:r>
    </w:p>
    <w:p>
      <w:pPr>
        <w:spacing w:after="0" w:line="82" w:lineRule="exact"/>
        <w:rPr>
          <w:rFonts w:ascii="Times New Roman" w:cs="Times New Roman" w:eastAsia="Times New Roman" w:hAnsi="Times New Roman"/>
          <w:sz w:val="18"/>
          <w:szCs w:val="18"/>
          <w:color w:val="auto"/>
        </w:rPr>
      </w:pPr>
    </w:p>
    <w:p>
      <w:pPr>
        <w:ind w:left="720" w:hanging="171"/>
        <w:spacing w:after="0" w:line="280" w:lineRule="auto"/>
        <w:tabs>
          <w:tab w:leader="none" w:pos="7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securities on the ordinary shares that are not distributed to you</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jc w:val="both"/>
        <w:ind w:left="720" w:hanging="171"/>
        <w:spacing w:after="0" w:line="265" w:lineRule="auto"/>
        <w:tabs>
          <w:tab w:leader="none" w:pos="7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 Recapitalize, reorganize, merge, liquidate, sell all or substantially all of our assets, or take any similar action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Then:</w:t>
      </w:r>
    </w:p>
    <w:p>
      <w:pPr>
        <w:spacing w:after="0" w:line="39" w:lineRule="exact"/>
        <w:rPr>
          <w:sz w:val="20"/>
          <w:szCs w:val="20"/>
          <w:color w:val="auto"/>
        </w:rPr>
      </w:pPr>
    </w:p>
    <w:p>
      <w:pPr>
        <w:jc w:val="both"/>
        <w:ind w:right="220"/>
        <w:spacing w:after="0" w:line="280" w:lineRule="auto"/>
        <w:rPr>
          <w:sz w:val="20"/>
          <w:szCs w:val="20"/>
          <w:color w:val="auto"/>
        </w:rPr>
      </w:pPr>
      <w:r>
        <w:rPr>
          <w:rFonts w:ascii="Times New Roman" w:cs="Times New Roman" w:eastAsia="Times New Roman" w:hAnsi="Times New Roman"/>
          <w:sz w:val="18"/>
          <w:szCs w:val="18"/>
          <w:color w:val="auto"/>
        </w:rPr>
        <w:t>The cash, ordinary shares or other securities received by the depositary will become deposited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ADS will automatically represent its equal share of the new deposited securities.</w:t>
      </w:r>
    </w:p>
    <w:p>
      <w:pPr>
        <w:spacing w:after="0" w:line="358"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The depositary may also deliver new ADSs or ask you to surrender your outstanding ADRs in exchange for new ADRs identifying the new deposited securities. The depositary may also sell the new deposited securities and distribute the net proceeds if we are unable to assure the depositary that the distribution (a) does not require registration under the Securities Act or (b) is exempt from registration under the Securities Act.</w:t>
      </w:r>
    </w:p>
    <w:p>
      <w:pPr>
        <w:spacing w:after="0" w:line="3"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Any replacement securities received by the depositary shall be treated as newly deposited securities and either the existing ADSs or, if necessary, replacement ADSs distributed by the depositary will represent the replacement securities. The depositary may also sell the replacement securities and distribute the net proceeds if the replacement securities may not be lawfully distributed to all ADS holders.</w:t>
      </w:r>
    </w:p>
    <w:p>
      <w:pPr>
        <w:spacing w:after="0" w:line="1057" w:lineRule="exact"/>
        <w:rPr>
          <w:sz w:val="20"/>
          <w:szCs w:val="20"/>
          <w:color w:val="auto"/>
        </w:rPr>
      </w:pPr>
    </w:p>
    <w:p>
      <w:pPr>
        <w:sectPr>
          <w:pgSz w:w="11900" w:h="16838" w:orient="portrait"/>
          <w:cols w:equalWidth="0" w:num="2">
            <w:col w:w="4280" w:space="220"/>
            <w:col w:w="6740"/>
          </w:cols>
          <w:pgMar w:left="320" w:top="444" w:right="339" w:bottom="1440" w:gutter="0" w:footer="0" w:header="0"/>
          <w:type w:val="continuous"/>
        </w:sect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a notice of termination to us and the ADS holders if 60 days have passed since the depositary told us it wants to resign but a successor depositary has not been appointed and accepted its appointment.</w:t>
      </w:r>
    </w:p>
    <w:p>
      <w:pPr>
        <w:spacing w:after="0" w:line="18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type w:val="continuous"/>
        </w:sectPr>
      </w:pPr>
    </w:p>
    <w:bookmarkStart w:id="259" w:name="page260"/>
    <w:bookmarkEnd w:id="259"/>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depositary’s only obligations will be to account for the money and other cash. After termination our only obligations under the deposit agreement will be to indemnify the depositary and to pay fees and expenses of the depositary that we agreed to pay and we will not have any obligations thereunder to current or former ADS holders.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120"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55" w:lineRule="exact"/>
        <w:rPr>
          <w:sz w:val="20"/>
          <w:szCs w:val="20"/>
          <w:color w:val="auto"/>
        </w:rPr>
      </w:pPr>
    </w:p>
    <w:p>
      <w:pPr>
        <w:ind w:left="1020" w:hanging="50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either of us is prevented or delayed by law or circumstances beyond our control from performing our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ligations under the deposit agreement;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either of us exercises, or fails to exercise, discretion permitted under the deposit agreement;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80" w:lineRule="auto"/>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to holders of ADSs under the terms of the deposit agreement, or for any special, consequential or punitive damages for any breach of the terms of the deposit agreement;</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tax consequences to any holders of ADSs on account of their ownership of ADSs;</w:t>
      </w:r>
    </w:p>
    <w:p>
      <w:pPr>
        <w:spacing w:after="0" w:line="115" w:lineRule="exact"/>
        <w:rPr>
          <w:rFonts w:ascii="Times New Roman" w:cs="Times New Roman" w:eastAsia="Times New Roman" w:hAnsi="Times New Roman"/>
          <w:sz w:val="18"/>
          <w:szCs w:val="18"/>
          <w:color w:val="auto"/>
        </w:rPr>
      </w:pPr>
    </w:p>
    <w:p>
      <w:pPr>
        <w:ind w:left="1020" w:right="320" w:hanging="504"/>
        <w:spacing w:after="0" w:line="280" w:lineRule="auto"/>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person.</w:t>
      </w:r>
    </w:p>
    <w:p>
      <w:pPr>
        <w:spacing w:after="0" w:line="22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 Additionally, we, the depositary and each owner and holder, to the fullest extent permitted by applicable law, waive the right to a jury trial in an action against us or the depositary arising out of or relating to the deposit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2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an ADS, make a distribution on an ADS, or permit withdrawal of ordinary shares, the depositary may require:</w:t>
      </w:r>
    </w:p>
    <w:p>
      <w:pPr>
        <w:spacing w:after="0" w:line="55" w:lineRule="exact"/>
        <w:rPr>
          <w:sz w:val="20"/>
          <w:szCs w:val="20"/>
          <w:color w:val="auto"/>
        </w:rPr>
      </w:pPr>
    </w:p>
    <w:p>
      <w:pPr>
        <w:ind w:left="1020" w:hanging="504"/>
        <w:spacing w:after="0" w:line="280" w:lineRule="auto"/>
        <w:tabs>
          <w:tab w:leader="none" w:pos="1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share transfer or other taxes or other governmental charges and transfer or registration fees charged by third parties for the transfer of any ordinary shares or other deposited securities;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15" w:lineRule="exact"/>
        <w:rPr>
          <w:rFonts w:ascii="Times New Roman" w:cs="Times New Roman" w:eastAsia="Times New Roman" w:hAnsi="Times New Roman"/>
          <w:sz w:val="18"/>
          <w:szCs w:val="18"/>
          <w:color w:val="auto"/>
        </w:rPr>
      </w:pPr>
    </w:p>
    <w:p>
      <w:pPr>
        <w:ind w:left="1020" w:right="400" w:hanging="504"/>
        <w:spacing w:after="0" w:line="280" w:lineRule="auto"/>
        <w:tabs>
          <w:tab w:leader="none" w:pos="1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63"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generally when the transfer books of the depositary or our transfer books are closed or at any time if the depositary or we think it advisable to do so.</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t>Your Right to Receive the Ordinary Shares Underlying Your ADSs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ordinary shares at any time except:</w:t>
      </w:r>
    </w:p>
    <w:p>
      <w:pPr>
        <w:spacing w:after="0" w:line="116" w:lineRule="exact"/>
        <w:rPr>
          <w:sz w:val="20"/>
          <w:szCs w:val="20"/>
          <w:color w:val="auto"/>
        </w:rPr>
      </w:pPr>
    </w:p>
    <w:p>
      <w:pPr>
        <w:ind w:left="1020" w:right="60" w:hanging="504"/>
        <w:spacing w:after="0" w:line="280" w:lineRule="auto"/>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and</w:t>
      </w:r>
    </w:p>
    <w:p>
      <w:pPr>
        <w:spacing w:after="0" w:line="115" w:lineRule="exact"/>
        <w:rPr>
          <w:rFonts w:ascii="Times New Roman" w:cs="Times New Roman" w:eastAsia="Times New Roman" w:hAnsi="Times New Roman"/>
          <w:sz w:val="18"/>
          <w:szCs w:val="18"/>
          <w:color w:val="auto"/>
        </w:rPr>
      </w:pPr>
    </w:p>
    <w:p>
      <w:pPr>
        <w:ind w:left="1020" w:right="500" w:hanging="504"/>
        <w:spacing w:after="0" w:line="280" w:lineRule="auto"/>
        <w:tabs>
          <w:tab w:leader="none" w:pos="10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of withdrawal is not limited by any other provision of the deposit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Pre-release of ADSs</w:t>
      </w:r>
    </w:p>
    <w:p>
      <w:pPr>
        <w:spacing w:after="0" w:line="12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 deposit agreement permits the depositary to deliver ADSs before deposit of the underlying ordinary shares. This is called a pre-release of the ADSs. The depositary may also deliver ordinary shares upon cancellation of pre-released ADSs (even if the ADSs are canceled before the pre-release transaction has been closed out). A pre-release is closed out as soon as the underlying ordinary shares are delivered to the depositary.</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owns the ordinary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to 30% of the number of deposited shares, although the depositary may disregard this limit from time to time if it determines it is appropriate to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2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and such ownership will be evidenced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8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 ADS Holder Information</w:t>
      </w:r>
    </w:p>
    <w:p>
      <w:pPr>
        <w:spacing w:after="0" w:line="1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48" w:right="35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8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97"/>
              </w:rPr>
              <w:t>Exhibit 8.1</w:t>
            </w:r>
          </w:p>
        </w:tc>
      </w:tr>
      <w:tr>
        <w:trPr>
          <w:trHeight w:val="363"/>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6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8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GmbH</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GmbH</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Inc.</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USA</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Inc.</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USA</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Ophthalmology Division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Endocrinology Division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Bone Diseases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Growth Disorders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42"/>
        </w:trPr>
        <w:tc>
          <w:tcPr>
            <w:tcW w:w="20" w:type="dxa"/>
            <w:vAlign w:val="bottom"/>
          </w:tcPr>
          <w:p>
            <w:pPr>
              <w:spacing w:after="0"/>
              <w:rPr>
                <w:sz w:val="21"/>
                <w:szCs w:val="21"/>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Ascendis Pharma Oncology Division A/S</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45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Møller Mikkelsen, certify that:</w:t>
      </w:r>
    </w:p>
    <w:p>
      <w:pPr>
        <w:spacing w:after="0" w:line="116" w:lineRule="exact"/>
        <w:rPr>
          <w:sz w:val="20"/>
          <w:szCs w:val="20"/>
          <w:color w:val="auto"/>
        </w:rPr>
      </w:pPr>
    </w:p>
    <w:p>
      <w:pPr>
        <w:ind w:left="180" w:hanging="172"/>
        <w:spacing w:after="0"/>
        <w:tabs>
          <w:tab w:leader="none" w:pos="1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Ascendis Pharma A/S (the “Company”);</w:t>
      </w:r>
    </w:p>
    <w:p>
      <w:pPr>
        <w:spacing w:after="0" w:line="115" w:lineRule="exact"/>
        <w:rPr>
          <w:rFonts w:ascii="Times New Roman" w:cs="Times New Roman" w:eastAsia="Times New Roman" w:hAnsi="Times New Roman"/>
          <w:sz w:val="18"/>
          <w:szCs w:val="18"/>
          <w:color w:val="auto"/>
        </w:rPr>
      </w:pPr>
    </w:p>
    <w:p>
      <w:pPr>
        <w:ind w:right="300" w:firstLine="8"/>
        <w:spacing w:after="0" w:line="311" w:lineRule="auto"/>
        <w:tabs>
          <w:tab w:leader="none" w:pos="179"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80" w:firstLine="8"/>
        <w:spacing w:after="0" w:line="280" w:lineRule="auto"/>
        <w:tabs>
          <w:tab w:leader="none" w:pos="17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8"/>
          <w:szCs w:val="18"/>
          <w:color w:val="auto"/>
        </w:rPr>
      </w:pPr>
    </w:p>
    <w:p>
      <w:pPr>
        <w:ind w:right="40" w:firstLine="8"/>
        <w:spacing w:after="0" w:line="265" w:lineRule="auto"/>
        <w:tabs>
          <w:tab w:leader="none" w:pos="17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68" w:lineRule="exact"/>
        <w:rPr>
          <w:sz w:val="20"/>
          <w:szCs w:val="20"/>
          <w:color w:val="auto"/>
        </w:rPr>
      </w:pPr>
    </w:p>
    <w:p>
      <w:pPr>
        <w:ind w:right="160" w:firstLine="8"/>
        <w:spacing w:after="0" w:line="265" w:lineRule="auto"/>
        <w:tabs>
          <w:tab w:leader="none" w:pos="2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100" w:firstLine="8"/>
        <w:spacing w:after="0" w:line="265" w:lineRule="auto"/>
        <w:tabs>
          <w:tab w:leader="none" w:pos="2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40" w:firstLine="8"/>
        <w:spacing w:after="0" w:line="280" w:lineRule="auto"/>
        <w:tabs>
          <w:tab w:leader="none" w:pos="2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ind w:right="380" w:firstLine="8"/>
        <w:spacing w:after="0" w:line="280" w:lineRule="auto"/>
        <w:tabs>
          <w:tab w:leader="none" w:pos="2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5" w:lineRule="exact"/>
        <w:rPr>
          <w:sz w:val="20"/>
          <w:szCs w:val="20"/>
          <w:color w:val="auto"/>
        </w:rPr>
      </w:pPr>
    </w:p>
    <w:p>
      <w:pPr>
        <w:ind w:right="500" w:firstLine="8"/>
        <w:spacing w:after="0" w:line="280" w:lineRule="auto"/>
        <w:tabs>
          <w:tab w:leader="none" w:pos="17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sz w:val="20"/>
          <w:szCs w:val="20"/>
          <w:color w:val="auto"/>
        </w:rPr>
      </w:pPr>
    </w:p>
    <w:p>
      <w:pPr>
        <w:ind w:right="80" w:firstLine="8"/>
        <w:spacing w:after="0" w:line="280" w:lineRule="auto"/>
        <w:tabs>
          <w:tab w:leader="none" w:pos="24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right="280" w:firstLine="8"/>
        <w:spacing w:after="0" w:line="280" w:lineRule="auto"/>
        <w:tabs>
          <w:tab w:leader="none" w:pos="25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6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248602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Jan Møller Mikkelsen</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8355"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Smith, certify that:</w:t>
      </w:r>
    </w:p>
    <w:p>
      <w:pPr>
        <w:spacing w:after="0" w:line="116" w:lineRule="exact"/>
        <w:rPr>
          <w:sz w:val="20"/>
          <w:szCs w:val="20"/>
          <w:color w:val="auto"/>
        </w:rPr>
      </w:pPr>
    </w:p>
    <w:p>
      <w:pPr>
        <w:ind w:left="180" w:hanging="172"/>
        <w:spacing w:after="0"/>
        <w:tabs>
          <w:tab w:leader="none" w:pos="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Ascendis Pharma A/S (the “Company”);</w:t>
      </w:r>
    </w:p>
    <w:p>
      <w:pPr>
        <w:spacing w:after="0" w:line="115" w:lineRule="exact"/>
        <w:rPr>
          <w:rFonts w:ascii="Times New Roman" w:cs="Times New Roman" w:eastAsia="Times New Roman" w:hAnsi="Times New Roman"/>
          <w:sz w:val="18"/>
          <w:szCs w:val="18"/>
          <w:color w:val="auto"/>
        </w:rPr>
      </w:pPr>
    </w:p>
    <w:p>
      <w:pPr>
        <w:ind w:right="300" w:firstLine="8"/>
        <w:spacing w:after="0" w:line="311" w:lineRule="auto"/>
        <w:tabs>
          <w:tab w:leader="none" w:pos="179"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580" w:firstLine="8"/>
        <w:spacing w:after="0" w:line="280" w:lineRule="auto"/>
        <w:tabs>
          <w:tab w:leader="none" w:pos="17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5" w:lineRule="exact"/>
        <w:rPr>
          <w:rFonts w:ascii="Times New Roman" w:cs="Times New Roman" w:eastAsia="Times New Roman" w:hAnsi="Times New Roman"/>
          <w:sz w:val="18"/>
          <w:szCs w:val="18"/>
          <w:color w:val="auto"/>
        </w:rPr>
      </w:pPr>
    </w:p>
    <w:p>
      <w:pPr>
        <w:ind w:right="40" w:firstLine="8"/>
        <w:spacing w:after="0" w:line="265" w:lineRule="auto"/>
        <w:tabs>
          <w:tab w:leader="none" w:pos="17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68" w:lineRule="exact"/>
        <w:rPr>
          <w:sz w:val="20"/>
          <w:szCs w:val="20"/>
          <w:color w:val="auto"/>
        </w:rPr>
      </w:pPr>
    </w:p>
    <w:p>
      <w:pPr>
        <w:ind w:right="160" w:firstLine="8"/>
        <w:spacing w:after="0" w:line="265" w:lineRule="auto"/>
        <w:tabs>
          <w:tab w:leader="none" w:pos="2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right="100" w:firstLine="8"/>
        <w:spacing w:after="0" w:line="265" w:lineRule="auto"/>
        <w:tabs>
          <w:tab w:leader="none" w:pos="25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40" w:firstLine="8"/>
        <w:spacing w:after="0" w:line="280" w:lineRule="auto"/>
        <w:tabs>
          <w:tab w:leader="none" w:pos="24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ind w:right="380" w:firstLine="8"/>
        <w:spacing w:after="0" w:line="280" w:lineRule="auto"/>
        <w:tabs>
          <w:tab w:leader="none" w:pos="25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5" w:lineRule="exact"/>
        <w:rPr>
          <w:sz w:val="20"/>
          <w:szCs w:val="20"/>
          <w:color w:val="auto"/>
        </w:rPr>
      </w:pPr>
    </w:p>
    <w:p>
      <w:pPr>
        <w:ind w:right="500" w:firstLine="8"/>
        <w:spacing w:after="0" w:line="280" w:lineRule="auto"/>
        <w:tabs>
          <w:tab w:leader="none" w:pos="17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5" w:lineRule="exact"/>
        <w:rPr>
          <w:sz w:val="20"/>
          <w:szCs w:val="20"/>
          <w:color w:val="auto"/>
        </w:rPr>
      </w:pPr>
    </w:p>
    <w:p>
      <w:pPr>
        <w:ind w:right="80" w:firstLine="8"/>
        <w:spacing w:after="0" w:line="280" w:lineRule="auto"/>
        <w:tabs>
          <w:tab w:leader="none" w:pos="24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right="280" w:firstLine="8"/>
        <w:spacing w:after="0" w:line="280" w:lineRule="auto"/>
        <w:tabs>
          <w:tab w:leader="none" w:pos="25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6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17145</wp:posOffset>
            </wp:positionV>
            <wp:extent cx="247713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Scott T. Smith</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835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U.S.C.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AS ADOPTED PURSUANT TO SECTION 906 OF THE SARBANES-OXLEY ACT OF 2002*</w:t>
      </w:r>
    </w:p>
    <w:p>
      <w:pPr>
        <w:spacing w:after="0" w:line="20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20-F of Ascendis Pharma A/S (the “Company”) for the year ended December 31, 2022, as filed with the U.S. Securities and Exchange Commission on the date hereof (the “Report”), the undersigned Jan Møller Mikkelsen, as Chief Executive Officer of the Company, hereby certifies, pursuant to 18 U.S.C. Section 1350, as adopted pursuant to Section 906 of the Sarbanes-Oxley Act of 2002, that to the best of his knowledge:</w:t>
      </w:r>
    </w:p>
    <w:p>
      <w:pPr>
        <w:spacing w:after="0" w:line="75" w:lineRule="exact"/>
        <w:rPr>
          <w:sz w:val="20"/>
          <w:szCs w:val="20"/>
          <w:color w:val="auto"/>
        </w:rPr>
      </w:pPr>
    </w:p>
    <w:p>
      <w:pPr>
        <w:ind w:left="260" w:hanging="252"/>
        <w:spacing w:after="0"/>
        <w:tabs>
          <w:tab w:leader="none" w:pos="2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6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24860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Jan Møller Mikkelsen</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83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18 U.S.C.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AS ADOPTED PURSUANT TO SECTION 906 OF THE SARBANES-OXLEY ACT OF 2002*</w:t>
      </w:r>
    </w:p>
    <w:p>
      <w:pPr>
        <w:spacing w:after="0" w:line="20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on Form 20-F of Ascendis Pharma A/S (the “Company”) for the year ended December 31, 2022, as filed with the U.S. Securities and Exchange Commission on the date hereof (the “Report”), the undersigned Scott T. Smith, as Chief Financial Officer and Principal Financial Officer of the Company, hereby certifies, pursuant to 18 U.S.C. Section 1350, as adopted pursuant to Section 906 of the Sarbanes-Oxley Act of 2002, that to the best of his knowledge:</w:t>
      </w:r>
    </w:p>
    <w:p>
      <w:pPr>
        <w:spacing w:after="0" w:line="75" w:lineRule="exact"/>
        <w:rPr>
          <w:sz w:val="20"/>
          <w:szCs w:val="20"/>
          <w:color w:val="auto"/>
        </w:rPr>
      </w:pPr>
    </w:p>
    <w:p>
      <w:pPr>
        <w:ind w:left="260" w:hanging="252"/>
        <w:spacing w:after="0"/>
        <w:tabs>
          <w:tab w:leader="none" w:pos="2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264"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24860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Scott T. Smith</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835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333-203040, 333-210810, 333-211512, 333-213412, 333-214843, 333-216883, 333-228576, 333-254101 and 333-261550 on Form S-8 and Registration Statement Nos. 333-209336, 333-211511, 333-216882, 333-223134, 333-225284, and 333-256571 on Form F-3 of our report dated February 16, 2023, relating to the financial statements of Ascendis Pharma A/S and the effectiveness of Ascendis Pharma A/S’s internal control over financial reporting appearing in this Annual Report on Form 20-F for the year ended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Statsautoriseret Revisionspartnerselskab</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835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7" w:name="page268"/>
    <w:bookmarkEnd w:id="2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1."/>
      <w:numFmt w:val="upperLetter"/>
      <w:start w:val="1"/>
    </w:lvl>
  </w:abstractNum>
  <w:abstractNum w:abstractNumId="11">
    <w:nsid w:val="14E17E33"/>
    <w:multiLevelType w:val="hybridMultilevel"/>
    <w:lvl w:ilvl="0">
      <w:lvlJc w:val="left"/>
      <w:lvlText w:val="%1."/>
      <w:numFmt w:val="upperLetter"/>
      <w:start w:val="3"/>
    </w:lvl>
  </w:abstractNum>
  <w:abstractNum w:abstractNumId="12">
    <w:nsid w:val="3222E7CD"/>
    <w:multiLevelType w:val="hybridMultilevel"/>
    <w:lvl w:ilvl="0">
      <w:lvlJc w:val="left"/>
      <w:lvlText w:val="%1."/>
      <w:numFmt w:val="upperLetter"/>
      <w:start w:val="4"/>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1."/>
      <w:numFmt w:val="upperLetter"/>
      <w:start w:val="1"/>
    </w:lvl>
  </w:abstractNum>
  <w:abstractNum w:abstractNumId="53">
    <w:nsid w:val="97E1B4E"/>
    <w:multiLevelType w:val="hybridMultilevel"/>
    <w:lvl w:ilvl="0">
      <w:lvlJc w:val="left"/>
      <w:lvlText w:val="%1."/>
      <w:numFmt w:val="upperLetter"/>
      <w:start w:val="2"/>
    </w:lvl>
  </w:abstractNum>
  <w:abstractNum w:abstractNumId="54">
    <w:nsid w:val="51088277"/>
    <w:multiLevelType w:val="hybridMultilevel"/>
    <w:lvl w:ilvl="0">
      <w:lvlJc w:val="left"/>
      <w:lvlText w:val="•"/>
      <w:numFmt w:val="bullet"/>
      <w:start w:val="1"/>
    </w:lvl>
    <w:lvl w:ilvl="1">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1."/>
      <w:numFmt w:val="decimal"/>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1."/>
      <w:numFmt w:val="decimal"/>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1)"/>
      <w:numFmt w:val="lowerRoman"/>
      <w:start w:val="1"/>
    </w:lvl>
  </w:abstractNum>
  <w:abstractNum w:abstractNumId="64">
    <w:nsid w:val="4BD8591A"/>
    <w:multiLevelType w:val="hybridMultilevel"/>
    <w:lvl w:ilvl="0">
      <w:lvlJc w:val="left"/>
      <w:lvlText w:val="(%1)"/>
      <w:numFmt w:val="lowerRoman"/>
      <w:start w:val="5"/>
    </w:lvl>
  </w:abstractNum>
  <w:abstractNum w:abstractNumId="65">
    <w:nsid w:val="78DF6A55"/>
    <w:multiLevelType w:val="hybridMultilevel"/>
    <w:lvl w:ilvl="0">
      <w:lvlJc w:val="left"/>
      <w:lvlText w:val="•"/>
      <w:numFmt w:val="bullet"/>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1."/>
      <w:numFmt w:val="upperLetter"/>
      <w:start w:val="3"/>
    </w:lvl>
  </w:abstractNum>
  <w:abstractNum w:abstractNumId="70">
    <w:nsid w:val="69E373"/>
    <w:multiLevelType w:val="hybridMultilevel"/>
    <w:lvl w:ilvl="0">
      <w:lvlJc w:val="left"/>
      <w:lvlText w:val="%1."/>
      <w:numFmt w:val="upperLetter"/>
      <w:start w:val="4"/>
    </w:lvl>
  </w:abstractNum>
  <w:abstractNum w:abstractNumId="71">
    <w:nsid w:val="2C27173B"/>
    <w:multiLevelType w:val="hybridMultilevel"/>
    <w:lvl w:ilvl="0">
      <w:lvlJc w:val="left"/>
      <w:lvlText w:val="%1."/>
      <w:numFmt w:val="upperLetter"/>
      <w:start w:val="1"/>
    </w:lvl>
  </w:abstractNum>
  <w:abstractNum w:abstractNumId="72">
    <w:nsid w:val="4C9B0904"/>
    <w:multiLevelType w:val="hybridMultilevel"/>
    <w:lvl w:ilvl="0">
      <w:lvlJc w:val="left"/>
      <w:lvlText w:val="%1."/>
      <w:numFmt w:val="upperLetter"/>
      <w:start w:val="2"/>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
      <w:numFmt w:val="bullet"/>
      <w:start w:val="1"/>
    </w:lvl>
  </w:abstractNum>
  <w:abstractNum w:abstractNumId="77">
    <w:nsid w:val="3DB012B3"/>
    <w:multiLevelType w:val="hybridMultilevel"/>
    <w:lvl w:ilvl="0">
      <w:lvlJc w:val="left"/>
      <w:lvlText w:val="%1."/>
      <w:numFmt w:val="upperLetter"/>
      <w:start w:val="3"/>
    </w:lvl>
  </w:abstractNum>
  <w:abstractNum w:abstractNumId="78">
    <w:nsid w:val="2708C9AF"/>
    <w:multiLevelType w:val="hybridMultilevel"/>
    <w:lvl w:ilvl="0">
      <w:lvlJc w:val="left"/>
      <w:lvlText w:val="%1."/>
      <w:numFmt w:val="upperLetter"/>
      <w:start w:val="4"/>
    </w:lvl>
  </w:abstractNum>
  <w:abstractNum w:abstractNumId="79">
    <w:nsid w:val="5B25ACE2"/>
    <w:multiLevelType w:val="hybridMultilevel"/>
    <w:lvl w:ilvl="0">
      <w:lvlJc w:val="left"/>
      <w:lvlText w:val="%1."/>
      <w:numFmt w:val="upperLetter"/>
      <w:start w:val="5"/>
    </w:lvl>
  </w:abstractNum>
  <w:abstractNum w:abstractNumId="80">
    <w:nsid w:val="175DFCF0"/>
    <w:multiLevelType w:val="hybridMultilevel"/>
    <w:lvl w:ilvl="0">
      <w:lvlJc w:val="left"/>
      <w:lvlText w:val="%1."/>
      <w:numFmt w:val="upperLetter"/>
      <w:start w:val="1"/>
    </w:lvl>
  </w:abstractNum>
  <w:abstractNum w:abstractNumId="81">
    <w:nsid w:val="4F97E3E4"/>
    <w:multiLevelType w:val="hybridMultilevel"/>
    <w:lvl w:ilvl="0">
      <w:lvlJc w:val="left"/>
      <w:lvlText w:val="%1."/>
      <w:numFmt w:val="upperLetter"/>
      <w:start w:val="2"/>
    </w:lvl>
  </w:abstractNum>
  <w:abstractNum w:abstractNumId="82">
    <w:nsid w:val="53B0A9E"/>
    <w:multiLevelType w:val="hybridMultilevel"/>
    <w:lvl w:ilvl="0">
      <w:lvlJc w:val="left"/>
      <w:lvlText w:val="(%1)"/>
      <w:numFmt w:val="lowerRoman"/>
      <w:start w:val="4"/>
    </w:lvl>
  </w:abstractNum>
  <w:abstractNum w:abstractNumId="83">
    <w:nsid w:val="34FD6B4F"/>
    <w:multiLevelType w:val="hybridMultilevel"/>
    <w:lvl w:ilvl="0">
      <w:lvlJc w:val="left"/>
      <w:lvlText w:val="%1."/>
      <w:numFmt w:val="upperLetter"/>
      <w:start w:val="3"/>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1."/>
      <w:numFmt w:val="upperLetter"/>
      <w:start w:val="4"/>
    </w:lvl>
  </w:abstractNum>
  <w:abstractNum w:abstractNumId="89">
    <w:nsid w:val="4DF72E4E"/>
    <w:multiLevelType w:val="hybridMultilevel"/>
    <w:lvl w:ilvl="0">
      <w:lvlJc w:val="left"/>
      <w:lvlText w:val="(%1)"/>
      <w:numFmt w:val="decimal"/>
      <w:start w:val="1"/>
    </w:lvl>
  </w:abstractNum>
  <w:abstractNum w:abstractNumId="90">
    <w:nsid w:val="5046B5A9"/>
    <w:multiLevelType w:val="hybridMultilevel"/>
    <w:lvl w:ilvl="0">
      <w:lvlJc w:val="left"/>
      <w:lvlText w:val="%1."/>
      <w:numFmt w:val="upperLetter"/>
      <w:start w:val="5"/>
    </w:lvl>
  </w:abstractNum>
  <w:abstractNum w:abstractNumId="91">
    <w:nsid w:val="5D888A08"/>
    <w:multiLevelType w:val="hybridMultilevel"/>
    <w:lvl w:ilvl="0">
      <w:lvlJc w:val="left"/>
      <w:lvlText w:val="%1."/>
      <w:numFmt w:val="upperLetter"/>
      <w:start w:val="6"/>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
      <w:numFmt w:val="bullet"/>
      <w:start w:val="1"/>
    </w:lvl>
    <w:lvl w:ilvl="1">
      <w:lvlJc w:val="left"/>
      <w:lvlText w:val="(%2)"/>
      <w:numFmt w:val="decimal"/>
      <w:start w:val="1"/>
    </w:lvl>
  </w:abstractNum>
  <w:abstractNum w:abstractNumId="94">
    <w:nsid w:val="19E21BB2"/>
    <w:multiLevelType w:val="hybridMultilevel"/>
    <w:lvl w:ilvl="0">
      <w:lvlJc w:val="left"/>
      <w:lvlText w:val="(%1)"/>
      <w:numFmt w:val="decimal"/>
      <w:start w:val="2"/>
    </w:lvl>
  </w:abstractNum>
  <w:abstractNum w:abstractNumId="95">
    <w:nsid w:val="75E0858A"/>
    <w:multiLevelType w:val="hybridMultilevel"/>
    <w:lvl w:ilvl="0">
      <w:lvlJc w:val="left"/>
      <w:lvlText w:val="(%1)"/>
      <w:numFmt w:val="decimal"/>
      <w:start w:val="11"/>
    </w:lvl>
  </w:abstractNum>
  <w:abstractNum w:abstractNumId="96">
    <w:nsid w:val="57A61A29"/>
    <w:multiLevelType w:val="hybridMultilevel"/>
    <w:lvl w:ilvl="0">
      <w:lvlJc w:val="left"/>
      <w:lvlText w:val="%1."/>
      <w:numFmt w:val="upperLetter"/>
      <w:start w:val="1"/>
    </w:lvl>
  </w:abstractNum>
  <w:abstractNum w:abstractNumId="97">
    <w:nsid w:val="5399C654"/>
    <w:multiLevelType w:val="hybridMultilevel"/>
    <w:lvl w:ilvl="0">
      <w:lvlJc w:val="left"/>
      <w:lvlText w:val="%1."/>
      <w:numFmt w:val="upperLetter"/>
      <w:start w:val="2"/>
    </w:lvl>
  </w:abstractNum>
  <w:abstractNum w:abstractNumId="98">
    <w:nsid w:val="20EE1348"/>
    <w:multiLevelType w:val="hybridMultilevel"/>
    <w:lvl w:ilvl="0">
      <w:lvlJc w:val="left"/>
      <w:lvlText w:val="%1."/>
      <w:numFmt w:val="upperLetter"/>
      <w:start w:val="1"/>
    </w:lvl>
  </w:abstractNum>
  <w:abstractNum w:abstractNumId="99">
    <w:nsid w:val="4427069A"/>
    <w:multiLevelType w:val="hybridMultilevel"/>
    <w:lvl w:ilvl="0">
      <w:lvlJc w:val="left"/>
      <w:lvlText w:val="%1."/>
      <w:numFmt w:val="upperLetter"/>
      <w:start w:val="2"/>
    </w:lvl>
  </w:abstractNum>
  <w:abstractNum w:abstractNumId="100">
    <w:nsid w:val="B37E80A"/>
    <w:multiLevelType w:val="hybridMultilevel"/>
    <w:lvl w:ilvl="0">
      <w:lvlJc w:val="left"/>
      <w:lvlText w:val="%1."/>
      <w:numFmt w:val="upperLetter"/>
      <w:start w:val="3"/>
    </w:lvl>
  </w:abstractNum>
  <w:abstractNum w:abstractNumId="101">
    <w:nsid w:val="2157F6BC"/>
    <w:multiLevelType w:val="hybridMultilevel"/>
    <w:lvl w:ilvl="0">
      <w:lvlJc w:val="left"/>
      <w:lvlText w:val="%1."/>
      <w:numFmt w:val="upperLetter"/>
      <w:start w:val="4"/>
    </w:lvl>
  </w:abstractNum>
  <w:abstractNum w:abstractNumId="102">
    <w:nsid w:val="704E1DD5"/>
    <w:multiLevelType w:val="hybridMultilevel"/>
    <w:lvl w:ilvl="0">
      <w:lvlJc w:val="left"/>
      <w:lvlText w:val="%1."/>
      <w:numFmt w:val="upperLetter"/>
      <w:start w:val="5"/>
    </w:lvl>
  </w:abstractNum>
  <w:abstractNum w:abstractNumId="103">
    <w:nsid w:val="57D2F10E"/>
    <w:multiLevelType w:val="hybridMultilevel"/>
    <w:lvl w:ilvl="0">
      <w:lvlJc w:val="left"/>
      <w:lvlText w:val="%1."/>
      <w:numFmt w:val="upperLetter"/>
      <w:start w:val="6"/>
    </w:lvl>
  </w:abstractNum>
  <w:abstractNum w:abstractNumId="104">
    <w:nsid w:val="BFFAE18"/>
    <w:multiLevelType w:val="hybridMultilevel"/>
    <w:lvl w:ilvl="0">
      <w:lvlJc w:val="left"/>
      <w:lvlText w:val="%1."/>
      <w:numFmt w:val="upperLetter"/>
      <w:start w:val="1"/>
    </w:lvl>
  </w:abstractNum>
  <w:abstractNum w:abstractNumId="105">
    <w:nsid w:val="E3E47A8"/>
    <w:multiLevelType w:val="hybridMultilevel"/>
    <w:lvl w:ilvl="0">
      <w:lvlJc w:val="left"/>
      <w:lvlText w:val="%1."/>
      <w:numFmt w:val="upperLetter"/>
      <w:start w:val="2"/>
    </w:lvl>
  </w:abstractNum>
  <w:abstractNum w:abstractNumId="106">
    <w:nsid w:val="2E48F044"/>
    <w:multiLevelType w:val="hybridMultilevel"/>
    <w:lvl w:ilvl="0">
      <w:lvlJc w:val="left"/>
      <w:lvlText w:val="•"/>
      <w:numFmt w:val="bullet"/>
      <w:start w:val="1"/>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1."/>
      <w:numFmt w:val="upperLetter"/>
      <w:start w:val="3"/>
    </w:lvl>
  </w:abstractNum>
  <w:abstractNum w:abstractNumId="112">
    <w:nsid w:val="24E99DD7"/>
    <w:multiLevelType w:val="hybridMultilevel"/>
    <w:lvl w:ilvl="0">
      <w:lvlJc w:val="left"/>
      <w:lvlText w:val="%1."/>
      <w:numFmt w:val="upperLetter"/>
      <w:start w:val="4"/>
    </w:lvl>
  </w:abstractNum>
  <w:abstractNum w:abstractNumId="113">
    <w:nsid w:val="2A31B62D"/>
    <w:multiLevelType w:val="hybridMultilevel"/>
    <w:lvl w:ilvl="0">
      <w:lvlJc w:val="left"/>
      <w:lvlText w:val="%1."/>
      <w:numFmt w:val="upperLetter"/>
      <w:start w:val="5"/>
    </w:lvl>
  </w:abstractNum>
  <w:abstractNum w:abstractNumId="114">
    <w:nsid w:val="1849C29B"/>
    <w:multiLevelType w:val="hybridMultilevel"/>
    <w:lvl w:ilvl="0">
      <w:lvlJc w:val="left"/>
      <w:lvlText w:val="•"/>
      <w:numFmt w:val="bullet"/>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
      <w:numFmt w:val="bullet"/>
      <w:start w:val="1"/>
    </w:lvl>
  </w:abstractNum>
  <w:abstractNum w:abstractNumId="118">
    <w:nsid w:val="2A6DE806"/>
    <w:multiLevelType w:val="hybridMultilevel"/>
    <w:lvl w:ilvl="0">
      <w:lvlJc w:val="left"/>
      <w:lvlText w:val="•"/>
      <w:numFmt w:val="bullet"/>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1."/>
      <w:numFmt w:val="upperLetter"/>
      <w:start w:val="6"/>
    </w:lvl>
  </w:abstractNum>
  <w:abstractNum w:abstractNumId="121">
    <w:nsid w:val="7AB49DAF"/>
    <w:multiLevelType w:val="hybridMultilevel"/>
    <w:lvl w:ilvl="0">
      <w:lvlJc w:val="left"/>
      <w:lvlText w:val="%1."/>
      <w:numFmt w:val="upperLetter"/>
      <w:start w:val="7"/>
    </w:lvl>
  </w:abstractNum>
  <w:abstractNum w:abstractNumId="122">
    <w:nsid w:val="759F82CD"/>
    <w:multiLevelType w:val="hybridMultilevel"/>
    <w:lvl w:ilvl="0">
      <w:lvlJc w:val="left"/>
      <w:lvlText w:val="%1."/>
      <w:numFmt w:val="upperLetter"/>
      <w:start w:val="8"/>
    </w:lvl>
  </w:abstractNum>
  <w:abstractNum w:abstractNumId="123">
    <w:nsid w:val="61E74EA3"/>
    <w:multiLevelType w:val="hybridMultilevel"/>
    <w:lvl w:ilvl="0">
      <w:lvlJc w:val="left"/>
      <w:lvlText w:val="%1."/>
      <w:numFmt w:val="upperLetter"/>
      <w:start w:val="9"/>
    </w:lvl>
  </w:abstractNum>
  <w:abstractNum w:abstractNumId="124">
    <w:nsid w:val="597B4D84"/>
    <w:multiLevelType w:val="hybridMultilevel"/>
    <w:lvl w:ilvl="0">
      <w:lvlJc w:val="left"/>
      <w:lvlText w:val="%1."/>
      <w:numFmt w:val="upperLetter"/>
      <w:start w:val="10"/>
    </w:lvl>
  </w:abstractNum>
  <w:abstractNum w:abstractNumId="125">
    <w:nsid w:val="F819E7F"/>
    <w:multiLevelType w:val="hybridMultilevel"/>
    <w:lvl w:ilvl="0">
      <w:lvlJc w:val="left"/>
      <w:lvlText w:val="%1."/>
      <w:numFmt w:val="upperLetter"/>
      <w:start w:val="1"/>
    </w:lvl>
  </w:abstractNum>
  <w:abstractNum w:abstractNumId="126">
    <w:nsid w:val="57C7D42D"/>
    <w:multiLevelType w:val="hybridMultilevel"/>
    <w:lvl w:ilvl="0">
      <w:lvlJc w:val="left"/>
      <w:lvlText w:val="%1."/>
      <w:numFmt w:val="upperLetter"/>
      <w:start w:val="2"/>
    </w:lvl>
  </w:abstractNum>
  <w:abstractNum w:abstractNumId="127">
    <w:nsid w:val="312167AD"/>
    <w:multiLevelType w:val="hybridMultilevel"/>
    <w:lvl w:ilvl="0">
      <w:lvlJc w:val="left"/>
      <w:lvlText w:val="%1."/>
      <w:numFmt w:val="upperLetter"/>
      <w:start w:val="3"/>
    </w:lvl>
  </w:abstractNum>
  <w:abstractNum w:abstractNumId="128">
    <w:nsid w:val="631B64D4"/>
    <w:multiLevelType w:val="hybridMultilevel"/>
    <w:lvl w:ilvl="0">
      <w:lvlJc w:val="left"/>
      <w:lvlText w:val="%1."/>
      <w:numFmt w:val="upperLetter"/>
      <w:start w:val="4"/>
    </w:lvl>
  </w:abstractNum>
  <w:abstractNum w:abstractNumId="129">
    <w:nsid w:val="78B5E776"/>
    <w:multiLevelType w:val="hybridMultilevel"/>
    <w:lvl w:ilvl="0">
      <w:lvlJc w:val="left"/>
      <w:lvlText w:val="•"/>
      <w:numFmt w:val="bullet"/>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1)"/>
      <w:numFmt w:val="decimal"/>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
      <w:numFmt w:val="bullet"/>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1)"/>
      <w:numFmt w:val="decimal"/>
      <w:start w:val="1"/>
    </w:lvl>
  </w:abstractNum>
  <w:abstractNum w:abstractNumId="139">
    <w:nsid w:val="3FC32E20"/>
    <w:multiLevelType w:val="hybridMultilevel"/>
    <w:lvl w:ilvl="0">
      <w:lvlJc w:val="left"/>
      <w:lvlText w:val="(%1)"/>
      <w:numFmt w:val="decimal"/>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
      <w:numFmt w:val="bullet"/>
      <w:start w:val="1"/>
    </w:lvl>
  </w:abstractNum>
  <w:abstractNum w:abstractNumId="144">
    <w:nsid w:val="3F06ECB2"/>
    <w:multiLevelType w:val="hybridMultilevel"/>
    <w:lvl w:ilvl="0">
      <w:lvlJc w:val="left"/>
      <w:lvlText w:val="(%1)"/>
      <w:numFmt w:val="lowerRoman"/>
      <w:start w:val="4"/>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
      <w:numFmt w:val="bullet"/>
      <w:start w:val="1"/>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
      <w:numFmt w:val="bullet"/>
      <w:start w:val="1"/>
    </w:lvl>
  </w:abstractNum>
  <w:abstractNum w:abstractNumId="149">
    <w:nsid w:val="17180B0B"/>
    <w:multiLevelType w:val="hybridMultilevel"/>
    <w:lvl w:ilvl="0">
      <w:lvlJc w:val="left"/>
      <w:lvlText w:val="•"/>
      <w:numFmt w:val="bullet"/>
      <w:start w:val="1"/>
    </w:lvl>
  </w:abstractNum>
  <w:abstractNum w:abstractNumId="150">
    <w:nsid w:val="579328B9"/>
    <w:multiLevelType w:val="hybridMultilevel"/>
    <w:lvl w:ilvl="0">
      <w:lvlJc w:val="left"/>
      <w:lvlText w:val="•"/>
      <w:numFmt w:val="bullet"/>
      <w:start w:val="1"/>
    </w:lvl>
  </w:abstractNum>
  <w:abstractNum w:abstractNumId="151">
    <w:nsid w:val="5D205E20"/>
    <w:multiLevelType w:val="hybridMultilevel"/>
    <w:lvl w:ilvl="0">
      <w:lvlJc w:val="left"/>
      <w:lvlText w:val="•"/>
      <w:numFmt w:val="bullet"/>
      <w:start w:val="1"/>
    </w:lvl>
  </w:abstractNum>
  <w:abstractNum w:abstractNumId="152">
    <w:nsid w:val="11CCA8BA"/>
    <w:multiLevelType w:val="hybridMultilevel"/>
    <w:lvl w:ilvl="0">
      <w:lvlJc w:val="left"/>
      <w:lvlText w:val="•"/>
      <w:numFmt w:val="bullet"/>
      <w:start w:val="1"/>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1."/>
      <w:numFmt w:val="decimal"/>
      <w:start w:val="1"/>
    </w:lvl>
  </w:abstractNum>
  <w:abstractNum w:abstractNumId="156">
    <w:nsid w:val="5CB44A05"/>
    <w:multiLevelType w:val="hybridMultilevel"/>
    <w:lvl w:ilvl="0">
      <w:lvlJc w:val="left"/>
      <w:lvlText w:val="(%1)"/>
      <w:numFmt w:val="lowerLetter"/>
      <w:start w:val="1"/>
    </w:lvl>
  </w:abstractNum>
  <w:abstractNum w:abstractNumId="157">
    <w:nsid w:val="16CF80F1"/>
    <w:multiLevelType w:val="hybridMultilevel"/>
    <w:lvl w:ilvl="0">
      <w:lvlJc w:val="left"/>
      <w:lvlText w:val="%1."/>
      <w:numFmt w:val="decimal"/>
      <w:start w:val="5"/>
    </w:lvl>
  </w:abstractNum>
  <w:abstractNum w:abstractNumId="158">
    <w:nsid w:val="1C695DEC"/>
    <w:multiLevelType w:val="hybridMultilevel"/>
    <w:lvl w:ilvl="0">
      <w:lvlJc w:val="left"/>
      <w:lvlText w:val="(%1)"/>
      <w:numFmt w:val="lowerLetter"/>
      <w:start w:val="1"/>
    </w:lvl>
  </w:abstractNum>
  <w:abstractNum w:abstractNumId="159">
    <w:nsid w:val="3FCFAED9"/>
    <w:multiLevelType w:val="hybridMultilevel"/>
    <w:lvl w:ilvl="0">
      <w:lvlJc w:val="left"/>
      <w:lvlText w:val="%1."/>
      <w:numFmt w:val="decimal"/>
      <w:start w:val="1"/>
    </w:lvl>
  </w:abstractNum>
  <w:abstractNum w:abstractNumId="160">
    <w:nsid w:val="F856867"/>
    <w:multiLevelType w:val="hybridMultilevel"/>
    <w:lvl w:ilvl="0">
      <w:lvlJc w:val="left"/>
      <w:lvlText w:val="(%1)"/>
      <w:numFmt w:val="lowerLetter"/>
      <w:start w:val="1"/>
    </w:lvl>
  </w:abstractNum>
  <w:abstractNum w:abstractNumId="161">
    <w:nsid w:val="11B1CC33"/>
    <w:multiLevelType w:val="hybridMultilevel"/>
    <w:lvl w:ilvl="0">
      <w:lvlJc w:val="left"/>
      <w:lvlText w:val="%1."/>
      <w:numFmt w:val="decimal"/>
      <w:start w:val="5"/>
    </w:lvl>
  </w:abstractNum>
  <w:abstractNum w:abstractNumId="162">
    <w:nsid w:val="2E22FBB7"/>
    <w:multiLevelType w:val="hybridMultilevel"/>
    <w:lvl w:ilvl="0">
      <w:lvlJc w:val="left"/>
      <w:lvlText w:val="(%1)"/>
      <w:numFmt w:val="lowerLetter"/>
      <w:start w:val="1"/>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60" Type="http://schemas.openxmlformats.org/officeDocument/2006/relationships/image" Target="media/image641.png"/><Relationship Id="rId674" Type="http://schemas.openxmlformats.org/officeDocument/2006/relationships/image" Target="media/image642.png"/><Relationship Id="rId678" Type="http://schemas.openxmlformats.org/officeDocument/2006/relationships/image" Target="media/image643.png"/><Relationship Id="rId679" Type="http://schemas.openxmlformats.org/officeDocument/2006/relationships/image" Target="media/image644.png"/><Relationship Id="rId680" Type="http://schemas.openxmlformats.org/officeDocument/2006/relationships/image" Target="media/image645.png"/><Relationship Id="rId681" Type="http://schemas.openxmlformats.org/officeDocument/2006/relationships/image" Target="media/image646.png"/><Relationship Id="rId682" Type="http://schemas.openxmlformats.org/officeDocument/2006/relationships/image" Target="media/image647.png"/><Relationship Id="rId683" Type="http://schemas.openxmlformats.org/officeDocument/2006/relationships/image" Target="media/image648.png"/><Relationship Id="rId684" Type="http://schemas.openxmlformats.org/officeDocument/2006/relationships/image" Target="media/image649.png"/><Relationship Id="rId685" Type="http://schemas.openxmlformats.org/officeDocument/2006/relationships/image" Target="media/image650.png"/><Relationship Id="rId686" Type="http://schemas.openxmlformats.org/officeDocument/2006/relationships/image" Target="media/image651.png"/><Relationship Id="rId687" Type="http://schemas.openxmlformats.org/officeDocument/2006/relationships/image" Target="media/image652.png"/><Relationship Id="rId688" Type="http://schemas.openxmlformats.org/officeDocument/2006/relationships/image" Target="media/image653.png"/><Relationship Id="rId689" Type="http://schemas.openxmlformats.org/officeDocument/2006/relationships/image" Target="media/image654.png"/><Relationship Id="rId690" Type="http://schemas.openxmlformats.org/officeDocument/2006/relationships/image" Target="media/image655.png"/><Relationship Id="rId691" Type="http://schemas.openxmlformats.org/officeDocument/2006/relationships/image" Target="media/image656.png"/><Relationship Id="rId692" Type="http://schemas.openxmlformats.org/officeDocument/2006/relationships/image" Target="media/image657.png"/><Relationship Id="rId693" Type="http://schemas.openxmlformats.org/officeDocument/2006/relationships/image" Target="media/image658.png"/><Relationship Id="rId694" Type="http://schemas.openxmlformats.org/officeDocument/2006/relationships/image" Target="media/image659.png"/><Relationship Id="rId695" Type="http://schemas.openxmlformats.org/officeDocument/2006/relationships/image" Target="media/image660.png"/><Relationship Id="rId696" Type="http://schemas.openxmlformats.org/officeDocument/2006/relationships/image" Target="media/image661.png"/><Relationship Id="rId697" Type="http://schemas.openxmlformats.org/officeDocument/2006/relationships/image" Target="media/image662.png"/><Relationship Id="rId698" Type="http://schemas.openxmlformats.org/officeDocument/2006/relationships/image" Target="media/image663.png"/><Relationship Id="rId699" Type="http://schemas.openxmlformats.org/officeDocument/2006/relationships/image" Target="media/image664.png"/><Relationship Id="rId700" Type="http://schemas.openxmlformats.org/officeDocument/2006/relationships/image" Target="media/image665.png"/><Relationship Id="rId701" Type="http://schemas.openxmlformats.org/officeDocument/2006/relationships/image" Target="media/image666.png"/><Relationship Id="rId702" Type="http://schemas.openxmlformats.org/officeDocument/2006/relationships/image" Target="media/image667.png"/><Relationship Id="rId703" Type="http://schemas.openxmlformats.org/officeDocument/2006/relationships/image" Target="media/image668.png"/><Relationship Id="rId704" Type="http://schemas.openxmlformats.org/officeDocument/2006/relationships/image" Target="media/image669.png"/><Relationship Id="rId705" Type="http://schemas.openxmlformats.org/officeDocument/2006/relationships/image" Target="media/image670.png"/><Relationship Id="rId706" Type="http://schemas.openxmlformats.org/officeDocument/2006/relationships/image" Target="media/image671.png"/><Relationship Id="rId707" Type="http://schemas.openxmlformats.org/officeDocument/2006/relationships/image" Target="media/image672.png"/><Relationship Id="rId708" Type="http://schemas.openxmlformats.org/officeDocument/2006/relationships/image" Target="media/image673.png"/><Relationship Id="rId709" Type="http://schemas.openxmlformats.org/officeDocument/2006/relationships/image" Target="media/image674.png"/><Relationship Id="rId710" Type="http://schemas.openxmlformats.org/officeDocument/2006/relationships/image" Target="media/image675.png"/><Relationship Id="rId711" Type="http://schemas.openxmlformats.org/officeDocument/2006/relationships/image" Target="media/image676.png"/><Relationship Id="rId712" Type="http://schemas.openxmlformats.org/officeDocument/2006/relationships/image" Target="media/image677.png"/><Relationship Id="rId713" Type="http://schemas.openxmlformats.org/officeDocument/2006/relationships/image" Target="media/image678.png"/><Relationship Id="rId714" Type="http://schemas.openxmlformats.org/officeDocument/2006/relationships/image" Target="media/image679.png"/><Relationship Id="rId648" Type="http://schemas.openxmlformats.org/officeDocument/2006/relationships/hyperlink" Target="https://www.sec.gov/Archives/edgar/data/1612042/000119312523040184/d456646dex11.htm" TargetMode="External"/><Relationship Id="rId649" Type="http://schemas.openxmlformats.org/officeDocument/2006/relationships/hyperlink" Target="https://www.sec.gov/Archives/edgar/data/1612042/000119312516447629/d65395dex42.htm" TargetMode="External"/><Relationship Id="rId650" Type="http://schemas.openxmlformats.org/officeDocument/2006/relationships/hyperlink" Target="https://www.sec.gov/Archives/edgar/data/1612042/000119312514446974/d744944dex103a.htm" TargetMode="External"/><Relationship Id="rId651" Type="http://schemas.openxmlformats.org/officeDocument/2006/relationships/hyperlink" Target="https://www.sec.gov/Archives/edgar/data/1612042/000119312514446974/d744944dex103b.htm" TargetMode="External"/><Relationship Id="rId652" Type="http://schemas.openxmlformats.org/officeDocument/2006/relationships/hyperlink" Target="https://www.sec.gov/Archives/edgar/data/1612042/000119312522032399/d306593dex11.htm" TargetMode="External"/><Relationship Id="rId653" Type="http://schemas.openxmlformats.org/officeDocument/2006/relationships/hyperlink" Target="https://www.sec.gov/Archives/edgar/data/1612042/000119312514446974/d744944dex104b.htm" TargetMode="External"/><Relationship Id="rId654" Type="http://schemas.openxmlformats.org/officeDocument/2006/relationships/hyperlink" Target="https://www.sec.gov/Archives/edgar/data/1612042/000119312516543253/d163051dex44c.htm" TargetMode="External"/><Relationship Id="rId655" Type="http://schemas.openxmlformats.org/officeDocument/2006/relationships/hyperlink" Target="https://www.sec.gov/Archives/edgar/data/1612042/000119312515012416/d744944dex105.htm" TargetMode="External"/><Relationship Id="rId656" Type="http://schemas.openxmlformats.org/officeDocument/2006/relationships/hyperlink" Target="https://www.sec.gov/Archives/edgar/data/1612042/000119312515401787/d105019dex41.htm" TargetMode="External"/><Relationship Id="rId657" Type="http://schemas.openxmlformats.org/officeDocument/2006/relationships/hyperlink" Target="https://www.sec.gov/Archives/edgar/data/1612042/000119312516447629/d65395dex101.htm" TargetMode="External"/><Relationship Id="rId658" Type="http://schemas.openxmlformats.org/officeDocument/2006/relationships/hyperlink" Target="https://www.sec.gov/Archives/edgar/data/1612042/000119312518099514/d445343dex49.htm" TargetMode="External"/><Relationship Id="rId659" Type="http://schemas.openxmlformats.org/officeDocument/2006/relationships/hyperlink" Target="https://www.sec.gov/Archives/edgar/data/1612042/000119312518099514/d445343dex410.htm" TargetMode="External"/><Relationship Id="rId661" Type="http://schemas.openxmlformats.org/officeDocument/2006/relationships/hyperlink" Target="https://www.sec.gov/Archives/edgar/data/1612042/000119312519096759/d654369dex411.htm" TargetMode="External"/><Relationship Id="rId662" Type="http://schemas.openxmlformats.org/officeDocument/2006/relationships/hyperlink" Target="https://www.sec.gov/Archives/edgar/data/1612042/000119312519096759/d654369dex412.htm" TargetMode="External"/><Relationship Id="rId663" Type="http://schemas.openxmlformats.org/officeDocument/2006/relationships/hyperlink" Target="https://www.sec.gov/Archives/edgar/data/1612042/000119312519096759/d654369dex413.htm" TargetMode="External"/><Relationship Id="rId664" Type="http://schemas.openxmlformats.org/officeDocument/2006/relationships/hyperlink" Target="https://www.sec.gov/Archives/edgar/data/1612042/000119312519096759/d654369dex415.htm" TargetMode="External"/><Relationship Id="rId665" Type="http://schemas.openxmlformats.org/officeDocument/2006/relationships/hyperlink" Target="https://www.sec.gov/Archives/edgar/data/1612042/000119312519096759/d654369dex416.htm" TargetMode="External"/><Relationship Id="rId666" Type="http://schemas.openxmlformats.org/officeDocument/2006/relationships/hyperlink" Target="https://www.sec.gov/Archives/edgar/data/1612042/000119312519096759/d654369dex417.htm" TargetMode="External"/><Relationship Id="rId667" Type="http://schemas.openxmlformats.org/officeDocument/2006/relationships/hyperlink" Target="https://www.sec.gov/Archives/edgar/data/1612042/000119312520096870/d841629dex416.htm" TargetMode="External"/><Relationship Id="rId668" Type="http://schemas.openxmlformats.org/officeDocument/2006/relationships/hyperlink" Target="https://www.sec.gov/Archives/edgar/data/1612042/000119312520096870/d841629dex417.htm" TargetMode="External"/><Relationship Id="rId669" Type="http://schemas.openxmlformats.org/officeDocument/2006/relationships/hyperlink" Target="https://www.sec.gov/Archives/edgar/data/1612042/000119312522062998/d232088dex416.htm" TargetMode="External"/><Relationship Id="rId670" Type="http://schemas.openxmlformats.org/officeDocument/2006/relationships/hyperlink" Target="https://www.sec.gov/Archives/edgar/data/1612042/000119312522062998/d232088dex417.htm" TargetMode="External"/><Relationship Id="rId671" Type="http://schemas.openxmlformats.org/officeDocument/2006/relationships/hyperlink" Target="https://www.sec.gov/Archives/edgar/data/1612042/000119312522062998/d232088dex418.htm" TargetMode="External"/><Relationship Id="rId672" Type="http://schemas.openxmlformats.org/officeDocument/2006/relationships/hyperlink" Target="https://www.sec.gov/Archives/edgar/data/1612042/000119312521076349/d123790dex417.htm" TargetMode="External"/><Relationship Id="rId673" Type="http://schemas.openxmlformats.org/officeDocument/2006/relationships/hyperlink" Target="https://www.sec.gov/Archives/edgar/data/1612042/000119312521076349/d123790dex418.htm" TargetMode="External"/><Relationship Id="rId675" Type="http://schemas.openxmlformats.org/officeDocument/2006/relationships/hyperlink" Target="https://www.sec.gov/Archives/edgar/data/1612042/000119312521076349/d123790dex419.htm" TargetMode="External"/><Relationship Id="rId676" Type="http://schemas.openxmlformats.org/officeDocument/2006/relationships/hyperlink" Target="https://www.sec.gov/Archives/edgar/data/1612042/000119312521076349/d123790dex420.htm" TargetMode="External"/><Relationship Id="rId677" Type="http://schemas.openxmlformats.org/officeDocument/2006/relationships/hyperlink" Target="https://www.sec.gov/Archives/edgar/data/1612042/000119312521351764/d245267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2023-02-16T16:23:08Z</dcterms:created>
  <dcterms:modified xsi:type="dcterms:W3CDTF">2023-02-16T16:23:08Z</dcterms:modified>
</cp:coreProperties>
</file>