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40"/>
        <w:spacing w:after="0"/>
        <w:rPr>
          <w:sz w:val="20"/>
          <w:szCs w:val="20"/>
          <w:color w:val="auto"/>
        </w:rPr>
      </w:pPr>
      <w:r>
        <w:rPr>
          <w:rFonts w:ascii="Arial" w:cs="Arial" w:eastAsia="Arial" w:hAnsi="Arial"/>
          <w:sz w:val="32"/>
          <w:szCs w:val="32"/>
          <w:b w:val="1"/>
          <w:bCs w:val="1"/>
          <w:color w:val="auto"/>
        </w:rPr>
        <w:t>SECURITIES AND EXCHANGE COMMISSION</w:t>
      </w:r>
    </w:p>
    <w:p>
      <w:pPr>
        <w:ind w:left="44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227330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8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255270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left="2320" w:right="960"/>
        <w:spacing w:after="0" w:line="260" w:lineRule="auto"/>
        <w:rPr>
          <w:sz w:val="20"/>
          <w:szCs w:val="20"/>
          <w:color w:val="auto"/>
        </w:rPr>
      </w:pPr>
      <w:r>
        <w:rPr>
          <w:rFonts w:ascii="Arial" w:cs="Arial" w:eastAsia="Arial" w:hAnsi="Arial"/>
          <w:sz w:val="21"/>
          <w:szCs w:val="21"/>
          <w:b w:val="1"/>
          <w:bCs w:val="1"/>
          <w:color w:val="auto"/>
        </w:rPr>
        <w:t>REPORT OF FOREIGN PRIVATE ISSUER PURSUANT TO SECTION 13a-16 OR 15d-16 UNDER THE SECURITIES EXCHANGE ACT OF 1934</w:t>
      </w:r>
    </w:p>
    <w:p>
      <w:pPr>
        <w:spacing w:after="0" w:line="169"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November, 2023</w:t>
      </w:r>
    </w:p>
    <w:p>
      <w:pPr>
        <w:spacing w:after="0" w:line="225"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240030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60"/>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236220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DK-2900 Hellerup</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Denmark</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227965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20"/>
        <w:spacing w:after="0" w:line="207" w:lineRule="exact"/>
        <w:tabs>
          <w:tab w:leader="none" w:pos="59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on Form 6-K shall be deemed to be incorporated by reference into the registration statements on Form S-8 (Registration Numbers 333-228576, 333-203040, 333-210810, 333-211512, 333-213412, 333-214843, 333-216883, 333-254101, 333-261550 and 333-270088) and Form F-3 (Registration Numbers 333-209336, 333-211511, 333-216882, 333-223134, 333-225284, and 333-256571)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report contains the Company’s Unaudited Condensed Consolidated Interim Financial Statements as of and for the period ended September 30, 2023, including Management’s Discussion and Analysis of Financial Condition and Results of Operations for the period presented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372110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0"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Ascendis Pharma A/S</w:t>
      </w:r>
    </w:p>
    <w:p>
      <w:pPr>
        <w:spacing w:after="0" w:line="283" w:lineRule="exact"/>
        <w:rPr>
          <w:sz w:val="20"/>
          <w:szCs w:val="20"/>
          <w:color w:val="auto"/>
        </w:rPr>
      </w:pPr>
    </w:p>
    <w:p>
      <w:pPr>
        <w:ind w:left="180"/>
        <w:spacing w:after="0"/>
        <w:tabs>
          <w:tab w:leader="none" w:pos="582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6"/>
          <w:szCs w:val="16"/>
          <w:color w:val="auto"/>
        </w:rPr>
        <w:t>By: /s/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23495</wp:posOffset>
            </wp:positionV>
            <wp:extent cx="3180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Michael Wolff Jensen</w:t>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Executive Vice President,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440" w:type="dxa"/>
            <w:vAlign w:val="bottom"/>
            <w:gridSpan w:val="3"/>
          </w:tcPr>
          <w:p>
            <w:pPr>
              <w:ind w:left="434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0"/>
                <w:szCs w:val="20"/>
                <w:color w:val="auto"/>
              </w:rPr>
            </w:pPr>
          </w:p>
        </w:tc>
      </w:tr>
      <w:tr>
        <w:trPr>
          <w:trHeight w:val="445"/>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1.</w:t>
            </w:r>
          </w:p>
        </w:tc>
        <w:tc>
          <w:tcPr>
            <w:tcW w:w="6380" w:type="dxa"/>
            <w:vAlign w:val="bottom"/>
            <w:tcBorders>
              <w:bottom w:val="single" w:sz="8" w:color="0000EE"/>
            </w:tcBorders>
          </w:tcPr>
          <w:p>
            <w:pPr>
              <w:spacing w:after="0"/>
              <w:rPr>
                <w:sz w:val="20"/>
                <w:szCs w:val="20"/>
                <w:color w:val="auto"/>
              </w:rPr>
            </w:pPr>
            <w:r>
              <w:rPr>
                <w:rFonts w:ascii="Arial" w:cs="Arial" w:eastAsia="Arial" w:hAnsi="Arial"/>
                <w:sz w:val="18"/>
                <w:szCs w:val="18"/>
                <w:color w:val="0000FF"/>
                <w:w w:val="90"/>
              </w:rPr>
              <w:t>Unaudited Condensed Consolidated Interim Financial Statements – September 30, 2023</w:t>
            </w:r>
          </w:p>
        </w:tc>
        <w:tc>
          <w:tcPr>
            <w:tcW w:w="2060" w:type="dxa"/>
            <w:vAlign w:val="bottom"/>
            <w:gridSpan w:val="2"/>
          </w:tcPr>
          <w:p>
            <w:pPr>
              <w:spacing w:after="0"/>
              <w:rPr>
                <w:sz w:val="24"/>
                <w:szCs w:val="24"/>
                <w:color w:val="auto"/>
              </w:rPr>
            </w:pPr>
          </w:p>
        </w:tc>
        <w:tc>
          <w:tcPr>
            <w:tcW w:w="2500" w:type="dxa"/>
            <w:vAlign w:val="bottom"/>
          </w:tcPr>
          <w:p>
            <w:pPr>
              <w:ind w:left="1960"/>
              <w:spacing w:after="0"/>
              <w:rPr>
                <w:sz w:val="20"/>
                <w:szCs w:val="20"/>
                <w:color w:val="auto"/>
              </w:rPr>
            </w:pPr>
            <w:r>
              <w:rPr>
                <w:rFonts w:ascii="Arial" w:cs="Arial" w:eastAsia="Arial" w:hAnsi="Arial"/>
                <w:sz w:val="18"/>
                <w:szCs w:val="18"/>
                <w:color w:val="auto"/>
              </w:rPr>
              <w:t>F-1</w:t>
            </w:r>
          </w:p>
        </w:tc>
      </w:tr>
      <w:tr>
        <w:trPr>
          <w:trHeight w:val="237"/>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2.</w:t>
            </w:r>
          </w:p>
        </w:tc>
        <w:tc>
          <w:tcPr>
            <w:tcW w:w="8440" w:type="dxa"/>
            <w:vAlign w:val="bottom"/>
            <w:gridSpan w:val="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2500" w:type="dxa"/>
            <w:vAlign w:val="bottom"/>
          </w:tcPr>
          <w:p>
            <w:pPr>
              <w:ind w:left="1960"/>
              <w:spacing w:after="0"/>
              <w:rPr>
                <w:sz w:val="20"/>
                <w:szCs w:val="20"/>
                <w:color w:val="auto"/>
              </w:rPr>
            </w:pPr>
            <w:r>
              <w:rPr>
                <w:rFonts w:ascii="Arial" w:cs="Arial" w:eastAsia="Arial" w:hAnsi="Arial"/>
                <w:sz w:val="18"/>
                <w:szCs w:val="18"/>
                <w:color w:val="auto"/>
              </w:rPr>
              <w:t>1</w:t>
            </w:r>
          </w:p>
        </w:tc>
      </w:tr>
      <w:tr>
        <w:trPr>
          <w:trHeight w:val="757"/>
        </w:trPr>
        <w:tc>
          <w:tcPr>
            <w:tcW w:w="300" w:type="dxa"/>
            <w:vAlign w:val="bottom"/>
            <w:tcBorders>
              <w:bottom w:val="single" w:sz="8" w:color="9A9A9A"/>
            </w:tcBorders>
          </w:tcPr>
          <w:p>
            <w:pPr>
              <w:spacing w:after="0"/>
              <w:rPr>
                <w:sz w:val="24"/>
                <w:szCs w:val="24"/>
                <w:color w:val="auto"/>
              </w:rPr>
            </w:pPr>
          </w:p>
        </w:tc>
        <w:tc>
          <w:tcPr>
            <w:tcW w:w="63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UNAUDITED CONDENSED CONSOLIDATED INTERIM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8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0"/>
              </w:rPr>
              <w:t>Unaudited Condensed Consolidated Interim Statements of Profit or Loss and Other Comprehensive Income / (Loss) for the Three and Nine</w:t>
            </w:r>
          </w:p>
        </w:tc>
        <w:tc>
          <w:tcPr>
            <w:tcW w:w="140" w:type="dxa"/>
            <w:vAlign w:val="bottom"/>
          </w:tcPr>
          <w:p>
            <w:pPr>
              <w:spacing w:after="0"/>
              <w:rPr>
                <w:sz w:val="15"/>
                <w:szCs w:val="15"/>
                <w:color w:val="auto"/>
              </w:rPr>
            </w:pPr>
          </w:p>
        </w:tc>
        <w:tc>
          <w:tcPr>
            <w:tcW w:w="1000" w:type="dxa"/>
            <w:vAlign w:val="bottom"/>
            <w:vMerge w:val="restart"/>
          </w:tcPr>
          <w:p>
            <w:pPr>
              <w:ind w:left="40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80" w:type="dxa"/>
            <w:vAlign w:val="bottom"/>
            <w:gridSpan w:val="7"/>
          </w:tcPr>
          <w:p>
            <w:pPr>
              <w:spacing w:after="0" w:line="196" w:lineRule="exact"/>
              <w:rPr>
                <w:sz w:val="20"/>
                <w:szCs w:val="20"/>
                <w:color w:val="auto"/>
              </w:rPr>
            </w:pPr>
            <w:r>
              <w:rPr>
                <w:rFonts w:ascii="Arial" w:cs="Arial" w:eastAsia="Arial" w:hAnsi="Arial"/>
                <w:sz w:val="18"/>
                <w:szCs w:val="18"/>
                <w:color w:val="0000FF"/>
              </w:rPr>
              <w:t>Months Ended September 30, 2023 and 2022</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26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0000FF"/>
                <w:w w:val="99"/>
              </w:rPr>
              <w:t>Unaudited Condensed Consolidated Interim Statements of Financial Position as of September 30, 2023 and December 31, 2022</w:t>
            </w:r>
          </w:p>
        </w:tc>
        <w:tc>
          <w:tcPr>
            <w:tcW w:w="1000" w:type="dxa"/>
            <w:vAlign w:val="bottom"/>
          </w:tcPr>
          <w:p>
            <w:pPr>
              <w:ind w:left="40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37"/>
        </w:trPr>
        <w:tc>
          <w:tcPr>
            <w:tcW w:w="20" w:type="dxa"/>
            <w:vAlign w:val="bottom"/>
            <w:tcBorders>
              <w:top w:val="single" w:sz="8" w:color="0000EE"/>
            </w:tcBorders>
          </w:tcPr>
          <w:p>
            <w:pPr>
              <w:spacing w:after="0"/>
              <w:rPr>
                <w:sz w:val="20"/>
                <w:szCs w:val="20"/>
                <w:color w:val="auto"/>
              </w:rPr>
            </w:pPr>
          </w:p>
        </w:tc>
        <w:tc>
          <w:tcPr>
            <w:tcW w:w="91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Unaudited Condensed Consolidated Interim Statements of Changes in Equity at September 30, 2023 and 2022</w:t>
            </w:r>
          </w:p>
        </w:tc>
        <w:tc>
          <w:tcPr>
            <w:tcW w:w="1040" w:type="dxa"/>
            <w:vAlign w:val="bottom"/>
            <w:gridSpan w:val="2"/>
          </w:tcPr>
          <w:p>
            <w:pPr>
              <w:spacing w:after="0"/>
              <w:rPr>
                <w:sz w:val="20"/>
                <w:szCs w:val="20"/>
                <w:color w:val="auto"/>
              </w:rPr>
            </w:pPr>
          </w:p>
        </w:tc>
        <w:tc>
          <w:tcPr>
            <w:tcW w:w="1000" w:type="dxa"/>
            <w:vAlign w:val="bottom"/>
          </w:tcPr>
          <w:p>
            <w:pPr>
              <w:ind w:left="40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620" w:type="dxa"/>
            <w:vAlign w:val="bottom"/>
            <w:gridSpan w:val="3"/>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0000EE"/>
            </w:tcBorders>
          </w:tcPr>
          <w:p>
            <w:pPr>
              <w:spacing w:after="0"/>
              <w:rPr>
                <w:sz w:val="20"/>
                <w:szCs w:val="20"/>
                <w:color w:val="auto"/>
              </w:rPr>
            </w:pPr>
          </w:p>
        </w:tc>
        <w:tc>
          <w:tcPr>
            <w:tcW w:w="90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Unaudited Condensed Consolidated Interim Cash Flow Statements for the Nine Months Ended September 30, 2023 and 2022</w:t>
            </w:r>
          </w:p>
        </w:tc>
        <w:tc>
          <w:tcPr>
            <w:tcW w:w="1180" w:type="dxa"/>
            <w:vAlign w:val="bottom"/>
            <w:gridSpan w:val="3"/>
          </w:tcPr>
          <w:p>
            <w:pPr>
              <w:spacing w:after="0"/>
              <w:rPr>
                <w:sz w:val="20"/>
                <w:szCs w:val="20"/>
                <w:color w:val="auto"/>
              </w:rPr>
            </w:pPr>
          </w:p>
        </w:tc>
        <w:tc>
          <w:tcPr>
            <w:tcW w:w="1000" w:type="dxa"/>
            <w:vAlign w:val="bottom"/>
          </w:tcPr>
          <w:p>
            <w:pPr>
              <w:ind w:left="40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0000FF"/>
              </w:rPr>
              <w:t>Notes to the Unaudited Condensed Consolidated Interim Financial Statements</w:t>
            </w:r>
          </w:p>
        </w:tc>
        <w:tc>
          <w:tcPr>
            <w:tcW w:w="1000" w:type="dxa"/>
            <w:vAlign w:val="bottom"/>
          </w:tcPr>
          <w:p>
            <w:pPr>
              <w:ind w:left="40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720" w:type="dxa"/>
            <w:vAlign w:val="bottom"/>
            <w:gridSpan w:val="6"/>
          </w:tcPr>
          <w:p>
            <w:pPr>
              <w:ind w:left="1980"/>
              <w:spacing w:after="0"/>
              <w:rPr>
                <w:sz w:val="20"/>
                <w:szCs w:val="20"/>
                <w:color w:val="auto"/>
              </w:rPr>
            </w:pPr>
            <w:r>
              <w:rPr>
                <w:rFonts w:ascii="Arial" w:cs="Arial" w:eastAsia="Arial" w:hAnsi="Arial"/>
                <w:sz w:val="18"/>
                <w:szCs w:val="18"/>
                <w:color w:val="auto"/>
              </w:rPr>
              <w:t>F-1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Unaudited Condensed Consolidated Interim Statements of Profit or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 (Loss) for the Three and Nine Months Ended September 30,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6"/>
          </w:tcPr>
          <w:p>
            <w:pPr>
              <w:jc w:val="center"/>
              <w:ind w:right="490"/>
              <w:spacing w:after="0"/>
              <w:rPr>
                <w:sz w:val="20"/>
                <w:szCs w:val="20"/>
                <w:color w:val="auto"/>
              </w:rPr>
            </w:pPr>
            <w:r>
              <w:rPr>
                <w:rFonts w:ascii="Arial" w:cs="Arial" w:eastAsia="Arial" w:hAnsi="Arial"/>
                <w:sz w:val="14"/>
                <w:szCs w:val="14"/>
                <w:b w:val="1"/>
                <w:bCs w:val="1"/>
                <w:color w:val="auto"/>
                <w:w w:val="93"/>
              </w:rPr>
              <w:t>Three Months Ended</w:t>
            </w:r>
          </w:p>
        </w:tc>
        <w:tc>
          <w:tcPr>
            <w:tcW w:w="2280" w:type="dxa"/>
            <w:vAlign w:val="bottom"/>
            <w:gridSpan w:val="5"/>
          </w:tcPr>
          <w:p>
            <w:pPr>
              <w:jc w:val="center"/>
              <w:ind w:right="201"/>
              <w:spacing w:after="0"/>
              <w:rPr>
                <w:sz w:val="20"/>
                <w:szCs w:val="20"/>
                <w:color w:val="auto"/>
              </w:rPr>
            </w:pPr>
            <w:r>
              <w:rPr>
                <w:rFonts w:ascii="Arial" w:cs="Arial" w:eastAsia="Arial" w:hAnsi="Arial"/>
                <w:sz w:val="14"/>
                <w:szCs w:val="14"/>
                <w:b w:val="1"/>
                <w:bCs w:val="1"/>
                <w:color w:val="auto"/>
                <w:w w:val="94"/>
              </w:rPr>
              <w:t>Nine Months Ended</w:t>
            </w:r>
          </w:p>
        </w:tc>
      </w:tr>
      <w:tr>
        <w:trPr>
          <w:trHeight w:val="185"/>
        </w:trPr>
        <w:tc>
          <w:tcPr>
            <w:tcW w:w="5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6"/>
          </w:tcPr>
          <w:p>
            <w:pPr>
              <w:jc w:val="center"/>
              <w:ind w:right="470"/>
              <w:spacing w:after="0"/>
              <w:rPr>
                <w:sz w:val="20"/>
                <w:szCs w:val="20"/>
                <w:color w:val="auto"/>
              </w:rPr>
            </w:pPr>
            <w:r>
              <w:rPr>
                <w:rFonts w:ascii="Arial" w:cs="Arial" w:eastAsia="Arial" w:hAnsi="Arial"/>
                <w:sz w:val="14"/>
                <w:szCs w:val="14"/>
                <w:b w:val="1"/>
                <w:bCs w:val="1"/>
                <w:color w:val="auto"/>
                <w:w w:val="91"/>
              </w:rPr>
              <w:t>September 30,</w:t>
            </w:r>
          </w:p>
        </w:tc>
        <w:tc>
          <w:tcPr>
            <w:tcW w:w="2280" w:type="dxa"/>
            <w:vAlign w:val="bottom"/>
            <w:gridSpan w:val="5"/>
          </w:tcPr>
          <w:p>
            <w:pPr>
              <w:jc w:val="center"/>
              <w:ind w:right="201"/>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54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left="574"/>
              <w:spacing w:after="0"/>
              <w:rPr>
                <w:sz w:val="20"/>
                <w:szCs w:val="20"/>
                <w:color w:val="auto"/>
              </w:rPr>
            </w:pPr>
            <w:r>
              <w:rPr>
                <w:rFonts w:ascii="Arial" w:cs="Arial" w:eastAsia="Arial" w:hAnsi="Arial"/>
                <w:sz w:val="14"/>
                <w:szCs w:val="14"/>
                <w:b w:val="1"/>
                <w:bCs w:val="1"/>
                <w:color w:val="auto"/>
                <w:w w:val="99"/>
              </w:rPr>
              <w:t>(EUR’000)</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left="594"/>
              <w:spacing w:after="0"/>
              <w:rPr>
                <w:sz w:val="20"/>
                <w:szCs w:val="20"/>
                <w:color w:val="auto"/>
              </w:rPr>
            </w:pPr>
            <w:r>
              <w:rPr>
                <w:rFonts w:ascii="Arial" w:cs="Arial" w:eastAsia="Arial" w:hAnsi="Arial"/>
                <w:sz w:val="14"/>
                <w:szCs w:val="14"/>
                <w:b w:val="1"/>
                <w:bCs w:val="1"/>
                <w:color w:val="auto"/>
                <w:w w:val="99"/>
              </w:rPr>
              <w:t>(EUR’000)</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Consolidated Statement of Profit or Loss</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460" w:type="dxa"/>
            <w:vAlign w:val="bottom"/>
          </w:tcPr>
          <w:p>
            <w:pPr>
              <w:ind w:left="20"/>
              <w:spacing w:after="0"/>
              <w:rPr>
                <w:sz w:val="20"/>
                <w:szCs w:val="20"/>
                <w:color w:val="auto"/>
              </w:rPr>
            </w:pPr>
            <w:r>
              <w:rPr>
                <w:rFonts w:ascii="Arial" w:cs="Arial" w:eastAsia="Arial" w:hAnsi="Arial"/>
                <w:sz w:val="18"/>
                <w:szCs w:val="18"/>
                <w:color w:val="auto"/>
              </w:rPr>
              <w:t>Revenue</w:t>
            </w:r>
          </w:p>
        </w:tc>
        <w:tc>
          <w:tcPr>
            <w:tcW w:w="580" w:type="dxa"/>
            <w:vAlign w:val="bottom"/>
          </w:tcPr>
          <w:p>
            <w:pPr>
              <w:jc w:val="right"/>
              <w:ind w:right="159"/>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48,034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15,290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28,278</w:t>
            </w:r>
          </w:p>
        </w:tc>
        <w:tc>
          <w:tcPr>
            <w:tcW w:w="100" w:type="dxa"/>
            <w:vAlign w:val="bottom"/>
          </w:tcPr>
          <w:p>
            <w:pPr>
              <w:spacing w:after="0"/>
              <w:rPr>
                <w:sz w:val="20"/>
                <w:szCs w:val="20"/>
                <w:color w:val="auto"/>
              </w:rPr>
            </w:pPr>
          </w:p>
        </w:tc>
      </w:tr>
      <w:tr>
        <w:trPr>
          <w:trHeight w:val="241"/>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5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7,388</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24,938</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40,646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13,597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104,078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21,253</w:t>
            </w:r>
          </w:p>
        </w:tc>
        <w:tc>
          <w:tcPr>
            <w:tcW w:w="100" w:type="dxa"/>
            <w:vAlign w:val="bottom"/>
          </w:tcPr>
          <w:p>
            <w:pPr>
              <w:spacing w:after="0"/>
              <w:rPr>
                <w:sz w:val="20"/>
                <w:szCs w:val="20"/>
                <w:color w:val="auto"/>
              </w:rPr>
            </w:pPr>
          </w:p>
        </w:tc>
      </w:tr>
      <w:tr>
        <w:trPr>
          <w:trHeight w:val="247"/>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costs</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111,439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97,431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322,573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271,006</w:t>
            </w:r>
          </w:p>
        </w:tc>
        <w:tc>
          <w:tcPr>
            <w:tcW w:w="100" w:type="dxa"/>
            <w:vAlign w:val="bottom"/>
            <w:shd w:val="clear" w:color="auto" w:fill="CFF0FC"/>
          </w:tcPr>
          <w:p>
            <w:pPr>
              <w:spacing w:after="0"/>
              <w:rPr>
                <w:sz w:val="21"/>
                <w:szCs w:val="2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63,614</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60,671</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200,435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164,675</w:t>
            </w:r>
          </w:p>
        </w:tc>
        <w:tc>
          <w:tcPr>
            <w:tcW w:w="100" w:type="dxa"/>
            <w:vAlign w:val="bottom"/>
          </w:tcPr>
          <w:p>
            <w:pPr>
              <w:spacing w:after="0"/>
              <w:rPr>
                <w:sz w:val="20"/>
                <w:szCs w:val="20"/>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profit / (loss)</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(134,407</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(144,505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(418,930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(414,428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color w:val="auto"/>
              </w:rPr>
              <w:t>Share of profit / (loss) of associate</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(6,794 )</w:t>
            </w:r>
          </w:p>
        </w:tc>
        <w:tc>
          <w:tcPr>
            <w:tcW w:w="20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(3,696 )</w:t>
            </w:r>
          </w:p>
        </w:tc>
        <w:tc>
          <w:tcPr>
            <w:tcW w:w="16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(15,471 )</w:t>
            </w: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(9,736 )</w:t>
            </w:r>
          </w:p>
        </w:tc>
      </w:tr>
      <w:tr>
        <w:trPr>
          <w:trHeight w:val="24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income</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76,985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73,797</w:t>
            </w:r>
          </w:p>
        </w:tc>
        <w:tc>
          <w:tcPr>
            <w:tcW w:w="100" w:type="dxa"/>
            <w:vAlign w:val="bottom"/>
            <w:shd w:val="clear" w:color="auto" w:fill="CFF0FC"/>
          </w:tcPr>
          <w:p>
            <w:pPr>
              <w:spacing w:after="0"/>
              <w:rPr>
                <w:sz w:val="21"/>
                <w:szCs w:val="2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color w:val="auto"/>
              </w:rPr>
              <w:t>Finance expenses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24,519</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25,381</w:t>
            </w:r>
          </w:p>
        </w:tc>
        <w:tc>
          <w:tcPr>
            <w:tcW w:w="100" w:type="dxa"/>
            <w:vAlign w:val="bottom"/>
          </w:tcPr>
          <w:p>
            <w:pPr>
              <w:spacing w:after="0"/>
              <w:rPr>
                <w:sz w:val="20"/>
                <w:szCs w:val="20"/>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Profit / (loss) before tax</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(161,578</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(169,122</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(393,056</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(375,748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color w:val="auto"/>
              </w:rPr>
              <w:t>Income taxes (expenses)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(645 )</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(1,513 )</w:t>
            </w: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(28 )</w:t>
            </w:r>
          </w:p>
        </w:tc>
      </w:tr>
      <w:tr>
        <w:trPr>
          <w:trHeight w:val="279"/>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profit / (loss) for the period</w:t>
            </w:r>
          </w:p>
        </w:tc>
        <w:tc>
          <w:tcPr>
            <w:tcW w:w="5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(162,223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(168,955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(394,569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(375,776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21"/>
        </w:trPr>
        <w:tc>
          <w:tcPr>
            <w:tcW w:w="5460" w:type="dxa"/>
            <w:vAlign w:val="bottom"/>
          </w:tcPr>
          <w:p>
            <w:pPr>
              <w:ind w:left="20"/>
              <w:spacing w:after="0"/>
              <w:rPr>
                <w:sz w:val="20"/>
                <w:szCs w:val="20"/>
                <w:color w:val="auto"/>
              </w:rPr>
            </w:pPr>
            <w:r>
              <w:rPr>
                <w:rFonts w:ascii="Arial" w:cs="Arial" w:eastAsia="Arial" w:hAnsi="Arial"/>
                <w:sz w:val="18"/>
                <w:szCs w:val="18"/>
                <w:color w:val="auto"/>
              </w:rPr>
              <w:t>Attributable to owners of the Company</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(162,223 )</w:t>
            </w:r>
          </w:p>
        </w:tc>
        <w:tc>
          <w:tcPr>
            <w:tcW w:w="20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(168,955 )</w:t>
            </w:r>
          </w:p>
        </w:tc>
        <w:tc>
          <w:tcPr>
            <w:tcW w:w="160" w:type="dxa"/>
            <w:vAlign w:val="bottom"/>
          </w:tcPr>
          <w:p>
            <w:pPr>
              <w:spacing w:after="0"/>
              <w:rPr>
                <w:sz w:val="19"/>
                <w:szCs w:val="19"/>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(394,569 )</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(375,776 )</w:t>
            </w:r>
          </w:p>
        </w:tc>
      </w:tr>
      <w:tr>
        <w:trPr>
          <w:trHeight w:val="243"/>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and diluted earnings / (loss) per share</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54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Number of shares used for calculation (basic and diluted) </w:t>
            </w:r>
            <w:r>
              <w:rPr>
                <w:rFonts w:ascii="Arial" w:cs="Arial" w:eastAsia="Arial" w:hAnsi="Arial"/>
                <w:sz w:val="24"/>
                <w:szCs w:val="24"/>
                <w:color w:val="auto"/>
                <w:vertAlign w:val="superscript"/>
              </w:rPr>
              <w:t>(1)</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56,272,698</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55,831,561</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56,194,956</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56,115,782</w:t>
            </w:r>
          </w:p>
        </w:tc>
        <w:tc>
          <w:tcPr>
            <w:tcW w:w="100" w:type="dxa"/>
            <w:vAlign w:val="bottom"/>
          </w:tcPr>
          <w:p>
            <w:pPr>
              <w:spacing w:after="0"/>
              <w:rPr>
                <w:sz w:val="21"/>
                <w:szCs w:val="21"/>
                <w:color w:val="auto"/>
              </w:rPr>
            </w:pPr>
          </w:p>
        </w:tc>
      </w:tr>
      <w:tr>
        <w:trPr>
          <w:trHeight w:val="480"/>
        </w:trPr>
        <w:tc>
          <w:tcPr>
            <w:tcW w:w="5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center"/>
              <w:ind w:left="574"/>
              <w:spacing w:after="0"/>
              <w:rPr>
                <w:sz w:val="20"/>
                <w:szCs w:val="20"/>
                <w:color w:val="auto"/>
              </w:rPr>
            </w:pPr>
            <w:r>
              <w:rPr>
                <w:rFonts w:ascii="Arial" w:cs="Arial" w:eastAsia="Arial" w:hAnsi="Arial"/>
                <w:sz w:val="14"/>
                <w:szCs w:val="14"/>
                <w:b w:val="1"/>
                <w:bCs w:val="1"/>
                <w:color w:val="auto"/>
                <w:w w:val="99"/>
              </w:rPr>
              <w:t>(EUR’000)</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center"/>
              <w:ind w:left="594"/>
              <w:spacing w:after="0"/>
              <w:rPr>
                <w:sz w:val="20"/>
                <w:szCs w:val="20"/>
                <w:color w:val="auto"/>
              </w:rPr>
            </w:pPr>
            <w:r>
              <w:rPr>
                <w:rFonts w:ascii="Arial" w:cs="Arial" w:eastAsia="Arial" w:hAnsi="Arial"/>
                <w:sz w:val="14"/>
                <w:szCs w:val="14"/>
                <w:b w:val="1"/>
                <w:bCs w:val="1"/>
                <w:color w:val="auto"/>
                <w:w w:val="99"/>
              </w:rPr>
              <w:t>(EUR’000)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Statement of Comprehensive Income</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Net profit / (loss) for the period</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(162,223 )</w:t>
            </w:r>
          </w:p>
        </w:tc>
        <w:tc>
          <w:tcPr>
            <w:tcW w:w="20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(168,955 )</w:t>
            </w:r>
          </w:p>
        </w:tc>
        <w:tc>
          <w:tcPr>
            <w:tcW w:w="16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(394,569 )</w:t>
            </w: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(375,776 )</w:t>
            </w:r>
          </w:p>
        </w:tc>
      </w:tr>
      <w:tr>
        <w:trPr>
          <w:trHeight w:val="247"/>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comprehensive income / (loss)</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(2,207 )</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(1,232 )</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(2,538 )</w:t>
            </w:r>
          </w:p>
        </w:tc>
      </w:tr>
      <w:tr>
        <w:trPr>
          <w:trHeight w:val="20"/>
        </w:trPr>
        <w:tc>
          <w:tcPr>
            <w:tcW w:w="54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571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(2,207 )</w:t>
            </w:r>
          </w:p>
        </w:tc>
        <w:tc>
          <w:tcPr>
            <w:tcW w:w="16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(1,232 )</w:t>
            </w: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(2,538 )</w:t>
            </w:r>
          </w:p>
        </w:tc>
      </w:tr>
      <w:tr>
        <w:trPr>
          <w:trHeight w:val="276"/>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comprehensive income / (loss) for the period, net of tax</w:t>
            </w:r>
          </w:p>
        </w:tc>
        <w:tc>
          <w:tcPr>
            <w:tcW w:w="5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(161,652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(171,162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(395,801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(378,314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22"/>
        </w:trPr>
        <w:tc>
          <w:tcPr>
            <w:tcW w:w="5460" w:type="dxa"/>
            <w:vAlign w:val="bottom"/>
          </w:tcPr>
          <w:p>
            <w:pPr>
              <w:ind w:left="20"/>
              <w:spacing w:after="0"/>
              <w:rPr>
                <w:sz w:val="20"/>
                <w:szCs w:val="20"/>
                <w:color w:val="auto"/>
              </w:rPr>
            </w:pPr>
            <w:r>
              <w:rPr>
                <w:rFonts w:ascii="Arial" w:cs="Arial" w:eastAsia="Arial" w:hAnsi="Arial"/>
                <w:sz w:val="18"/>
                <w:szCs w:val="18"/>
                <w:color w:val="auto"/>
              </w:rPr>
              <w:t>Attributable to owners of the Company</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(161,652 )</w:t>
            </w:r>
          </w:p>
        </w:tc>
        <w:tc>
          <w:tcPr>
            <w:tcW w:w="20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(171,162 )</w:t>
            </w:r>
          </w:p>
        </w:tc>
        <w:tc>
          <w:tcPr>
            <w:tcW w:w="160" w:type="dxa"/>
            <w:vAlign w:val="bottom"/>
          </w:tcPr>
          <w:p>
            <w:pPr>
              <w:spacing w:after="0"/>
              <w:rPr>
                <w:sz w:val="19"/>
                <w:szCs w:val="19"/>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(395,801 )</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(378,314 )</w:t>
            </w:r>
          </w:p>
        </w:tc>
      </w:tr>
      <w:tr>
        <w:trPr>
          <w:trHeight w:val="20"/>
        </w:trPr>
        <w:tc>
          <w:tcPr>
            <w:tcW w:w="5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-3676650</wp:posOffset>
            </wp:positionV>
            <wp:extent cx="7683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-3676650</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-3676650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-2099310</wp:posOffset>
            </wp:positionV>
            <wp:extent cx="252857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8570" cy="18859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-513715</wp:posOffset>
            </wp:positionV>
            <wp:extent cx="7683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-513715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-513715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-187960</wp:posOffset>
            </wp:positionV>
            <wp:extent cx="252857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8570" cy="188595"/>
                    </a:xfrm>
                    <a:prstGeom prst="rect">
                      <a:avLst/>
                    </a:prstGeom>
                    <a:noFill/>
                  </pic:spPr>
                </pic:pic>
              </a:graphicData>
            </a:graphic>
          </wp:anchor>
        </w:drawing>
      </w:r>
    </w:p>
    <w:p>
      <w:pPr>
        <w:spacing w:after="0" w:line="177" w:lineRule="exact"/>
        <w:rPr>
          <w:sz w:val="20"/>
          <w:szCs w:val="20"/>
          <w:color w:val="auto"/>
        </w:rPr>
      </w:pPr>
    </w:p>
    <w:p>
      <w:pPr>
        <w:ind w:left="520" w:right="40" w:hanging="512"/>
        <w:spacing w:after="0" w:line="212" w:lineRule="auto"/>
        <w:tabs>
          <w:tab w:leader="none" w:pos="520" w:val="left"/>
        </w:tabs>
        <w:numPr>
          <w:ilvl w:val="0"/>
          <w:numId w:val="1"/>
        </w:numPr>
        <w:rPr>
          <w:rFonts w:ascii="Arial" w:cs="Arial" w:eastAsia="Arial" w:hAnsi="Arial"/>
          <w:sz w:val="19"/>
          <w:szCs w:val="19"/>
          <w:color w:val="auto"/>
          <w:vertAlign w:val="superscript"/>
        </w:rPr>
      </w:pPr>
      <w:r>
        <w:rPr>
          <w:rFonts w:ascii="Arial" w:cs="Arial" w:eastAsia="Arial" w:hAnsi="Arial"/>
          <w:sz w:val="14"/>
          <w:szCs w:val="14"/>
          <w:color w:val="auto"/>
        </w:rPr>
        <w:t>As of September 30, 2023 and September 30, 2022, a total of 6,555,187 and 6,937,495 warrants outstanding, respectively, each carrying the right to subscribe for one ordinary share, and 575,000 convertible senior notes which can potentially be converted into 3,456,785 ordinary shares, can potentially dilute earnings per share in the future but have not been included in the calculation of diluted earnings per share because they are antidilutive for the periods presented.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Unaudited Condensed Consolidated Interim Statements of Financial Position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4"/>
                <w:szCs w:val="14"/>
                <w:color w:val="auto"/>
              </w:rPr>
            </w:pPr>
          </w:p>
        </w:tc>
        <w:tc>
          <w:tcPr>
            <w:tcW w:w="1960" w:type="dxa"/>
            <w:vAlign w:val="bottom"/>
            <w:gridSpan w:val="3"/>
          </w:tcPr>
          <w:p>
            <w:pPr>
              <w:ind w:left="28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jc w:val="right"/>
              <w:ind w:right="231"/>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3"/>
          </w:tcPr>
          <w:p>
            <w:pPr>
              <w:ind w:left="1240"/>
              <w:spacing w:after="0"/>
              <w:rPr>
                <w:sz w:val="20"/>
                <w:szCs w:val="20"/>
                <w:color w:val="auto"/>
              </w:rPr>
            </w:pPr>
            <w:r>
              <w:rPr>
                <w:rFonts w:ascii="Arial" w:cs="Arial" w:eastAsia="Arial" w:hAnsi="Arial"/>
                <w:sz w:val="14"/>
                <w:szCs w:val="14"/>
                <w:b w:val="1"/>
                <w:bCs w:val="1"/>
                <w:color w:val="auto"/>
              </w:rPr>
              <w:t>(EUR’000)</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30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4,495</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125,535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 associate</w:t>
            </w:r>
          </w:p>
        </w:tc>
        <w:tc>
          <w:tcPr>
            <w:tcW w:w="30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8,116</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37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2,142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3760" w:type="dxa"/>
            <w:vAlign w:val="bottom"/>
            <w:tcBorders>
              <w:bottom w:val="single" w:sz="8" w:color="CFF0FC"/>
            </w:tcBorders>
            <w:gridSpan w:val="2"/>
            <w:shd w:val="clear" w:color="auto" w:fill="CFF0FC"/>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140,288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166,267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assets</w:t>
            </w:r>
          </w:p>
        </w:tc>
        <w:tc>
          <w:tcPr>
            <w:tcW w:w="30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189,132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130,673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receivables</w:t>
            </w:r>
          </w:p>
        </w:tc>
        <w:tc>
          <w:tcPr>
            <w:tcW w:w="3760" w:type="dxa"/>
            <w:vAlign w:val="bottom"/>
            <w:gridSpan w:val="2"/>
            <w:shd w:val="clear" w:color="auto" w:fill="CFF0FC"/>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26,794</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Income tax receivables</w:t>
            </w:r>
          </w:p>
        </w:tc>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1,644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receivables</w:t>
            </w:r>
          </w:p>
        </w:tc>
        <w:tc>
          <w:tcPr>
            <w:tcW w:w="3760" w:type="dxa"/>
            <w:vAlign w:val="bottom"/>
            <w:gridSpan w:val="2"/>
            <w:shd w:val="clear" w:color="auto" w:fill="CFF0FC"/>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21,595</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Prepayments</w:t>
            </w:r>
          </w:p>
        </w:tc>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38,327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3760" w:type="dxa"/>
            <w:vAlign w:val="bottom"/>
            <w:gridSpan w:val="2"/>
            <w:shd w:val="clear" w:color="auto" w:fill="CFF0FC"/>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14,165</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7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441,268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444,767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00" w:type="dxa"/>
            <w:vAlign w:val="bottom"/>
            <w:tcBorders>
              <w:bottom w:val="single" w:sz="8" w:color="CFF0FC"/>
            </w:tcBorders>
            <w:shd w:val="clear" w:color="auto" w:fill="CFF0FC"/>
          </w:tcPr>
          <w:p>
            <w:pPr>
              <w:spacing w:after="0"/>
              <w:rPr>
                <w:sz w:val="20"/>
                <w:szCs w:val="20"/>
                <w:color w:val="auto"/>
              </w:rPr>
            </w:pPr>
          </w:p>
        </w:tc>
        <w:tc>
          <w:tcPr>
            <w:tcW w:w="30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732,925</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923,471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873,213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1,089,738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00" w:type="dxa"/>
            <w:vAlign w:val="bottom"/>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Equity and liabilities</w:t>
            </w:r>
          </w:p>
        </w:tc>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Equity</w:t>
            </w:r>
          </w:p>
        </w:tc>
        <w:tc>
          <w:tcPr>
            <w:tcW w:w="30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Pr>
          <w:p>
            <w:pPr>
              <w:ind w:left="20"/>
              <w:spacing w:after="0"/>
              <w:rPr>
                <w:sz w:val="20"/>
                <w:szCs w:val="20"/>
                <w:color w:val="auto"/>
              </w:rPr>
            </w:pPr>
            <w:r>
              <w:rPr>
                <w:rFonts w:ascii="Arial" w:cs="Arial" w:eastAsia="Arial" w:hAnsi="Arial"/>
                <w:sz w:val="18"/>
                <w:szCs w:val="18"/>
                <w:color w:val="auto"/>
              </w:rPr>
              <w:t>Share capital</w:t>
            </w:r>
          </w:p>
        </w:tc>
        <w:tc>
          <w:tcPr>
            <w:tcW w:w="37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99"/>
              </w:rPr>
              <w:t>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7,742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Distributable equity</w:t>
            </w:r>
          </w:p>
        </w:tc>
        <w:tc>
          <w:tcPr>
            <w:tcW w:w="30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(81,175 )</w:t>
            </w: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30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Total equity</w:t>
            </w:r>
          </w:p>
        </w:tc>
        <w:tc>
          <w:tcPr>
            <w:tcW w:w="37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(73,433 )</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263,348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00" w:type="dxa"/>
            <w:vAlign w:val="bottom"/>
            <w:shd w:val="clear" w:color="auto" w:fill="CFF0FC"/>
          </w:tcPr>
          <w:p>
            <w:pPr>
              <w:spacing w:after="0"/>
              <w:rPr>
                <w:sz w:val="20"/>
                <w:szCs w:val="20"/>
                <w:color w:val="auto"/>
              </w:rPr>
            </w:pPr>
          </w:p>
        </w:tc>
        <w:tc>
          <w:tcPr>
            <w:tcW w:w="30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Borrowings</w:t>
            </w:r>
          </w:p>
        </w:tc>
        <w:tc>
          <w:tcPr>
            <w:tcW w:w="3760" w:type="dxa"/>
            <w:vAlign w:val="bottom"/>
            <w:gridSpan w:val="2"/>
            <w:shd w:val="clear" w:color="auto" w:fill="CFF0FC"/>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549,483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387,555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37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90,103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95,401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liabilities</w:t>
            </w:r>
          </w:p>
        </w:tc>
        <w:tc>
          <w:tcPr>
            <w:tcW w:w="3760" w:type="dxa"/>
            <w:vAlign w:val="bottom"/>
            <w:gridSpan w:val="2"/>
            <w:shd w:val="clear" w:color="auto" w:fill="CFF0FC"/>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93,353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00" w:type="dxa"/>
            <w:vAlign w:val="bottom"/>
            <w:tcBorders>
              <w:bottom w:val="single" w:sz="8" w:color="CFF0FC"/>
            </w:tcBorders>
            <w:shd w:val="clear" w:color="auto" w:fill="CFF0FC"/>
          </w:tcPr>
          <w:p>
            <w:pPr>
              <w:spacing w:after="0"/>
              <w:rPr>
                <w:sz w:val="20"/>
                <w:szCs w:val="20"/>
                <w:color w:val="auto"/>
              </w:rPr>
            </w:pPr>
          </w:p>
        </w:tc>
        <w:tc>
          <w:tcPr>
            <w:tcW w:w="30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733,888</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655,119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Borrowings</w:t>
            </w:r>
          </w:p>
        </w:tc>
        <w:tc>
          <w:tcPr>
            <w:tcW w:w="3760" w:type="dxa"/>
            <w:vAlign w:val="bottom"/>
            <w:gridSpan w:val="2"/>
            <w:shd w:val="clear" w:color="auto" w:fill="CFF0FC"/>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11,824</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37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14,433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30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4,030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Pr>
          <w:p>
            <w:pPr>
              <w:ind w:left="20"/>
              <w:spacing w:after="0"/>
              <w:rPr>
                <w:sz w:val="20"/>
                <w:szCs w:val="20"/>
                <w:color w:val="auto"/>
              </w:rPr>
            </w:pPr>
            <w:r>
              <w:rPr>
                <w:rFonts w:ascii="Arial" w:cs="Arial" w:eastAsia="Arial" w:hAnsi="Arial"/>
                <w:sz w:val="18"/>
                <w:szCs w:val="18"/>
                <w:color w:val="auto"/>
              </w:rPr>
              <w:t>Trade payables and accrued expenses</w:t>
            </w:r>
          </w:p>
        </w:tc>
        <w:tc>
          <w:tcPr>
            <w:tcW w:w="37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121,552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101,032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30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33,660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Income tax payables</w:t>
            </w:r>
          </w:p>
        </w:tc>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6,478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Provisions</w:t>
            </w:r>
          </w:p>
        </w:tc>
        <w:tc>
          <w:tcPr>
            <w:tcW w:w="30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20,781</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212,758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171,271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w:t>
            </w:r>
          </w:p>
        </w:tc>
        <w:tc>
          <w:tcPr>
            <w:tcW w:w="30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946,646</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826,390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Total equity and liabilities</w:t>
            </w:r>
          </w:p>
        </w:tc>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873,213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1,089,738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760" w:type="dxa"/>
            <w:vAlign w:val="bottom"/>
            <w:gridSpan w:val="2"/>
            <w:vMerge w:val="restart"/>
          </w:tcPr>
          <w:p>
            <w:pPr>
              <w:ind w:left="1400"/>
              <w:spacing w:after="0"/>
              <w:rPr>
                <w:sz w:val="20"/>
                <w:szCs w:val="20"/>
                <w:color w:val="auto"/>
              </w:rPr>
            </w:pPr>
            <w:r>
              <w:rPr>
                <w:rFonts w:ascii="Arial" w:cs="Arial" w:eastAsia="Arial" w:hAnsi="Arial"/>
                <w:sz w:val="18"/>
                <w:szCs w:val="18"/>
                <w:color w:val="auto"/>
              </w:rPr>
              <w:t>F-3</w:t>
            </w: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100" w:type="dxa"/>
            <w:vAlign w:val="bottom"/>
          </w:tcPr>
          <w:p>
            <w:pPr>
              <w:spacing w:after="0"/>
              <w:rPr>
                <w:sz w:val="24"/>
                <w:szCs w:val="24"/>
                <w:color w:val="auto"/>
              </w:rPr>
            </w:pPr>
          </w:p>
        </w:tc>
        <w:tc>
          <w:tcPr>
            <w:tcW w:w="3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-5974080</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-5974080</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-4405630</wp:posOffset>
            </wp:positionV>
            <wp:extent cx="6858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-4405630</wp:posOffset>
            </wp:positionV>
            <wp:extent cx="6858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-3445510</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-2185035</wp:posOffset>
            </wp:positionV>
            <wp:extent cx="6858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-942340</wp:posOffset>
            </wp:positionV>
            <wp:extent cx="685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-616585</wp:posOffset>
            </wp:positionV>
            <wp:extent cx="6858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Unaudited Condensed Consolidated Interim Statements of Changes in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w w:val="95"/>
              </w:rPr>
              <w:t>Distributable Equity</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center"/>
              <w:ind w:right="139"/>
              <w:spacing w:after="0" w:line="133" w:lineRule="exact"/>
              <w:rPr>
                <w:sz w:val="20"/>
                <w:szCs w:val="20"/>
                <w:color w:val="auto"/>
              </w:rPr>
            </w:pPr>
            <w:r>
              <w:rPr>
                <w:rFonts w:ascii="Arial" w:cs="Arial" w:eastAsia="Arial" w:hAnsi="Arial"/>
                <w:sz w:val="14"/>
                <w:szCs w:val="14"/>
                <w:b w:val="1"/>
                <w:bCs w:val="1"/>
                <w:color w:val="auto"/>
                <w:w w:val="93"/>
              </w:rPr>
              <w:t>Foreign</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Share</w:t>
            </w:r>
          </w:p>
        </w:tc>
        <w:tc>
          <w:tcPr>
            <w:tcW w:w="240" w:type="dxa"/>
            <w:vAlign w:val="bottom"/>
          </w:tcPr>
          <w:p>
            <w:pPr>
              <w:spacing w:after="0"/>
              <w:rPr>
                <w:sz w:val="12"/>
                <w:szCs w:val="12"/>
                <w:color w:val="auto"/>
              </w:rPr>
            </w:pPr>
          </w:p>
        </w:tc>
        <w:tc>
          <w:tcPr>
            <w:tcW w:w="1100" w:type="dxa"/>
            <w:vAlign w:val="bottom"/>
            <w:gridSpan w:val="2"/>
            <w:vMerge w:val="restart"/>
          </w:tcPr>
          <w:p>
            <w:pPr>
              <w:jc w:val="center"/>
              <w:ind w:right="139"/>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2"/>
          </w:tcPr>
          <w:p>
            <w:pPr>
              <w:jc w:val="center"/>
              <w:ind w:right="139"/>
              <w:spacing w:after="0" w:line="149" w:lineRule="exact"/>
              <w:rPr>
                <w:sz w:val="20"/>
                <w:szCs w:val="20"/>
                <w:color w:val="auto"/>
              </w:rPr>
            </w:pPr>
            <w:r>
              <w:rPr>
                <w:rFonts w:ascii="Arial" w:cs="Arial" w:eastAsia="Arial" w:hAnsi="Arial"/>
                <w:sz w:val="14"/>
                <w:szCs w:val="14"/>
                <w:b w:val="1"/>
                <w:bCs w:val="1"/>
                <w:color w:val="auto"/>
                <w:w w:val="97"/>
              </w:rPr>
              <w:t>Currency</w:t>
            </w:r>
          </w:p>
        </w:tc>
        <w:tc>
          <w:tcPr>
            <w:tcW w:w="1080" w:type="dxa"/>
            <w:vAlign w:val="bottom"/>
            <w:gridSpan w:val="2"/>
            <w:vMerge w:val="restart"/>
          </w:tcPr>
          <w:p>
            <w:pPr>
              <w:jc w:val="center"/>
              <w:ind w:right="139"/>
              <w:spacing w:after="0"/>
              <w:rPr>
                <w:sz w:val="20"/>
                <w:szCs w:val="20"/>
                <w:color w:val="auto"/>
              </w:rPr>
            </w:pPr>
            <w:r>
              <w:rPr>
                <w:rFonts w:ascii="Arial" w:cs="Arial" w:eastAsia="Arial" w:hAnsi="Arial"/>
                <w:sz w:val="14"/>
                <w:szCs w:val="14"/>
                <w:b w:val="1"/>
                <w:bCs w:val="1"/>
                <w:color w:val="auto"/>
                <w:w w:val="93"/>
              </w:rPr>
              <w:t>Accumulated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080" w:type="dxa"/>
            <w:vAlign w:val="bottom"/>
            <w:gridSpan w:val="2"/>
            <w:vMerge w:val="continue"/>
          </w:tcPr>
          <w:p>
            <w:pPr>
              <w:spacing w:after="0"/>
              <w:rPr>
                <w:sz w:val="12"/>
                <w:szCs w:val="12"/>
                <w:color w:val="auto"/>
              </w:rPr>
            </w:pPr>
          </w:p>
        </w:tc>
        <w:tc>
          <w:tcPr>
            <w:tcW w:w="96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Premium</w:t>
            </w:r>
          </w:p>
        </w:tc>
        <w:tc>
          <w:tcPr>
            <w:tcW w:w="24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4"/>
          </w:tcPr>
          <w:p>
            <w:pPr>
              <w:jc w:val="center"/>
              <w:ind w:right="179"/>
              <w:spacing w:after="0"/>
              <w:rPr>
                <w:sz w:val="20"/>
                <w:szCs w:val="20"/>
                <w:color w:val="auto"/>
              </w:rPr>
            </w:pPr>
            <w:r>
              <w:rPr>
                <w:rFonts w:ascii="Arial" w:cs="Arial" w:eastAsia="Arial" w:hAnsi="Arial"/>
                <w:sz w:val="14"/>
                <w:szCs w:val="14"/>
                <w:b w:val="1"/>
                <w:bCs w:val="1"/>
                <w:color w:val="auto"/>
                <w:w w:val="99"/>
              </w:rPr>
              <w:t>(EUR’000)</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Equity at January 1, 2023</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7,675</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2,112,863</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(149 )</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3,452</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(1,860,493 )</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263,348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620" w:type="dxa"/>
            <w:vAlign w:val="bottom"/>
            <w:shd w:val="clear" w:color="auto" w:fill="CFF0F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tcPr>
          <w:p>
            <w:pPr>
              <w:ind w:left="20"/>
              <w:spacing w:after="0"/>
              <w:rPr>
                <w:sz w:val="20"/>
                <w:szCs w:val="20"/>
                <w:color w:val="auto"/>
              </w:rPr>
            </w:pPr>
            <w:r>
              <w:rPr>
                <w:rFonts w:ascii="Arial" w:cs="Arial" w:eastAsia="Arial" w:hAnsi="Arial"/>
                <w:sz w:val="16"/>
                <w:szCs w:val="16"/>
                <w:color w:val="auto"/>
              </w:rPr>
              <w:t>Net profit / (loss) for the period</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6"/>
                <w:szCs w:val="16"/>
                <w:color w:val="auto"/>
              </w:rPr>
              <w:t>(394,569 )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(394,569 )</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 / (loss), net of tax</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(1,232 )</w:t>
            </w:r>
          </w:p>
        </w:tc>
        <w:tc>
          <w:tcPr>
            <w:tcW w:w="10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(1,232 )</w:t>
            </w:r>
          </w:p>
        </w:tc>
        <w:tc>
          <w:tcPr>
            <w:tcW w:w="0" w:type="dxa"/>
            <w:vAlign w:val="bottom"/>
          </w:tcPr>
          <w:p>
            <w:pPr>
              <w:spacing w:after="0"/>
              <w:rPr>
                <w:sz w:val="1"/>
                <w:szCs w:val="1"/>
                <w:color w:val="auto"/>
              </w:rPr>
            </w:pPr>
          </w:p>
        </w:tc>
      </w:tr>
      <w:tr>
        <w:trPr>
          <w:trHeight w:val="23"/>
        </w:trPr>
        <w:tc>
          <w:tcPr>
            <w:tcW w:w="4620" w:type="dxa"/>
            <w:vAlign w:val="bottom"/>
            <w:shd w:val="clear" w:color="auto" w:fill="CFF0F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 (loss)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(1,232 )</w:t>
            </w:r>
          </w:p>
        </w:tc>
        <w:tc>
          <w:tcPr>
            <w:tcW w:w="10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(394,569 )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(395,801 )</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Transactions with Owners</w:t>
            </w: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Pr>
          <w:p>
            <w:pPr>
              <w:ind w:left="20"/>
              <w:spacing w:after="0"/>
              <w:rPr>
                <w:sz w:val="20"/>
                <w:szCs w:val="20"/>
                <w:color w:val="auto"/>
              </w:rPr>
            </w:pPr>
            <w:r>
              <w:rPr>
                <w:rFonts w:ascii="Arial" w:cs="Arial" w:eastAsia="Arial" w:hAnsi="Arial"/>
                <w:sz w:val="16"/>
                <w:szCs w:val="16"/>
                <w:color w:val="auto"/>
              </w:rPr>
              <w:t>Share-based payment (Note 7)</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50,752</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50,752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Capital increase</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8,201</w:t>
            </w:r>
          </w:p>
        </w:tc>
        <w:tc>
          <w:tcPr>
            <w:tcW w:w="2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8,268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Equity at September 30, 2023</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7,742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2,121,064</w:t>
            </w:r>
          </w:p>
        </w:tc>
        <w:tc>
          <w:tcPr>
            <w:tcW w:w="240" w:type="dxa"/>
            <w:vAlign w:val="bottom"/>
          </w:tcPr>
          <w:p>
            <w:pPr>
              <w:spacing w:after="0"/>
              <w:rPr>
                <w:sz w:val="19"/>
                <w:szCs w:val="19"/>
                <w:color w:val="auto"/>
              </w:rPr>
            </w:pPr>
          </w:p>
        </w:tc>
        <w:tc>
          <w:tcPr>
            <w:tcW w:w="11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(149 )</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2,220</w:t>
            </w:r>
          </w:p>
        </w:tc>
        <w:tc>
          <w:tcPr>
            <w:tcW w:w="220" w:type="dxa"/>
            <w:vAlign w:val="bottom"/>
          </w:tcPr>
          <w:p>
            <w:pPr>
              <w:spacing w:after="0"/>
              <w:rPr>
                <w:sz w:val="19"/>
                <w:szCs w:val="19"/>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(2,204,310 )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(73,433 )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w w:val="95"/>
              </w:rPr>
              <w:t>Distributable Equity</w:t>
            </w:r>
          </w:p>
        </w:tc>
        <w:tc>
          <w:tcPr>
            <w:tcW w:w="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center"/>
              <w:ind w:right="139"/>
              <w:spacing w:after="0" w:line="133" w:lineRule="exact"/>
              <w:rPr>
                <w:sz w:val="20"/>
                <w:szCs w:val="20"/>
                <w:color w:val="auto"/>
              </w:rPr>
            </w:pPr>
            <w:r>
              <w:rPr>
                <w:rFonts w:ascii="Arial" w:cs="Arial" w:eastAsia="Arial" w:hAnsi="Arial"/>
                <w:sz w:val="14"/>
                <w:szCs w:val="14"/>
                <w:b w:val="1"/>
                <w:bCs w:val="1"/>
                <w:color w:val="auto"/>
                <w:w w:val="93"/>
              </w:rPr>
              <w:t>Foreign</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Share</w:t>
            </w:r>
          </w:p>
        </w:tc>
        <w:tc>
          <w:tcPr>
            <w:tcW w:w="240" w:type="dxa"/>
            <w:vAlign w:val="bottom"/>
          </w:tcPr>
          <w:p>
            <w:pPr>
              <w:spacing w:after="0"/>
              <w:rPr>
                <w:sz w:val="12"/>
                <w:szCs w:val="12"/>
                <w:color w:val="auto"/>
              </w:rPr>
            </w:pPr>
          </w:p>
        </w:tc>
        <w:tc>
          <w:tcPr>
            <w:tcW w:w="1100" w:type="dxa"/>
            <w:vAlign w:val="bottom"/>
            <w:gridSpan w:val="2"/>
            <w:vMerge w:val="restart"/>
          </w:tcPr>
          <w:p>
            <w:pPr>
              <w:jc w:val="center"/>
              <w:ind w:right="139"/>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2"/>
          </w:tcPr>
          <w:p>
            <w:pPr>
              <w:jc w:val="center"/>
              <w:ind w:right="139"/>
              <w:spacing w:after="0" w:line="149" w:lineRule="exact"/>
              <w:rPr>
                <w:sz w:val="20"/>
                <w:szCs w:val="20"/>
                <w:color w:val="auto"/>
              </w:rPr>
            </w:pPr>
            <w:r>
              <w:rPr>
                <w:rFonts w:ascii="Arial" w:cs="Arial" w:eastAsia="Arial" w:hAnsi="Arial"/>
                <w:sz w:val="14"/>
                <w:szCs w:val="14"/>
                <w:b w:val="1"/>
                <w:bCs w:val="1"/>
                <w:color w:val="auto"/>
                <w:w w:val="97"/>
              </w:rPr>
              <w:t>Currency</w:t>
            </w:r>
          </w:p>
        </w:tc>
        <w:tc>
          <w:tcPr>
            <w:tcW w:w="1080" w:type="dxa"/>
            <w:vAlign w:val="bottom"/>
            <w:gridSpan w:val="2"/>
            <w:vMerge w:val="restart"/>
          </w:tcPr>
          <w:p>
            <w:pPr>
              <w:jc w:val="center"/>
              <w:ind w:right="139"/>
              <w:spacing w:after="0"/>
              <w:rPr>
                <w:sz w:val="20"/>
                <w:szCs w:val="20"/>
                <w:color w:val="auto"/>
              </w:rPr>
            </w:pPr>
            <w:r>
              <w:rPr>
                <w:rFonts w:ascii="Arial" w:cs="Arial" w:eastAsia="Arial" w:hAnsi="Arial"/>
                <w:sz w:val="14"/>
                <w:szCs w:val="14"/>
                <w:b w:val="1"/>
                <w:bCs w:val="1"/>
                <w:color w:val="auto"/>
                <w:w w:val="93"/>
              </w:rPr>
              <w:t>Accumulated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080" w:type="dxa"/>
            <w:vAlign w:val="bottom"/>
            <w:gridSpan w:val="2"/>
            <w:vMerge w:val="continue"/>
          </w:tcPr>
          <w:p>
            <w:pPr>
              <w:spacing w:after="0"/>
              <w:rPr>
                <w:sz w:val="12"/>
                <w:szCs w:val="12"/>
                <w:color w:val="auto"/>
              </w:rPr>
            </w:pPr>
          </w:p>
        </w:tc>
        <w:tc>
          <w:tcPr>
            <w:tcW w:w="96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Premium</w:t>
            </w:r>
          </w:p>
        </w:tc>
        <w:tc>
          <w:tcPr>
            <w:tcW w:w="24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4"/>
          </w:tcPr>
          <w:p>
            <w:pPr>
              <w:jc w:val="center"/>
              <w:ind w:right="179"/>
              <w:spacing w:after="0"/>
              <w:rPr>
                <w:sz w:val="20"/>
                <w:szCs w:val="20"/>
                <w:color w:val="auto"/>
              </w:rPr>
            </w:pPr>
            <w:r>
              <w:rPr>
                <w:rFonts w:ascii="Arial" w:cs="Arial" w:eastAsia="Arial" w:hAnsi="Arial"/>
                <w:sz w:val="14"/>
                <w:szCs w:val="14"/>
                <w:b w:val="1"/>
                <w:bCs w:val="1"/>
                <w:color w:val="auto"/>
                <w:w w:val="99"/>
              </w:rPr>
              <w:t>(EUR’000)</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Equity at January 1, 2022</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7,646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2,107,739</w:t>
            </w:r>
          </w:p>
        </w:tc>
        <w:tc>
          <w:tcPr>
            <w:tcW w:w="240" w:type="dxa"/>
            <w:vAlign w:val="bottom"/>
          </w:tcPr>
          <w:p>
            <w:pPr>
              <w:spacing w:after="0"/>
              <w:rPr>
                <w:sz w:val="19"/>
                <w:szCs w:val="19"/>
                <w:color w:val="auto"/>
              </w:rPr>
            </w:pPr>
          </w:p>
        </w:tc>
        <w:tc>
          <w:tcPr>
            <w:tcW w:w="11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(21 )</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3,779</w:t>
            </w:r>
          </w:p>
        </w:tc>
        <w:tc>
          <w:tcPr>
            <w:tcW w:w="220" w:type="dxa"/>
            <w:vAlign w:val="bottom"/>
          </w:tcPr>
          <w:p>
            <w:pPr>
              <w:spacing w:after="0"/>
              <w:rPr>
                <w:sz w:val="19"/>
                <w:szCs w:val="19"/>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(1,235,508 )</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883,635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profit / (loss) for the period</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(375,776 )</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(375,776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6"/>
                <w:szCs w:val="16"/>
                <w:color w:val="auto"/>
              </w:rPr>
              <w:t>Other comprehensive income / (loss), net of tax</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(2,538 )</w:t>
            </w:r>
          </w:p>
        </w:tc>
        <w:tc>
          <w:tcPr>
            <w:tcW w:w="10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(2,538 )</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comprehensive income / (loss)</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(2,538</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(375,776</w:t>
            </w:r>
          </w:p>
        </w:tc>
        <w:tc>
          <w:tcPr>
            <w:tcW w:w="2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(378,314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0"/>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Transactions with Owners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Share-based payment (Note 7)</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50,307</w:t>
            </w: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50,307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20" w:type="dxa"/>
            <w:vAlign w:val="bottom"/>
          </w:tcPr>
          <w:p>
            <w:pPr>
              <w:ind w:left="20"/>
              <w:spacing w:after="0"/>
              <w:rPr>
                <w:sz w:val="20"/>
                <w:szCs w:val="20"/>
                <w:color w:val="auto"/>
              </w:rPr>
            </w:pPr>
            <w:r>
              <w:rPr>
                <w:rFonts w:ascii="Arial" w:cs="Arial" w:eastAsia="Arial" w:hAnsi="Arial"/>
                <w:sz w:val="16"/>
                <w:szCs w:val="16"/>
                <w:color w:val="auto"/>
              </w:rPr>
              <w:t>Acquisition of treasury shares (Note 9)</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59"/>
              <w:spacing w:after="0"/>
              <w:rPr>
                <w:sz w:val="20"/>
                <w:szCs w:val="20"/>
                <w:color w:val="auto"/>
              </w:rPr>
            </w:pPr>
            <w:r>
              <w:rPr>
                <w:rFonts w:ascii="Arial" w:cs="Arial" w:eastAsia="Arial" w:hAnsi="Arial"/>
                <w:sz w:val="16"/>
                <w:szCs w:val="16"/>
                <w:color w:val="auto"/>
              </w:rPr>
              <w:t>(134 )</w:t>
            </w:r>
          </w:p>
        </w:tc>
        <w:tc>
          <w:tcPr>
            <w:tcW w:w="11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59"/>
              <w:spacing w:after="0"/>
              <w:rPr>
                <w:sz w:val="20"/>
                <w:szCs w:val="20"/>
                <w:color w:val="auto"/>
              </w:rPr>
            </w:pPr>
            <w:r>
              <w:rPr>
                <w:rFonts w:ascii="Arial" w:cs="Arial" w:eastAsia="Arial" w:hAnsi="Arial"/>
                <w:sz w:val="16"/>
                <w:szCs w:val="16"/>
                <w:color w:val="auto"/>
              </w:rPr>
              <w:t>(105,965 )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(106,099 )</w:t>
            </w:r>
          </w:p>
        </w:tc>
        <w:tc>
          <w:tcPr>
            <w:tcW w:w="0" w:type="dxa"/>
            <w:vAlign w:val="bottom"/>
          </w:tcPr>
          <w:p>
            <w:pPr>
              <w:spacing w:after="0"/>
              <w:rPr>
                <w:sz w:val="1"/>
                <w:szCs w:val="1"/>
                <w:color w:val="auto"/>
              </w:rPr>
            </w:pPr>
          </w:p>
        </w:tc>
      </w:tr>
      <w:tr>
        <w:trPr>
          <w:trHeight w:val="239"/>
        </w:trPr>
        <w:tc>
          <w:tcPr>
            <w:tcW w:w="4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 increase</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2,011</w:t>
            </w: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Equity at September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7,658</w:t>
            </w:r>
          </w:p>
        </w:tc>
        <w:tc>
          <w:tcPr>
            <w:tcW w:w="2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2,109,750</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w:t>
            </w:r>
          </w:p>
        </w:tc>
        <w:tc>
          <w:tcPr>
            <w:tcW w:w="2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1,241</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(1,666,942</w:t>
            </w:r>
          </w:p>
        </w:tc>
        <w:tc>
          <w:tcPr>
            <w:tcW w:w="200" w:type="dxa"/>
            <w:vAlign w:val="bottom"/>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451,552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-3222625</wp:posOffset>
            </wp:positionV>
            <wp:extent cx="7747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-3222625</wp:posOffset>
            </wp:positionV>
            <wp:extent cx="7747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-3222625</wp:posOffset>
            </wp:positionV>
            <wp:extent cx="6858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-3222625</wp:posOffset>
            </wp:positionV>
            <wp:extent cx="6858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-3222625</wp:posOffset>
            </wp:positionV>
            <wp:extent cx="6858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-2922270</wp:posOffset>
            </wp:positionV>
            <wp:extent cx="7747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-2922270</wp:posOffset>
            </wp:positionV>
            <wp:extent cx="7747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-2922270</wp:posOffset>
            </wp:positionV>
            <wp:extent cx="685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-2922270</wp:posOffset>
            </wp:positionV>
            <wp:extent cx="6858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-2922270</wp:posOffset>
            </wp:positionV>
            <wp:extent cx="6858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-2322195</wp:posOffset>
            </wp:positionV>
            <wp:extent cx="7747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-2322195</wp:posOffset>
            </wp:positionV>
            <wp:extent cx="7747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-2322195</wp:posOffset>
            </wp:positionV>
            <wp:extent cx="6858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-2322195</wp:posOffset>
            </wp:positionV>
            <wp:extent cx="6858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-2322195</wp:posOffset>
            </wp:positionV>
            <wp:extent cx="6858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-770890</wp:posOffset>
            </wp:positionV>
            <wp:extent cx="7747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-770890</wp:posOffset>
            </wp:positionV>
            <wp:extent cx="7747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-770890</wp:posOffset>
            </wp:positionV>
            <wp:extent cx="6858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-770890</wp:posOffset>
            </wp:positionV>
            <wp:extent cx="6858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-770890</wp:posOffset>
            </wp:positionV>
            <wp:extent cx="6858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Unaudited Condensed Consolidated Interim Cash Flow Statements for the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Nine Months Ended September 30, 2023 and 2022</w:t>
      </w:r>
    </w:p>
    <w:p>
      <w:pPr>
        <w:spacing w:after="0" w:line="216"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3"/>
          </w:tcPr>
          <w:p>
            <w:pPr>
              <w:ind w:left="440"/>
              <w:spacing w:after="0"/>
              <w:rPr>
                <w:sz w:val="20"/>
                <w:szCs w:val="20"/>
                <w:color w:val="auto"/>
              </w:rPr>
            </w:pPr>
            <w:r>
              <w:rPr>
                <w:rFonts w:ascii="Arial" w:cs="Arial" w:eastAsia="Arial" w:hAnsi="Arial"/>
                <w:sz w:val="14"/>
                <w:szCs w:val="14"/>
                <w:b w:val="1"/>
                <w:bCs w:val="1"/>
                <w:color w:val="auto"/>
              </w:rPr>
              <w:t>(EUR’000)</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6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profit / (loss) for the period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5"/>
              </w:rPr>
              <w:t>(394,569 )</w:t>
            </w: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(375,776 )</w:t>
            </w:r>
          </w:p>
        </w:tc>
      </w:tr>
      <w:tr>
        <w:trPr>
          <w:trHeight w:val="247"/>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Reversal of finance income</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(76,985 )</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(73,797 )</w:t>
            </w: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Reversal of finance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35,640</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25,381</w:t>
            </w:r>
          </w:p>
        </w:tc>
        <w:tc>
          <w:tcPr>
            <w:tcW w:w="100" w:type="dxa"/>
            <w:vAlign w:val="bottom"/>
          </w:tcPr>
          <w:p>
            <w:pPr>
              <w:spacing w:after="0"/>
              <w:rPr>
                <w:sz w:val="20"/>
                <w:szCs w:val="20"/>
                <w:color w:val="auto"/>
              </w:rPr>
            </w:pPr>
          </w:p>
        </w:tc>
      </w:tr>
      <w:tr>
        <w:trPr>
          <w:trHeight w:val="249"/>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Reversal of gain and loss on disposal of property, plant and equipment</w:t>
            </w:r>
          </w:p>
        </w:tc>
        <w:tc>
          <w:tcPr>
            <w:tcW w:w="132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1"/>
                <w:szCs w:val="21"/>
                <w:color w:val="auto"/>
              </w:rPr>
            </w:pP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Reversal of income taxes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1,513</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r>
      <w:tr>
        <w:trPr>
          <w:trHeight w:val="249"/>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Increase / (decrease) in provisions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13,094</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100" w:type="dxa"/>
            <w:vAlign w:val="bottom"/>
            <w:shd w:val="clear" w:color="auto" w:fill="CFF0FC"/>
          </w:tcPr>
          <w:p>
            <w:pPr>
              <w:spacing w:after="0"/>
              <w:rPr>
                <w:sz w:val="21"/>
                <w:szCs w:val="21"/>
                <w:color w:val="auto"/>
              </w:rPr>
            </w:pP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Adjustments for non-cash items: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Non-cash consideration relating to revenue</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(1,774 )</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(1,913 )</w:t>
            </w:r>
          </w:p>
        </w:tc>
      </w:tr>
      <w:tr>
        <w:trPr>
          <w:trHeight w:val="237"/>
        </w:trPr>
        <w:tc>
          <w:tcPr>
            <w:tcW w:w="8640" w:type="dxa"/>
            <w:vAlign w:val="bottom"/>
            <w:gridSpan w:val="2"/>
          </w:tcPr>
          <w:p>
            <w:pPr>
              <w:ind w:left="200"/>
              <w:spacing w:after="0"/>
              <w:rPr>
                <w:sz w:val="20"/>
                <w:szCs w:val="20"/>
                <w:color w:val="auto"/>
              </w:rPr>
            </w:pPr>
            <w:r>
              <w:rPr>
                <w:rFonts w:ascii="Arial" w:cs="Arial" w:eastAsia="Arial" w:hAnsi="Arial"/>
                <w:sz w:val="18"/>
                <w:szCs w:val="18"/>
                <w:color w:val="auto"/>
              </w:rPr>
              <w:t>Share of profit / (loss) of associate</w:t>
            </w:r>
          </w:p>
        </w:tc>
        <w:tc>
          <w:tcPr>
            <w:tcW w:w="660" w:type="dxa"/>
            <w:vAlign w:val="bottom"/>
          </w:tcPr>
          <w:p>
            <w:pPr>
              <w:jc w:val="right"/>
              <w:spacing w:after="0"/>
              <w:rPr>
                <w:sz w:val="20"/>
                <w:szCs w:val="20"/>
                <w:color w:val="auto"/>
              </w:rPr>
            </w:pPr>
            <w:r>
              <w:rPr>
                <w:rFonts w:ascii="Arial" w:cs="Arial" w:eastAsia="Arial" w:hAnsi="Arial"/>
                <w:sz w:val="18"/>
                <w:szCs w:val="18"/>
                <w:color w:val="auto"/>
              </w:rPr>
              <w:t>15,471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20"/>
                <w:szCs w:val="20"/>
                <w:color w:val="auto"/>
              </w:rPr>
            </w:pPr>
          </w:p>
        </w:tc>
      </w:tr>
      <w:tr>
        <w:trPr>
          <w:trHeight w:val="249"/>
        </w:trPr>
        <w:tc>
          <w:tcPr>
            <w:tcW w:w="8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Share-based payment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50,752</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50,307</w:t>
            </w:r>
          </w:p>
        </w:tc>
        <w:tc>
          <w:tcPr>
            <w:tcW w:w="100" w:type="dxa"/>
            <w:vAlign w:val="bottom"/>
            <w:shd w:val="clear" w:color="auto" w:fill="CFF0FC"/>
          </w:tcPr>
          <w:p>
            <w:pPr>
              <w:spacing w:after="0"/>
              <w:rPr>
                <w:sz w:val="21"/>
                <w:szCs w:val="21"/>
                <w:color w:val="auto"/>
              </w:rPr>
            </w:pPr>
          </w:p>
        </w:tc>
      </w:tr>
      <w:tr>
        <w:trPr>
          <w:trHeight w:val="237"/>
        </w:trPr>
        <w:tc>
          <w:tcPr>
            <w:tcW w:w="864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660" w:type="dxa"/>
            <w:vAlign w:val="bottom"/>
          </w:tcPr>
          <w:p>
            <w:pPr>
              <w:jc w:val="right"/>
              <w:spacing w:after="0"/>
              <w:rPr>
                <w:sz w:val="20"/>
                <w:szCs w:val="20"/>
                <w:color w:val="auto"/>
              </w:rPr>
            </w:pPr>
            <w:r>
              <w:rPr>
                <w:rFonts w:ascii="Arial" w:cs="Arial" w:eastAsia="Arial" w:hAnsi="Arial"/>
                <w:sz w:val="18"/>
                <w:szCs w:val="18"/>
                <w:color w:val="auto"/>
              </w:rPr>
              <w:t>13,601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12,988</w:t>
            </w:r>
          </w:p>
        </w:tc>
        <w:tc>
          <w:tcPr>
            <w:tcW w:w="100" w:type="dxa"/>
            <w:vAlign w:val="bottom"/>
          </w:tcPr>
          <w:p>
            <w:pPr>
              <w:spacing w:after="0"/>
              <w:rPr>
                <w:sz w:val="20"/>
                <w:szCs w:val="20"/>
                <w:color w:val="auto"/>
              </w:rPr>
            </w:pPr>
          </w:p>
        </w:tc>
      </w:tr>
      <w:tr>
        <w:trPr>
          <w:trHeight w:val="249"/>
        </w:trPr>
        <w:tc>
          <w:tcPr>
            <w:tcW w:w="8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FF0FC"/>
          </w:tcPr>
          <w:p>
            <w:pPr>
              <w:spacing w:after="0"/>
              <w:rPr>
                <w:sz w:val="21"/>
                <w:szCs w:val="21"/>
                <w:color w:val="auto"/>
              </w:rPr>
            </w:pP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Changes in working capital:</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Inventories</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(58,459 )</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(28,571 )</w:t>
            </w:r>
          </w:p>
        </w:tc>
      </w:tr>
      <w:tr>
        <w:trPr>
          <w:trHeight w:val="237"/>
        </w:trPr>
        <w:tc>
          <w:tcPr>
            <w:tcW w:w="8640" w:type="dxa"/>
            <w:vAlign w:val="bottom"/>
            <w:gridSpan w:val="2"/>
          </w:tcPr>
          <w:p>
            <w:pPr>
              <w:ind w:left="200"/>
              <w:spacing w:after="0"/>
              <w:rPr>
                <w:sz w:val="20"/>
                <w:szCs w:val="20"/>
                <w:color w:val="auto"/>
              </w:rPr>
            </w:pPr>
            <w:r>
              <w:rPr>
                <w:rFonts w:ascii="Arial" w:cs="Arial" w:eastAsia="Arial" w:hAnsi="Arial"/>
                <w:sz w:val="18"/>
                <w:szCs w:val="18"/>
                <w:color w:val="auto"/>
              </w:rPr>
              <w:t>Receivables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(24,250 )</w:t>
            </w: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(6,074 )</w:t>
            </w:r>
          </w:p>
        </w:tc>
      </w:tr>
      <w:tr>
        <w:trPr>
          <w:trHeight w:val="249"/>
        </w:trPr>
        <w:tc>
          <w:tcPr>
            <w:tcW w:w="8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Prepayments</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(6,238 )</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(8,869 )</w:t>
            </w:r>
          </w:p>
        </w:tc>
      </w:tr>
      <w:tr>
        <w:trPr>
          <w:trHeight w:val="237"/>
        </w:trPr>
        <w:tc>
          <w:tcPr>
            <w:tcW w:w="8640" w:type="dxa"/>
            <w:vAlign w:val="bottom"/>
            <w:gridSpan w:val="2"/>
          </w:tcPr>
          <w:p>
            <w:pPr>
              <w:ind w:left="200"/>
              <w:spacing w:after="0"/>
              <w:rPr>
                <w:sz w:val="20"/>
                <w:szCs w:val="20"/>
                <w:color w:val="auto"/>
              </w:rPr>
            </w:pPr>
            <w:r>
              <w:rPr>
                <w:rFonts w:ascii="Arial" w:cs="Arial" w:eastAsia="Arial" w:hAnsi="Arial"/>
                <w:sz w:val="18"/>
                <w:szCs w:val="18"/>
                <w:color w:val="auto"/>
              </w:rPr>
              <w:t>Contract liabilities (deferred income)</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(9,233 )</w:t>
            </w: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10,727</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Trade payables, accrued expenses and other payables</w:t>
            </w:r>
          </w:p>
        </w:tc>
        <w:tc>
          <w:tcPr>
            <w:tcW w:w="9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13,604</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86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generated from / (used in) operations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5"/>
              </w:rPr>
              <w:t>(427,500 )</w:t>
            </w: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(357,996 )</w:t>
            </w:r>
          </w:p>
        </w:tc>
      </w:tr>
      <w:tr>
        <w:trPr>
          <w:trHeight w:val="247"/>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Finance income received</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12,577</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w:t>
            </w:r>
          </w:p>
        </w:tc>
        <w:tc>
          <w:tcPr>
            <w:tcW w:w="100" w:type="dxa"/>
            <w:vAlign w:val="bottom"/>
            <w:shd w:val="clear" w:color="auto" w:fill="CFF0FC"/>
          </w:tcPr>
          <w:p>
            <w:pPr>
              <w:spacing w:after="0"/>
              <w:rPr>
                <w:sz w:val="21"/>
                <w:szCs w:val="21"/>
                <w:color w:val="auto"/>
              </w:rPr>
            </w:pP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Finance expenses paid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(8,632 )</w:t>
            </w: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(2,026 )</w:t>
            </w: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 received / (paid)</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(1,336 )</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(800 )</w:t>
            </w:r>
          </w:p>
        </w:tc>
      </w:tr>
      <w:tr>
        <w:trPr>
          <w:trHeight w:val="20"/>
        </w:trPr>
        <w:tc>
          <w:tcPr>
            <w:tcW w:w="7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Cash flows from / (used in) operating activities</w:t>
            </w:r>
          </w:p>
        </w:tc>
        <w:tc>
          <w:tcPr>
            <w:tcW w:w="9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5"/>
              </w:rPr>
              <w:t>(424,891 )</w:t>
            </w: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(354,014 )</w:t>
            </w:r>
          </w:p>
        </w:tc>
      </w:tr>
      <w:tr>
        <w:trPr>
          <w:trHeight w:val="241"/>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(2,505 )</w:t>
            </w: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(10,707 )</w:t>
            </w:r>
          </w:p>
        </w:tc>
      </w:tr>
      <w:tr>
        <w:trPr>
          <w:trHeight w:val="249"/>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Proceeds from disposal of property, plant and equipment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Reimbursement from acquisition of property, plant and equipment</w:t>
            </w: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9,535</w:t>
            </w:r>
          </w:p>
        </w:tc>
        <w:tc>
          <w:tcPr>
            <w:tcW w:w="100" w:type="dxa"/>
            <w:vAlign w:val="bottom"/>
          </w:tcPr>
          <w:p>
            <w:pPr>
              <w:spacing w:after="0"/>
              <w:rPr>
                <w:sz w:val="20"/>
                <w:szCs w:val="20"/>
                <w:color w:val="auto"/>
              </w:rPr>
            </w:pPr>
          </w:p>
        </w:tc>
      </w:tr>
      <w:tr>
        <w:trPr>
          <w:trHeight w:val="249"/>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Purchase of marketable securities</w:t>
            </w:r>
          </w:p>
        </w:tc>
        <w:tc>
          <w:tcPr>
            <w:tcW w:w="132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(160,839 )</w:t>
            </w: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Settlement of marketable securities</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282,282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224,540</w:t>
            </w:r>
          </w:p>
        </w:tc>
        <w:tc>
          <w:tcPr>
            <w:tcW w:w="100" w:type="dxa"/>
            <w:vAlign w:val="bottom"/>
          </w:tcPr>
          <w:p>
            <w:pPr>
              <w:spacing w:after="0"/>
              <w:rPr>
                <w:sz w:val="20"/>
                <w:szCs w:val="20"/>
                <w:color w:val="auto"/>
              </w:rPr>
            </w:pPr>
          </w:p>
        </w:tc>
      </w:tr>
      <w:tr>
        <w:trPr>
          <w:trHeight w:val="238"/>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 (used in) investing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279,823</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62,529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Payment of principal portion of lease liabilities</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(7,703 )</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(4,577 )</w:t>
            </w: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Net proceeds from borrowings</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139,782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503,281</w:t>
            </w:r>
          </w:p>
        </w:tc>
        <w:tc>
          <w:tcPr>
            <w:tcW w:w="100" w:type="dxa"/>
            <w:vAlign w:val="bottom"/>
          </w:tcPr>
          <w:p>
            <w:pPr>
              <w:spacing w:after="0"/>
              <w:rPr>
                <w:sz w:val="20"/>
                <w:szCs w:val="20"/>
                <w:color w:val="auto"/>
              </w:rPr>
            </w:pPr>
          </w:p>
        </w:tc>
      </w:tr>
      <w:tr>
        <w:trPr>
          <w:trHeight w:val="249"/>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Proceeds from exercise of warrants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8,268</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FF0FC"/>
          </w:tcPr>
          <w:p>
            <w:pPr>
              <w:spacing w:after="0"/>
              <w:rPr>
                <w:sz w:val="21"/>
                <w:szCs w:val="21"/>
                <w:color w:val="auto"/>
              </w:rPr>
            </w:pP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Acquisition of treasury shares, net of transaction costs</w:t>
            </w: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(105,303 )</w:t>
            </w:r>
          </w:p>
        </w:tc>
      </w:tr>
      <w:tr>
        <w:trPr>
          <w:trHeight w:val="238"/>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 (used in) financing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140,347</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395,424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b w:val="1"/>
                <w:bCs w:val="1"/>
                <w:color w:val="auto"/>
              </w:rPr>
              <w:t>Increase / (decrease) in cash and cash equivalents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(4,721 )</w:t>
            </w: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103,939</w:t>
            </w:r>
          </w:p>
        </w:tc>
        <w:tc>
          <w:tcPr>
            <w:tcW w:w="100" w:type="dxa"/>
            <w:vAlign w:val="bottom"/>
          </w:tcPr>
          <w:p>
            <w:pPr>
              <w:spacing w:after="0"/>
              <w:rPr>
                <w:sz w:val="20"/>
                <w:szCs w:val="20"/>
                <w:color w:val="auto"/>
              </w:rPr>
            </w:pPr>
          </w:p>
        </w:tc>
      </w:tr>
      <w:tr>
        <w:trPr>
          <w:trHeight w:val="241"/>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at January 1</w:t>
            </w:r>
          </w:p>
        </w:tc>
        <w:tc>
          <w:tcPr>
            <w:tcW w:w="9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444,767</w:t>
            </w:r>
          </w:p>
        </w:tc>
        <w:tc>
          <w:tcPr>
            <w:tcW w:w="22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446,267</w:t>
            </w:r>
          </w:p>
        </w:tc>
        <w:tc>
          <w:tcPr>
            <w:tcW w:w="100" w:type="dxa"/>
            <w:vAlign w:val="bottom"/>
            <w:shd w:val="clear" w:color="auto" w:fill="CFF0FC"/>
          </w:tcPr>
          <w:p>
            <w:pPr>
              <w:spacing w:after="0"/>
              <w:rPr>
                <w:sz w:val="20"/>
                <w:szCs w:val="20"/>
                <w:color w:val="auto"/>
              </w:rPr>
            </w:pP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balances held in foreign currencies</w:t>
            </w:r>
          </w:p>
        </w:tc>
        <w:tc>
          <w:tcPr>
            <w:tcW w:w="660" w:type="dxa"/>
            <w:vAlign w:val="bottom"/>
          </w:tcPr>
          <w:p>
            <w:pPr>
              <w:jc w:val="right"/>
              <w:spacing w:after="0"/>
              <w:rPr>
                <w:sz w:val="20"/>
                <w:szCs w:val="20"/>
                <w:color w:val="auto"/>
              </w:rPr>
            </w:pPr>
            <w:r>
              <w:rPr>
                <w:rFonts w:ascii="Arial" w:cs="Arial" w:eastAsia="Arial" w:hAnsi="Arial"/>
                <w:sz w:val="18"/>
                <w:szCs w:val="18"/>
                <w:color w:val="auto"/>
              </w:rPr>
              <w:t>1,222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58,124</w:t>
            </w:r>
          </w:p>
        </w:tc>
        <w:tc>
          <w:tcPr>
            <w:tcW w:w="100" w:type="dxa"/>
            <w:vAlign w:val="bottom"/>
          </w:tcPr>
          <w:p>
            <w:pPr>
              <w:spacing w:after="0"/>
              <w:rPr>
                <w:sz w:val="20"/>
                <w:szCs w:val="20"/>
                <w:color w:val="auto"/>
              </w:rPr>
            </w:pPr>
          </w:p>
        </w:tc>
      </w:tr>
      <w:tr>
        <w:trPr>
          <w:trHeight w:val="278"/>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at September 30</w:t>
            </w:r>
          </w:p>
        </w:tc>
        <w:tc>
          <w:tcPr>
            <w:tcW w:w="960" w:type="dxa"/>
            <w:vAlign w:val="bottom"/>
            <w:tcBorders>
              <w:top w:val="single" w:sz="8" w:color="auto"/>
              <w:bottom w:val="single" w:sz="8" w:color="auto"/>
            </w:tcBorders>
            <w:shd w:val="clear" w:color="auto" w:fill="CFF0FC"/>
          </w:tcPr>
          <w:p>
            <w:pPr>
              <w:spacing w:after="0"/>
              <w:rPr>
                <w:sz w:val="24"/>
                <w:szCs w:val="2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441,268</w:t>
            </w:r>
          </w:p>
        </w:tc>
        <w:tc>
          <w:tcPr>
            <w:tcW w:w="2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608,330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86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include:</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Bank deposits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441,268</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604,018</w:t>
            </w:r>
          </w:p>
        </w:tc>
        <w:tc>
          <w:tcPr>
            <w:tcW w:w="100" w:type="dxa"/>
            <w:vAlign w:val="bottom"/>
            <w:shd w:val="clear" w:color="auto" w:fill="CFF0FC"/>
          </w:tcPr>
          <w:p>
            <w:pPr>
              <w:spacing w:after="0"/>
              <w:rPr>
                <w:sz w:val="21"/>
                <w:szCs w:val="21"/>
                <w:color w:val="auto"/>
              </w:rPr>
            </w:pP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Short-term marketable securities</w:t>
            </w: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4,312</w:t>
            </w:r>
          </w:p>
        </w:tc>
        <w:tc>
          <w:tcPr>
            <w:tcW w:w="100" w:type="dxa"/>
            <w:vAlign w:val="bottom"/>
          </w:tcPr>
          <w:p>
            <w:pPr>
              <w:spacing w:after="0"/>
              <w:rPr>
                <w:sz w:val="20"/>
                <w:szCs w:val="20"/>
                <w:color w:val="auto"/>
              </w:rPr>
            </w:pPr>
          </w:p>
        </w:tc>
      </w:tr>
      <w:tr>
        <w:trPr>
          <w:trHeight w:val="278"/>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at September 30</w:t>
            </w:r>
          </w:p>
        </w:tc>
        <w:tc>
          <w:tcPr>
            <w:tcW w:w="960" w:type="dxa"/>
            <w:vAlign w:val="bottom"/>
            <w:tcBorders>
              <w:top w:val="single" w:sz="8" w:color="auto"/>
              <w:bottom w:val="single" w:sz="8" w:color="auto"/>
            </w:tcBorders>
            <w:shd w:val="clear" w:color="auto" w:fill="CFF0FC"/>
          </w:tcPr>
          <w:p>
            <w:pPr>
              <w:spacing w:after="0"/>
              <w:rPr>
                <w:sz w:val="24"/>
                <w:szCs w:val="2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441,268</w:t>
            </w:r>
          </w:p>
        </w:tc>
        <w:tc>
          <w:tcPr>
            <w:tcW w:w="2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608,330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5"/>
        </w:trPr>
        <w:tc>
          <w:tcPr>
            <w:tcW w:w="8640" w:type="dxa"/>
            <w:vAlign w:val="bottom"/>
            <w:gridSpan w:val="2"/>
          </w:tcPr>
          <w:p>
            <w:pPr>
              <w:ind w:left="5500"/>
              <w:spacing w:after="0"/>
              <w:rPr>
                <w:sz w:val="20"/>
                <w:szCs w:val="20"/>
                <w:color w:val="auto"/>
              </w:rPr>
            </w:pPr>
            <w:r>
              <w:rPr>
                <w:rFonts w:ascii="Arial" w:cs="Arial" w:eastAsia="Arial" w:hAnsi="Arial"/>
                <w:sz w:val="18"/>
                <w:szCs w:val="18"/>
                <w:color w:val="auto"/>
              </w:rPr>
              <w:t>F-5</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6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-4577080</wp:posOffset>
            </wp:positionV>
            <wp:extent cx="6858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-4577080</wp:posOffset>
            </wp:positionV>
            <wp:extent cx="6858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-3950970</wp:posOffset>
            </wp:positionV>
            <wp:extent cx="685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-2691130</wp:posOffset>
            </wp:positionV>
            <wp:extent cx="68580"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-1748155</wp:posOffset>
            </wp:positionV>
            <wp:extent cx="685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-1104900</wp:posOffset>
            </wp:positionV>
            <wp:extent cx="1234440"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4440" cy="18034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-436880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 Information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Ascendis Pharma A/S, together with its subsidiaries, is applying its innovative TransCon technologies to build a leading, fully integrated, global, biopharma company. Ascendis Pharma A/S was incorporated in 2006 and is headquartered in Hellerup, Denmark. Unless the context otherwise requires, references to the “Company,” “we,” “us,” and “our,” refer to Ascendis Pharma A/S and its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Company’s registered office is Tuborg Boulevard 12, DK-2900, Hellerup, Denmark.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 2015, the Company completed an initial public offering which resulted in the listing of American Depositary Shares (“ADSs”), representing the Company’s ordinary shares, under the symbol “ASND” in the United States on The Nasdaq Global Select Market.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Board of Directors (the “Board”) approved these unaudited condensed consolidated interim financial statements on November 7, 2023.</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International Financial Reporting Standards (“IFRS”) have been condensed or omitted. Accordingly, these unaudited condensed consolidated interim financial statements should be read in conjunction with the Company’s audited annual consolidated financial statements for the year ended December 31, 2022, and accompanying notes, which have been prepared in accordance with IFRS as issued by the International Accounting Standards Board (the “IASB”) and as adopted by the European Union (the “EU”).</w:t>
      </w:r>
    </w:p>
    <w:p>
      <w:pPr>
        <w:spacing w:after="0" w:line="17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accounting policies applied are consistent with those of the previous financial year. A description of the accounting policies is provided in the Accounting Policies section of the audited consolidated financial statements as of and for the year ended December 31, 2022. In addition, the accounting policy for royalty funding liabilities, applied for the first time in this reporting period, is described below.</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preparation of financial statements in conformity with IFRS requires the use of certain significant accounting estimates and requires management to exercise its judgement in the process of applying the Company’s accounting policies. The areas involving a higher degree of judgement or complexity, or areas where assumptions and estimates are significant to the unaudited condensed consolidated interim financial statements are disclosed in Note 3, “Significant Accounting Judgements and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Funding Liabilities</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Royalty funding liabilities relate to the Company’s contractual obligations to pay a predetermined percentage of future commercial revenue until reaching a predetermined multiple of proceeds received, according to the detailed provisions of the synthetic royalty funding agreement (the “Agreement”).</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Where relevant, royalty funding liabilities are separated into a financial liability and embedded derivative components based on the terms and conditions of the Agreement. Embedded derivative components are accounted for separately, unless these are deemed closely related to the financial liability. The Agreement includes a buy-out option where the value is dependent on non-financial variables that are specific to the Company. Accordingly, the buy-out option is not accounted for separately as a derivative.</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financial liability is recognized when the Company becomes party to the contractual provisions of the Agreement and measured at amortized cost until it is extinguished upon exercising a buy-out option or upon achieving the predetermined multiple of proceeds received. The effective interest rate is estimated at initial recognition and takes into account incremental transaction costs and anticipated amount and timing of future cash flows, which further depends on future commercial revenue forecasts and the probability of exercising the buy-out option. The amortized cost is remeasured prospectively when there is a material change in expectations to amount and timing of future cash flows, which will increase or decrease future interest expenses. Remeasurement gain or losses are recognized through the profit or loss as finance income or expenses,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financial liability is presented as part of borrowings in the statement of financial position.</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Change to Presentation of Borrowings</w:t>
      </w:r>
    </w:p>
    <w:p>
      <w:pPr>
        <w:spacing w:after="0" w:line="11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At December 31, 2022, lease liabilities were presented as part of borrowings in the consolidated statements of financial position. At December 31, 2022, carrying amount of lease liabilities was €95.4 million and €13.8 million, for non-current liabilities and current liabilities, respectively.</w:t>
      </w:r>
    </w:p>
    <w:p>
      <w:pPr>
        <w:spacing w:after="0" w:line="38"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connection with entering additional borrowing activities in September 2023, lease liabilities are from September 30, 2023, presented separately in the consolidated statements of financial position. Comparative amounts have been reclassified to reflect the change in presentation. Accordingly, at September 30, 2023 and December 31, 2022, borrowings comprise convertible senior notes and royalty funding liabilities, and convertible senior notes.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change to presentation had no other impact on the unaudited condensed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International Financial Reporting Standards Not Yet Effective</w:t>
      </w:r>
    </w:p>
    <w:p>
      <w:pPr>
        <w:spacing w:after="0" w:line="11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IASB has issued a number of new or amended standards, which have not yet become effective or have not yet been adopted by the EU. Therefore, these new standards have not been incorporated in these unaudited condensed consolidated interim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IAS 1, “Classification of Liabilities as Current or Non-current”</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January 2020, the IASB issued amendments to paragraphs 69 to 76 of IAS 1, “Presentation of Financial Statements”, to specify the requirements for classifying liabilities as current or non-current. The amendments clarify:</w:t>
      </w:r>
    </w:p>
    <w:p>
      <w:pPr>
        <w:spacing w:after="0" w:line="62" w:lineRule="exact"/>
        <w:rPr>
          <w:sz w:val="20"/>
          <w:szCs w:val="20"/>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What is meant by a right to defer settlement;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a right to defer must exist at the end of the reporting period;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classification is unaffected by the likelihood that an entity will exercise its deferral right; and</w:t>
      </w:r>
    </w:p>
    <w:p>
      <w:pPr>
        <w:spacing w:after="0" w:line="117"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only if an embedded derivative in a convertible liability is itself an equity instrument would the terms of a liability not impact its classification.</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If approved by the EU, the amendments are effective for annual reporting periods beginning on or after January 1, 2024, and must be applied retrospectively. The amendments are expected to require the convertible senior notes (“convertible notes”) (presented as part of borrowings in the statement of financial position) and derivative liabilities, both presented as non-current liabilities at September 30, 2023, to be presented as current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On September 30, 2023, the carrying amount of convertible notes and derivative liabilities were €421.7 million and €93.4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are not expected to be affected by other new or amended standards.</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3—Significant Accounting Judgements and Estimates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w:t>
      </w:r>
    </w:p>
    <w:p>
      <w:pPr>
        <w:spacing w:after="0" w:line="18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unaudited condensed consolidated interim financial statements do not include all disclosures for significant accounting judgements, estimates and assumptions, that are required in the annual consolidated financial statements, and therefore should be read in conjunction with the Company’s audited consolidated financial statements as of and for the year ended December 31, 2022.</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Estimates and underlying assumptions are reviewed on an ongoing basis. Revisions to accounting estimates are recognized prospectively. While the application of critical accounting estimates is subject to material estimation uncertainties, management’s ongoing revisions of critical accounting estimates and underlying assumptions have not revealed any material impact in any of the periods presented in the unaudited condensed consolidated interim financial statements.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as set out below, there have been no other changes to the application of significant accounting judgements, or estimation uncertainties regarding accounting estimates compared to December 31,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of Royalty Funding Liabilities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carrying amount of royalty funding liabilities is measured according to anticipated future cash flows, which further depends on the amount and timing of future commercial revenue. Assumptions that impact amount and timing of future commercial revenue are subject to estimation uncertainties, and subject to a number of factors which are not within the Company's control.</w:t>
      </w:r>
    </w:p>
    <w:p>
      <w:pPr>
        <w:spacing w:after="0" w:line="7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Company will periodically revisit anticipated amount and timing of future commercial revenue and to the extent such amount or timing is materially different from the current estimates, a remeasurement gain or loss is recognized through the profit or loss as finance income or expenses, respectively, which would further increase or decrease future interest expenses. Further details are provided in Note 10,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4—Significant Events in the Reporting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Banking Situation</w:t>
      </w:r>
    </w:p>
    <w:p>
      <w:pPr>
        <w:spacing w:after="0" w:line="117"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In March 2023, the Federal Deposit Insurance Corporation (the “FDIC”) announced that Silicon Valley Bank (“SVB”) had been closed by the California Department of Financial Protection and Innovation, which appointed the FDIC as receiver. The Company did not hold deposits or securities or maintain any accounts at SVB. Following the closure of SVB and subsequent developments in the global banking sector, the Company considered the risk of expected credit loss on bank deposits and marketable securities, including the hypothetical impact arising from the probability of default, which is considered in conjunction with the expected loss caused by default by banks or securities with similar credit-ratings and attributes.</w:t>
      </w:r>
    </w:p>
    <w:p>
      <w:pPr>
        <w:spacing w:after="0" w:line="1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line with previous periods, this assessment did not reveal a material impairment loss, and accordingly no provision for expected credit loss has been recognized.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in the Region Surrounding Ukraine and Russia</w:t>
      </w:r>
    </w:p>
    <w:p>
      <w:pPr>
        <w:spacing w:after="0" w:line="117"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ongoing conflict in the region surrounding Ukraine and Russia has impacted the Company's ability to continue clinical trial activities in those countries. The conflict did not have a direct material impact on the unaudited condensed consolidated interim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Funding Liabilities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September 2023, the Company entered into a $150.0 million capped synthetic royalty funding agreement (the “Royalty Pharma Agreement”) with Royalty Pharma (the “Purchaser”). Under the terms of the Royalty Pharma Agreement, the Company received an upfront payment of $150.0 million (the “Purchase Price”) in exchange for a 9.15% royalty on net U.S. SKYTROFA revenue, beginning on January 1, 2025 (the “Revenue Interest Payments”). The Revenue Interest Payments to the Purchaser will cease upon reaching a multiple of the Purchase Price of 1.925x, or 1.65x if the Purchaser receives royalties in that amount by December 31, 2031. The Royalty Pharma Agreement includes a buy-out option under various terms and conditions. Further details are provided in Note 10, “Financial Assets and Liabilities”.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Development</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September 30, 2023, the unaudited condensed consolidated interim statements of financial position presented a negative balance of equity of €73.4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Based on its current operating plan, the Company believes that the existing capital resources as of September 30, 2023, will be sufficient to meet projected cash requirements for at least twelve months from the date of this report. However, the Company's operating plan may change as a result of many factors that are currently unknown, and the Company may need to seek additional funds sooner than planned. Further details regarding lease liabilities and borrowings including maturity analysis are provided in Note 10, “Financial Assets and Liabilities”.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5—Revenue</w:t>
      </w:r>
    </w:p>
    <w:p>
      <w:pPr>
        <w:spacing w:after="0" w:line="126"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Revenue from commercial sale of products relates to sale of SKYTROFA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(lonapegsomatropin-tcgd), primarily in the U.S. market, which is sold to specialty pharmacies and specialty distributors. In addition, the Company began shipping products to wholesalers in Germany in the third quarter of 2023. Customer payment terms are typically 30 days from the transaction date.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is generated primarily from three license agreements, which were entered into in 2018.</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2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r>
      <w:tr>
        <w:trPr>
          <w:trHeight w:val="185"/>
        </w:trPr>
        <w:tc>
          <w:tcPr>
            <w:tcW w:w="576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719"/>
              <w:spacing w:after="0"/>
              <w:rPr>
                <w:sz w:val="20"/>
                <w:szCs w:val="20"/>
                <w:color w:val="auto"/>
              </w:rPr>
            </w:pPr>
            <w:r>
              <w:rPr>
                <w:rFonts w:ascii="Arial" w:cs="Arial" w:eastAsia="Arial" w:hAnsi="Arial"/>
                <w:sz w:val="14"/>
                <w:szCs w:val="14"/>
                <w:b w:val="1"/>
                <w:bCs w:val="1"/>
                <w:color w:val="auto"/>
                <w:w w:val="89"/>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760" w:type="dxa"/>
            <w:vAlign w:val="bottom"/>
          </w:tcPr>
          <w:p>
            <w:pPr>
              <w:spacing w:after="0"/>
              <w:rPr>
                <w:sz w:val="14"/>
                <w:szCs w:val="14"/>
                <w:color w:val="auto"/>
              </w:rPr>
            </w:pPr>
          </w:p>
        </w:tc>
        <w:tc>
          <w:tcPr>
            <w:tcW w:w="180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99"/>
              </w:rPr>
              <w:t>(EUR’000)</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tcPr>
          <w:p>
            <w:pPr>
              <w:jc w:val="center"/>
              <w:ind w:left="719"/>
              <w:spacing w:after="0"/>
              <w:rPr>
                <w:sz w:val="20"/>
                <w:szCs w:val="20"/>
                <w:color w:val="auto"/>
              </w:rPr>
            </w:pPr>
            <w:r>
              <w:rPr>
                <w:rFonts w:ascii="Arial" w:cs="Arial" w:eastAsia="Arial" w:hAnsi="Arial"/>
                <w:sz w:val="14"/>
                <w:szCs w:val="14"/>
                <w:b w:val="1"/>
                <w:bCs w:val="1"/>
                <w:color w:val="auto"/>
                <w:w w:val="99"/>
              </w:rPr>
              <w:t>(EUR’000)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 from external customers</w:t>
            </w: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Commercial sale of products</w:t>
            </w:r>
          </w:p>
        </w:tc>
        <w:tc>
          <w:tcPr>
            <w:tcW w:w="1180" w:type="dxa"/>
            <w:vAlign w:val="bottom"/>
          </w:tcPr>
          <w:p>
            <w:pPr>
              <w:jc w:val="right"/>
              <w:spacing w:after="0"/>
              <w:rPr>
                <w:sz w:val="20"/>
                <w:szCs w:val="20"/>
                <w:color w:val="auto"/>
              </w:rPr>
            </w:pPr>
            <w:r>
              <w:rPr>
                <w:rFonts w:ascii="Arial" w:cs="Arial" w:eastAsia="Arial" w:hAnsi="Arial"/>
                <w:sz w:val="18"/>
                <w:szCs w:val="18"/>
                <w:color w:val="auto"/>
              </w:rPr>
              <w:t>46,968</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114,414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18,575</w:t>
            </w:r>
          </w:p>
        </w:tc>
        <w:tc>
          <w:tcPr>
            <w:tcW w:w="100" w:type="dxa"/>
            <w:vAlign w:val="bottom"/>
          </w:tcPr>
          <w:p>
            <w:pPr>
              <w:spacing w:after="0"/>
              <w:rPr>
                <w:sz w:val="20"/>
                <w:szCs w:val="20"/>
                <w:color w:val="auto"/>
              </w:rPr>
            </w:pPr>
          </w:p>
        </w:tc>
      </w:tr>
      <w:tr>
        <w:trPr>
          <w:trHeight w:val="24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Rendering of services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12,480</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w:t>
            </w:r>
          </w:p>
        </w:tc>
        <w:tc>
          <w:tcPr>
            <w:tcW w:w="100" w:type="dxa"/>
            <w:vAlign w:val="bottom"/>
            <w:shd w:val="clear" w:color="auto" w:fill="CFF0FC"/>
          </w:tcPr>
          <w:p>
            <w:pPr>
              <w:spacing w:after="0"/>
              <w:rPr>
                <w:sz w:val="21"/>
                <w:szCs w:val="2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Sale of clinical supply</w:t>
            </w: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20"/>
                <w:szCs w:val="20"/>
                <w:color w:val="auto"/>
              </w:rPr>
            </w:pPr>
          </w:p>
        </w:tc>
      </w:tr>
      <w:tr>
        <w:trPr>
          <w:trHeight w:val="243"/>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Licenses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Total revenue from external customers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48,034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15,290</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129,016</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28,278</w:t>
            </w:r>
          </w:p>
        </w:tc>
        <w:tc>
          <w:tcPr>
            <w:tcW w:w="100" w:type="dxa"/>
            <w:vAlign w:val="bottom"/>
          </w:tcPr>
          <w:p>
            <w:pPr>
              <w:spacing w:after="0"/>
              <w:rPr>
                <w:sz w:val="20"/>
                <w:szCs w:val="20"/>
                <w:color w:val="auto"/>
              </w:rPr>
            </w:pPr>
          </w:p>
        </w:tc>
      </w:tr>
      <w:tr>
        <w:trPr>
          <w:trHeight w:val="20"/>
        </w:trPr>
        <w:tc>
          <w:tcPr>
            <w:tcW w:w="5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Attributable to</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Commercial customers</w:t>
            </w:r>
          </w:p>
        </w:tc>
        <w:tc>
          <w:tcPr>
            <w:tcW w:w="1180" w:type="dxa"/>
            <w:vAlign w:val="bottom"/>
          </w:tcPr>
          <w:p>
            <w:pPr>
              <w:jc w:val="right"/>
              <w:spacing w:after="0"/>
              <w:rPr>
                <w:sz w:val="20"/>
                <w:szCs w:val="20"/>
                <w:color w:val="auto"/>
              </w:rPr>
            </w:pPr>
            <w:r>
              <w:rPr>
                <w:rFonts w:ascii="Arial" w:cs="Arial" w:eastAsia="Arial" w:hAnsi="Arial"/>
                <w:sz w:val="18"/>
                <w:szCs w:val="18"/>
                <w:color w:val="auto"/>
              </w:rPr>
              <w:t>46,968</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114,414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18,575</w:t>
            </w:r>
          </w:p>
        </w:tc>
        <w:tc>
          <w:tcPr>
            <w:tcW w:w="100" w:type="dxa"/>
            <w:vAlign w:val="bottom"/>
          </w:tcPr>
          <w:p>
            <w:pPr>
              <w:spacing w:after="0"/>
              <w:rPr>
                <w:sz w:val="20"/>
                <w:szCs w:val="20"/>
                <w:color w:val="auto"/>
              </w:rPr>
            </w:pPr>
          </w:p>
        </w:tc>
      </w:tr>
      <w:tr>
        <w:trPr>
          <w:trHeight w:val="243"/>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Collaboration partners and license agreements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3,038</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14,602</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Total revenue from external customers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48,034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15,290</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129,016</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28,278</w:t>
            </w:r>
          </w:p>
        </w:tc>
        <w:tc>
          <w:tcPr>
            <w:tcW w:w="100" w:type="dxa"/>
            <w:vAlign w:val="bottom"/>
          </w:tcPr>
          <w:p>
            <w:pPr>
              <w:spacing w:after="0"/>
              <w:rPr>
                <w:sz w:val="20"/>
                <w:szCs w:val="20"/>
                <w:color w:val="auto"/>
              </w:rPr>
            </w:pPr>
          </w:p>
        </w:tc>
      </w:tr>
      <w:tr>
        <w:trPr>
          <w:trHeight w:val="20"/>
        </w:trPr>
        <w:tc>
          <w:tcPr>
            <w:tcW w:w="5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Specified by timing of recognition</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Recognized over time</w:t>
            </w:r>
          </w:p>
        </w:tc>
        <w:tc>
          <w:tcPr>
            <w:tcW w:w="1180" w:type="dxa"/>
            <w:vAlign w:val="bottom"/>
          </w:tcPr>
          <w:p>
            <w:pPr>
              <w:jc w:val="right"/>
              <w:spacing w:after="0"/>
              <w:rPr>
                <w:sz w:val="20"/>
                <w:szCs w:val="20"/>
                <w:color w:val="auto"/>
              </w:rPr>
            </w:pPr>
            <w:r>
              <w:rPr>
                <w:rFonts w:ascii="Arial" w:cs="Arial" w:eastAsia="Arial" w:hAnsi="Arial"/>
                <w:sz w:val="18"/>
                <w:szCs w:val="18"/>
                <w:color w:val="auto"/>
              </w:rPr>
              <w:t>401</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12,480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Pr>
          <w:p>
            <w:pPr>
              <w:spacing w:after="0"/>
              <w:rPr>
                <w:sz w:val="20"/>
                <w:szCs w:val="20"/>
                <w:color w:val="auto"/>
              </w:rPr>
            </w:pPr>
          </w:p>
        </w:tc>
      </w:tr>
      <w:tr>
        <w:trPr>
          <w:trHeight w:val="243"/>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Recognized at a point in time</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47,633</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12,889</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116,536</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Total revenue from external customers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48,034</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15,290</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129,016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28,278</w:t>
            </w:r>
          </w:p>
        </w:tc>
        <w:tc>
          <w:tcPr>
            <w:tcW w:w="100" w:type="dxa"/>
            <w:vAlign w:val="bottom"/>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 by geographical location</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Europe</w:t>
            </w:r>
          </w:p>
        </w:tc>
        <w:tc>
          <w:tcPr>
            <w:tcW w:w="1180" w:type="dxa"/>
            <w:vAlign w:val="bottom"/>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r>
      <w:tr>
        <w:trPr>
          <w:trHeight w:val="24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America</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47,234</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12,889</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127,059</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24,424</w:t>
            </w:r>
          </w:p>
        </w:tc>
        <w:tc>
          <w:tcPr>
            <w:tcW w:w="100" w:type="dxa"/>
            <w:vAlign w:val="bottom"/>
            <w:shd w:val="clear" w:color="auto" w:fill="CFF0FC"/>
          </w:tcPr>
          <w:p>
            <w:pPr>
              <w:spacing w:after="0"/>
              <w:rPr>
                <w:sz w:val="21"/>
                <w:szCs w:val="2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Asia</w:t>
            </w:r>
          </w:p>
        </w:tc>
        <w:tc>
          <w:tcPr>
            <w:tcW w:w="1180" w:type="dxa"/>
            <w:vAlign w:val="bottom"/>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1,576</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0"/>
                <w:szCs w:val="20"/>
                <w:color w:val="auto"/>
              </w:rPr>
            </w:pPr>
          </w:p>
        </w:tc>
      </w:tr>
      <w:tr>
        <w:trPr>
          <w:trHeight w:val="278"/>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revenue from external customers</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48,034</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15,290</w:t>
            </w:r>
          </w:p>
        </w:tc>
        <w:tc>
          <w:tcPr>
            <w:tcW w:w="2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129,016</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28,278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-2296795</wp:posOffset>
            </wp:positionV>
            <wp:extent cx="7747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-2296795</wp:posOffset>
            </wp:positionV>
            <wp:extent cx="685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-2296795</wp:posOffset>
            </wp:positionV>
            <wp:extent cx="6858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-1645285</wp:posOffset>
            </wp:positionV>
            <wp:extent cx="7747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-1645285</wp:posOffset>
            </wp:positionV>
            <wp:extent cx="685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-1645285</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-993775</wp:posOffset>
            </wp:positionV>
            <wp:extent cx="7747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-993775</wp:posOffset>
            </wp:positionV>
            <wp:extent cx="685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-993775</wp:posOffset>
            </wp:positionV>
            <wp:extent cx="6858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6—Segment Information</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is managed and operated as one business unit. Accordingly, no additional information on business segments or geographical areas is disclosed.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7—Share-based Payment</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As an incentive to the senior management and the Executive Board, other employees, members of the Board and select consultants, Ascendis Pharma A/S has established warrant programs, a Restricted Stock Unit (“RSU”) program adopted in December 2021, and a Performance Stock Unit (“PSU”) program adopted in February 2023, which are all classified as equity-settled share-based payment transactions.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Costs</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Share-based compensation costs are determined using the grant date fair value and are recognized over the vesting period as research and development costs, selling, general and administrative expenses, or cost of sales. For the three and nine months ended September 30, 2023 and 2022, share-based compensation costs recognized in the unaudited condensed consolidated interim statement of profit or loss were €17.2 million and €50.8 million, respectively, and €13.5 million and €50.3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Program</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RSUs are granted by the Board to certain members of senior management and the Executive Board, certain other employees and certain members of the Board (the “RSU-holders”). In addition, RSUs may be granted to select consultants.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One RSU represents a right for the RSU-holder to receive one ADS of Ascendis Pharma A/S upon vesting, if the vesting conditions are met. RSUs granted vest over three years with 1/3 of the RSUs vesting on each anniversary date from the date of grant, and require RSU-holders to be employed, or provide a specified period of service (the “service conditions”).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Performance Stock Unit Program</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PSUs are granted by the Board to certain members of senior management and the Executive Board (the “PSU-holders”). In addition, PSUs may be granted to other employees, select consultants and members of the Board. PSUs were granted for the first time in March 2023.</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One PSU represents a right for the PSU-holder to receive one ADS of Ascendis Pharma A/S upon vesting. PSUs vest in a manner similar to the service conditions of the RSUs; however, vesting is also contingent upon achievement of performance targets as determined by the Board, provided that no more than 10% of each tranche may be directly attributable to accomplishment of financial results achieved in the financial year prior to the vesting date. Exceeding performance targets will not result in granting of additional ADSs.</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RSUs and PSUs generally cease to vest from the date of termination of employment or board membership, as applicable, whereas unvested RSUs or PSUs will forfeit. The Board may at its discretion and on an individual basis decide to deviate from the vesting conditions, including deciding to accelerate vesting in the event of termination of employment or board membership, as applicable.</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RSUs and PSUs are settled at the time of vesting by treasury shares that are ADSs repurchased in the market. The Company may at its sole discretion choose to make a cash settlement instead of delivering ADSs.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and PSU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specifies the number of RSUs and PSUs granted and outstanding at September 30,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Restricted Stock</w:t>
            </w: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Performance Stock</w:t>
            </w:r>
          </w:p>
        </w:tc>
        <w:tc>
          <w:tcPr>
            <w:tcW w:w="13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20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Outstanding</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(Number)</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January 1, 2023</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82,492</w:t>
            </w: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Granted during the period</w:t>
            </w:r>
          </w:p>
        </w:tc>
        <w:tc>
          <w:tcPr>
            <w:tcW w:w="1380" w:type="dxa"/>
            <w:vAlign w:val="bottom"/>
          </w:tcPr>
          <w:p>
            <w:pPr>
              <w:jc w:val="right"/>
              <w:spacing w:after="0"/>
              <w:rPr>
                <w:sz w:val="20"/>
                <w:szCs w:val="20"/>
                <w:color w:val="auto"/>
              </w:rPr>
            </w:pPr>
            <w:r>
              <w:rPr>
                <w:rFonts w:ascii="Arial" w:cs="Arial" w:eastAsia="Arial" w:hAnsi="Arial"/>
                <w:sz w:val="18"/>
                <w:szCs w:val="18"/>
                <w:color w:val="auto"/>
              </w:rPr>
              <w:t>609,860</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112,268</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722,128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 during the period</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(59,491 )</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(7,245 )</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(66,736 )</w:t>
            </w:r>
          </w:p>
        </w:tc>
        <w:tc>
          <w:tcPr>
            <w:tcW w:w="0" w:type="dxa"/>
            <w:vAlign w:val="bottom"/>
          </w:tcPr>
          <w:p>
            <w:pPr>
              <w:spacing w:after="0"/>
              <w:rPr>
                <w:sz w:val="1"/>
                <w:szCs w:val="1"/>
                <w:color w:val="auto"/>
              </w:rPr>
            </w:pPr>
          </w:p>
        </w:tc>
      </w:tr>
      <w:tr>
        <w:trPr>
          <w:trHeight w:val="239"/>
        </w:trPr>
        <w:tc>
          <w:tcPr>
            <w:tcW w:w="65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September 30, 2023</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632,861</w:t>
            </w:r>
          </w:p>
        </w:tc>
        <w:tc>
          <w:tcPr>
            <w:tcW w:w="240" w:type="dxa"/>
            <w:vAlign w:val="bottom"/>
            <w:tcBorders>
              <w:top w:val="single" w:sz="8" w:color="CFF0FC"/>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105,023</w:t>
            </w:r>
          </w:p>
        </w:tc>
        <w:tc>
          <w:tcPr>
            <w:tcW w:w="200" w:type="dxa"/>
            <w:vAlign w:val="bottom"/>
            <w:tcBorders>
              <w:top w:val="single" w:sz="8" w:color="CFF0F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737,884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Specified by vesting year</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2023</w:t>
            </w:r>
          </w:p>
        </w:tc>
        <w:tc>
          <w:tcPr>
            <w:tcW w:w="1380" w:type="dxa"/>
            <w:vAlign w:val="bottom"/>
          </w:tcPr>
          <w:p>
            <w:pPr>
              <w:jc w:val="right"/>
              <w:spacing w:after="0"/>
              <w:rPr>
                <w:sz w:val="20"/>
                <w:szCs w:val="20"/>
                <w:color w:val="auto"/>
              </w:rPr>
            </w:pPr>
            <w:r>
              <w:rPr>
                <w:rFonts w:ascii="Arial" w:cs="Arial" w:eastAsia="Arial" w:hAnsi="Arial"/>
                <w:sz w:val="18"/>
                <w:szCs w:val="18"/>
                <w:color w:val="auto"/>
              </w:rPr>
              <w:t>38,676</w:t>
            </w:r>
          </w:p>
        </w:tc>
        <w:tc>
          <w:tcPr>
            <w:tcW w:w="2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38,676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223,761</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35,007</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2025</w:t>
            </w:r>
          </w:p>
        </w:tc>
        <w:tc>
          <w:tcPr>
            <w:tcW w:w="1380" w:type="dxa"/>
            <w:vAlign w:val="bottom"/>
          </w:tcPr>
          <w:p>
            <w:pPr>
              <w:jc w:val="right"/>
              <w:spacing w:after="0"/>
              <w:rPr>
                <w:sz w:val="20"/>
                <w:szCs w:val="20"/>
                <w:color w:val="auto"/>
              </w:rPr>
            </w:pPr>
            <w:r>
              <w:rPr>
                <w:rFonts w:ascii="Arial" w:cs="Arial" w:eastAsia="Arial" w:hAnsi="Arial"/>
                <w:sz w:val="18"/>
                <w:szCs w:val="18"/>
                <w:color w:val="auto"/>
              </w:rPr>
              <w:t>185,189</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35,008</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185,235</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35,008</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220,243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September 30, 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632,861</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105,023</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737,884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-1148080</wp:posOffset>
            </wp:positionV>
            <wp:extent cx="7747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-1148080</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Program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Warrants are granted by the Board in accordance with authorizations given to it by the shareholders of Ascendis Pharma A/S to all employees, members of the Board and select consultants. Each warrant carries the right to subscribe for one ordinary share of a nominal value of DKK 1. The exercise price is fixed at the fair market value of the Company’s ordinary shares at the time of grant as determined by the Board. Vested warrants may be exercised in two or four annual exercise periods.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specifies the warrant activity for the nine months ended September 30,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(Number)</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(EUR)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w:t>
            </w:r>
          </w:p>
        </w:tc>
        <w:tc>
          <w:tcPr>
            <w:tcW w:w="382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January 1, 2023</w:t>
            </w: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6,864,011</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Granted during the period</w:t>
            </w:r>
          </w:p>
        </w:tc>
        <w:tc>
          <w:tcPr>
            <w:tcW w:w="5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333,105</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Exercised during the period</w:t>
            </w:r>
          </w:p>
        </w:tc>
        <w:tc>
          <w:tcPr>
            <w:tcW w:w="5660" w:type="dxa"/>
            <w:vAlign w:val="bottom"/>
            <w:gridSpan w:val="3"/>
          </w:tcPr>
          <w:p>
            <w:pPr>
              <w:jc w:val="right"/>
              <w:ind w:right="160"/>
              <w:spacing w:after="0"/>
              <w:rPr>
                <w:sz w:val="20"/>
                <w:szCs w:val="20"/>
                <w:color w:val="auto"/>
              </w:rPr>
            </w:pPr>
            <w:r>
              <w:rPr>
                <w:rFonts w:ascii="Arial" w:cs="Arial" w:eastAsia="Arial" w:hAnsi="Arial"/>
                <w:sz w:val="18"/>
                <w:szCs w:val="18"/>
                <w:color w:val="auto"/>
              </w:rPr>
              <w:t>(504,273 )</w:t>
            </w:r>
          </w:p>
        </w:tc>
        <w:tc>
          <w:tcPr>
            <w:tcW w:w="162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 during the period</w:t>
            </w:r>
          </w:p>
        </w:tc>
        <w:tc>
          <w:tcPr>
            <w:tcW w:w="382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(137,656 )</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September 30, 2023</w:t>
            </w:r>
          </w:p>
        </w:tc>
        <w:tc>
          <w:tcPr>
            <w:tcW w:w="3820" w:type="dxa"/>
            <w:vAlign w:val="bottom"/>
            <w:tcBorders>
              <w:top w:val="single" w:sz="8" w:color="CFF0FC"/>
            </w:tcBorders>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6,555,187</w:t>
            </w:r>
          </w:p>
        </w:tc>
        <w:tc>
          <w:tcPr>
            <w:tcW w:w="220" w:type="dxa"/>
            <w:vAlign w:val="bottom"/>
            <w:tcBorders>
              <w:top w:val="single" w:sz="8" w:color="CFF0FC"/>
            </w:tcBorders>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Vested at September 30, 2023</w:t>
            </w:r>
          </w:p>
        </w:tc>
        <w:tc>
          <w:tcPr>
            <w:tcW w:w="382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5,117,555</w:t>
            </w:r>
          </w:p>
        </w:tc>
        <w:tc>
          <w:tcPr>
            <w:tcW w:w="22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3860" w:type="dxa"/>
            <w:vAlign w:val="bottom"/>
          </w:tcPr>
          <w:p>
            <w:pPr>
              <w:spacing w:after="0"/>
              <w:rPr>
                <w:sz w:val="24"/>
                <w:szCs w:val="24"/>
                <w:color w:val="auto"/>
              </w:rPr>
            </w:pPr>
          </w:p>
        </w:tc>
        <w:tc>
          <w:tcPr>
            <w:tcW w:w="5660" w:type="dxa"/>
            <w:vAlign w:val="bottom"/>
            <w:gridSpan w:val="3"/>
          </w:tcPr>
          <w:p>
            <w:pPr>
              <w:jc w:val="right"/>
              <w:ind w:right="3720"/>
              <w:spacing w:after="0"/>
              <w:rPr>
                <w:sz w:val="20"/>
                <w:szCs w:val="20"/>
                <w:color w:val="auto"/>
              </w:rPr>
            </w:pPr>
            <w:r>
              <w:rPr>
                <w:rFonts w:ascii="Arial" w:cs="Arial" w:eastAsia="Arial" w:hAnsi="Arial"/>
                <w:sz w:val="18"/>
                <w:szCs w:val="18"/>
                <w:color w:val="auto"/>
              </w:rPr>
              <w:t>F-11</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6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-770890</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-427990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The exercise prices of outstanding warrants under the Company’s warrant programs range from €6.48 to €145.50 depending on the grant dates.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share capital of Ascendis Pharma A/S consists of 57,656,568 fully paid shares at a nominal value of DKK 1, all in the same share class.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9—Treasury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holding of treasury shares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Holding in</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06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4"/>
              </w:rPr>
              <w:t>Nominal</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Holding</w:t>
            </w:r>
          </w:p>
        </w:tc>
        <w:tc>
          <w:tcPr>
            <w:tcW w:w="22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85"/>
        </w:trPr>
        <w:tc>
          <w:tcPr>
            <w:tcW w:w="6560" w:type="dxa"/>
            <w:vAlign w:val="bottom"/>
          </w:tcPr>
          <w:p>
            <w:pPr>
              <w:spacing w:after="0"/>
              <w:rPr>
                <w:sz w:val="16"/>
                <w:szCs w:val="16"/>
                <w:color w:val="auto"/>
              </w:rPr>
            </w:pP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87"/>
              </w:rPr>
              <w:t>values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shares</w:t>
            </w: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106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9"/>
              </w:rPr>
              <w:t>(EUR’000)</w:t>
            </w:r>
          </w:p>
        </w:tc>
        <w:tc>
          <w:tcPr>
            <w:tcW w:w="3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6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Treasury shares</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January 1, 2023</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1,113,152</w:t>
            </w:r>
          </w:p>
        </w:tc>
        <w:tc>
          <w:tcPr>
            <w:tcW w:w="1800" w:type="dxa"/>
            <w:vAlign w:val="bottom"/>
            <w:gridSpan w:val="4"/>
          </w:tcPr>
          <w:p>
            <w:pPr>
              <w:ind w:left="1380"/>
              <w:spacing w:after="0"/>
              <w:rPr>
                <w:sz w:val="20"/>
                <w:szCs w:val="20"/>
                <w:color w:val="auto"/>
              </w:rPr>
            </w:pPr>
            <w:r>
              <w:rPr>
                <w:rFonts w:ascii="Arial" w:cs="Arial" w:eastAsia="Arial" w:hAnsi="Arial"/>
                <w:sz w:val="18"/>
                <w:szCs w:val="18"/>
                <w:color w:val="auto"/>
                <w:w w:val="86"/>
              </w:rPr>
              <w:t>2.0 %</w:t>
            </w:r>
          </w:p>
        </w:tc>
        <w:tc>
          <w:tcPr>
            <w:tcW w:w="0" w:type="dxa"/>
            <w:vAlign w:val="bottom"/>
          </w:tcPr>
          <w:p>
            <w:pPr>
              <w:spacing w:after="0"/>
              <w:rPr>
                <w:sz w:val="1"/>
                <w:szCs w:val="1"/>
                <w:color w:val="auto"/>
              </w:rPr>
            </w:pPr>
          </w:p>
        </w:tc>
      </w:tr>
      <w:tr>
        <w:trPr>
          <w:trHeight w:val="239"/>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September 30, 2023</w:t>
            </w:r>
          </w:p>
        </w:tc>
        <w:tc>
          <w:tcPr>
            <w:tcW w:w="10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149</w:t>
            </w:r>
          </w:p>
        </w:tc>
        <w:tc>
          <w:tcPr>
            <w:tcW w:w="24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1,113,152</w:t>
            </w:r>
          </w:p>
        </w:tc>
        <w:tc>
          <w:tcPr>
            <w:tcW w:w="220" w:type="dxa"/>
            <w:vAlign w:val="bottom"/>
          </w:tcPr>
          <w:p>
            <w:pPr>
              <w:spacing w:after="0"/>
              <w:rPr>
                <w:sz w:val="20"/>
                <w:szCs w:val="20"/>
                <w:color w:val="auto"/>
              </w:rPr>
            </w:pPr>
          </w:p>
        </w:tc>
        <w:tc>
          <w:tcPr>
            <w:tcW w:w="140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b w:val="1"/>
                <w:bCs w:val="1"/>
                <w:color w:val="auto"/>
                <w:w w:val="87"/>
              </w:rPr>
              <w:t>1.9</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10—Financial Assets and Liabilities</w:t>
      </w:r>
    </w:p>
    <w:p>
      <w:pPr>
        <w:spacing w:after="0" w:line="121"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Financial assets comprise marketable securities, cash and cash equivalents, and receivables. Financial liabilities comprise convertible notes and royalty funding liabilities, presented as borrowings in the statement of financial position, lease liabilities, derivative liabilities, and trade payables and accrued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Derivative liabilities are measured at fair value. All other financial assets and liabilities are measured at amortized cost.</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5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specifies the marketable securities portfolio:</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140" w:type="dxa"/>
            <w:vAlign w:val="bottom"/>
            <w:gridSpan w:val="4"/>
          </w:tcPr>
          <w:p>
            <w:pPr>
              <w:ind w:left="36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jc w:val="right"/>
              <w:ind w:right="312"/>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7680" w:type="dxa"/>
            <w:vAlign w:val="bottom"/>
          </w:tcPr>
          <w:p>
            <w:pPr>
              <w:spacing w:after="0"/>
              <w:rPr>
                <w:sz w:val="16"/>
                <w:szCs w:val="16"/>
                <w:color w:val="auto"/>
              </w:rPr>
            </w:pPr>
          </w:p>
        </w:tc>
        <w:tc>
          <w:tcPr>
            <w:tcW w:w="16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2140" w:type="dxa"/>
            <w:vAlign w:val="bottom"/>
            <w:gridSpan w:val="4"/>
          </w:tcPr>
          <w:p>
            <w:pPr>
              <w:ind w:left="1400"/>
              <w:spacing w:after="0"/>
              <w:rPr>
                <w:sz w:val="20"/>
                <w:szCs w:val="20"/>
                <w:color w:val="auto"/>
              </w:rPr>
            </w:pPr>
            <w:r>
              <w:rPr>
                <w:rFonts w:ascii="Arial" w:cs="Arial" w:eastAsia="Arial" w:hAnsi="Arial"/>
                <w:sz w:val="14"/>
                <w:szCs w:val="14"/>
                <w:b w:val="1"/>
                <w:bCs w:val="1"/>
                <w:color w:val="auto"/>
              </w:rPr>
              <w:t>(EUR’000)</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Marketable securities</w:t>
            </w: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U.S. Treasury bills</w:t>
            </w:r>
          </w:p>
        </w:tc>
        <w:tc>
          <w:tcPr>
            <w:tcW w:w="214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79,086</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bonds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99,337</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620" w:type="dxa"/>
            <w:vAlign w:val="bottom"/>
          </w:tcPr>
          <w:p>
            <w:pPr>
              <w:jc w:val="right"/>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104,236</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Agency bonds</w:t>
            </w:r>
          </w:p>
        </w:tc>
        <w:tc>
          <w:tcPr>
            <w:tcW w:w="2140" w:type="dxa"/>
            <w:vAlign w:val="bottom"/>
            <w:gridSpan w:val="4"/>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15,521</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marketable securities</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14,165</w:t>
            </w: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298,180</w:t>
            </w:r>
          </w:p>
        </w:tc>
        <w:tc>
          <w:tcPr>
            <w:tcW w:w="100" w:type="dxa"/>
            <w:vAlign w:val="bottom"/>
            <w:tcBorders>
              <w:top w:val="single" w:sz="8" w:color="CFF0FC"/>
            </w:tcBorders>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Classified based on maturity profiles</w:t>
            </w: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14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14,165</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290,688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Total marketable securities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298,180</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Specified by rate structure</w:t>
            </w: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1620" w:type="dxa"/>
            <w:vAlign w:val="bottom"/>
          </w:tcPr>
          <w:p>
            <w:pPr>
              <w:jc w:val="right"/>
              <w:spacing w:after="0"/>
              <w:rPr>
                <w:sz w:val="20"/>
                <w:szCs w:val="20"/>
                <w:color w:val="auto"/>
              </w:rPr>
            </w:pPr>
            <w:r>
              <w:rPr>
                <w:rFonts w:ascii="Arial" w:cs="Arial" w:eastAsia="Arial" w:hAnsi="Arial"/>
                <w:sz w:val="18"/>
                <w:szCs w:val="18"/>
                <w:color w:val="auto"/>
              </w:rPr>
              <w:t>14,165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205,825</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Floating rate</w:t>
            </w:r>
          </w:p>
        </w:tc>
        <w:tc>
          <w:tcPr>
            <w:tcW w:w="2140" w:type="dxa"/>
            <w:vAlign w:val="bottom"/>
            <w:gridSpan w:val="4"/>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11,787</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Zero-coupon</w:t>
            </w:r>
          </w:p>
        </w:tc>
        <w:tc>
          <w:tcPr>
            <w:tcW w:w="214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80,568</w:t>
            </w:r>
          </w:p>
        </w:tc>
        <w:tc>
          <w:tcPr>
            <w:tcW w:w="100" w:type="dxa"/>
            <w:vAlign w:val="bottom"/>
          </w:tcPr>
          <w:p>
            <w:pPr>
              <w:spacing w:after="0"/>
              <w:rPr>
                <w:sz w:val="20"/>
                <w:szCs w:val="20"/>
                <w:color w:val="auto"/>
              </w:rPr>
            </w:pPr>
          </w:p>
        </w:tc>
      </w:tr>
      <w:tr>
        <w:trPr>
          <w:trHeight w:val="278"/>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marketable securities</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14,165</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298,180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Specified by investment grade credit rating</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High grade</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203,530</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Upper medium grade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4,737</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94,650</w:t>
            </w:r>
          </w:p>
        </w:tc>
        <w:tc>
          <w:tcPr>
            <w:tcW w:w="100" w:type="dxa"/>
            <w:vAlign w:val="bottom"/>
            <w:tcBorders>
              <w:bottom w:val="single" w:sz="8" w:color="CFF0FC"/>
            </w:tcBorders>
          </w:tcPr>
          <w:p>
            <w:pPr>
              <w:spacing w:after="0"/>
              <w:rPr>
                <w:sz w:val="20"/>
                <w:szCs w:val="20"/>
                <w:color w:val="auto"/>
              </w:rPr>
            </w:pPr>
          </w:p>
        </w:tc>
      </w:tr>
      <w:tr>
        <w:trPr>
          <w:trHeight w:val="27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marketable securities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14,165</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298,180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-2296795</wp:posOffset>
            </wp:positionV>
            <wp:extent cx="685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-1645285</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-676910</wp:posOffset>
            </wp:positionV>
            <wp:extent cx="1234440"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3444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portfolio of marketable securities is all denominated in U.S. Dollars. At September 30, 2023 and December 31, 2022, the portfolio had a weighted average duration of 2.3 months and 3.2 months, respectively. All marketable securities have investment grade ratings and accordingly, the risk from probability of default is low. The risk of expected credit loss over marketable securities has been considered, including the hypothetical impact arising from the probability of default which is considered in conjunction with the expected loss given default from securities with similar credit ratings and attributes. This assessment did not reveal a material expected credit loss and accordingly, no provision for expected credit loss has been recognized.</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Royalty Funding Liabilities</w:t>
      </w:r>
    </w:p>
    <w:p>
      <w:pPr>
        <w:spacing w:after="0" w:line="11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In September 2023, the Company entered into a $150.0 million capped synthetic royalty funding agreement (the “Royalty Pharma Agreement”) with Royalty Pharma (the “Purchaser”). The net proceeds were $146.3 million (€136.3 million) after deducting offering expenses.</w:t>
      </w:r>
    </w:p>
    <w:p>
      <w:pPr>
        <w:spacing w:after="0" w:line="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terms of the Royalty Pharma Agreement, the Company received an upfront payment of $150.0 million (the “Purchase Price”) in exchange for a 9.15% royalty on net U.S. SKYTROFA revenue, beginning on January 1, 2025 (the “Revenue Interest Payments”). The Revenue Interest Payments to the Purchaser will cease upon reaching a multiple of the Purchase Price of 1.925x, or 1.65x if the Purchaser receives Revenue Interest Payments in that amount by December 31, 2031.</w:t>
      </w:r>
    </w:p>
    <w:p>
      <w:pPr>
        <w:spacing w:after="0" w:line="7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Royalty Pharma Agreement includes a buy-out option, which provides the Company with the right to settle all outstanding liabilities at any time by paying a buy-out amount equal to 1.925 times the Purchase Price minus the Revenue Interest Payments paid to the Purchaser as of the effective date of the buy-out notice. However, if the buy-out notice is provided on or prior to December 31, 2028, and the Company has paid the Purchaser Revenue Interest Payments equal to the Purchase Price as of the date of the buy-out notice, then the buy-out amount equal to 1.65 times the Purchase Price minus the Revenue Interest Payments paid to the Purchaser as of the effective date of the buy-out notice.</w:t>
      </w:r>
    </w:p>
    <w:p>
      <w:pPr>
        <w:spacing w:after="0" w:line="1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September 30, 2023, the carrying amount of the royalty funding liabilities was €139.6 million, and the fair value was approximately €140.2 million. Fair value cannot be measured based on quoted prices in active markets or other observable input, and accordingly the fair value was measured by using an estimated market rate for an equivalent instrument.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March 2022, the Company issued an aggregate principal amount of $575.0 million of fixed rate 2.25% convertible notes. The net proceeds from the offering of the convertible notes were $557.9 million (€503.3 million) after deducting the initial purchasers’ discounts and commissions and offering expenses. The convertible notes rank equally in right of payment with all future senior unsecured indebtedness. Unless earlier converted or redeemed, the convertible notes will mature on April 1, 2028.</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convertible notes accrue interest at a rate of 2.25% per annum, payable semi-annually in arrears on April 1 and October 1 of each year.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 ADSs per $1,000 principal amount of convertible notes, which represents an initial conversion price of $166.34 per ADS. The conversion rate and conversion price will be subject to customary adjustments upon the occurrence of certain events.</w:t>
      </w:r>
    </w:p>
    <w:p>
      <w:pPr>
        <w:spacing w:after="0" w:line="16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convertible notes will be optionally redeemable, in whole or in part (subject to certain limitations), at the Company’s option at any time, and from time to time, on or after April 7, 2025, but only if the last reported sale price per ADS exceeds 130% of the conversion price on (i) each of at least 20 trading days, whether or not consecutive, during the 30 consecutive trading days ending on, and including, the trading day immediately before the date the Company sends the related optional redemption notice; and (ii) the trading day immediately before the date the Company sends such notice.</w:t>
      </w:r>
    </w:p>
    <w:p>
      <w:pPr>
        <w:spacing w:after="0" w:line="15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On September 30, 2023, the carrying amount of the convertible notes was €421.7 million, and the fair value was approximately €389.5 million. Fair value cannot be measured based on quoted prices in active markets or other observable input, and accordingly the fair value was measured by using an estimated market rate for an equivalent non-convertible instrument.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Derivative liabilities relate to the foreign currency conversion option embedded in the convertible notes.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Fair value cannot be measured based on quoted prices in active markets or other observable inputs, and accordingly, derivative liabilities are measured by using the Black-Scholes option pricing model. Fair value of the option is calculated, applying the following assumptions: (1) conversion price; (2) the Company’s share price; (3) maturity of the option; (4) a risk-free interest rate equaling the effective interest rate on a U.S. government bond with the same lifetime as the maturity of the option; (5) no payment of dividends; and (6) an expected volatility using the Company’s share price (51% as of September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description of fair values, refer to the following section “Fair Value Measurement”.</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Sensitivity Analysis</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On September 30, 2023, all other inputs and assumptions held constant, a 10% relative increase in volatility, will increase the fair value of derivative liabilities by approximately €12.8 million and indicates a decrease in profit or loss and equity before tax. Similarly, a 10% relative decrease in volatility indicates the opposite impact.</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Similarly, on September 30, 2023, all other inputs and assumptions held constant, a 10% increase in the share price, will increase the fair value of derivative liabilities by approximately €18.2 million and indicates a decrease in profit or loss and equity before tax. Similarly, a 10% decrease in the share price indicates the opposite impact.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Because of the short-term maturity for cash and cash equivalents, receivables and trade payables, their fair value approximate carrying amount. Fair value of lease liabilities are not disclosed. Fair value compared to carrying amount of marketable securities, convertible notes, royalty funding liabilities and derivative liabilities, and their level in the fair value hierarchy is summarized in the following table, where: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is quoted prices (unadjusted) in active markets for identical assets or liabilities that the entity can access at the measurement date;</w:t>
      </w:r>
    </w:p>
    <w:p>
      <w:pPr>
        <w:spacing w:after="0" w:line="117"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is based on valuation techniques for which the lowest level input that is significant to the fair value measurement is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observable;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is based on valuation techniques for which the lowest level input that is significant to the fair value measurement is unobservable.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6"/>
                <w:szCs w:val="16"/>
                <w:color w:val="auto"/>
              </w:rPr>
            </w:pPr>
          </w:p>
        </w:tc>
        <w:tc>
          <w:tcPr>
            <w:tcW w:w="280" w:type="dxa"/>
            <w:vAlign w:val="bottom"/>
            <w:tcBorders>
              <w:bottom w:val="single" w:sz="8" w:color="auto"/>
            </w:tcBorders>
            <w:gridSpan w:val="2"/>
          </w:tcPr>
          <w:p>
            <w:pPr>
              <w:spacing w:after="0"/>
              <w:rPr>
                <w:sz w:val="16"/>
                <w:szCs w:val="16"/>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1120" w:type="dxa"/>
            <w:vAlign w:val="bottom"/>
          </w:tcPr>
          <w:p>
            <w:pPr>
              <w:jc w:val="right"/>
              <w:ind w:right="195"/>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1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1"/>
                <w:szCs w:val="11"/>
                <w:color w:val="auto"/>
              </w:rPr>
            </w:pPr>
          </w:p>
        </w:tc>
        <w:tc>
          <w:tcPr>
            <w:tcW w:w="280" w:type="dxa"/>
            <w:vAlign w:val="bottom"/>
            <w:gridSpan w:val="2"/>
            <w:vMerge w:val="restart"/>
          </w:tcPr>
          <w:p>
            <w:pPr>
              <w:spacing w:after="0"/>
              <w:rPr>
                <w:sz w:val="11"/>
                <w:szCs w:val="11"/>
                <w:color w:val="auto"/>
              </w:rPr>
            </w:pPr>
          </w:p>
        </w:tc>
        <w:tc>
          <w:tcPr>
            <w:tcW w:w="840" w:type="dxa"/>
            <w:vAlign w:val="bottom"/>
          </w:tcPr>
          <w:p>
            <w:pPr>
              <w:jc w:val="right"/>
              <w:ind w:right="176"/>
              <w:spacing w:after="0" w:line="13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1120" w:type="dxa"/>
            <w:vAlign w:val="bottom"/>
            <w:gridSpan w:val="4"/>
            <w:vMerge w:val="restart"/>
          </w:tcPr>
          <w:p>
            <w:pPr>
              <w:jc w:val="right"/>
              <w:ind w:right="17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9"/>
              </w:rPr>
              <w:t>Fair value level</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11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2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4"/>
          </w:tcPr>
          <w:p>
            <w:pPr>
              <w:ind w:left="860"/>
              <w:spacing w:after="0"/>
              <w:rPr>
                <w:sz w:val="20"/>
                <w:szCs w:val="20"/>
                <w:color w:val="auto"/>
              </w:rPr>
            </w:pPr>
            <w:r>
              <w:rPr>
                <w:rFonts w:ascii="Arial" w:cs="Arial" w:eastAsia="Arial" w:hAnsi="Arial"/>
                <w:sz w:val="14"/>
                <w:szCs w:val="14"/>
                <w:b w:val="1"/>
                <w:bCs w:val="1"/>
                <w:color w:val="auto"/>
                <w:w w:val="96"/>
              </w:rPr>
              <w:t>(EUR’000)</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14,165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14,049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298,180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295,843</w:t>
            </w:r>
          </w:p>
        </w:tc>
        <w:tc>
          <w:tcPr>
            <w:tcW w:w="1120" w:type="dxa"/>
            <w:vAlign w:val="bottom"/>
            <w:gridSpan w:val="2"/>
          </w:tcPr>
          <w:p>
            <w:pPr>
              <w:jc w:val="right"/>
              <w:ind w:right="379"/>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 measured at amortized cost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14,165</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14,049</w:t>
            </w:r>
          </w:p>
        </w:tc>
        <w:tc>
          <w:tcPr>
            <w:tcW w:w="1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298,180</w:t>
            </w:r>
          </w:p>
        </w:tc>
        <w:tc>
          <w:tcPr>
            <w:tcW w:w="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295,843</w:t>
            </w: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Borrowings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Convertible senior notes</w:t>
            </w:r>
          </w:p>
        </w:tc>
        <w:tc>
          <w:tcPr>
            <w:tcW w:w="1120" w:type="dxa"/>
            <w:vAlign w:val="bottom"/>
          </w:tcPr>
          <w:p>
            <w:pPr>
              <w:jc w:val="right"/>
              <w:spacing w:after="0"/>
              <w:rPr>
                <w:sz w:val="20"/>
                <w:szCs w:val="20"/>
                <w:color w:val="auto"/>
              </w:rPr>
            </w:pPr>
            <w:r>
              <w:rPr>
                <w:rFonts w:ascii="Arial" w:cs="Arial" w:eastAsia="Arial" w:hAnsi="Arial"/>
                <w:sz w:val="18"/>
                <w:szCs w:val="18"/>
                <w:color w:val="auto"/>
              </w:rPr>
              <w:t>421,708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389,451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399,185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382,459</w:t>
            </w:r>
          </w:p>
        </w:tc>
        <w:tc>
          <w:tcPr>
            <w:tcW w:w="1120" w:type="dxa"/>
            <w:vAlign w:val="bottom"/>
            <w:gridSpan w:val="2"/>
          </w:tcPr>
          <w:p>
            <w:pPr>
              <w:jc w:val="right"/>
              <w:ind w:right="379"/>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Royalty funding liabilities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139,599</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140,248</w:t>
            </w: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gridSpan w:val="2"/>
            <w:shd w:val="clear" w:color="auto" w:fill="CFF0FC"/>
          </w:tcPr>
          <w:p>
            <w:pPr>
              <w:jc w:val="right"/>
              <w:ind w:right="379"/>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 measured at amortized cost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561,307</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529,699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399,185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382,459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Derivative liabilities</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93,353</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93,353</w:t>
            </w:r>
          </w:p>
        </w:tc>
        <w:tc>
          <w:tcPr>
            <w:tcW w:w="1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157,950</w:t>
            </w:r>
          </w:p>
        </w:tc>
        <w:tc>
          <w:tcPr>
            <w:tcW w:w="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157,950</w:t>
            </w:r>
          </w:p>
        </w:tc>
        <w:tc>
          <w:tcPr>
            <w:tcW w:w="1120" w:type="dxa"/>
            <w:vAlign w:val="bottom"/>
            <w:tcBorders>
              <w:bottom w:val="single" w:sz="8" w:color="CFF0FC"/>
            </w:tcBorders>
            <w:gridSpan w:val="2"/>
            <w:shd w:val="clear" w:color="auto" w:fill="CFF0FC"/>
          </w:tcPr>
          <w:p>
            <w:pPr>
              <w:jc w:val="right"/>
              <w:ind w:right="379"/>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w w:val="94"/>
              </w:rPr>
              <w:t>Financial liabilities measured at fair value through profit or loss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93,353</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93,353</w:t>
            </w: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157,950</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157,950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6280" w:type="dxa"/>
            <w:vAlign w:val="bottom"/>
            <w:gridSpan w:val="2"/>
          </w:tcPr>
          <w:p>
            <w:pPr>
              <w:spacing w:after="0"/>
              <w:rPr>
                <w:sz w:val="20"/>
                <w:szCs w:val="20"/>
                <w:color w:val="auto"/>
              </w:rPr>
            </w:pPr>
            <w:r>
              <w:rPr>
                <w:rFonts w:ascii="Arial" w:cs="Arial" w:eastAsia="Arial" w:hAnsi="Arial"/>
                <w:sz w:val="18"/>
                <w:szCs w:val="18"/>
                <w:color w:val="auto"/>
              </w:rPr>
              <w:t>The following table specifies movements in level 3 fair value measurements: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January 1</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157,950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142,467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Remeasurement recognized in financial (income) or expense</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4"/>
          </w:tcPr>
          <w:p>
            <w:pPr>
              <w:jc w:val="right"/>
              <w:ind w:right="60"/>
              <w:spacing w:after="0"/>
              <w:rPr>
                <w:sz w:val="20"/>
                <w:szCs w:val="20"/>
                <w:color w:val="auto"/>
              </w:rPr>
            </w:pPr>
            <w:r>
              <w:rPr>
                <w:rFonts w:ascii="Arial" w:cs="Arial" w:eastAsia="Arial" w:hAnsi="Arial"/>
                <w:sz w:val="18"/>
                <w:szCs w:val="18"/>
                <w:color w:val="auto"/>
              </w:rPr>
              <w:t>(64,597 )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(9,736 )</w:t>
            </w:r>
          </w:p>
        </w:tc>
        <w:tc>
          <w:tcPr>
            <w:tcW w:w="0" w:type="dxa"/>
            <w:vAlign w:val="bottom"/>
          </w:tcPr>
          <w:p>
            <w:pPr>
              <w:spacing w:after="0"/>
              <w:rPr>
                <w:sz w:val="1"/>
                <w:szCs w:val="1"/>
                <w:color w:val="auto"/>
              </w:rPr>
            </w:pPr>
          </w:p>
        </w:tc>
      </w:tr>
      <w:tr>
        <w:trPr>
          <w:trHeight w:val="279"/>
        </w:trPr>
        <w:tc>
          <w:tcPr>
            <w:tcW w:w="51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12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40" w:type="dxa"/>
            <w:vAlign w:val="bottom"/>
            <w:tcBorders>
              <w:top w:val="single" w:sz="8" w:color="CFF0FC"/>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93,353</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132,731</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5160" w:type="dxa"/>
            <w:vAlign w:val="bottom"/>
          </w:tcPr>
          <w:p>
            <w:pPr>
              <w:spacing w:after="0"/>
              <w:rPr>
                <w:sz w:val="24"/>
                <w:szCs w:val="24"/>
                <w:color w:val="auto"/>
              </w:rPr>
            </w:pPr>
          </w:p>
        </w:tc>
        <w:tc>
          <w:tcPr>
            <w:tcW w:w="1120" w:type="dxa"/>
            <w:vAlign w:val="bottom"/>
          </w:tcPr>
          <w:p>
            <w:pPr>
              <w:jc w:val="right"/>
              <w:ind w:right="395"/>
              <w:spacing w:after="0"/>
              <w:rPr>
                <w:sz w:val="20"/>
                <w:szCs w:val="20"/>
                <w:color w:val="auto"/>
              </w:rPr>
            </w:pPr>
            <w:r>
              <w:rPr>
                <w:rFonts w:ascii="Arial" w:cs="Arial" w:eastAsia="Arial" w:hAnsi="Arial"/>
                <w:sz w:val="18"/>
                <w:szCs w:val="18"/>
                <w:color w:val="auto"/>
              </w:rPr>
              <w:t>F-15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-2922270</wp:posOffset>
            </wp:positionV>
            <wp:extent cx="7747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-2922270</wp:posOffset>
            </wp:positionV>
            <wp:extent cx="76835"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-2922270</wp:posOffset>
            </wp:positionV>
            <wp:extent cx="7747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-2922270</wp:posOffset>
            </wp:positionV>
            <wp:extent cx="77470"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-2296795</wp:posOffset>
            </wp:positionV>
            <wp:extent cx="7747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-2296795</wp:posOffset>
            </wp:positionV>
            <wp:extent cx="7683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-2296795</wp:posOffset>
            </wp:positionV>
            <wp:extent cx="7747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-2296795</wp:posOffset>
            </wp:positionV>
            <wp:extent cx="7747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-1971040</wp:posOffset>
            </wp:positionV>
            <wp:extent cx="7747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-1971040</wp:posOffset>
            </wp:positionV>
            <wp:extent cx="7683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-1971040</wp:posOffset>
            </wp:positionV>
            <wp:extent cx="7747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-1971040</wp:posOffset>
            </wp:positionV>
            <wp:extent cx="7747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-445135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-427990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-607695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Maturity Analysis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maturity analysis (on an undiscounted basis) for non-derivative financial liabilities recognized in the unaudited condensed consolidated statements of financial position at September 30, 2023: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06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&lt; 1 year</w:t>
            </w:r>
          </w:p>
        </w:tc>
        <w:tc>
          <w:tcPr>
            <w:tcW w:w="240" w:type="dxa"/>
            <w:vAlign w:val="bottom"/>
          </w:tcPr>
          <w:p>
            <w:pPr>
              <w:spacing w:after="0"/>
              <w:rPr>
                <w:sz w:val="12"/>
                <w:szCs w:val="12"/>
                <w:color w:val="auto"/>
              </w:rPr>
            </w:pPr>
          </w:p>
        </w:tc>
        <w:tc>
          <w:tcPr>
            <w:tcW w:w="10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1-5 years</w:t>
            </w:r>
          </w:p>
        </w:tc>
        <w:tc>
          <w:tcPr>
            <w:tcW w:w="220" w:type="dxa"/>
            <w:vAlign w:val="bottom"/>
          </w:tcPr>
          <w:p>
            <w:pPr>
              <w:spacing w:after="0"/>
              <w:rPr>
                <w:sz w:val="12"/>
                <w:szCs w:val="12"/>
                <w:color w:val="auto"/>
              </w:rPr>
            </w:pPr>
          </w:p>
        </w:tc>
        <w:tc>
          <w:tcPr>
            <w:tcW w:w="100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&gt;5 years</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cash-flows</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02"/>
              <w:spacing w:after="0"/>
              <w:rPr>
                <w:sz w:val="20"/>
                <w:szCs w:val="20"/>
                <w:color w:val="auto"/>
              </w:rPr>
            </w:pPr>
            <w:r>
              <w:rPr>
                <w:rFonts w:ascii="Arial" w:cs="Arial" w:eastAsia="Arial" w:hAnsi="Arial"/>
                <w:sz w:val="14"/>
                <w:szCs w:val="14"/>
                <w:b w:val="1"/>
                <w:bCs w:val="1"/>
                <w:color w:val="auto"/>
              </w:rPr>
              <w:t>(EUR’000)</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September 30, 2023</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Borrowings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766,671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58,560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837,443</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561,307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040" w:type="dxa"/>
            <w:vAlign w:val="bottom"/>
          </w:tcPr>
          <w:p>
            <w:pPr>
              <w:jc w:val="right"/>
              <w:spacing w:after="0"/>
              <w:rPr>
                <w:sz w:val="20"/>
                <w:szCs w:val="20"/>
                <w:color w:val="auto"/>
              </w:rPr>
            </w:pPr>
            <w:r>
              <w:rPr>
                <w:rFonts w:ascii="Arial" w:cs="Arial" w:eastAsia="Arial" w:hAnsi="Arial"/>
                <w:sz w:val="18"/>
                <w:szCs w:val="18"/>
                <w:color w:val="auto"/>
              </w:rPr>
              <w:t>14,646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53,562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53,814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122,022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104,536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payables and accrued expenses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121,552</w:t>
            </w:r>
          </w:p>
        </w:tc>
        <w:tc>
          <w:tcPr>
            <w:tcW w:w="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121,552</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financial liabilities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148,410</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820,233</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112,374</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1,081,017</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787,395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120" w:type="dxa"/>
            <w:vAlign w:val="bottom"/>
          </w:tcPr>
          <w:p>
            <w:pPr>
              <w:spacing w:after="0"/>
              <w:rPr>
                <w:sz w:val="24"/>
                <w:szCs w:val="24"/>
                <w:color w:val="auto"/>
              </w:rPr>
            </w:pPr>
          </w:p>
        </w:tc>
        <w:tc>
          <w:tcPr>
            <w:tcW w:w="1040" w:type="dxa"/>
            <w:vAlign w:val="bottom"/>
          </w:tcPr>
          <w:p>
            <w:pPr>
              <w:jc w:val="right"/>
              <w:ind w:right="273"/>
              <w:spacing w:after="0"/>
              <w:rPr>
                <w:sz w:val="20"/>
                <w:szCs w:val="20"/>
                <w:color w:val="auto"/>
              </w:rPr>
            </w:pPr>
            <w:r>
              <w:rPr>
                <w:rFonts w:ascii="Arial" w:cs="Arial" w:eastAsia="Arial" w:hAnsi="Arial"/>
                <w:sz w:val="18"/>
                <w:szCs w:val="18"/>
                <w:color w:val="auto"/>
              </w:rPr>
              <w:t>F-16</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-616585</wp:posOffset>
            </wp:positionV>
            <wp:extent cx="7747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-616585</wp:posOffset>
            </wp:positionV>
            <wp:extent cx="7747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-616585</wp:posOffset>
            </wp:positionV>
            <wp:extent cx="6858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-616585</wp:posOffset>
            </wp:positionV>
            <wp:extent cx="6858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11—Subsequent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events have occurred after the balance sheet date that would influence the evaluation of these unaudited condensed consolidated interim financial statements.</w:t>
      </w:r>
    </w:p>
    <w:p>
      <w:pPr>
        <w:spacing w:after="0" w:line="6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661" w:right="85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2022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87" w:lineRule="exact"/>
        <w:rPr>
          <w:sz w:val="20"/>
          <w:szCs w:val="20"/>
          <w:color w:val="auto"/>
        </w:rPr>
      </w:pPr>
    </w:p>
    <w:p>
      <w:pPr>
        <w:ind w:left="1020" w:right="180" w:hanging="503"/>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or likelihood of regulatory filings and approvals for our product candidates, including the planned resubmission of the TransCon PTH New Drug Application (“NDA”) and the timing of the U.S. Food &amp; Drug Administration’s (“FDA”) final regulatory decision;</w:t>
      </w:r>
    </w:p>
    <w:p>
      <w:pPr>
        <w:spacing w:after="0" w:line="15" w:lineRule="exact"/>
        <w:rPr>
          <w:rFonts w:ascii="Arial" w:cs="Arial" w:eastAsia="Arial" w:hAnsi="Arial"/>
          <w:sz w:val="16"/>
          <w:szCs w:val="16"/>
          <w:color w:val="auto"/>
        </w:rPr>
      </w:pPr>
    </w:p>
    <w:p>
      <w:pPr>
        <w:ind w:left="1020" w:right="680" w:hanging="503"/>
        <w:spacing w:after="0" w:line="28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commercial availability of TransCon Growth Hormone (“TransCon hGH”), known by its brand name SKYTROFA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(lonapegsomatropin-tcgd), in the United States and related patient support services;</w:t>
      </w:r>
    </w:p>
    <w:p>
      <w:pPr>
        <w:spacing w:after="0" w:line="1"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launch of SKYTROFA in Germany and our ability to successfully establish distribution channels in other European countries;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products and product candidates, if approved;</w:t>
      </w:r>
    </w:p>
    <w:p>
      <w:pPr>
        <w:spacing w:after="0" w:line="117"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of the European Commission’s (“EC”) decision on the approval of TransCon PTH and the potential launch of TransCon PTH in Germany in early 2024, if approved;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commercialization, marketing and manufacturing capabilities of our products and product candidates and associated devices;</w:t>
      </w:r>
    </w:p>
    <w:p>
      <w:pPr>
        <w:spacing w:after="0" w:line="128" w:lineRule="exact"/>
        <w:rPr>
          <w:rFonts w:ascii="Arial" w:cs="Arial" w:eastAsia="Arial" w:hAnsi="Arial"/>
          <w:sz w:val="17"/>
          <w:szCs w:val="17"/>
          <w:color w:val="auto"/>
        </w:rPr>
      </w:pPr>
    </w:p>
    <w:p>
      <w:pPr>
        <w:ind w:left="1020" w:right="3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timing, results and costs of developing our product candidates or any other future product candidates, and conducting preclinical studies and clinical trials;</w:t>
      </w:r>
    </w:p>
    <w:p>
      <w:pPr>
        <w:spacing w:after="0" w:line="62" w:lineRule="exact"/>
        <w:rPr>
          <w:rFonts w:ascii="Arial" w:cs="Arial" w:eastAsia="Arial" w:hAnsi="Arial"/>
          <w:sz w:val="18"/>
          <w:szCs w:val="18"/>
          <w:color w:val="auto"/>
        </w:rPr>
      </w:pPr>
    </w:p>
    <w:p>
      <w:pPr>
        <w:ind w:left="1020" w:right="7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pursuit of Oncology as our second of three independent therapeutic areas of focus, and our development of a pipeline of product candidates related to oncology;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new TransCon technology carrier platform;</w:t>
      </w:r>
    </w:p>
    <w:p>
      <w:pPr>
        <w:spacing w:after="0" w:line="117"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pursuit of Ophthalmology as our third of three independent therapeutic areas of focus and our development of a pipeline of product candidates related to ophthalmology;</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opportunities and patient populations for our products and product candidates, if approved for commercial use;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products and product candidates over existing therapies;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(“INDs”), or similar for such product candidates;</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 w:name="page23"/>
    <w:bookmarkEnd w:id="22"/>
    <w:p>
      <w:pPr>
        <w:ind w:left="1020" w:right="8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 and submit INDs or similar for such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development plans with respect to our products and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pursuit of additional indications for TransCon hGH;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17"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our products and product candidates and technologies, including global commercialization strategies;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products and product candidates;</w:t>
      </w:r>
    </w:p>
    <w:p>
      <w:pPr>
        <w:spacing w:after="0" w:line="140" w:lineRule="exact"/>
        <w:rPr>
          <w:rFonts w:ascii="Arial" w:cs="Arial" w:eastAsia="Arial" w:hAnsi="Arial"/>
          <w:sz w:val="16"/>
          <w:szCs w:val="16"/>
          <w:color w:val="auto"/>
        </w:rPr>
      </w:pPr>
    </w:p>
    <w:p>
      <w:pPr>
        <w:ind w:left="1020" w:right="6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ability to apply our technology platform and algorithm for product innovation to develop highly differentiated product candidates to address unmet medical needs;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apply our platform technology to build a leading, fully integrated, global biopharma company;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use of our TransCon technologies to create new and potentially best-in-class therapies;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and projections relating to our market conditions, competitors and industry;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international economic, political, legal, compliance, social and business factors, including inflation.</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2022</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are applying our innovative TransCon technology platform to build a leading, fully integrated, global biopharma company focused on making a meaningful difference in patients’ lives. Guided by our core values of patients, science, and passion, we use our TransCon technologies to create new and potentially best-in-class therapies.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Vision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January 2019, we announced Vision 3x3, our strategic roadmap through 2025 to build a leading fully integrated, global, biopharma company and achieve sustainable growth through multiple approaches:</w:t>
      </w:r>
    </w:p>
    <w:p>
      <w:pPr>
        <w:spacing w:after="0" w:line="62"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regulatory approval for three independent Endocrinology Rare Disease products:</w:t>
      </w:r>
    </w:p>
    <w:p>
      <w:pPr>
        <w:spacing w:after="0" w:line="11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TransCon hGH for pediatric growth hormone deficiency</w:t>
      </w:r>
    </w:p>
    <w:p>
      <w:pPr>
        <w:spacing w:after="0" w:line="11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TransCon PTH for adult hypoparathyroidism</w:t>
      </w:r>
    </w:p>
    <w:p>
      <w:pPr>
        <w:spacing w:after="0" w:line="11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TransCon CNP for achondroplasia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 Endocrinology Rare Disease pipeline through:</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left="1540" w:hanging="514"/>
        <w:spacing w:after="0"/>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Global clinical reach</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Pursuing 9 total indications, label optimization, and life cycle management</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New endocrinology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global commercial presence for our Endocrinology Rare Disease area:</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Build integrated commercial organization in North America and select European countries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Establish global commercial presence through partners with local expertise and infrastructure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a high-value oncology pipeline with one IND or similar submission each year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a third independent therapeutic area with a diversified pipeline.</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applied our TransCon technology platform in combination with clinically validated parent drugs or pathways using our algorithm for product innovation, with the goal of creating product candidates with the potential for best-in-class safety, efficacy, tolerability, and convenience in our therapeutic areas of Endocrinology Rare Disease, Oncology, and Ophthalmology. We plan to apply this algorithm for product innovation in additional therapeutic areas. We believe our approach to product innovation may reduce the risks associated with traditional drug development, and that our TransCon technology platform has been validated by non-clinical and clinical programs completed to date.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Ascendis Algorithm for Product Innovation</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When we apply our TransCon technology platform to clinically validated parent drugs or pathways, we may benefit from established clinical safety and efficacy data, which we believe increases the probability of success compared to traditional drug development. As presented in the graphic below, our algorithm for product innovation focuses on identifying indications that have an unmet medical need, have a clinically validated parent drug or pathway, are suitable to our TransCon technologies, have potential for creating a clearly differentiated product, have a potential established development pathway, and have the potential to address a large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68580</wp:posOffset>
            </wp:positionV>
            <wp:extent cx="6155055" cy="14827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5505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Products and Product Candidates Pipeline</w:t>
      </w:r>
    </w:p>
    <w:p>
      <w:pPr>
        <w:spacing w:after="0" w:line="12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We currently have one marketed product and a diversified portfolio of product candidates in clinical development in the areas of Endocrinology Rare Disease and Oncology. We are also working to apply our TransCon technology platform in additional therapeutic areas, including Ophthalmology.</w:t>
      </w:r>
    </w:p>
    <w:p>
      <w:pPr>
        <w:spacing w:after="0" w:line="21" w:lineRule="exact"/>
        <w:rPr>
          <w:sz w:val="20"/>
          <w:szCs w:val="20"/>
          <w:color w:val="auto"/>
        </w:rPr>
      </w:pPr>
    </w:p>
    <w:p>
      <w:pPr>
        <w:ind w:left="1020" w:hanging="503"/>
        <w:spacing w:after="0" w:line="262"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First Marketed Product </w:t>
      </w:r>
      <w:r>
        <w:rPr>
          <w:rFonts w:ascii="Arial" w:cs="Arial" w:eastAsia="Arial" w:hAnsi="Arial"/>
          <w:sz w:val="17"/>
          <w:szCs w:val="17"/>
          <w:color w:val="auto"/>
        </w:rPr>
        <w:t>– Our first marketed product is SKYTROFA</w:t>
      </w:r>
      <w:r>
        <w:rPr>
          <w:rFonts w:ascii="Arial" w:cs="Arial" w:eastAsia="Arial" w:hAnsi="Arial"/>
          <w:sz w:val="23"/>
          <w:szCs w:val="23"/>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(lonapegsomatropin-tcgd), developed as TransCon Growth Hormone</w:t>
      </w:r>
      <w:r>
        <w:rPr>
          <w:rFonts w:ascii="Arial" w:cs="Arial" w:eastAsia="Arial" w:hAnsi="Arial"/>
          <w:sz w:val="17"/>
          <w:szCs w:val="17"/>
          <w:i w:val="1"/>
          <w:iCs w:val="1"/>
          <w:color w:val="auto"/>
        </w:rPr>
        <w:t xml:space="preserve"> </w:t>
      </w:r>
      <w:r>
        <w:rPr>
          <w:rFonts w:ascii="Arial" w:cs="Arial" w:eastAsia="Arial" w:hAnsi="Arial"/>
          <w:sz w:val="17"/>
          <w:szCs w:val="17"/>
          <w:color w:val="auto"/>
        </w:rPr>
        <w:t>(“TransCon hGH”), which has received regulatory approval in the United States for the treatment of pediatric patients one year and older who weigh at least 11.5 kg and have growth failure due to inadequate secretion of endogenous growth hormone, also known as growth hormone deficiency (“GHD”). TransCon hGH is a prodrug of somatropin (“hGH”), administered once weekly, composed of an unmodified somatropin that is transiently bound to a carrier and proprietary linker. TransCon hGH is designed to maintain the same mode of action as daily therapies by releasing the same recombinant growth hormone molecule, somatropin, as daily hGH therapy that is the current standard of care. SKYTROFA is commercially available for prescription in the United States. In the European Union (“EU”), we received marketing authorization for TransCon hGH – known by its brand name SKYTROFA (lonapegsomatropin) – from the EC as a once-weekly subcutaneous injection for the treatment of children and adolescents ages 3 to 18 years with growth failure due to insufficient secretion of endogenous growth hormone. In September 2023, we commercially launched SKYTROFA in Germany.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left="503" w:right="60" w:hanging="503"/>
        <w:spacing w:after="0" w:line="275" w:lineRule="auto"/>
        <w:tabs>
          <w:tab w:leader="none" w:pos="503"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Endocrinology Rare Disease Pipeline </w:t>
      </w:r>
      <w:r>
        <w:rPr>
          <w:rFonts w:ascii="Arial" w:cs="Arial" w:eastAsia="Arial" w:hAnsi="Arial"/>
          <w:sz w:val="17"/>
          <w:szCs w:val="17"/>
          <w:color w:val="auto"/>
        </w:rPr>
        <w:t>– We are developing three product candidates in our Endocrinology Rare Disease portfolio, spanning</w:t>
      </w:r>
      <w:r>
        <w:rPr>
          <w:rFonts w:ascii="Arial" w:cs="Arial" w:eastAsia="Arial" w:hAnsi="Arial"/>
          <w:sz w:val="17"/>
          <w:szCs w:val="17"/>
          <w:i w:val="1"/>
          <w:iCs w:val="1"/>
          <w:color w:val="auto"/>
        </w:rPr>
        <w:t xml:space="preserve"> </w:t>
      </w:r>
      <w:r>
        <w:rPr>
          <w:rFonts w:ascii="Arial" w:cs="Arial" w:eastAsia="Arial" w:hAnsi="Arial"/>
          <w:sz w:val="17"/>
          <w:szCs w:val="17"/>
          <w:color w:val="auto"/>
        </w:rPr>
        <w:t>five potential indications across multiple geographies. These include TransCon hGH for pediatric GHD in new markets, adult GHD, and Turner Syndrome; TransCon PTH, an investigational prodrug of parathyroid hormone composed of PTH(1-34), designed to be administered once-daily for adult patients with hypoparathyroidism; and TransCon CNP, an investigational prodrug of C-type natriuretic peptide (“CNP”) designed to be administered once-weekly, for children with achondroplasia (“ACH”).</w:t>
      </w:r>
    </w:p>
    <w:p>
      <w:pPr>
        <w:spacing w:after="0" w:line="68" w:lineRule="exact"/>
        <w:rPr>
          <w:rFonts w:ascii="Arial" w:cs="Arial" w:eastAsia="Arial" w:hAnsi="Arial"/>
          <w:sz w:val="17"/>
          <w:szCs w:val="17"/>
          <w:color w:val="auto"/>
        </w:rPr>
      </w:pPr>
    </w:p>
    <w:p>
      <w:pPr>
        <w:ind w:left="503" w:hanging="503"/>
        <w:spacing w:after="0" w:line="259"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Oncology </w:t>
      </w:r>
      <w:r>
        <w:rPr>
          <w:rFonts w:ascii="Arial" w:cs="Arial" w:eastAsia="Arial" w:hAnsi="Arial"/>
          <w:sz w:val="18"/>
          <w:szCs w:val="18"/>
          <w:color w:val="auto"/>
        </w:rPr>
        <w:t>– We have initiated clinical development of two immuno-oncology product candidates: TransCon TLR7/8 Agonist,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investigational, long-acting prodrug of resiquimod for intratumoral delivery and TransCon IL-2 ß/γ, an investigational long-acting prodrug designed for sustained release of an IL-2 variant that selectively activates IL-2Rß/γ, for systemic delivery. Our clinical development program for these product candidates also includes evaluation of them as a potential combination therapy.</w:t>
      </w:r>
    </w:p>
    <w:p>
      <w:pPr>
        <w:spacing w:after="0" w:line="78" w:lineRule="exact"/>
        <w:rPr>
          <w:rFonts w:ascii="Arial" w:cs="Arial" w:eastAsia="Arial" w:hAnsi="Arial"/>
          <w:sz w:val="18"/>
          <w:szCs w:val="18"/>
          <w:color w:val="auto"/>
        </w:rPr>
      </w:pPr>
    </w:p>
    <w:p>
      <w:pPr>
        <w:ind w:left="503" w:hanging="503"/>
        <w:spacing w:after="0" w:line="259"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Ophthalmology </w:t>
      </w:r>
      <w:r>
        <w:rPr>
          <w:rFonts w:ascii="Arial" w:cs="Arial" w:eastAsia="Arial" w:hAnsi="Arial"/>
          <w:sz w:val="18"/>
          <w:szCs w:val="18"/>
          <w:color w:val="auto"/>
        </w:rPr>
        <w:t>– In January 2023, we announced Ophthalmology as our third independent therapeutic area. TransCon RBZ (ranibizumab) is</w:t>
      </w:r>
      <w:r>
        <w:rPr>
          <w:rFonts w:ascii="Arial" w:cs="Arial" w:eastAsia="Arial" w:hAnsi="Arial"/>
          <w:sz w:val="18"/>
          <w:szCs w:val="18"/>
          <w:i w:val="1"/>
          <w:iCs w:val="1"/>
          <w:color w:val="auto"/>
        </w:rPr>
        <w:t xml:space="preserve"> </w:t>
      </w:r>
      <w:r>
        <w:rPr>
          <w:rFonts w:ascii="Arial" w:cs="Arial" w:eastAsia="Arial" w:hAnsi="Arial"/>
          <w:sz w:val="18"/>
          <w:szCs w:val="18"/>
          <w:color w:val="auto"/>
        </w:rPr>
        <w:t>our first investigational pipeline candidate in this therapeutic area, being developed to address vision loss caused by abnormal blood vessel growth and/or fluid build-up in the back of the eye. Our Ophthalmology R&amp;D pipeline includes other opportunities in early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127635</wp:posOffset>
            </wp:positionV>
            <wp:extent cx="6172200" cy="25717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722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03" w:hanging="503"/>
        <w:spacing w:after="0"/>
        <w:tabs>
          <w:tab w:leader="none" w:pos="503"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riGHt Trial</w:t>
      </w:r>
    </w:p>
    <w:p>
      <w:pPr>
        <w:spacing w:after="0" w:line="117" w:lineRule="exact"/>
        <w:rPr>
          <w:rFonts w:ascii="Arial" w:cs="Arial" w:eastAsia="Arial" w:hAnsi="Arial"/>
          <w:sz w:val="18"/>
          <w:szCs w:val="18"/>
          <w:i w:val="1"/>
          <w:iCs w:val="1"/>
          <w:color w:val="auto"/>
        </w:rPr>
      </w:pPr>
    </w:p>
    <w:p>
      <w:pPr>
        <w:ind w:left="503" w:hanging="503"/>
        <w:spacing w:after="0"/>
        <w:tabs>
          <w:tab w:leader="none" w:pos="503"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foresiGHt Trial</w:t>
      </w:r>
    </w:p>
    <w:p>
      <w:pPr>
        <w:spacing w:after="0" w:line="117" w:lineRule="exact"/>
        <w:rPr>
          <w:rFonts w:ascii="Arial" w:cs="Arial" w:eastAsia="Arial" w:hAnsi="Arial"/>
          <w:sz w:val="18"/>
          <w:szCs w:val="18"/>
          <w:i w:val="1"/>
          <w:iCs w:val="1"/>
          <w:color w:val="auto"/>
        </w:rPr>
      </w:pPr>
    </w:p>
    <w:p>
      <w:pPr>
        <w:ind w:left="503" w:hanging="503"/>
        <w:spacing w:after="0"/>
        <w:tabs>
          <w:tab w:leader="none" w:pos="503"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New InsiGHts Trial</w:t>
      </w:r>
    </w:p>
    <w:p>
      <w:pPr>
        <w:spacing w:after="0" w:line="117" w:lineRule="exact"/>
        <w:rPr>
          <w:rFonts w:ascii="Arial" w:cs="Arial" w:eastAsia="Arial" w:hAnsi="Arial"/>
          <w:sz w:val="18"/>
          <w:szCs w:val="18"/>
          <w:i w:val="1"/>
          <w:iCs w:val="1"/>
          <w:color w:val="auto"/>
        </w:rPr>
      </w:pPr>
    </w:p>
    <w:p>
      <w:pPr>
        <w:ind w:left="503" w:right="100" w:hanging="503"/>
        <w:spacing w:after="0" w:line="259" w:lineRule="auto"/>
        <w:tabs>
          <w:tab w:leader="none" w:pos="503"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Resubmission of TransCon PTH NDA to FDA expected before mid-November 2023 – for additional discussion of recent developments with the FDA see TransCon Product Candidates – Endocrinology Rare Diseases – TransCon PTH – Clinical Development of TransCon PTH for Adult Hypoparathyroidism; EU MAA submitted November 2022, positive CHMP opinion received in September 2023, EC decision anticipated Q4 2023</w:t>
      </w:r>
    </w:p>
    <w:p>
      <w:pPr>
        <w:spacing w:after="0" w:line="78" w:lineRule="exact"/>
        <w:rPr>
          <w:rFonts w:ascii="Arial" w:cs="Arial" w:eastAsia="Arial" w:hAnsi="Arial"/>
          <w:sz w:val="18"/>
          <w:szCs w:val="18"/>
          <w:i w:val="1"/>
          <w:iCs w:val="1"/>
          <w:color w:val="auto"/>
        </w:rPr>
      </w:pPr>
    </w:p>
    <w:p>
      <w:pPr>
        <w:ind w:left="503" w:hanging="503"/>
        <w:spacing w:after="0"/>
        <w:tabs>
          <w:tab w:leader="none" w:pos="503"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PaTHway Japan Trial</w:t>
      </w:r>
    </w:p>
    <w:p>
      <w:pPr>
        <w:spacing w:after="0" w:line="117" w:lineRule="exact"/>
        <w:rPr>
          <w:rFonts w:ascii="Arial" w:cs="Arial" w:eastAsia="Arial" w:hAnsi="Arial"/>
          <w:sz w:val="18"/>
          <w:szCs w:val="18"/>
          <w:i w:val="1"/>
          <w:iCs w:val="1"/>
          <w:color w:val="auto"/>
        </w:rPr>
      </w:pPr>
    </w:p>
    <w:p>
      <w:pPr>
        <w:ind w:left="503" w:hanging="503"/>
        <w:spacing w:after="0"/>
        <w:tabs>
          <w:tab w:leader="none" w:pos="503"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ApproaCH Trial</w:t>
      </w:r>
    </w:p>
    <w:p>
      <w:pPr>
        <w:spacing w:after="0" w:line="117" w:lineRule="exact"/>
        <w:rPr>
          <w:rFonts w:ascii="Arial" w:cs="Arial" w:eastAsia="Arial" w:hAnsi="Arial"/>
          <w:sz w:val="18"/>
          <w:szCs w:val="18"/>
          <w:i w:val="1"/>
          <w:iCs w:val="1"/>
          <w:color w:val="auto"/>
        </w:rPr>
      </w:pPr>
    </w:p>
    <w:p>
      <w:pPr>
        <w:ind w:left="503" w:hanging="503"/>
        <w:spacing w:after="0"/>
        <w:tabs>
          <w:tab w:leader="none" w:pos="503"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reACHin Trial</w:t>
      </w:r>
    </w:p>
    <w:p>
      <w:pPr>
        <w:spacing w:after="0" w:line="117" w:lineRule="exact"/>
        <w:rPr>
          <w:rFonts w:ascii="Arial" w:cs="Arial" w:eastAsia="Arial" w:hAnsi="Arial"/>
          <w:sz w:val="18"/>
          <w:szCs w:val="18"/>
          <w:i w:val="1"/>
          <w:iCs w:val="1"/>
          <w:color w:val="auto"/>
        </w:rPr>
      </w:pPr>
    </w:p>
    <w:p>
      <w:pPr>
        <w:ind w:left="503" w:hanging="503"/>
        <w:spacing w:after="0"/>
        <w:tabs>
          <w:tab w:leader="none" w:pos="503"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transcendIT-101 Trial, including 4 indication-specific cohorts</w:t>
      </w:r>
    </w:p>
    <w:p>
      <w:pPr>
        <w:spacing w:after="0" w:line="117" w:lineRule="exact"/>
        <w:rPr>
          <w:rFonts w:ascii="Arial" w:cs="Arial" w:eastAsia="Arial" w:hAnsi="Arial"/>
          <w:sz w:val="18"/>
          <w:szCs w:val="18"/>
          <w:i w:val="1"/>
          <w:iCs w:val="1"/>
          <w:color w:val="auto"/>
        </w:rPr>
      </w:pPr>
    </w:p>
    <w:p>
      <w:pPr>
        <w:ind w:left="503" w:hanging="503"/>
        <w:spacing w:after="0"/>
        <w:tabs>
          <w:tab w:leader="none" w:pos="503"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IL-Believe Trial</w:t>
      </w:r>
    </w:p>
    <w:p>
      <w:pPr>
        <w:spacing w:after="0" w:line="117"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449"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Global Commercialization Strategy</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establishing a global presence to commercialize approved TransCon Endocrinology Rare Disease products. In the U.S., we have established a multi-faceted organization to support the ongoing commercialization of SKYTROFA. This organization will also serve as the foundation for future Endocrinology Rare Disease product launches in the U.S. We are expanding our presence in Europe by building integrated organizations in select countries, beginning with the launch of SKYTROFA in Germany, and through established distribution channels in other countries. In other markets, we plan to establish a commercial presence through partners with local expertise and infrastructure.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therapeutic areas outside of Endocrinology Rare Disease, we plan to create value through strategic partnerships, collaborations, or other business models.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Technology Platform</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TransCon technology platform is designed to combine the benefits of conventional prodrug and sustained release technologies to solve the fundamental limitations seen in other approaches to extending duration of a drug’s action in the body, with the goal of developing product candidates that are highly differentiated based on efficacy, safety, tolerability and convenience. In addition to retaining the original mode of action of the parent drug and potentially supporting dosing frequency from daily up to six months or more, we believe that predictable release over time can improve treatment efficacy, increase the likelihood of clinical development success, and provide intellectual property benefits.</w:t>
      </w:r>
    </w:p>
    <w:p>
      <w:pPr>
        <w:spacing w:after="0" w:line="1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TransCon molecules have three components: a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 Depending upon the type of TransCon carrier we employ, we can design our TransCon prodrugs for sustained localized or systemic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67310</wp:posOffset>
            </wp:positionV>
            <wp:extent cx="5151755" cy="19284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5175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September 5, 2023, we announced a new TransCon technology carrier platform with the potential to unlock large market opportunities, where high volume and low-cost manufacturing is required, and demonstrated proof-of-principle for GLP-1 analogs (semaglutide), with data supporting potential best-in-class weekly and monthly administration profiles.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Products – Endocrinology Rare Disease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TransCon Growth Hormone (hGH) for Pediatric Growth Hormone Deficiency</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TransCon hGH is a prodrug of somatropin, administered once weekly, composed of unmodified somatropin that is transiently bound to a carrier and proprietary linker. TransCon hGH is designed to maintain the same mode of action as daily therapies by releasing the same recombinant growth hormone molecule, somatropin, as daily hGH therapy.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spacing w:after="0" w:line="254" w:lineRule="auto"/>
        <w:rPr>
          <w:sz w:val="20"/>
          <w:szCs w:val="20"/>
          <w:color w:val="auto"/>
        </w:rPr>
      </w:pPr>
      <w:r>
        <w:rPr>
          <w:rFonts w:ascii="Arial" w:cs="Arial" w:eastAsia="Arial" w:hAnsi="Arial"/>
          <w:sz w:val="18"/>
          <w:szCs w:val="18"/>
          <w:color w:val="auto"/>
        </w:rPr>
        <w:t>On September 23, 2023, we announced results from enliGHten, an open-label extension trial evaluating the long-term safety and efficacy of TransCon hGH as a once-weekly treatment for children and adolescents with growth hormone deficiency. The enliGHten trial enrolled 298 participants (mean age 10.3 years) from the Phase 3 heiGHt Trial of treatment-naïve pediatric GHD patients and the Phase 3 fliGHt Trial of pediatric GHD patients switching from daily somatropin treatment. Patients in these trials received a total of up to 6 years of treatment with TransCon hGH. At the time of the enliGHten Trial closure, 81 participants were designated as treatment completers, based on their physician’s determination that treatment for pediatric GHD was no longer required. Of these treatment completers, 59% met or exceeded their average parental height standard deviation score (“SDS”), with mean TransCon hGH treatment duration of 3.2 years.</w:t>
      </w:r>
    </w:p>
    <w:p>
      <w:pPr>
        <w:spacing w:after="0" w:line="1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March 2023, we enrolled our first patient in SkybriGHt, a Phase 4 U.S. multi-center, non-interventional, observational cohort study of subjects treated with SKYTROFA in the post-marketing setting.</w:t>
      </w:r>
    </w:p>
    <w:p>
      <w:pPr>
        <w:spacing w:after="0" w:line="170"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In January 2022, the EC granted marketing authorization for SKYTROFA (developed under the name TransCon hGH) as a once-weekly subcutaneous injection for the treatment of children and adolescents ages 3 to 18 years with growth failure due to insufficient secretion of endogenous growth hormone.</w:t>
      </w:r>
    </w:p>
    <w:p>
      <w:pPr>
        <w:spacing w:after="0" w:line="12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August 2021, the FDA approved TransCon hGH, known by its brand name SKYTROFA, for the treatment of pediatric patients one year and older who weigh at least 11.5 kg and have growth failure due to inadequate secretion of endogenous growth hormone, also known as GHD. SKYTROFA is the first FDA approved product that delivers somatropin, or growth hormone, by sustained release over one week.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Product Candidates – Endocrinology Rare Diseases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TransCon Growth Hormone (hGH) for Other Indications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in Adults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currently conducting foresiGHt, a global Phase 3 trial investigating the metabolic benefits of TransCon hGH in adults with GHD. Patients in the trial are randomized in a 1:1:1 ratio into the three arms of the study—treatment with once-weekly TransCon hGH, once-weekly placebo, or daily hGH. The primary endpoint of the trial is a change from baseline in percentage trunk fat at 38 weeks. Following the 38-week main trial period, all patients will be eligible to receive once-weekly TransCon hGH during the 52-week open-label extension. During the fourth quarter of 2022, we completed recruitment into this trial, and topline results are expected in the fourth quarter of 2023.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Development Plans</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June 2022, we submitted a trial protocol to the FDA for New InsiGHTS, a Phase 2 trial to evaluate TransCon hGH in Turner Syndrome. Based on the nature of Turner Syndrome, in this trial we are evaluating higher doses of TransCon hGH and daily hGH compared to doses studied for pediatric GHD. In addition, we are also considering other potential indications for TransCon hGH where we believe a long-acting hGH therapy may offer benefits to patients.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TransCon PTH</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TransCon PTH (palopegteriparatide) is an investigational prodrug of parathyroid hormone (“PTH”) composed of PTH(1-34) transiently conjugated to an inert carrier via a TransCon linker that is designed to be administered once-daily to achieve and maintain a steady concentration of PTH in the bloodstream, thereby more fully addressing all aspects of the disease including normalizing serum and urinary calcium and serum phosphate levels and reducing the burden of conventional therapy. Pharmacokinetic data from our multiple ascending dose cohorts in our Phase 1 trial of TransCon PTH in healthy subjects demonstrated a half-life of approximately 60 hours, supporting an infusion-like profile with daily administration. We believe TransCon PTH can address the fundamental limitations of short-acting PTH molecules and become a highly differentiated therapy for hypoparathyroidism.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of TransCon PTH for Adult Hypoparathyroidism</w:t>
      </w:r>
    </w:p>
    <w:p>
      <w:pPr>
        <w:spacing w:after="0" w:line="117" w:lineRule="exact"/>
        <w:rPr>
          <w:sz w:val="20"/>
          <w:szCs w:val="20"/>
          <w:color w:val="auto"/>
        </w:rPr>
      </w:pPr>
    </w:p>
    <w:p>
      <w:pPr>
        <w:ind w:right="1060"/>
        <w:spacing w:after="0" w:line="342" w:lineRule="auto"/>
        <w:rPr>
          <w:sz w:val="20"/>
          <w:szCs w:val="20"/>
          <w:color w:val="auto"/>
        </w:rPr>
      </w:pPr>
      <w:r>
        <w:rPr>
          <w:rFonts w:ascii="Arial" w:cs="Arial" w:eastAsia="Arial" w:hAnsi="Arial"/>
          <w:sz w:val="16"/>
          <w:szCs w:val="16"/>
          <w:color w:val="auto"/>
        </w:rPr>
        <w:t>Our Phase 3 PaTHway Trial, Phase 3 PaTHway Japan Trial, and Phase 2 PaTH Forward Trial evaluated TransCon PTH in adult patients with hypoparathyroidism. Following the primary outcome period, all three trials continue in the extension portion to collect long term data.</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right="280"/>
        <w:spacing w:after="0" w:line="259" w:lineRule="auto"/>
        <w:rPr>
          <w:sz w:val="20"/>
          <w:szCs w:val="20"/>
          <w:color w:val="auto"/>
        </w:rPr>
      </w:pPr>
      <w:r>
        <w:rPr>
          <w:rFonts w:ascii="Arial" w:cs="Arial" w:eastAsia="Arial" w:hAnsi="Arial"/>
          <w:sz w:val="18"/>
          <w:szCs w:val="18"/>
          <w:color w:val="auto"/>
        </w:rPr>
        <w:t>On September 14, 2023, we announced that the European Medicines Agency’s Committee for Medicinal Products for Human Use (“CHMP”) adopted a positive opinion and recommended the approval of TransCon PTH as a PTH replacement therapy indicated for the treatment of adults with chronic hypoparathyroidism. The EC’s final decision on our Marketing Authorisation Application is expected within 67 days after the positive opinion. If approved, the first EU launch of TransCon PTH is planned in Germany in early 2024.</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On September 5, 2023, we announced new post hoc analysis showing adults with hypoparathyroidism treated with TransCon PTH demonstrated substantial improvement in estimated glomerular filtration rate (“eGFR”), suggesting improved kidney function. In the Phase 3 PaTHway Trial, mean baseline eGFR was 67.3 and 72.7 mL/min/1.73m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for subjects randomized to TransCon PTH and placebo, respectively. At Week 26, patients treated with TransCon PTH experienced a mean increase in eGFR of 7.9 mL/min/1.73m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compared to baseline (p&lt;0.0001) while those on placebo experienced a mean decrease in eGFR of -1.9 mL/min/1.73m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compared to baseline (p=0.3468). By Week 52, patients treated with TransCon PTH, including those crossing over from placebo, experienced a mean increase in eGFR of 8.9 mL/min/1.73m2 compared to baseline (p&lt;0.0001). The improvement at Week 52 was even greater, for patients with eGFR &lt;60 at baseline, the threshold for impaired kidney function, experiencing a mean increase in eGFR of 11.5 mL/min/1.73m</w:t>
      </w:r>
      <w:r>
        <w:rPr>
          <w:rFonts w:ascii="Arial" w:cs="Arial" w:eastAsia="Arial" w:hAnsi="Arial"/>
          <w:sz w:val="21"/>
          <w:szCs w:val="21"/>
          <w:color w:val="auto"/>
          <w:vertAlign w:val="superscript"/>
        </w:rPr>
        <w:t>2</w:t>
      </w:r>
      <w:r>
        <w:rPr>
          <w:rFonts w:ascii="Arial" w:cs="Arial" w:eastAsia="Arial" w:hAnsi="Arial"/>
          <w:sz w:val="16"/>
          <w:szCs w:val="16"/>
          <w:color w:val="auto"/>
        </w:rPr>
        <w: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PaTHway: eGFR Change from Baseline by eGFR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1981200</wp:posOffset>
            </wp:positionH>
            <wp:positionV relativeFrom="paragraph">
              <wp:posOffset>21590</wp:posOffset>
            </wp:positionV>
            <wp:extent cx="3429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21590</wp:posOffset>
            </wp:positionV>
            <wp:extent cx="3429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21590</wp:posOffset>
            </wp:positionV>
            <wp:extent cx="33655"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188595"/>
                    </a:xfrm>
                    <a:prstGeom prst="rect">
                      <a:avLst/>
                    </a:prstGeom>
                    <a:noFill/>
                  </pic:spPr>
                </pic:pic>
              </a:graphicData>
            </a:graphic>
          </wp:anchor>
        </w:drawing>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160" w:type="dxa"/>
            <w:vAlign w:val="bottom"/>
            <w:tcBorders>
              <w:top w:val="single" w:sz="8" w:color="auto"/>
              <w:left w:val="single" w:sz="8" w:color="EEECE1"/>
              <w:right w:val="single" w:sz="8" w:color="EEECE1"/>
            </w:tcBorders>
            <w:shd w:val="clear" w:color="auto" w:fill="EEECE1"/>
          </w:tcPr>
          <w:p>
            <w:pPr>
              <w:spacing w:after="0"/>
              <w:rPr>
                <w:sz w:val="21"/>
                <w:szCs w:val="21"/>
                <w:color w:val="auto"/>
              </w:rPr>
            </w:pPr>
          </w:p>
        </w:tc>
        <w:tc>
          <w:tcPr>
            <w:tcW w:w="2020" w:type="dxa"/>
            <w:vAlign w:val="bottom"/>
            <w:tcBorders>
              <w:top w:val="single" w:sz="8" w:color="auto"/>
              <w:right w:val="single" w:sz="8" w:color="EEECE1"/>
            </w:tcBorders>
            <w:shd w:val="clear" w:color="auto" w:fill="EEECE1"/>
          </w:tcPr>
          <w:p>
            <w:pPr>
              <w:jc w:val="center"/>
              <w:spacing w:after="0"/>
              <w:rPr>
                <w:sz w:val="20"/>
                <w:szCs w:val="20"/>
                <w:color w:val="auto"/>
              </w:rPr>
            </w:pPr>
            <w:r>
              <w:rPr>
                <w:rFonts w:ascii="Arial" w:cs="Arial" w:eastAsia="Arial" w:hAnsi="Arial"/>
                <w:sz w:val="18"/>
                <w:szCs w:val="18"/>
                <w:b w:val="1"/>
                <w:bCs w:val="1"/>
                <w:color w:val="auto"/>
                <w:w w:val="86"/>
              </w:rPr>
              <w:t>Baseline</w:t>
            </w:r>
          </w:p>
        </w:tc>
        <w:tc>
          <w:tcPr>
            <w:tcW w:w="1020" w:type="dxa"/>
            <w:vAlign w:val="bottom"/>
            <w:tcBorders>
              <w:top w:val="single" w:sz="8" w:color="auto"/>
              <w:right w:val="single" w:sz="8" w:color="EEECE1"/>
            </w:tcBorders>
            <w:shd w:val="clear" w:color="auto" w:fill="EEECE1"/>
          </w:tcPr>
          <w:p>
            <w:pPr>
              <w:spacing w:after="0"/>
              <w:rPr>
                <w:sz w:val="21"/>
                <w:szCs w:val="21"/>
                <w:color w:val="auto"/>
              </w:rPr>
            </w:pPr>
          </w:p>
        </w:tc>
        <w:tc>
          <w:tcPr>
            <w:tcW w:w="1980" w:type="dxa"/>
            <w:vAlign w:val="bottom"/>
            <w:tcBorders>
              <w:top w:val="single" w:sz="8" w:color="auto"/>
              <w:right w:val="single" w:sz="8" w:color="auto"/>
            </w:tcBorders>
            <w:shd w:val="clear" w:color="auto" w:fill="EEECE1"/>
          </w:tcPr>
          <w:p>
            <w:pPr>
              <w:ind w:left="140"/>
              <w:spacing w:after="0"/>
              <w:rPr>
                <w:sz w:val="20"/>
                <w:szCs w:val="20"/>
                <w:color w:val="auto"/>
              </w:rPr>
            </w:pPr>
            <w:r>
              <w:rPr>
                <w:rFonts w:ascii="Arial" w:cs="Arial" w:eastAsia="Arial" w:hAnsi="Arial"/>
                <w:sz w:val="18"/>
                <w:szCs w:val="18"/>
                <w:b w:val="1"/>
                <w:bCs w:val="1"/>
                <w:color w:val="auto"/>
              </w:rPr>
              <w:t>Week 26</w:t>
            </w:r>
          </w:p>
        </w:tc>
        <w:tc>
          <w:tcPr>
            <w:tcW w:w="1000" w:type="dxa"/>
            <w:vAlign w:val="bottom"/>
            <w:tcBorders>
              <w:top w:val="single" w:sz="8" w:color="auto"/>
              <w:right w:val="single" w:sz="8" w:color="EEECE1"/>
            </w:tcBorders>
            <w:shd w:val="clear" w:color="auto" w:fill="EEECE1"/>
          </w:tcPr>
          <w:p>
            <w:pPr>
              <w:spacing w:after="0"/>
              <w:rPr>
                <w:sz w:val="21"/>
                <w:szCs w:val="21"/>
                <w:color w:val="auto"/>
              </w:rPr>
            </w:pPr>
          </w:p>
        </w:tc>
        <w:tc>
          <w:tcPr>
            <w:tcW w:w="2060" w:type="dxa"/>
            <w:vAlign w:val="bottom"/>
            <w:tcBorders>
              <w:top w:val="single" w:sz="8" w:color="auto"/>
              <w:right w:val="single" w:sz="8" w:color="auto"/>
            </w:tcBorders>
            <w:shd w:val="clear" w:color="auto" w:fill="EEECE1"/>
          </w:tcPr>
          <w:p>
            <w:pPr>
              <w:ind w:left="200"/>
              <w:spacing w:after="0"/>
              <w:rPr>
                <w:sz w:val="20"/>
                <w:szCs w:val="20"/>
                <w:color w:val="auto"/>
              </w:rPr>
            </w:pPr>
            <w:r>
              <w:rPr>
                <w:rFonts w:ascii="Arial" w:cs="Arial" w:eastAsia="Arial" w:hAnsi="Arial"/>
                <w:sz w:val="18"/>
                <w:szCs w:val="18"/>
                <w:b w:val="1"/>
                <w:bCs w:val="1"/>
                <w:color w:val="auto"/>
              </w:rPr>
              <w:t>Week 52</w:t>
            </w:r>
          </w:p>
        </w:tc>
      </w:tr>
      <w:tr>
        <w:trPr>
          <w:trHeight w:val="189"/>
        </w:trPr>
        <w:tc>
          <w:tcPr>
            <w:tcW w:w="3160" w:type="dxa"/>
            <w:vAlign w:val="bottom"/>
            <w:tcBorders>
              <w:top w:val="single" w:sz="8" w:color="EEECE1"/>
              <w:left w:val="single" w:sz="8" w:color="auto"/>
              <w:right w:val="single" w:sz="8" w:color="auto"/>
            </w:tcBorders>
            <w:shd w:val="clear" w:color="auto" w:fill="EEECE1"/>
          </w:tcPr>
          <w:p>
            <w:pPr>
              <w:ind w:left="120"/>
              <w:spacing w:after="0" w:line="189" w:lineRule="exact"/>
              <w:rPr>
                <w:sz w:val="20"/>
                <w:szCs w:val="20"/>
                <w:color w:val="auto"/>
              </w:rPr>
            </w:pPr>
            <w:r>
              <w:rPr>
                <w:rFonts w:ascii="Arial" w:cs="Arial" w:eastAsia="Arial" w:hAnsi="Arial"/>
                <w:sz w:val="18"/>
                <w:szCs w:val="18"/>
                <w:b w:val="1"/>
                <w:bCs w:val="1"/>
                <w:color w:val="auto"/>
              </w:rPr>
              <w:t>Study Arm</w:t>
            </w:r>
          </w:p>
        </w:tc>
        <w:tc>
          <w:tcPr>
            <w:tcW w:w="2020" w:type="dxa"/>
            <w:vAlign w:val="bottom"/>
            <w:tcBorders>
              <w:top w:val="single" w:sz="8" w:color="EEECE1"/>
              <w:right w:val="single" w:sz="8" w:color="auto"/>
            </w:tcBorders>
            <w:shd w:val="clear" w:color="auto" w:fill="EEECE1"/>
          </w:tcPr>
          <w:p>
            <w:pPr>
              <w:jc w:val="center"/>
              <w:spacing w:after="0" w:line="189" w:lineRule="exact"/>
              <w:rPr>
                <w:sz w:val="20"/>
                <w:szCs w:val="20"/>
                <w:color w:val="auto"/>
              </w:rPr>
            </w:pPr>
            <w:r>
              <w:rPr>
                <w:rFonts w:ascii="Arial" w:cs="Arial" w:eastAsia="Arial" w:hAnsi="Arial"/>
                <w:sz w:val="18"/>
                <w:szCs w:val="18"/>
                <w:b w:val="1"/>
                <w:bCs w:val="1"/>
                <w:color w:val="auto"/>
                <w:w w:val="95"/>
              </w:rPr>
              <w:t>eGFR</w:t>
            </w:r>
          </w:p>
        </w:tc>
        <w:tc>
          <w:tcPr>
            <w:tcW w:w="1020" w:type="dxa"/>
            <w:vAlign w:val="bottom"/>
            <w:tcBorders>
              <w:top w:val="single" w:sz="8" w:color="auto"/>
              <w:right w:val="single" w:sz="8" w:color="auto"/>
            </w:tcBorders>
            <w:shd w:val="clear" w:color="auto" w:fill="EEECE1"/>
          </w:tcPr>
          <w:p>
            <w:pPr>
              <w:spacing w:after="0"/>
              <w:rPr>
                <w:sz w:val="16"/>
                <w:szCs w:val="16"/>
                <w:color w:val="auto"/>
              </w:rPr>
            </w:pPr>
          </w:p>
        </w:tc>
        <w:tc>
          <w:tcPr>
            <w:tcW w:w="1980" w:type="dxa"/>
            <w:vAlign w:val="bottom"/>
            <w:tcBorders>
              <w:top w:val="single" w:sz="8" w:color="auto"/>
              <w:right w:val="single" w:sz="8" w:color="auto"/>
            </w:tcBorders>
            <w:shd w:val="clear" w:color="auto" w:fill="EEECE1"/>
          </w:tcPr>
          <w:p>
            <w:pPr>
              <w:jc w:val="center"/>
              <w:spacing w:after="0" w:line="189" w:lineRule="exact"/>
              <w:rPr>
                <w:sz w:val="20"/>
                <w:szCs w:val="20"/>
                <w:color w:val="auto"/>
              </w:rPr>
            </w:pPr>
            <w:r>
              <w:rPr>
                <w:rFonts w:ascii="Arial" w:cs="Arial" w:eastAsia="Arial" w:hAnsi="Arial"/>
                <w:sz w:val="18"/>
                <w:szCs w:val="18"/>
                <w:b w:val="1"/>
                <w:bCs w:val="1"/>
                <w:color w:val="auto"/>
                <w:w w:val="95"/>
              </w:rPr>
              <w:t>Mean</w:t>
            </w:r>
          </w:p>
        </w:tc>
        <w:tc>
          <w:tcPr>
            <w:tcW w:w="1000" w:type="dxa"/>
            <w:vAlign w:val="bottom"/>
            <w:tcBorders>
              <w:top w:val="single" w:sz="8" w:color="auto"/>
              <w:right w:val="single" w:sz="8" w:color="auto"/>
            </w:tcBorders>
            <w:shd w:val="clear" w:color="auto" w:fill="EEECE1"/>
          </w:tcPr>
          <w:p>
            <w:pPr>
              <w:spacing w:after="0"/>
              <w:rPr>
                <w:sz w:val="16"/>
                <w:szCs w:val="16"/>
                <w:color w:val="auto"/>
              </w:rPr>
            </w:pPr>
          </w:p>
        </w:tc>
        <w:tc>
          <w:tcPr>
            <w:tcW w:w="2060" w:type="dxa"/>
            <w:vAlign w:val="bottom"/>
            <w:tcBorders>
              <w:top w:val="single" w:sz="8" w:color="auto"/>
              <w:right w:val="single" w:sz="8" w:color="auto"/>
            </w:tcBorders>
            <w:shd w:val="clear" w:color="auto" w:fill="EEECE1"/>
          </w:tcPr>
          <w:p>
            <w:pPr>
              <w:jc w:val="center"/>
              <w:spacing w:after="0" w:line="189" w:lineRule="exact"/>
              <w:rPr>
                <w:sz w:val="20"/>
                <w:szCs w:val="20"/>
                <w:color w:val="auto"/>
              </w:rPr>
            </w:pPr>
            <w:r>
              <w:rPr>
                <w:rFonts w:ascii="Arial" w:cs="Arial" w:eastAsia="Arial" w:hAnsi="Arial"/>
                <w:sz w:val="18"/>
                <w:szCs w:val="18"/>
                <w:b w:val="1"/>
                <w:bCs w:val="1"/>
                <w:color w:val="auto"/>
                <w:w w:val="95"/>
              </w:rPr>
              <w:t>Mean</w:t>
            </w:r>
          </w:p>
        </w:tc>
      </w:tr>
      <w:tr>
        <w:trPr>
          <w:trHeight w:val="270"/>
        </w:trPr>
        <w:tc>
          <w:tcPr>
            <w:tcW w:w="3160" w:type="dxa"/>
            <w:vAlign w:val="bottom"/>
            <w:tcBorders>
              <w:left w:val="single" w:sz="8" w:color="auto"/>
              <w:bottom w:val="single" w:sz="8" w:color="auto"/>
              <w:right w:val="single" w:sz="8" w:color="auto"/>
            </w:tcBorders>
            <w:shd w:val="clear" w:color="auto" w:fill="EEECE1"/>
          </w:tcPr>
          <w:p>
            <w:pPr>
              <w:spacing w:after="0"/>
              <w:rPr>
                <w:sz w:val="23"/>
                <w:szCs w:val="23"/>
                <w:color w:val="auto"/>
              </w:rPr>
            </w:pPr>
          </w:p>
        </w:tc>
        <w:tc>
          <w:tcPr>
            <w:tcW w:w="2020" w:type="dxa"/>
            <w:vAlign w:val="bottom"/>
            <w:tcBorders>
              <w:bottom w:val="single" w:sz="8" w:color="auto"/>
              <w:right w:val="single" w:sz="8" w:color="auto"/>
            </w:tcBorders>
            <w:shd w:val="clear" w:color="auto" w:fill="EEECE1"/>
          </w:tcPr>
          <w:p>
            <w:pPr>
              <w:jc w:val="center"/>
              <w:spacing w:after="0" w:line="270" w:lineRule="exact"/>
              <w:rPr>
                <w:sz w:val="20"/>
                <w:szCs w:val="20"/>
                <w:color w:val="auto"/>
              </w:rPr>
            </w:pPr>
            <w:r>
              <w:rPr>
                <w:rFonts w:ascii="Arial" w:cs="Arial" w:eastAsia="Arial" w:hAnsi="Arial"/>
                <w:sz w:val="18"/>
                <w:szCs w:val="18"/>
                <w:b w:val="1"/>
                <w:bCs w:val="1"/>
                <w:color w:val="auto"/>
                <w:w w:val="93"/>
              </w:rPr>
              <w:t>(mL/min/1.73m</w:t>
            </w:r>
            <w:r>
              <w:rPr>
                <w:rFonts w:ascii="Arial" w:cs="Arial" w:eastAsia="Arial" w:hAnsi="Arial"/>
                <w:sz w:val="24"/>
                <w:szCs w:val="24"/>
                <w:b w:val="1"/>
                <w:bCs w:val="1"/>
                <w:color w:val="auto"/>
                <w:w w:val="93"/>
                <w:vertAlign w:val="superscript"/>
              </w:rPr>
              <w:t>2</w:t>
            </w:r>
            <w:r>
              <w:rPr>
                <w:rFonts w:ascii="Arial" w:cs="Arial" w:eastAsia="Arial" w:hAnsi="Arial"/>
                <w:sz w:val="18"/>
                <w:szCs w:val="18"/>
                <w:b w:val="1"/>
                <w:bCs w:val="1"/>
                <w:color w:val="auto"/>
                <w:w w:val="93"/>
              </w:rPr>
              <w:t>)</w:t>
            </w:r>
          </w:p>
        </w:tc>
        <w:tc>
          <w:tcPr>
            <w:tcW w:w="1020" w:type="dxa"/>
            <w:vAlign w:val="bottom"/>
            <w:tcBorders>
              <w:bottom w:val="single" w:sz="8" w:color="auto"/>
              <w:right w:val="single" w:sz="8" w:color="auto"/>
            </w:tcBorders>
            <w:shd w:val="clear" w:color="auto" w:fill="EEECE1"/>
          </w:tcPr>
          <w:p>
            <w:pPr>
              <w:ind w:left="440"/>
              <w:spacing w:after="0"/>
              <w:rPr>
                <w:sz w:val="20"/>
                <w:szCs w:val="20"/>
                <w:color w:val="auto"/>
              </w:rPr>
            </w:pPr>
            <w:r>
              <w:rPr>
                <w:rFonts w:ascii="Arial" w:cs="Arial" w:eastAsia="Arial" w:hAnsi="Arial"/>
                <w:sz w:val="18"/>
                <w:szCs w:val="18"/>
                <w:b w:val="1"/>
                <w:bCs w:val="1"/>
                <w:color w:val="auto"/>
              </w:rPr>
              <w:t>N</w:t>
            </w:r>
          </w:p>
        </w:tc>
        <w:tc>
          <w:tcPr>
            <w:tcW w:w="1980" w:type="dxa"/>
            <w:vAlign w:val="bottom"/>
            <w:tcBorders>
              <w:bottom w:val="single" w:sz="8" w:color="auto"/>
              <w:right w:val="single" w:sz="8" w:color="auto"/>
            </w:tcBorders>
            <w:shd w:val="clear" w:color="auto" w:fill="EEECE1"/>
          </w:tcPr>
          <w:p>
            <w:pPr>
              <w:jc w:val="center"/>
              <w:spacing w:after="0"/>
              <w:rPr>
                <w:sz w:val="20"/>
                <w:szCs w:val="20"/>
                <w:color w:val="auto"/>
              </w:rPr>
            </w:pPr>
            <w:r>
              <w:rPr>
                <w:rFonts w:ascii="Arial" w:cs="Arial" w:eastAsia="Arial" w:hAnsi="Arial"/>
                <w:sz w:val="18"/>
                <w:szCs w:val="18"/>
                <w:b w:val="1"/>
                <w:bCs w:val="1"/>
                <w:color w:val="auto"/>
                <w:w w:val="91"/>
              </w:rPr>
              <w:t>(p value)</w:t>
            </w:r>
          </w:p>
        </w:tc>
        <w:tc>
          <w:tcPr>
            <w:tcW w:w="1000" w:type="dxa"/>
            <w:vAlign w:val="bottom"/>
            <w:tcBorders>
              <w:bottom w:val="single" w:sz="8" w:color="auto"/>
              <w:right w:val="single" w:sz="8" w:color="auto"/>
            </w:tcBorders>
            <w:shd w:val="clear" w:color="auto" w:fill="EEECE1"/>
          </w:tcPr>
          <w:p>
            <w:pPr>
              <w:ind w:left="420"/>
              <w:spacing w:after="0"/>
              <w:rPr>
                <w:sz w:val="20"/>
                <w:szCs w:val="20"/>
                <w:color w:val="auto"/>
              </w:rPr>
            </w:pPr>
            <w:r>
              <w:rPr>
                <w:rFonts w:ascii="Arial" w:cs="Arial" w:eastAsia="Arial" w:hAnsi="Arial"/>
                <w:sz w:val="18"/>
                <w:szCs w:val="18"/>
                <w:b w:val="1"/>
                <w:bCs w:val="1"/>
                <w:color w:val="auto"/>
              </w:rPr>
              <w:t>N</w:t>
            </w:r>
          </w:p>
        </w:tc>
        <w:tc>
          <w:tcPr>
            <w:tcW w:w="2060" w:type="dxa"/>
            <w:vAlign w:val="bottom"/>
            <w:tcBorders>
              <w:bottom w:val="single" w:sz="8" w:color="auto"/>
              <w:right w:val="single" w:sz="8" w:color="auto"/>
            </w:tcBorders>
            <w:shd w:val="clear" w:color="auto" w:fill="EEECE1"/>
          </w:tcPr>
          <w:p>
            <w:pPr>
              <w:jc w:val="center"/>
              <w:spacing w:after="0"/>
              <w:rPr>
                <w:sz w:val="20"/>
                <w:szCs w:val="20"/>
                <w:color w:val="auto"/>
              </w:rPr>
            </w:pPr>
            <w:r>
              <w:rPr>
                <w:rFonts w:ascii="Arial" w:cs="Arial" w:eastAsia="Arial" w:hAnsi="Arial"/>
                <w:sz w:val="18"/>
                <w:szCs w:val="18"/>
                <w:b w:val="1"/>
                <w:bCs w:val="1"/>
                <w:color w:val="auto"/>
                <w:w w:val="91"/>
              </w:rPr>
              <w:t>(p value)</w:t>
            </w:r>
          </w:p>
        </w:tc>
      </w:tr>
      <w:tr>
        <w:trPr>
          <w:trHeight w:val="209"/>
        </w:trPr>
        <w:tc>
          <w:tcPr>
            <w:tcW w:w="3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TransCon PTH / TransCon PTH</w:t>
            </w: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eGFR &lt; 60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+11.5</w:t>
            </w:r>
          </w:p>
        </w:tc>
      </w:tr>
      <w:tr>
        <w:trPr>
          <w:trHeight w:val="237"/>
        </w:trPr>
        <w:tc>
          <w:tcPr>
            <w:tcW w:w="3160" w:type="dxa"/>
            <w:vAlign w:val="bottom"/>
            <w:tcBorders>
              <w:left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(p=0.0002)</w:t>
            </w:r>
          </w:p>
        </w:tc>
        <w:tc>
          <w:tcPr>
            <w:tcW w:w="10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(p=0.0003)</w:t>
            </w:r>
          </w:p>
        </w:tc>
      </w:tr>
      <w:tr>
        <w:trPr>
          <w:trHeight w:val="215"/>
        </w:trPr>
        <w:tc>
          <w:tcPr>
            <w:tcW w:w="31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eGFR ≥ 60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+8.2</w:t>
            </w:r>
          </w:p>
        </w:tc>
      </w:tr>
      <w:tr>
        <w:trPr>
          <w:trHeight w:val="237"/>
        </w:trPr>
        <w:tc>
          <w:tcPr>
            <w:tcW w:w="3160" w:type="dxa"/>
            <w:vAlign w:val="bottom"/>
            <w:tcBorders>
              <w:left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(p=0.0002)</w:t>
            </w:r>
          </w:p>
        </w:tc>
        <w:tc>
          <w:tcPr>
            <w:tcW w:w="10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 &lt;0.0001)</w:t>
            </w:r>
          </w:p>
        </w:tc>
      </w:tr>
      <w:tr>
        <w:trPr>
          <w:trHeight w:val="215"/>
        </w:trPr>
        <w:tc>
          <w:tcPr>
            <w:tcW w:w="31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All</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59</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+9.3</w:t>
            </w:r>
          </w:p>
        </w:tc>
      </w:tr>
      <w:tr>
        <w:trPr>
          <w:trHeight w:val="237"/>
        </w:trPr>
        <w:tc>
          <w:tcPr>
            <w:tcW w:w="316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(p&lt; 0.0001)</w:t>
            </w:r>
          </w:p>
        </w:tc>
        <w:tc>
          <w:tcPr>
            <w:tcW w:w="10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(p&lt;0.0001)</w:t>
            </w:r>
          </w:p>
        </w:tc>
      </w:tr>
      <w:tr>
        <w:trPr>
          <w:trHeight w:val="215"/>
        </w:trPr>
        <w:tc>
          <w:tcPr>
            <w:tcW w:w="3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Placebo (first 26 weeks) / TransCon</w:t>
            </w: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eGFR &lt; 60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+0.05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+11.7</w:t>
            </w:r>
          </w:p>
        </w:tc>
      </w:tr>
      <w:tr>
        <w:trPr>
          <w:trHeight w:val="237"/>
        </w:trPr>
        <w:tc>
          <w:tcPr>
            <w:tcW w:w="3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PTH*</w:t>
            </w:r>
          </w:p>
        </w:tc>
        <w:tc>
          <w:tcPr>
            <w:tcW w:w="20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(p=0.9877)</w:t>
            </w:r>
          </w:p>
        </w:tc>
        <w:tc>
          <w:tcPr>
            <w:tcW w:w="10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(p=0.0018)</w:t>
            </w:r>
          </w:p>
        </w:tc>
      </w:tr>
      <w:tr>
        <w:trPr>
          <w:trHeight w:val="215"/>
        </w:trPr>
        <w:tc>
          <w:tcPr>
            <w:tcW w:w="31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eGFR ≥ 60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+6.5</w:t>
            </w:r>
          </w:p>
        </w:tc>
      </w:tr>
      <w:tr>
        <w:trPr>
          <w:trHeight w:val="237"/>
        </w:trPr>
        <w:tc>
          <w:tcPr>
            <w:tcW w:w="3160" w:type="dxa"/>
            <w:vAlign w:val="bottom"/>
            <w:tcBorders>
              <w:left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(p=0.3280)</w:t>
            </w:r>
          </w:p>
        </w:tc>
        <w:tc>
          <w:tcPr>
            <w:tcW w:w="10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(p=0.0199)</w:t>
            </w:r>
          </w:p>
        </w:tc>
      </w:tr>
      <w:tr>
        <w:trPr>
          <w:trHeight w:val="215"/>
        </w:trPr>
        <w:tc>
          <w:tcPr>
            <w:tcW w:w="31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All</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w:t>
            </w:r>
          </w:p>
        </w:tc>
      </w:tr>
      <w:tr>
        <w:trPr>
          <w:trHeight w:val="237"/>
        </w:trPr>
        <w:tc>
          <w:tcPr>
            <w:tcW w:w="316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(p=0.3468)</w:t>
            </w:r>
          </w:p>
        </w:tc>
        <w:tc>
          <w:tcPr>
            <w:tcW w:w="10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(p=0.0014)</w:t>
            </w:r>
          </w:p>
        </w:tc>
      </w:tr>
    </w:tbl>
    <w:p>
      <w:pPr>
        <w:spacing w:after="0" w:line="229"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i w:val="1"/>
          <w:iCs w:val="1"/>
          <w:color w:val="auto"/>
        </w:rPr>
        <w:t>eGFR (an assessment of kidney filtering capacity) was calculated by the trial’s central lab using the Modification of Diet in Renal Disease Study Group (MDRD) equation (Levey, Ann Intern Med 2006).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*Patients in the placebo arm switched to TransCon PTH following the Week 26 visit.</w:t>
      </w:r>
    </w:p>
    <w:p>
      <w:pPr>
        <w:spacing w:after="0" w:line="216" w:lineRule="exact"/>
        <w:rPr>
          <w:sz w:val="20"/>
          <w:szCs w:val="20"/>
          <w:color w:val="auto"/>
        </w:rPr>
      </w:pPr>
    </w:p>
    <w:p>
      <w:pPr>
        <w:ind w:right="540"/>
        <w:spacing w:after="0" w:line="236" w:lineRule="auto"/>
        <w:rPr>
          <w:sz w:val="20"/>
          <w:szCs w:val="20"/>
          <w:color w:val="auto"/>
        </w:rPr>
      </w:pPr>
      <w:r>
        <w:rPr>
          <w:rFonts w:ascii="Arial" w:cs="Arial" w:eastAsia="Arial" w:hAnsi="Arial"/>
          <w:sz w:val="18"/>
          <w:szCs w:val="18"/>
          <w:color w:val="auto"/>
        </w:rPr>
        <w:t>Among subjects with baseline eGFR &lt; 60 mL/min/1.73m</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(considered the threshold for impaired kidney function), approximately 50% were able to improve their eGFR to &gt; 60 mL/min/1.73m</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with TransCon PTH therapy.</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960" w:type="dxa"/>
            <w:vAlign w:val="bottom"/>
            <w:tcBorders>
              <w:top w:val="single" w:sz="8" w:color="auto"/>
              <w:left w:val="single" w:sz="8" w:color="auto"/>
              <w:right w:val="single" w:sz="8" w:color="auto"/>
            </w:tcBorders>
            <w:shd w:val="clear" w:color="auto" w:fill="E7E6E6"/>
          </w:tcPr>
          <w:p>
            <w:pPr>
              <w:spacing w:after="0"/>
              <w:rPr>
                <w:sz w:val="21"/>
                <w:szCs w:val="21"/>
                <w:color w:val="auto"/>
              </w:rPr>
            </w:pPr>
          </w:p>
        </w:tc>
        <w:tc>
          <w:tcPr>
            <w:tcW w:w="1680" w:type="dxa"/>
            <w:vAlign w:val="bottom"/>
            <w:tcBorders>
              <w:top w:val="single" w:sz="8" w:color="auto"/>
              <w:right w:val="single" w:sz="8" w:color="auto"/>
            </w:tcBorders>
            <w:shd w:val="clear" w:color="auto" w:fill="E7E6E6"/>
          </w:tcPr>
          <w:p>
            <w:pPr>
              <w:spacing w:after="0"/>
              <w:rPr>
                <w:sz w:val="21"/>
                <w:szCs w:val="21"/>
                <w:color w:val="auto"/>
              </w:rPr>
            </w:pPr>
          </w:p>
        </w:tc>
        <w:tc>
          <w:tcPr>
            <w:tcW w:w="2780" w:type="dxa"/>
            <w:vAlign w:val="bottom"/>
            <w:tcBorders>
              <w:top w:val="single" w:sz="8" w:color="auto"/>
            </w:tcBorders>
            <w:shd w:val="clear" w:color="auto" w:fill="E7E6E6"/>
          </w:tcPr>
          <w:p>
            <w:pPr>
              <w:jc w:val="center"/>
              <w:spacing w:after="0"/>
              <w:rPr>
                <w:sz w:val="20"/>
                <w:szCs w:val="20"/>
                <w:color w:val="auto"/>
              </w:rPr>
            </w:pPr>
            <w:r>
              <w:rPr>
                <w:rFonts w:ascii="Arial" w:cs="Arial" w:eastAsia="Arial" w:hAnsi="Arial"/>
                <w:sz w:val="18"/>
                <w:szCs w:val="18"/>
                <w:b w:val="1"/>
                <w:bCs w:val="1"/>
                <w:color w:val="auto"/>
                <w:w w:val="90"/>
              </w:rPr>
              <w:t>Number of Responders*</w:t>
            </w:r>
          </w:p>
        </w:tc>
        <w:tc>
          <w:tcPr>
            <w:tcW w:w="20" w:type="dxa"/>
            <w:vAlign w:val="bottom"/>
            <w:tcBorders>
              <w:top w:val="single" w:sz="8" w:color="auto"/>
            </w:tcBorders>
            <w:shd w:val="clear" w:color="auto" w:fill="000000"/>
          </w:tcPr>
          <w:p>
            <w:pPr>
              <w:spacing w:after="0"/>
              <w:rPr>
                <w:sz w:val="21"/>
                <w:szCs w:val="21"/>
                <w:color w:val="auto"/>
              </w:rPr>
            </w:pPr>
          </w:p>
        </w:tc>
        <w:tc>
          <w:tcPr>
            <w:tcW w:w="2800" w:type="dxa"/>
            <w:vAlign w:val="bottom"/>
            <w:tcBorders>
              <w:top w:val="single" w:sz="8" w:color="auto"/>
              <w:right w:val="single" w:sz="8" w:color="auto"/>
            </w:tcBorders>
            <w:shd w:val="clear" w:color="auto" w:fill="E7E6E6"/>
          </w:tcPr>
          <w:p>
            <w:pPr>
              <w:jc w:val="center"/>
              <w:spacing w:after="0"/>
              <w:rPr>
                <w:sz w:val="20"/>
                <w:szCs w:val="20"/>
                <w:color w:val="auto"/>
              </w:rPr>
            </w:pPr>
            <w:r>
              <w:rPr>
                <w:rFonts w:ascii="Arial" w:cs="Arial" w:eastAsia="Arial" w:hAnsi="Arial"/>
                <w:sz w:val="18"/>
                <w:szCs w:val="18"/>
                <w:b w:val="1"/>
                <w:bCs w:val="1"/>
                <w:color w:val="auto"/>
                <w:w w:val="90"/>
              </w:rPr>
              <w:t>Number of Responders*</w:t>
            </w:r>
          </w:p>
        </w:tc>
        <w:tc>
          <w:tcPr>
            <w:tcW w:w="0" w:type="dxa"/>
            <w:vAlign w:val="bottom"/>
          </w:tcPr>
          <w:p>
            <w:pPr>
              <w:spacing w:after="0"/>
              <w:rPr>
                <w:sz w:val="1"/>
                <w:szCs w:val="1"/>
                <w:color w:val="auto"/>
              </w:rPr>
            </w:pPr>
          </w:p>
        </w:tc>
      </w:tr>
      <w:tr>
        <w:trPr>
          <w:trHeight w:val="238"/>
        </w:trPr>
        <w:tc>
          <w:tcPr>
            <w:tcW w:w="3960" w:type="dxa"/>
            <w:vAlign w:val="bottom"/>
            <w:tcBorders>
              <w:left w:val="single" w:sz="8" w:color="auto"/>
              <w:right w:val="single" w:sz="8" w:color="auto"/>
            </w:tcBorders>
            <w:shd w:val="clear" w:color="auto" w:fill="E7E6E6"/>
          </w:tcPr>
          <w:p>
            <w:pPr>
              <w:spacing w:after="0"/>
              <w:rPr>
                <w:sz w:val="20"/>
                <w:szCs w:val="20"/>
                <w:color w:val="auto"/>
              </w:rPr>
            </w:pPr>
          </w:p>
        </w:tc>
        <w:tc>
          <w:tcPr>
            <w:tcW w:w="1680" w:type="dxa"/>
            <w:vAlign w:val="bottom"/>
            <w:tcBorders>
              <w:right w:val="single" w:sz="8" w:color="auto"/>
            </w:tcBorders>
            <w:shd w:val="clear" w:color="auto" w:fill="E7E6E6"/>
          </w:tcPr>
          <w:p>
            <w:pPr>
              <w:jc w:val="center"/>
              <w:spacing w:after="0"/>
              <w:rPr>
                <w:sz w:val="20"/>
                <w:szCs w:val="20"/>
                <w:color w:val="auto"/>
              </w:rPr>
            </w:pPr>
            <w:r>
              <w:rPr>
                <w:rFonts w:ascii="Arial" w:cs="Arial" w:eastAsia="Arial" w:hAnsi="Arial"/>
                <w:sz w:val="18"/>
                <w:szCs w:val="18"/>
                <w:b w:val="1"/>
                <w:bCs w:val="1"/>
                <w:color w:val="auto"/>
                <w:w w:val="94"/>
              </w:rPr>
              <w:t>eGFR &lt; 60</w:t>
            </w:r>
          </w:p>
        </w:tc>
        <w:tc>
          <w:tcPr>
            <w:tcW w:w="2780" w:type="dxa"/>
            <w:vAlign w:val="bottom"/>
            <w:shd w:val="clear" w:color="auto" w:fill="E7E6E6"/>
          </w:tcPr>
          <w:p>
            <w:pPr>
              <w:jc w:val="center"/>
              <w:spacing w:after="0"/>
              <w:rPr>
                <w:sz w:val="20"/>
                <w:szCs w:val="20"/>
                <w:color w:val="auto"/>
              </w:rPr>
            </w:pPr>
            <w:r>
              <w:rPr>
                <w:rFonts w:ascii="Arial" w:cs="Arial" w:eastAsia="Arial" w:hAnsi="Arial"/>
                <w:sz w:val="18"/>
                <w:szCs w:val="18"/>
                <w:b w:val="1"/>
                <w:bCs w:val="1"/>
                <w:color w:val="auto"/>
              </w:rPr>
              <w:t>(n, %)</w:t>
            </w:r>
          </w:p>
        </w:tc>
        <w:tc>
          <w:tcPr>
            <w:tcW w:w="20" w:type="dxa"/>
            <w:vAlign w:val="bottom"/>
            <w:shd w:val="clear" w:color="auto" w:fill="000000"/>
          </w:tcPr>
          <w:p>
            <w:pPr>
              <w:spacing w:after="0"/>
              <w:rPr>
                <w:sz w:val="20"/>
                <w:szCs w:val="20"/>
                <w:color w:val="auto"/>
              </w:rPr>
            </w:pPr>
          </w:p>
        </w:tc>
        <w:tc>
          <w:tcPr>
            <w:tcW w:w="2800" w:type="dxa"/>
            <w:vAlign w:val="bottom"/>
            <w:tcBorders>
              <w:right w:val="single" w:sz="8" w:color="auto"/>
            </w:tcBorders>
            <w:shd w:val="clear" w:color="auto" w:fill="E7E6E6"/>
          </w:tcPr>
          <w:p>
            <w:pPr>
              <w:jc w:val="center"/>
              <w:spacing w:after="0"/>
              <w:rPr>
                <w:sz w:val="20"/>
                <w:szCs w:val="20"/>
                <w:color w:val="auto"/>
              </w:rPr>
            </w:pPr>
            <w:r>
              <w:rPr>
                <w:rFonts w:ascii="Arial" w:cs="Arial" w:eastAsia="Arial" w:hAnsi="Arial"/>
                <w:sz w:val="18"/>
                <w:szCs w:val="18"/>
                <w:b w:val="1"/>
                <w:bCs w:val="1"/>
                <w:color w:val="auto"/>
              </w:rPr>
              <w:t>(n, %)</w:t>
            </w:r>
          </w:p>
        </w:tc>
        <w:tc>
          <w:tcPr>
            <w:tcW w:w="0" w:type="dxa"/>
            <w:vAlign w:val="bottom"/>
          </w:tcPr>
          <w:p>
            <w:pPr>
              <w:spacing w:after="0"/>
              <w:rPr>
                <w:sz w:val="1"/>
                <w:szCs w:val="1"/>
                <w:color w:val="auto"/>
              </w:rPr>
            </w:pPr>
          </w:p>
        </w:tc>
      </w:tr>
      <w:tr>
        <w:trPr>
          <w:trHeight w:val="250"/>
        </w:trPr>
        <w:tc>
          <w:tcPr>
            <w:tcW w:w="3960" w:type="dxa"/>
            <w:vAlign w:val="bottom"/>
            <w:tcBorders>
              <w:left w:val="single" w:sz="8" w:color="auto"/>
              <w:bottom w:val="single" w:sz="8" w:color="auto"/>
              <w:right w:val="single" w:sz="8" w:color="auto"/>
            </w:tcBorders>
            <w:shd w:val="clear" w:color="auto" w:fill="E7E6E6"/>
          </w:tcPr>
          <w:p>
            <w:pPr>
              <w:spacing w:after="0"/>
              <w:rPr>
                <w:sz w:val="21"/>
                <w:szCs w:val="21"/>
                <w:color w:val="auto"/>
              </w:rPr>
            </w:pPr>
          </w:p>
        </w:tc>
        <w:tc>
          <w:tcPr>
            <w:tcW w:w="1680" w:type="dxa"/>
            <w:vAlign w:val="bottom"/>
            <w:tcBorders>
              <w:bottom w:val="single" w:sz="8" w:color="auto"/>
              <w:right w:val="single" w:sz="8" w:color="auto"/>
            </w:tcBorders>
            <w:shd w:val="clear" w:color="auto" w:fill="E7E6E6"/>
          </w:tcPr>
          <w:p>
            <w:pPr>
              <w:jc w:val="center"/>
              <w:spacing w:after="0"/>
              <w:rPr>
                <w:sz w:val="20"/>
                <w:szCs w:val="20"/>
                <w:color w:val="auto"/>
              </w:rPr>
            </w:pPr>
            <w:r>
              <w:rPr>
                <w:rFonts w:ascii="Arial" w:cs="Arial" w:eastAsia="Arial" w:hAnsi="Arial"/>
                <w:sz w:val="18"/>
                <w:szCs w:val="18"/>
                <w:b w:val="1"/>
                <w:bCs w:val="1"/>
                <w:color w:val="auto"/>
                <w:w w:val="89"/>
              </w:rPr>
              <w:t>at Baseline (n)</w:t>
            </w:r>
          </w:p>
        </w:tc>
        <w:tc>
          <w:tcPr>
            <w:tcW w:w="2780" w:type="dxa"/>
            <w:vAlign w:val="bottom"/>
            <w:tcBorders>
              <w:bottom w:val="single" w:sz="8" w:color="auto"/>
            </w:tcBorders>
            <w:shd w:val="clear" w:color="auto" w:fill="E7E6E6"/>
          </w:tcPr>
          <w:p>
            <w:pPr>
              <w:jc w:val="center"/>
              <w:spacing w:after="0"/>
              <w:rPr>
                <w:sz w:val="20"/>
                <w:szCs w:val="20"/>
                <w:color w:val="auto"/>
              </w:rPr>
            </w:pPr>
            <w:r>
              <w:rPr>
                <w:rFonts w:ascii="Arial" w:cs="Arial" w:eastAsia="Arial" w:hAnsi="Arial"/>
                <w:sz w:val="18"/>
                <w:szCs w:val="18"/>
                <w:b w:val="1"/>
                <w:bCs w:val="1"/>
                <w:color w:val="auto"/>
                <w:w w:val="91"/>
              </w:rPr>
              <w:t>Week 26</w:t>
            </w:r>
          </w:p>
        </w:tc>
        <w:tc>
          <w:tcPr>
            <w:tcW w:w="20" w:type="dxa"/>
            <w:vAlign w:val="bottom"/>
            <w:tcBorders>
              <w:bottom w:val="single" w:sz="8" w:color="auto"/>
            </w:tcBorders>
            <w:shd w:val="clear" w:color="auto" w:fill="000000"/>
          </w:tcPr>
          <w:p>
            <w:pPr>
              <w:spacing w:after="0"/>
              <w:rPr>
                <w:sz w:val="21"/>
                <w:szCs w:val="21"/>
                <w:color w:val="auto"/>
              </w:rPr>
            </w:pPr>
          </w:p>
        </w:tc>
        <w:tc>
          <w:tcPr>
            <w:tcW w:w="2800" w:type="dxa"/>
            <w:vAlign w:val="bottom"/>
            <w:tcBorders>
              <w:bottom w:val="single" w:sz="8" w:color="auto"/>
              <w:right w:val="single" w:sz="8" w:color="auto"/>
            </w:tcBorders>
            <w:shd w:val="clear" w:color="auto" w:fill="E7E6E6"/>
          </w:tcPr>
          <w:p>
            <w:pPr>
              <w:jc w:val="center"/>
              <w:spacing w:after="0"/>
              <w:rPr>
                <w:sz w:val="20"/>
                <w:szCs w:val="20"/>
                <w:color w:val="auto"/>
              </w:rPr>
            </w:pPr>
            <w:r>
              <w:rPr>
                <w:rFonts w:ascii="Arial" w:cs="Arial" w:eastAsia="Arial" w:hAnsi="Arial"/>
                <w:sz w:val="18"/>
                <w:szCs w:val="18"/>
                <w:b w:val="1"/>
                <w:bCs w:val="1"/>
                <w:color w:val="auto"/>
                <w:w w:val="91"/>
              </w:rPr>
              <w:t>Week 52</w:t>
            </w:r>
          </w:p>
        </w:tc>
        <w:tc>
          <w:tcPr>
            <w:tcW w:w="0" w:type="dxa"/>
            <w:vAlign w:val="bottom"/>
          </w:tcPr>
          <w:p>
            <w:pPr>
              <w:spacing w:after="0"/>
              <w:rPr>
                <w:sz w:val="1"/>
                <w:szCs w:val="1"/>
                <w:color w:val="auto"/>
              </w:rPr>
            </w:pPr>
          </w:p>
        </w:tc>
      </w:tr>
      <w:tr>
        <w:trPr>
          <w:trHeight w:val="230"/>
        </w:trPr>
        <w:tc>
          <w:tcPr>
            <w:tcW w:w="39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TransCon PTH / TransCon PTH</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n=19</w:t>
            </w:r>
          </w:p>
        </w:tc>
        <w:tc>
          <w:tcPr>
            <w:tcW w:w="2780" w:type="dxa"/>
            <w:vAlign w:val="bottom"/>
          </w:tcPr>
          <w:p>
            <w:pPr>
              <w:jc w:val="center"/>
              <w:spacing w:after="0"/>
              <w:rPr>
                <w:sz w:val="20"/>
                <w:szCs w:val="20"/>
                <w:color w:val="auto"/>
              </w:rPr>
            </w:pPr>
            <w:r>
              <w:rPr>
                <w:rFonts w:ascii="Arial" w:cs="Arial" w:eastAsia="Arial" w:hAnsi="Arial"/>
                <w:sz w:val="18"/>
                <w:szCs w:val="18"/>
                <w:color w:val="auto"/>
                <w:w w:val="93"/>
              </w:rPr>
              <w:t>n=12</w:t>
            </w:r>
          </w:p>
        </w:tc>
        <w:tc>
          <w:tcPr>
            <w:tcW w:w="20" w:type="dxa"/>
            <w:vAlign w:val="bottom"/>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n=10</w:t>
            </w:r>
          </w:p>
        </w:tc>
        <w:tc>
          <w:tcPr>
            <w:tcW w:w="0" w:type="dxa"/>
            <w:vAlign w:val="bottom"/>
          </w:tcPr>
          <w:p>
            <w:pPr>
              <w:spacing w:after="0"/>
              <w:rPr>
                <w:sz w:val="1"/>
                <w:szCs w:val="1"/>
                <w:color w:val="auto"/>
              </w:rPr>
            </w:pPr>
          </w:p>
        </w:tc>
      </w:tr>
      <w:tr>
        <w:trPr>
          <w:trHeight w:val="26"/>
        </w:trPr>
        <w:tc>
          <w:tcPr>
            <w:tcW w:w="3960" w:type="dxa"/>
            <w:vAlign w:val="bottom"/>
            <w:tcBorders>
              <w:left w:val="single" w:sz="8" w:color="auto"/>
              <w:right w:val="single" w:sz="8" w:color="auto"/>
            </w:tcBorders>
            <w:vMerge w:val="continue"/>
          </w:tcPr>
          <w:p>
            <w:pPr>
              <w:spacing w:after="0"/>
              <w:rPr>
                <w:sz w:val="2"/>
                <w:szCs w:val="2"/>
                <w:color w:val="auto"/>
              </w:rPr>
            </w:pPr>
          </w:p>
        </w:tc>
        <w:tc>
          <w:tcPr>
            <w:tcW w:w="1680" w:type="dxa"/>
            <w:vAlign w:val="bottom"/>
            <w:tcBorders>
              <w:right w:val="single" w:sz="8" w:color="auto"/>
            </w:tcBorders>
            <w:vMerge w:val="continue"/>
          </w:tcPr>
          <w:p>
            <w:pPr>
              <w:spacing w:after="0"/>
              <w:rPr>
                <w:sz w:val="2"/>
                <w:szCs w:val="2"/>
                <w:color w:val="auto"/>
              </w:rPr>
            </w:pPr>
          </w:p>
        </w:tc>
        <w:tc>
          <w:tcPr>
            <w:tcW w:w="2780" w:type="dxa"/>
            <w:vAlign w:val="bottom"/>
            <w:vMerge w:val="restart"/>
          </w:tcPr>
          <w:p>
            <w:pPr>
              <w:jc w:val="center"/>
              <w:spacing w:after="0"/>
              <w:rPr>
                <w:sz w:val="20"/>
                <w:szCs w:val="20"/>
                <w:color w:val="auto"/>
              </w:rPr>
            </w:pPr>
            <w:r>
              <w:rPr>
                <w:rFonts w:ascii="Arial" w:cs="Arial" w:eastAsia="Arial" w:hAnsi="Arial"/>
                <w:sz w:val="18"/>
                <w:szCs w:val="18"/>
                <w:color w:val="auto"/>
                <w:w w:val="94"/>
              </w:rPr>
              <w:t>63%</w:t>
            </w:r>
          </w:p>
        </w:tc>
        <w:tc>
          <w:tcPr>
            <w:tcW w:w="20" w:type="dxa"/>
            <w:vAlign w:val="bottom"/>
          </w:tcPr>
          <w:p>
            <w:pPr>
              <w:spacing w:after="0"/>
              <w:rPr>
                <w:sz w:val="2"/>
                <w:szCs w:val="2"/>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53%</w:t>
            </w:r>
          </w:p>
        </w:tc>
        <w:tc>
          <w:tcPr>
            <w:tcW w:w="0" w:type="dxa"/>
            <w:vAlign w:val="bottom"/>
          </w:tcPr>
          <w:p>
            <w:pPr>
              <w:spacing w:after="0" w:line="20" w:lineRule="exact"/>
              <w:rPr>
                <w:sz w:val="1"/>
                <w:szCs w:val="1"/>
                <w:color w:val="auto"/>
              </w:rPr>
            </w:pPr>
          </w:p>
        </w:tc>
      </w:tr>
      <w:tr>
        <w:trPr>
          <w:trHeight w:val="95"/>
        </w:trPr>
        <w:tc>
          <w:tcPr>
            <w:tcW w:w="3960" w:type="dxa"/>
            <w:vAlign w:val="bottom"/>
            <w:tcBorders>
              <w:left w:val="single" w:sz="8" w:color="auto"/>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278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27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28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9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Placebo (first 26 weeks) / TransCon PTH**</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n=4</w:t>
            </w:r>
          </w:p>
        </w:tc>
        <w:tc>
          <w:tcPr>
            <w:tcW w:w="2780" w:type="dxa"/>
            <w:vAlign w:val="bottom"/>
          </w:tcPr>
          <w:p>
            <w:pPr>
              <w:jc w:val="center"/>
              <w:spacing w:after="0"/>
              <w:rPr>
                <w:sz w:val="20"/>
                <w:szCs w:val="20"/>
                <w:color w:val="auto"/>
              </w:rPr>
            </w:pPr>
            <w:r>
              <w:rPr>
                <w:rFonts w:ascii="Arial" w:cs="Arial" w:eastAsia="Arial" w:hAnsi="Arial"/>
                <w:sz w:val="18"/>
                <w:szCs w:val="18"/>
                <w:color w:val="auto"/>
                <w:w w:val="91"/>
              </w:rPr>
              <w:t>n=0</w:t>
            </w:r>
          </w:p>
        </w:tc>
        <w:tc>
          <w:tcPr>
            <w:tcW w:w="20" w:type="dxa"/>
            <w:vAlign w:val="bottom"/>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n=3</w:t>
            </w:r>
          </w:p>
        </w:tc>
        <w:tc>
          <w:tcPr>
            <w:tcW w:w="0" w:type="dxa"/>
            <w:vAlign w:val="bottom"/>
          </w:tcPr>
          <w:p>
            <w:pPr>
              <w:spacing w:after="0"/>
              <w:rPr>
                <w:sz w:val="1"/>
                <w:szCs w:val="1"/>
                <w:color w:val="auto"/>
              </w:rPr>
            </w:pPr>
          </w:p>
        </w:tc>
      </w:tr>
      <w:tr>
        <w:trPr>
          <w:trHeight w:val="26"/>
        </w:trPr>
        <w:tc>
          <w:tcPr>
            <w:tcW w:w="3960" w:type="dxa"/>
            <w:vAlign w:val="bottom"/>
            <w:tcBorders>
              <w:left w:val="single" w:sz="8" w:color="auto"/>
              <w:right w:val="single" w:sz="8" w:color="auto"/>
            </w:tcBorders>
            <w:vMerge w:val="continue"/>
          </w:tcPr>
          <w:p>
            <w:pPr>
              <w:spacing w:after="0"/>
              <w:rPr>
                <w:sz w:val="2"/>
                <w:szCs w:val="2"/>
                <w:color w:val="auto"/>
              </w:rPr>
            </w:pPr>
          </w:p>
        </w:tc>
        <w:tc>
          <w:tcPr>
            <w:tcW w:w="1680" w:type="dxa"/>
            <w:vAlign w:val="bottom"/>
            <w:tcBorders>
              <w:right w:val="single" w:sz="8" w:color="auto"/>
            </w:tcBorders>
            <w:vMerge w:val="continue"/>
          </w:tcPr>
          <w:p>
            <w:pPr>
              <w:spacing w:after="0"/>
              <w:rPr>
                <w:sz w:val="2"/>
                <w:szCs w:val="2"/>
                <w:color w:val="auto"/>
              </w:rPr>
            </w:pPr>
          </w:p>
        </w:tc>
        <w:tc>
          <w:tcPr>
            <w:tcW w:w="2780" w:type="dxa"/>
            <w:vAlign w:val="bottom"/>
            <w:vMerge w:val="restart"/>
          </w:tcPr>
          <w:p>
            <w:pPr>
              <w:jc w:val="center"/>
              <w:spacing w:after="0"/>
              <w:rPr>
                <w:sz w:val="20"/>
                <w:szCs w:val="20"/>
                <w:color w:val="auto"/>
              </w:rPr>
            </w:pPr>
            <w:r>
              <w:rPr>
                <w:rFonts w:ascii="Arial" w:cs="Arial" w:eastAsia="Arial" w:hAnsi="Arial"/>
                <w:sz w:val="18"/>
                <w:szCs w:val="18"/>
                <w:color w:val="auto"/>
                <w:w w:val="92"/>
              </w:rPr>
              <w:t>0%</w:t>
            </w:r>
          </w:p>
        </w:tc>
        <w:tc>
          <w:tcPr>
            <w:tcW w:w="20" w:type="dxa"/>
            <w:vAlign w:val="bottom"/>
          </w:tcPr>
          <w:p>
            <w:pPr>
              <w:spacing w:after="0"/>
              <w:rPr>
                <w:sz w:val="2"/>
                <w:szCs w:val="2"/>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line="20" w:lineRule="exact"/>
              <w:rPr>
                <w:sz w:val="1"/>
                <w:szCs w:val="1"/>
                <w:color w:val="auto"/>
              </w:rPr>
            </w:pPr>
          </w:p>
        </w:tc>
      </w:tr>
      <w:tr>
        <w:trPr>
          <w:trHeight w:val="95"/>
        </w:trPr>
        <w:tc>
          <w:tcPr>
            <w:tcW w:w="3960" w:type="dxa"/>
            <w:vAlign w:val="bottom"/>
            <w:tcBorders>
              <w:left w:val="single" w:sz="8" w:color="auto"/>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278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27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28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9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Total PaTHway Trial</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n=23</w:t>
            </w:r>
          </w:p>
        </w:tc>
        <w:tc>
          <w:tcPr>
            <w:tcW w:w="2780" w:type="dxa"/>
            <w:vAlign w:val="bottom"/>
          </w:tcPr>
          <w:p>
            <w:pPr>
              <w:jc w:val="center"/>
              <w:spacing w:after="0"/>
              <w:rPr>
                <w:sz w:val="20"/>
                <w:szCs w:val="20"/>
                <w:color w:val="auto"/>
              </w:rPr>
            </w:pPr>
            <w:r>
              <w:rPr>
                <w:rFonts w:ascii="Arial" w:cs="Arial" w:eastAsia="Arial" w:hAnsi="Arial"/>
                <w:sz w:val="18"/>
                <w:szCs w:val="18"/>
                <w:color w:val="auto"/>
                <w:w w:val="93"/>
              </w:rPr>
              <w:t>n=12</w:t>
            </w:r>
          </w:p>
        </w:tc>
        <w:tc>
          <w:tcPr>
            <w:tcW w:w="20" w:type="dxa"/>
            <w:vAlign w:val="bottom"/>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n=13</w:t>
            </w:r>
          </w:p>
        </w:tc>
        <w:tc>
          <w:tcPr>
            <w:tcW w:w="0" w:type="dxa"/>
            <w:vAlign w:val="bottom"/>
          </w:tcPr>
          <w:p>
            <w:pPr>
              <w:spacing w:after="0"/>
              <w:rPr>
                <w:sz w:val="1"/>
                <w:szCs w:val="1"/>
                <w:color w:val="auto"/>
              </w:rPr>
            </w:pPr>
          </w:p>
        </w:tc>
      </w:tr>
      <w:tr>
        <w:trPr>
          <w:trHeight w:val="26"/>
        </w:trPr>
        <w:tc>
          <w:tcPr>
            <w:tcW w:w="3960" w:type="dxa"/>
            <w:vAlign w:val="bottom"/>
            <w:tcBorders>
              <w:left w:val="single" w:sz="8" w:color="auto"/>
              <w:right w:val="single" w:sz="8" w:color="auto"/>
            </w:tcBorders>
            <w:vMerge w:val="continue"/>
          </w:tcPr>
          <w:p>
            <w:pPr>
              <w:spacing w:after="0"/>
              <w:rPr>
                <w:sz w:val="2"/>
                <w:szCs w:val="2"/>
                <w:color w:val="auto"/>
              </w:rPr>
            </w:pPr>
          </w:p>
        </w:tc>
        <w:tc>
          <w:tcPr>
            <w:tcW w:w="1680" w:type="dxa"/>
            <w:vAlign w:val="bottom"/>
            <w:tcBorders>
              <w:right w:val="single" w:sz="8" w:color="auto"/>
            </w:tcBorders>
            <w:vMerge w:val="continue"/>
          </w:tcPr>
          <w:p>
            <w:pPr>
              <w:spacing w:after="0"/>
              <w:rPr>
                <w:sz w:val="2"/>
                <w:szCs w:val="2"/>
                <w:color w:val="auto"/>
              </w:rPr>
            </w:pPr>
          </w:p>
        </w:tc>
        <w:tc>
          <w:tcPr>
            <w:tcW w:w="2780" w:type="dxa"/>
            <w:vAlign w:val="bottom"/>
            <w:vMerge w:val="restart"/>
          </w:tcPr>
          <w:p>
            <w:pPr>
              <w:jc w:val="center"/>
              <w:spacing w:after="0"/>
              <w:rPr>
                <w:sz w:val="20"/>
                <w:szCs w:val="20"/>
                <w:color w:val="auto"/>
              </w:rPr>
            </w:pPr>
            <w:r>
              <w:rPr>
                <w:rFonts w:ascii="Arial" w:cs="Arial" w:eastAsia="Arial" w:hAnsi="Arial"/>
                <w:sz w:val="18"/>
                <w:szCs w:val="18"/>
                <w:color w:val="auto"/>
                <w:w w:val="94"/>
              </w:rPr>
              <w:t>52%</w:t>
            </w:r>
          </w:p>
        </w:tc>
        <w:tc>
          <w:tcPr>
            <w:tcW w:w="20" w:type="dxa"/>
            <w:vAlign w:val="bottom"/>
          </w:tcPr>
          <w:p>
            <w:pPr>
              <w:spacing w:after="0"/>
              <w:rPr>
                <w:sz w:val="2"/>
                <w:szCs w:val="2"/>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57%</w:t>
            </w:r>
          </w:p>
        </w:tc>
        <w:tc>
          <w:tcPr>
            <w:tcW w:w="0" w:type="dxa"/>
            <w:vAlign w:val="bottom"/>
          </w:tcPr>
          <w:p>
            <w:pPr>
              <w:spacing w:after="0" w:line="20" w:lineRule="exact"/>
              <w:rPr>
                <w:sz w:val="1"/>
                <w:szCs w:val="1"/>
                <w:color w:val="auto"/>
              </w:rPr>
            </w:pPr>
          </w:p>
        </w:tc>
      </w:tr>
      <w:tr>
        <w:trPr>
          <w:trHeight w:val="95"/>
        </w:trPr>
        <w:tc>
          <w:tcPr>
            <w:tcW w:w="3960" w:type="dxa"/>
            <w:vAlign w:val="bottom"/>
            <w:tcBorders>
              <w:left w:val="single" w:sz="8" w:color="auto"/>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278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27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28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-989330</wp:posOffset>
            </wp:positionV>
            <wp:extent cx="3557270" cy="9899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57270" cy="98996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eGFR based on central lab data using the MDRD Study Group formula.</w:t>
      </w:r>
    </w:p>
    <w:p>
      <w:pPr>
        <w:spacing w:after="0" w:line="23" w:lineRule="exact"/>
        <w:rPr>
          <w:sz w:val="20"/>
          <w:szCs w:val="20"/>
          <w:color w:val="auto"/>
        </w:rPr>
      </w:pPr>
    </w:p>
    <w:p>
      <w:pPr>
        <w:ind w:right="4660" w:firstLine="8"/>
        <w:spacing w:after="0" w:line="266" w:lineRule="auto"/>
        <w:tabs>
          <w:tab w:leader="none" w:pos="135"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Responders defined as moving from eGFR &lt; 60 to eGFR ≥ 60. Units in (mL/min/1.73m</w:t>
      </w: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 ** Patients in the placebo arm switched to TransCon PTH following the Week 26 visit.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right="320"/>
        <w:spacing w:after="0" w:line="296" w:lineRule="auto"/>
        <w:rPr>
          <w:sz w:val="20"/>
          <w:szCs w:val="20"/>
          <w:color w:val="auto"/>
        </w:rPr>
      </w:pPr>
      <w:r>
        <w:rPr>
          <w:rFonts w:ascii="Arial" w:cs="Arial" w:eastAsia="Arial" w:hAnsi="Arial"/>
          <w:sz w:val="16"/>
          <w:szCs w:val="16"/>
          <w:color w:val="auto"/>
        </w:rPr>
        <w:t>In late August 2023, a Type A meeting was held with FDA following the FDA's issuance of a complete response letter for the TransCon PTH (palopegteriparatide) NDA for the treatment of adults with hypoparathyroidism, in May 2023. In the complete response letter, the FDA cited concerns related to the manufacturing control strategy for variability of delivered dose in the TransCon PTH drug/device combination product. The FDA did not express concern in the complete response letter about the clinical data submitted as part of the NDA package and no new preclinical studies, or Phase 3 clinical trials to evaluate safety or efficacy, were requested in the letter. We plan to resubmit the NDA before mid-November 2023.</w:t>
      </w:r>
    </w:p>
    <w:p>
      <w:pPr>
        <w:spacing w:after="0" w:line="16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June 17, 2023, we announced one-year (Week 52) data from the open-label extension (“OLE”) portion of the Phase 3 PaTHway Trial of TransCon PTH in adults with hypoparathyroidism. PaTHway is a Phase 3 trial of TransCon PTH with a placebo ("PBO")-controlled 26-week blinded portion and a 156-week OLE portion, designed to evaluate the long-term efficacy and safety of TransCon PTH as a potential hormone therapy for adult patients diagnosed with hypoparathyroidism. Of the 82 study participants dosed, 79 completed blinded treatment and entered the OLE, and 78 (59 TransCon PTH/TransCon PTH, 19 PBO/TransCon PTH) completed Week 52. The data showed that treatment with TransCon PTH resulted in sustained improvements through Week 52, as well as safety and tolerability similar to that reported for the initial 26-week blinded portion of the trial.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76 out of 79 patients have exceeded two years of follow-up in the PaTHway Trial.</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June 5, 2023, we announced that we started enrollment for a Compassionate Use Program (“CUP”) in Germany for TransCon PTH (palopegteriparatide). The CUP was approved by Germany’s Federal Institute for Drugs &amp; Medical Devices (Bundesinstitut für Arzneimittel &amp; Medizinprodukte). Through the CUP, treating physicians can request TransCon PTH (palopegteriparatide) for eligible adult patients with hypoparathyroidism whose clinical condition, in the opinion of the treating physician, requires PTH treatment with palopegteriparatide, and who cannot be adequately treated with currently approved products or participate in a palopegteriparatide clinical trial.</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8, 2023, we announced topline data from PaTHway Japan, a single-arm Phase 3 trial to evaluate the safety, tolerability, and efficacy of TransCon PTH in adults with hypoparathyroidism. The study achieved its primary objective, with topline results consistent with our trials in North America and the EU. Twelve out of thirteen patients met the primary composite endpoint, which was defined as serum calcium levels in the normal range (8.3–10.6 mg/dL) and independence from conventional therapy (active vitamin D and &gt;600 mg/day of calcium supplements). In this trial, TransCon PTH was generally well-tolerated, with no discontinuations related to study drug. As of September 30, 2023, 12 patients continue in the ongoing 3-year extension portion of the PaTHway Japan Trial.</w:t>
      </w:r>
    </w:p>
    <w:p>
      <w:pPr>
        <w:spacing w:after="0" w:line="19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December 2022, the FDA allowed Ascendis to initiate a U.S. expanded access program (“EAP”) for TransCon PTH for eligible adult patients with hypoparathyroidism with prior PTH treatment experience. This EAP is open for enrollment, allowing U.S. physicians to request access to investigational TransCon PTH for their eligible patients.</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September 2022, we announced new Week 110 data from the Phase 2 PaTH Forward Trial showing that long-term therapy with TransCon PTH provided a durable response in adult patients with hypoparathyroidism, as evidenced by continued normalization of mean serum calcium levels and 93% of patients achieving independence from conventional therapy with active vitamin D and therapeutic levels of calcium. As of September 30, 2023, 57 out of the 59 patients continued in the OLE portion of the trial, where they receive an individualized maintenance dose of TransCon PTH. In addition, all 57 subjects have exceeded three years of follow-up in the PaTH Forward Trial. Two patients withdrew from the trial for reasons unrelated to safety or efficacy of the study drug.</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March 2022, we announced that topline data from the randomized, double-blind, placebo-controlled portion of our Phase 3 PaTHway Trial of TransCon PTH in adults with hypoparathyroidism demonstrated statistically significant improvement with TransCon PTH compared to control on the primary composite endpoint and all key secondary endpoints.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TransCon CNP</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TransCon CNP is an investigational long-acting prodrug of C-type natriuretic peptide designed to provide continuous CNP exposure at therapeutic levels with a well-tolerated and convenient once-weekly dose. It is being developed for the treatment of children with ACH.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Shorter-acting CNP and CNP analogs in development have resulted in high C</w:t>
      </w:r>
      <w:r>
        <w:rPr>
          <w:rFonts w:ascii="Arial" w:cs="Arial" w:eastAsia="Arial" w:hAnsi="Arial"/>
          <w:sz w:val="21"/>
          <w:szCs w:val="21"/>
          <w:color w:val="auto"/>
          <w:vertAlign w:val="subscript"/>
        </w:rPr>
        <w:t>max</w:t>
      </w:r>
      <w:r>
        <w:rPr>
          <w:rFonts w:ascii="Arial" w:cs="Arial" w:eastAsia="Arial" w:hAnsi="Arial"/>
          <w:sz w:val="16"/>
          <w:szCs w:val="16"/>
          <w:color w:val="auto"/>
        </w:rPr>
        <w:t xml:space="preserve"> levels that may cause adverse cardiovascular events. We believe the therapeutically sustained release of TransCon CNP offers advantages that may mitigate this issue, leading to more constant CNP exposure at lower C</w:t>
      </w:r>
      <w:r>
        <w:rPr>
          <w:rFonts w:ascii="Arial" w:cs="Arial" w:eastAsia="Arial" w:hAnsi="Arial"/>
          <w:sz w:val="21"/>
          <w:szCs w:val="21"/>
          <w:color w:val="auto"/>
          <w:vertAlign w:val="subscript"/>
        </w:rPr>
        <w:t>max</w:t>
      </w:r>
      <w:r>
        <w:rPr>
          <w:rFonts w:ascii="Arial" w:cs="Arial" w:eastAsia="Arial" w:hAnsi="Arial"/>
          <w:sz w:val="16"/>
          <w:szCs w:val="16"/>
          <w:color w:val="auto"/>
        </w:rPr>
        <w:t xml:space="preserve"> to correlate with better therapeutic outcomes.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Clinical Development of TransCon CNP for Achondroplasia</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ongoing pivotal, Phase 3 ApproaCH Trial and Phase 2 ACcomplisH trial, as well as our long-term extension trial AttaCH, are evaluating the safety and efficacy of TransCon CNP in children with ACH.</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third quarter of 2023, we filed an IND amendment with the FDA to initiate reACHin, a Phase 2, multicenter, double-blind, randomized, placebo-controlled trial, designed to evaluate the safety, tolerability, and efficacy of 100 μg CNP/kg of TransCon CNP once-weekly for 52 weeks in infants with ACH, aged 0 to &lt; 2 years at the time of randomization. We also plan to submit an IND or similar application in the fourth quarter of 2023 for the evaluation of TransCon CNP in combination with TransCon hGH.</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September 5, 2023, we announced completion of enrollment in ApproaCH with a total of 84 subjects randomized. U.S. and EU regulatory agencies have endorsed ApproaCH, a global randomized, double-blind, placebo-controlled trial in children ages 2–11 years with achondroplasia, as a pivotal Phase 3 trial. The primary endpoint of the trial is annualized growth velocity at 52 weeks with additional endpoints analyzing achondroplasia-related co-morbidities and quality of life. Topline results from the ApproaCH trial are expected in the second half of 2024.</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November 2022, we announced topline results from ACcomplisH, a Phase 2 randomized, double-blind, placebo-controlled, dose-escalation trial evaluating the safety and efficacy of once-weekly TransCon CNP compared to placebo.</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ACcomplisH Trial evaluated 57 children with ACH aged 2 to 10 years, randomized in a 3:1 ratio to receive either sequential ascending doses of once-weekly TransCon CNP or placebo for 52 weeks. The trial met its primary objectives, demonstrating that TransCon CNP at 100 µg/kg/week was superior to placebo on the primary efficacy endpoint of annualized height velocity (“AHV”) at 52 weeks (p=0.0218). All 57 randomized children completed the blinded portion of ACcomplisH and continued in the OLE portion of ACcomplisH at the 100 µg/kg/week dose. As of September 30, 2023, the first 13 patients completed the OLE portion of the ACcomplisH Trial and transitioned into the Phase 2 AttaCH Trial, a multicenter, long-term, open label extension and 12 continue treatment; 44 patients continue in OLE portion of ACcomplisH.</w:t>
      </w:r>
    </w:p>
    <w:p>
      <w:pPr>
        <w:spacing w:after="0" w:line="74"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352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 xml:space="preserve">TransCon CNP Dose Group </w:t>
            </w:r>
            <w:r>
              <w:rPr>
                <w:rFonts w:ascii="Arial" w:cs="Arial" w:eastAsia="Arial" w:hAnsi="Arial"/>
                <w:sz w:val="18"/>
                <w:szCs w:val="18"/>
                <w:color w:val="auto"/>
              </w:rPr>
              <w:t>(n)</w:t>
            </w:r>
          </w:p>
        </w:tc>
        <w:tc>
          <w:tcPr>
            <w:tcW w:w="39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AHV (cm/year)</w:t>
            </w:r>
          </w:p>
        </w:tc>
        <w:tc>
          <w:tcPr>
            <w:tcW w:w="3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p-value</w:t>
            </w:r>
          </w:p>
        </w:tc>
        <w:tc>
          <w:tcPr>
            <w:tcW w:w="0" w:type="dxa"/>
            <w:vAlign w:val="bottom"/>
          </w:tcPr>
          <w:p>
            <w:pPr>
              <w:spacing w:after="0"/>
              <w:rPr>
                <w:sz w:val="1"/>
                <w:szCs w:val="1"/>
                <w:color w:val="auto"/>
              </w:rPr>
            </w:pPr>
          </w:p>
        </w:tc>
      </w:tr>
      <w:tr>
        <w:trPr>
          <w:trHeight w:val="171"/>
        </w:trPr>
        <w:tc>
          <w:tcPr>
            <w:tcW w:w="3520" w:type="dxa"/>
            <w:vAlign w:val="bottom"/>
            <w:tcBorders>
              <w:left w:val="single" w:sz="8" w:color="auto"/>
              <w:right w:val="single" w:sz="8" w:color="auto"/>
            </w:tcBorders>
            <w:vMerge w:val="continue"/>
          </w:tcPr>
          <w:p>
            <w:pPr>
              <w:spacing w:after="0"/>
              <w:rPr>
                <w:sz w:val="14"/>
                <w:szCs w:val="14"/>
                <w:color w:val="auto"/>
              </w:rPr>
            </w:pPr>
          </w:p>
        </w:tc>
        <w:tc>
          <w:tcPr>
            <w:tcW w:w="39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LS Mean [95% CI]</w:t>
            </w:r>
          </w:p>
        </w:tc>
        <w:tc>
          <w:tcPr>
            <w:tcW w:w="3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(TransCon CNP vs. Pooled Placebo)</w:t>
            </w:r>
          </w:p>
        </w:tc>
        <w:tc>
          <w:tcPr>
            <w:tcW w:w="0" w:type="dxa"/>
            <w:vAlign w:val="bottom"/>
          </w:tcPr>
          <w:p>
            <w:pPr>
              <w:spacing w:after="0"/>
              <w:rPr>
                <w:sz w:val="1"/>
                <w:szCs w:val="1"/>
                <w:color w:val="auto"/>
              </w:rPr>
            </w:pPr>
          </w:p>
        </w:tc>
      </w:tr>
      <w:tr>
        <w:trPr>
          <w:trHeight w:val="229"/>
        </w:trPr>
        <w:tc>
          <w:tcPr>
            <w:tcW w:w="352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vMerge w:val="continue"/>
          </w:tcPr>
          <w:p>
            <w:pPr>
              <w:spacing w:after="0"/>
              <w:rPr>
                <w:sz w:val="19"/>
                <w:szCs w:val="19"/>
                <w:color w:val="auto"/>
              </w:rPr>
            </w:pPr>
          </w:p>
        </w:tc>
        <w:tc>
          <w:tcPr>
            <w:tcW w:w="37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6 µg/kg/week </w:t>
            </w:r>
            <w:r>
              <w:rPr>
                <w:rFonts w:ascii="Arial" w:cs="Arial" w:eastAsia="Arial" w:hAnsi="Arial"/>
                <w:sz w:val="18"/>
                <w:szCs w:val="18"/>
                <w:color w:val="auto"/>
              </w:rPr>
              <w:t>(n=10)</w:t>
            </w:r>
          </w:p>
        </w:tc>
        <w:tc>
          <w:tcPr>
            <w:tcW w:w="39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4.09</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0.6004</w:t>
            </w:r>
          </w:p>
        </w:tc>
        <w:tc>
          <w:tcPr>
            <w:tcW w:w="0" w:type="dxa"/>
            <w:vAlign w:val="bottom"/>
          </w:tcPr>
          <w:p>
            <w:pPr>
              <w:spacing w:after="0"/>
              <w:rPr>
                <w:sz w:val="1"/>
                <w:szCs w:val="1"/>
                <w:color w:val="auto"/>
              </w:rPr>
            </w:pPr>
          </w:p>
        </w:tc>
      </w:tr>
      <w:tr>
        <w:trPr>
          <w:trHeight w:val="377"/>
        </w:trPr>
        <w:tc>
          <w:tcPr>
            <w:tcW w:w="3520" w:type="dxa"/>
            <w:vAlign w:val="bottom"/>
            <w:tcBorders>
              <w:left w:val="single" w:sz="8" w:color="auto"/>
              <w:bottom w:val="single" w:sz="8" w:color="auto"/>
              <w:right w:val="single" w:sz="8" w:color="auto"/>
            </w:tcBorders>
          </w:tcPr>
          <w:p>
            <w:pPr>
              <w:spacing w:after="0"/>
              <w:rPr>
                <w:sz w:val="24"/>
                <w:szCs w:val="24"/>
                <w:color w:val="auto"/>
              </w:rPr>
            </w:pPr>
          </w:p>
        </w:tc>
        <w:tc>
          <w:tcPr>
            <w:tcW w:w="3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[3.34, 4.84]</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20 µg/kg/week </w:t>
            </w:r>
            <w:r>
              <w:rPr>
                <w:rFonts w:ascii="Arial" w:cs="Arial" w:eastAsia="Arial" w:hAnsi="Arial"/>
                <w:sz w:val="18"/>
                <w:szCs w:val="18"/>
                <w:color w:val="auto"/>
              </w:rPr>
              <w:t>(n=11)</w:t>
            </w:r>
          </w:p>
        </w:tc>
        <w:tc>
          <w:tcPr>
            <w:tcW w:w="39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4.52</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0.7022</w:t>
            </w:r>
          </w:p>
        </w:tc>
        <w:tc>
          <w:tcPr>
            <w:tcW w:w="0" w:type="dxa"/>
            <w:vAlign w:val="bottom"/>
          </w:tcPr>
          <w:p>
            <w:pPr>
              <w:spacing w:after="0"/>
              <w:rPr>
                <w:sz w:val="1"/>
                <w:szCs w:val="1"/>
                <w:color w:val="auto"/>
              </w:rPr>
            </w:pPr>
          </w:p>
        </w:tc>
      </w:tr>
      <w:tr>
        <w:trPr>
          <w:trHeight w:val="380"/>
        </w:trPr>
        <w:tc>
          <w:tcPr>
            <w:tcW w:w="3520" w:type="dxa"/>
            <w:vAlign w:val="bottom"/>
            <w:tcBorders>
              <w:left w:val="single" w:sz="8" w:color="auto"/>
              <w:bottom w:val="single" w:sz="8" w:color="auto"/>
              <w:right w:val="single" w:sz="8" w:color="auto"/>
            </w:tcBorders>
          </w:tcPr>
          <w:p>
            <w:pPr>
              <w:spacing w:after="0"/>
              <w:rPr>
                <w:sz w:val="24"/>
                <w:szCs w:val="24"/>
                <w:color w:val="auto"/>
              </w:rPr>
            </w:pPr>
          </w:p>
        </w:tc>
        <w:tc>
          <w:tcPr>
            <w:tcW w:w="3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[3.82, 5.22]</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50 µg/kg/week </w:t>
            </w:r>
            <w:r>
              <w:rPr>
                <w:rFonts w:ascii="Arial" w:cs="Arial" w:eastAsia="Arial" w:hAnsi="Arial"/>
                <w:sz w:val="18"/>
                <w:szCs w:val="18"/>
                <w:color w:val="auto"/>
              </w:rPr>
              <w:t>(n=10)</w:t>
            </w:r>
          </w:p>
        </w:tc>
        <w:tc>
          <w:tcPr>
            <w:tcW w:w="39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5.16</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0.0849</w:t>
            </w:r>
          </w:p>
        </w:tc>
        <w:tc>
          <w:tcPr>
            <w:tcW w:w="0" w:type="dxa"/>
            <w:vAlign w:val="bottom"/>
          </w:tcPr>
          <w:p>
            <w:pPr>
              <w:spacing w:after="0"/>
              <w:rPr>
                <w:sz w:val="1"/>
                <w:szCs w:val="1"/>
                <w:color w:val="auto"/>
              </w:rPr>
            </w:pPr>
          </w:p>
        </w:tc>
      </w:tr>
      <w:tr>
        <w:trPr>
          <w:trHeight w:val="380"/>
        </w:trPr>
        <w:tc>
          <w:tcPr>
            <w:tcW w:w="3520" w:type="dxa"/>
            <w:vAlign w:val="bottom"/>
            <w:tcBorders>
              <w:left w:val="single" w:sz="8" w:color="auto"/>
              <w:bottom w:val="single" w:sz="8" w:color="auto"/>
              <w:right w:val="single" w:sz="8" w:color="auto"/>
            </w:tcBorders>
          </w:tcPr>
          <w:p>
            <w:pPr>
              <w:spacing w:after="0"/>
              <w:rPr>
                <w:sz w:val="24"/>
                <w:szCs w:val="24"/>
                <w:color w:val="auto"/>
              </w:rPr>
            </w:pPr>
          </w:p>
        </w:tc>
        <w:tc>
          <w:tcPr>
            <w:tcW w:w="3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[4.43, 5.90]</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100 µg/kg/week </w:t>
            </w:r>
            <w:r>
              <w:rPr>
                <w:rFonts w:ascii="Arial" w:cs="Arial" w:eastAsia="Arial" w:hAnsi="Arial"/>
                <w:sz w:val="18"/>
                <w:szCs w:val="18"/>
                <w:color w:val="auto"/>
              </w:rPr>
              <w:t>(n=11)</w:t>
            </w:r>
          </w:p>
        </w:tc>
        <w:tc>
          <w:tcPr>
            <w:tcW w:w="39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5.42</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0.0218</w:t>
            </w:r>
          </w:p>
        </w:tc>
        <w:tc>
          <w:tcPr>
            <w:tcW w:w="0" w:type="dxa"/>
            <w:vAlign w:val="bottom"/>
          </w:tcPr>
          <w:p>
            <w:pPr>
              <w:spacing w:after="0"/>
              <w:rPr>
                <w:sz w:val="1"/>
                <w:szCs w:val="1"/>
                <w:color w:val="auto"/>
              </w:rPr>
            </w:pPr>
          </w:p>
        </w:tc>
      </w:tr>
      <w:tr>
        <w:trPr>
          <w:trHeight w:val="380"/>
        </w:trPr>
        <w:tc>
          <w:tcPr>
            <w:tcW w:w="3520" w:type="dxa"/>
            <w:vAlign w:val="bottom"/>
            <w:tcBorders>
              <w:left w:val="single" w:sz="8" w:color="auto"/>
              <w:bottom w:val="single" w:sz="8" w:color="auto"/>
              <w:right w:val="single" w:sz="8" w:color="auto"/>
            </w:tcBorders>
          </w:tcPr>
          <w:p>
            <w:pPr>
              <w:spacing w:after="0"/>
              <w:rPr>
                <w:sz w:val="24"/>
                <w:szCs w:val="24"/>
                <w:color w:val="auto"/>
              </w:rPr>
            </w:pPr>
          </w:p>
        </w:tc>
        <w:tc>
          <w:tcPr>
            <w:tcW w:w="3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[4.74, 6.11]</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Pooled Placebo </w:t>
            </w:r>
            <w:r>
              <w:rPr>
                <w:rFonts w:ascii="Arial" w:cs="Arial" w:eastAsia="Arial" w:hAnsi="Arial"/>
                <w:sz w:val="18"/>
                <w:szCs w:val="18"/>
                <w:color w:val="auto"/>
              </w:rPr>
              <w:t>(n=15)</w:t>
            </w:r>
          </w:p>
        </w:tc>
        <w:tc>
          <w:tcPr>
            <w:tcW w:w="39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4.35</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80"/>
        </w:trPr>
        <w:tc>
          <w:tcPr>
            <w:tcW w:w="3520" w:type="dxa"/>
            <w:vAlign w:val="bottom"/>
            <w:tcBorders>
              <w:left w:val="single" w:sz="8" w:color="auto"/>
              <w:bottom w:val="single" w:sz="8" w:color="auto"/>
              <w:right w:val="single" w:sz="8" w:color="auto"/>
            </w:tcBorders>
          </w:tcPr>
          <w:p>
            <w:pPr>
              <w:spacing w:after="0"/>
              <w:rPr>
                <w:sz w:val="24"/>
                <w:szCs w:val="24"/>
                <w:color w:val="auto"/>
              </w:rPr>
            </w:pPr>
          </w:p>
        </w:tc>
        <w:tc>
          <w:tcPr>
            <w:tcW w:w="3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[3.75, 4.94]</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Additional highlights:</w:t>
      </w:r>
    </w:p>
    <w:p>
      <w:pPr>
        <w:spacing w:after="0" w:line="117"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TransCon CNP demonstrated a consistent dose-dependent increase in AHV across the four dose groups.</w:t>
      </w:r>
    </w:p>
    <w:p>
      <w:pPr>
        <w:spacing w:after="0" w:line="117"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Mean improvements in AHV for TransCon CNP-treated patients were consistent across age groups &lt;5 years and &gt;5 years, with dose response established.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TransCon CNP at 100 µg/kg/week improved change in ACH-specific height SDS compared to placebo (p=0.0283).</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TransCon CNP was generally well tolerated, with no discontinuations.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serious adverse events (“SAEs”) related to treatment were reported; two unrelated SAEs were reported.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Injections were generally well tolerated with low frequency of injection site reactions (“ISRs”):</w:t>
      </w:r>
    </w:p>
    <w:p>
      <w:pPr>
        <w:spacing w:after="0" w:line="11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11 mild ISRs (in 8 patients) out of &gt;2,000 injections.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ind w:left="1020" w:right="30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Patients treated ≥6 months at 100 µg/kg/week in the blinded or OLE period demonstrated a consistent and sustained response, with mean AHV of 5.39 cm/year (n=40).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One-year follow-up from the OLE portion of the ACcomplisH Trial is expected during the fourth quarter of 2023.</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are also conducting ACHieve, a multi-center natural history study designed to gain insight into the experiences of pediatric subjects with ACH. ACHieve will study growth velocity, body proportionality, and comorbidities over time in children with ACH up to eight years old. No study medication will be administered.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Product Candidates – Oncology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TransCon for Immuno-Oncology</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believe prolonging therapeutic activity and targeting drug activity to relevant cell types and tissues have the potential to improve treatment outcomes while reducing toxicities, and could offer potential new combination and multi-agent regimens that would not otherwise be feasible. In addition, we believe our TransCon technology platform is well-suited to improve cancer treatments given the large number of validated targets with known limitations. We are currently investigating two clinical-stage product candidates designed to activate the patient’s own immune system to eradicate malignant cells.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in Immuno-Oncology</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two product candidates in Oncology are designed to provide sustained therapeutic levels of an active drug locally (TransCon TLR7/8 Agonist), or systemically (TransCon IL-2 ß/γ), which we believe could provide potent and durable systemic anti-tumor efficacy.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TransCon TLR7/8 Agonist for Sustained Localized Release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TransCon TLR7/8 Agonist is an investigational long-acting prodrug, designed for sustained release of resiquimod, a small molecule agonist of TLR 7 and</w:t>
      </w:r>
    </w:p>
    <w:p>
      <w:pPr>
        <w:spacing w:after="0" w:line="46" w:lineRule="exact"/>
        <w:rPr>
          <w:sz w:val="20"/>
          <w:szCs w:val="20"/>
          <w:color w:val="auto"/>
        </w:rPr>
      </w:pPr>
    </w:p>
    <w:p>
      <w:pPr>
        <w:ind w:right="20" w:firstLine="8"/>
        <w:spacing w:after="0" w:line="253"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is designed to provide sustained and potent activation of the innate immune system in the tumor and tumor draining lymph node for weeks following a single intratumoral injection and to have a low risk of systemic toxicity. The transcendIT-101 Trial, a Phase 1/2 clinical trial to evaluate the safety and efficacy of TransCon TLR7/8 Agonist in locally advanced or metastatic solid tumors, alone or in combination with pembrolizumab, is enrolling patients in four indication-specific cohorts.</w:t>
      </w:r>
    </w:p>
    <w:p>
      <w:pPr>
        <w:spacing w:after="0" w:line="19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May 31, 2023, we announced additional follow-up from the Phase 1/2 transcendIT-101 Trial indicating further clinical activity in patients receiving TransCon TLR7/8 Agonist as monotherapy or in combination with pembrolizumab. Enrollment continues in the Phase 2 portion of transcendIT-101 at the recommended Phase 2 dose (“RP2D”) of 0.5 mg/lesion for up to two lesions, which is being evaluated in four indication-specific cohorts focused on cancers where increased TLR activity has potential to improve innate and adaptive immune activation and host defense against cancers.</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November 2022, we announced new data from the dose-escalation portion of transcendIT-101. All 23 of the patients enrolled in the dose escalation portion of the trial had advanced or metastatic solid tumors that had progressed on prior treatments, 9 in the monotherapy cohort (intratumoral TransCon TLR7/8 Agonist alone) and 14 in the combination therapy cohort (intratumoral TransCon TLR7/8 Agonist plus the check-point inhibitor pembrolizumab). Two dose levels were evaluated: 0.3 mg/lesion and 0.5 mg/lesion. The RP2D was declared at 0.5 mg/lesion for up to two lesions, which is being evaluated in four cohorts focused on cancers.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TransCon IL-2 ß/</w:t>
      </w:r>
      <w:r>
        <w:rPr>
          <w:rFonts w:ascii="Arial" w:cs="Arial" w:eastAsia="Arial" w:hAnsi="Arial"/>
          <w:sz w:val="18"/>
          <w:szCs w:val="18"/>
          <w:b w:val="1"/>
          <w:bCs w:val="1"/>
          <w:color w:val="auto"/>
        </w:rPr>
        <w:t>γ</w:t>
      </w:r>
      <w:r>
        <w:rPr>
          <w:rFonts w:ascii="Arial" w:cs="Arial" w:eastAsia="Arial" w:hAnsi="Arial"/>
          <w:sz w:val="18"/>
          <w:szCs w:val="18"/>
          <w:b w:val="1"/>
          <w:bCs w:val="1"/>
          <w:i w:val="1"/>
          <w:iCs w:val="1"/>
          <w:color w:val="auto"/>
        </w:rPr>
        <w:t xml:space="preserve"> for Sustained Systemic Release</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TransCon IL-2 ß/γ is an investigational long-acting prodrug designed to improve cancer immunotherapy through sustained release of an IL-2 variant that selectively activates IL-2Rß/γ, with minimal binding to IL-2Rα. The Phase 1/2 IL-Believe Trial evaluating TransCon IL-2 ß/γ monotherapy or in combination with pembrolizumab in patients with advanced cancer is enrolling patients in dose expansion cohorts.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October 23, 2023, we announced new and updated data from the ongoing Phase 1/2 IL-Believe Trial. Forty-six patients were enrolled into dose escalation: 25 to monotherapy and 21 to combination therapy. Anti-tumor clinical responses have been observed with TransCon IL-2 ß/γ monotherapy (colorectal cancer with confirmed partial response (“PR”)) or in combination with pembrolizumab (small cell lung cancer, 1 with confirmed PR and 1 ongoing with unconfirmed complete response) in heavily pre-treated patients who previously progressed on checkpoint inhibitors. TransCon IL-2 ß/γ every 3 weeks was generally well tolerated, with no meaningful effect on Tregs and eosinophils. On September 5, 2023, we announced completion of the Phase 1 dose escalation in combination with pembrolizumab of the Phase 1/2 IL-Believe Trial with RP2D determined at 120 µg/kg IV every three weeks. Twenty-one patients were enrolled.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1" w:name="page32"/>
    <w:bookmarkEnd w:id="31"/>
    <w:p>
      <w:pPr>
        <w:ind w:right="180"/>
        <w:spacing w:after="0" w:line="308" w:lineRule="auto"/>
        <w:rPr>
          <w:sz w:val="20"/>
          <w:szCs w:val="20"/>
          <w:color w:val="auto"/>
        </w:rPr>
      </w:pPr>
      <w:r>
        <w:rPr>
          <w:rFonts w:ascii="Arial" w:cs="Arial" w:eastAsia="Arial" w:hAnsi="Arial"/>
          <w:sz w:val="17"/>
          <w:szCs w:val="17"/>
          <w:color w:val="auto"/>
        </w:rPr>
        <w:t>On May 31, 2023, we announced completion of the Phase 1 monotherapy dose escalation of the Phase 1/2 IL-Believe Trial with RP2D determined at 120 µg/kg IV every three weeks. Twenty-five heavily pre-treated patients were enrolled (median of four prior lines of systemic therapies).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Initial data from Phase 2 dose expansion cohorts are expected in 2024.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Development Plans</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believe that a combination TransCon TLR7/8 Agonist and TransCon IL-2 ß/γ may have the potential to produce greater anti-tumor activity than either candidate alone. We plan to evaluate clinical activity of the combination of TransCon TLR7/8 Agonist and TransCon IL-2 ß/γ in 2023.</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Product Candidates – Ophthalmology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Opportunity in Ophthalmology</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According to the Centers for Disease Control and Prevention, more than four million Americans aged 40 years and older are either legally blind or live with low vision. Age-related eye diseases such as age-related macular degeneration (“AMD”), cataract, diabetic retinopathy, and glaucoma are the leading causes of blindness and low vision. Advances in technology have resulted in new treatment options for disorders such as wet AMD, diabetic macular edema, and retinal vein occlusion. Through intravitreal injections, medication is placed directly into a space in the back of the eye called the vitreous cavity.</w:t>
      </w:r>
    </w:p>
    <w:p>
      <w:pPr>
        <w:spacing w:after="0" w:line="15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use of anti-vascular endothelial growth factor (“anti-VEGF”) agents have transformed the treatment of wet AMD. Clinical studies have shown that anti-VEGF treatments are very successful in preventing vision loss resulting from wet AMD and may help regain some lost vision. However, anti-VEGF treatment requires repetitive intravitreal injections, representing a high treatment burden for the patients. Lack of adherence and undertreatment remains a significant issue in real-world outcomes, and extending duration of therapeutic effect and reducing treatment frequency remains a key unmet medical need. Intravitreal treatments represent an established, well-understood, and high-value therapeutic category, characterized by high unmet medical need. We estimate the global market for ophthalmology treatments exceeds $10 billion and is primed for disruption.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TransCon Hydrogel for Ophthalmology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TransCon Hydrogel platform has been designed to provide sustained levels of a drug at a localized site and to allow for prolonged, continuous release over months. In vivo data demonstrated that the TransCon Hydrogel platform provided continuous local drug release over at least six months, supporting twice yearly administration. By reducing the frequency of intravitreal injection, we believe the TransCon Hydrogel platform could potentially increase patient adherence and persistence, resulting in better outcomes.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of TransCon Ophthalmology Pipeline Candidates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TransCon RBZ (ranibizumab) has been selected as our lead pipeline candidate for Ophthalmology. Lucentis® (ranibizumab) was first approved by the FDA in 2006 for the treatment of wet AMD. It has been studied extensively and demonstrated efficacy following sustained infusion from an implantable osmotic minipump. Thus, we believe ranibizumab represents a clinically validated parent drug that could provide lower development risk compared to new candidate discovery. In addition to TransCon RBZ, we are evaluating additional Ophthalmology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exploring a range of strategic alternatives to advance our TransCon Ophthalmology pipeline.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2023 and 2022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800" w:type="dxa"/>
            <w:vAlign w:val="bottom"/>
            <w:gridSpan w:val="5"/>
          </w:tcPr>
          <w:p>
            <w:pPr>
              <w:jc w:val="center"/>
              <w:ind w:right="141"/>
              <w:spacing w:after="0"/>
              <w:rPr>
                <w:sz w:val="20"/>
                <w:szCs w:val="20"/>
                <w:color w:val="auto"/>
              </w:rPr>
            </w:pPr>
            <w:r>
              <w:rPr>
                <w:rFonts w:ascii="Arial" w:cs="Arial" w:eastAsia="Arial" w:hAnsi="Arial"/>
                <w:sz w:val="14"/>
                <w:szCs w:val="14"/>
                <w:b w:val="1"/>
                <w:bCs w:val="1"/>
                <w:color w:val="auto"/>
                <w:w w:val="93"/>
              </w:rPr>
              <w:t>Three Months Ended</w:t>
            </w:r>
          </w:p>
        </w:tc>
        <w:tc>
          <w:tcPr>
            <w:tcW w:w="2680" w:type="dxa"/>
            <w:vAlign w:val="bottom"/>
            <w:gridSpan w:val="5"/>
          </w:tcPr>
          <w:p>
            <w:pPr>
              <w:jc w:val="center"/>
              <w:ind w:right="21"/>
              <w:spacing w:after="0"/>
              <w:rPr>
                <w:sz w:val="20"/>
                <w:szCs w:val="20"/>
                <w:color w:val="auto"/>
              </w:rPr>
            </w:pPr>
            <w:r>
              <w:rPr>
                <w:rFonts w:ascii="Arial" w:cs="Arial" w:eastAsia="Arial" w:hAnsi="Arial"/>
                <w:sz w:val="14"/>
                <w:szCs w:val="14"/>
                <w:b w:val="1"/>
                <w:bCs w:val="1"/>
                <w:color w:val="auto"/>
                <w:w w:val="93"/>
              </w:rPr>
              <w:t>Nine Months Ended</w:t>
            </w:r>
          </w:p>
        </w:tc>
      </w:tr>
      <w:tr>
        <w:trPr>
          <w:trHeight w:val="185"/>
        </w:trPr>
        <w:tc>
          <w:tcPr>
            <w:tcW w:w="576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715"/>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715"/>
              <w:spacing w:after="0"/>
              <w:rPr>
                <w:sz w:val="20"/>
                <w:szCs w:val="20"/>
                <w:color w:val="auto"/>
              </w:rPr>
            </w:pPr>
            <w:r>
              <w:rPr>
                <w:rFonts w:ascii="Arial" w:cs="Arial" w:eastAsia="Arial" w:hAnsi="Arial"/>
                <w:sz w:val="14"/>
                <w:szCs w:val="14"/>
                <w:b w:val="1"/>
                <w:bCs w:val="1"/>
                <w:color w:val="auto"/>
                <w:w w:val="89"/>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11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760" w:type="dxa"/>
            <w:vAlign w:val="bottom"/>
          </w:tcPr>
          <w:p>
            <w:pPr>
              <w:spacing w:after="0"/>
              <w:rPr>
                <w:sz w:val="14"/>
                <w:szCs w:val="14"/>
                <w:color w:val="auto"/>
              </w:rPr>
            </w:pPr>
          </w:p>
        </w:tc>
        <w:tc>
          <w:tcPr>
            <w:tcW w:w="1800" w:type="dxa"/>
            <w:vAlign w:val="bottom"/>
            <w:gridSpan w:val="3"/>
          </w:tcPr>
          <w:p>
            <w:pPr>
              <w:jc w:val="center"/>
              <w:ind w:left="695"/>
              <w:spacing w:after="0"/>
              <w:rPr>
                <w:sz w:val="20"/>
                <w:szCs w:val="20"/>
                <w:color w:val="auto"/>
              </w:rPr>
            </w:pPr>
            <w:r>
              <w:rPr>
                <w:rFonts w:ascii="Arial" w:cs="Arial" w:eastAsia="Arial" w:hAnsi="Arial"/>
                <w:sz w:val="14"/>
                <w:szCs w:val="14"/>
                <w:b w:val="1"/>
                <w:bCs w:val="1"/>
                <w:color w:val="auto"/>
                <w:w w:val="99"/>
              </w:rPr>
              <w:t>(EUR’000)</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tcPr>
          <w:p>
            <w:pPr>
              <w:jc w:val="center"/>
              <w:ind w:left="715"/>
              <w:spacing w:after="0"/>
              <w:rPr>
                <w:sz w:val="20"/>
                <w:szCs w:val="20"/>
                <w:color w:val="auto"/>
              </w:rPr>
            </w:pPr>
            <w:r>
              <w:rPr>
                <w:rFonts w:ascii="Arial" w:cs="Arial" w:eastAsia="Arial" w:hAnsi="Arial"/>
                <w:sz w:val="14"/>
                <w:szCs w:val="14"/>
                <w:b w:val="1"/>
                <w:bCs w:val="1"/>
                <w:color w:val="auto"/>
                <w:w w:val="99"/>
              </w:rPr>
              <w:t>(EUR’000)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Statement of Profit or Loss</w:t>
            </w: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tcPr>
          <w:p>
            <w:pPr>
              <w:jc w:val="right"/>
              <w:spacing w:after="0"/>
              <w:rPr>
                <w:sz w:val="20"/>
                <w:szCs w:val="20"/>
                <w:color w:val="auto"/>
              </w:rPr>
            </w:pPr>
            <w:r>
              <w:rPr>
                <w:rFonts w:ascii="Arial" w:cs="Arial" w:eastAsia="Arial" w:hAnsi="Arial"/>
                <w:sz w:val="18"/>
                <w:szCs w:val="18"/>
                <w:color w:val="auto"/>
              </w:rPr>
              <w:t>48,034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15,290</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129,016</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28,278</w:t>
            </w:r>
          </w:p>
        </w:tc>
        <w:tc>
          <w:tcPr>
            <w:tcW w:w="100" w:type="dxa"/>
            <w:vAlign w:val="bottom"/>
          </w:tcPr>
          <w:p>
            <w:pPr>
              <w:spacing w:after="0"/>
              <w:rPr>
                <w:sz w:val="20"/>
                <w:szCs w:val="20"/>
                <w:color w:val="auto"/>
              </w:rPr>
            </w:pPr>
          </w:p>
        </w:tc>
      </w:tr>
      <w:tr>
        <w:trPr>
          <w:trHeight w:val="243"/>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7,388</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24,938</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40,646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13,597</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104,078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21,253</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costs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111,439</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97,431</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322,573</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271,006</w:t>
            </w:r>
          </w:p>
        </w:tc>
        <w:tc>
          <w:tcPr>
            <w:tcW w:w="100" w:type="dxa"/>
            <w:vAlign w:val="bottom"/>
            <w:shd w:val="clear" w:color="auto" w:fill="CFF0FC"/>
          </w:tcPr>
          <w:p>
            <w:pPr>
              <w:spacing w:after="0"/>
              <w:rPr>
                <w:sz w:val="21"/>
                <w:szCs w:val="2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63,614</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60,671</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200,435</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164,675</w:t>
            </w:r>
          </w:p>
        </w:tc>
        <w:tc>
          <w:tcPr>
            <w:tcW w:w="100" w:type="dxa"/>
            <w:vAlign w:val="bottom"/>
          </w:tcPr>
          <w:p>
            <w:pPr>
              <w:spacing w:after="0"/>
              <w:rPr>
                <w:sz w:val="20"/>
                <w:szCs w:val="20"/>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profit / (loss)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(134,407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(144,505</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(418,930</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(414,428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Share of profit / (loss) of associate</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(6,794 )</w:t>
            </w:r>
          </w:p>
        </w:tc>
        <w:tc>
          <w:tcPr>
            <w:tcW w:w="38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(3,696 )</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(15,471 )</w:t>
            </w:r>
          </w:p>
        </w:tc>
        <w:tc>
          <w:tcPr>
            <w:tcW w:w="4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(9,736 )</w:t>
            </w:r>
          </w:p>
        </w:tc>
      </w:tr>
      <w:tr>
        <w:trPr>
          <w:trHeight w:val="24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income</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20,326</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76,985</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73,797</w:t>
            </w:r>
          </w:p>
        </w:tc>
        <w:tc>
          <w:tcPr>
            <w:tcW w:w="100" w:type="dxa"/>
            <w:vAlign w:val="bottom"/>
            <w:shd w:val="clear" w:color="auto" w:fill="CFF0FC"/>
          </w:tcPr>
          <w:p>
            <w:pPr>
              <w:spacing w:after="0"/>
              <w:rPr>
                <w:sz w:val="21"/>
                <w:szCs w:val="2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Finance expenses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24,519</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41,247</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35,640</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25,381</w:t>
            </w:r>
          </w:p>
        </w:tc>
        <w:tc>
          <w:tcPr>
            <w:tcW w:w="100" w:type="dxa"/>
            <w:vAlign w:val="bottom"/>
          </w:tcPr>
          <w:p>
            <w:pPr>
              <w:spacing w:after="0"/>
              <w:rPr>
                <w:sz w:val="20"/>
                <w:szCs w:val="20"/>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Profit / (loss) before tax</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(161,578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(169,122</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(393,056</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(375,748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Income taxes (expenses)</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(645 )</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20"/>
                <w:szCs w:val="20"/>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(1,513 )</w:t>
            </w:r>
          </w:p>
        </w:tc>
        <w:tc>
          <w:tcPr>
            <w:tcW w:w="4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(28 )</w:t>
            </w:r>
          </w:p>
        </w:tc>
      </w:tr>
      <w:tr>
        <w:trPr>
          <w:trHeight w:val="27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profit / (loss) for the period</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(162,223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(168,955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(394,569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(375,776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-1602105</wp:posOffset>
            </wp:positionV>
            <wp:extent cx="7747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-1602105</wp:posOffset>
            </wp:positionV>
            <wp:extent cx="6858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-1602105</wp:posOffset>
            </wp:positionV>
            <wp:extent cx="6858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had a net loss of €394.6 million for the nine months ended September 30, 2023, compared to a net loss of €375.8 million for the same period last year. Total equity presented a negative balance of €73.4 million as of September 30, 2023, compared to a positive balance of €263.3 million as of December 31, 2022. Further details about our results of operations are described in the following sections.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Revenue for the three and nine months ended September 30, 2023, was €48.0 million and €129.0 million, representing an increase of €32.7 million and €100.7 million, respectively, compared to the three and nine months ended September 30, 2022. This increase was primarily attributable to the higher commercial sale of products, and for the nine months period also higher revenue from rendering of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development in quarterly revenue from sale of commercial products from the third quarter of 2022 to the third quarter of 2023 was: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w w:val="94"/>
              </w:rPr>
              <w:t>Three Months Ended,</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4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September 30, 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9"/>
              </w:rPr>
              <w:t>December 31, 2022</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September 30, 2023</w:t>
            </w:r>
          </w:p>
        </w:tc>
        <w:tc>
          <w:tcPr>
            <w:tcW w:w="100" w:type="dxa"/>
            <w:vAlign w:val="bottom"/>
          </w:tcPr>
          <w:p>
            <w:pPr>
              <w:spacing w:after="0"/>
              <w:rPr>
                <w:sz w:val="14"/>
                <w:szCs w:val="14"/>
                <w:color w:val="auto"/>
              </w:rPr>
            </w:pPr>
          </w:p>
        </w:tc>
      </w:tr>
      <w:tr>
        <w:trPr>
          <w:trHeight w:val="169"/>
        </w:trPr>
        <w:tc>
          <w:tcPr>
            <w:tcW w:w="340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0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37"/>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Sale of commercial products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12,252</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17,084</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31,551</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35,895</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46,968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-183515</wp:posOffset>
            </wp:positionV>
            <wp:extent cx="102235" cy="196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-183515</wp:posOffset>
            </wp:positionV>
            <wp:extent cx="93980" cy="1968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-183515</wp:posOffset>
            </wp:positionV>
            <wp:extent cx="93980" cy="1968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-183515</wp:posOffset>
            </wp:positionV>
            <wp:extent cx="93980" cy="196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-183515</wp:posOffset>
            </wp:positionV>
            <wp:extent cx="93980" cy="196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3980" cy="19685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Cost of sales for the three and nine months ended September 30, 2023, was €7.4 million and €24.9 million, representing an increase of €5.7 million and €17.9 million, respectively, compared to the three and nine months ended September 30, 2022. For the three months ended September 30, 2023, the increase was primarily attributable to higher commercial revenue, but for the nine months period, the increase was also attributable to a higher level of rendering services.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specifies external project costs on the development pipeline and other research and development costs.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2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r>
      <w:tr>
        <w:trPr>
          <w:trHeight w:val="185"/>
        </w:trPr>
        <w:tc>
          <w:tcPr>
            <w:tcW w:w="576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720"/>
              <w:spacing w:after="0"/>
              <w:rPr>
                <w:sz w:val="20"/>
                <w:szCs w:val="20"/>
                <w:color w:val="auto"/>
              </w:rPr>
            </w:pPr>
            <w:r>
              <w:rPr>
                <w:rFonts w:ascii="Arial" w:cs="Arial" w:eastAsia="Arial" w:hAnsi="Arial"/>
                <w:sz w:val="14"/>
                <w:szCs w:val="14"/>
                <w:b w:val="1"/>
                <w:bCs w:val="1"/>
                <w:color w:val="auto"/>
                <w:w w:val="89"/>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760" w:type="dxa"/>
            <w:vAlign w:val="bottom"/>
          </w:tcPr>
          <w:p>
            <w:pPr>
              <w:spacing w:after="0"/>
              <w:rPr>
                <w:sz w:val="14"/>
                <w:szCs w:val="14"/>
                <w:color w:val="auto"/>
              </w:rPr>
            </w:pPr>
          </w:p>
        </w:tc>
        <w:tc>
          <w:tcPr>
            <w:tcW w:w="180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99"/>
              </w:rPr>
              <w:t>(EUR’000)</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tcPr>
          <w:p>
            <w:pPr>
              <w:jc w:val="center"/>
              <w:ind w:left="720"/>
              <w:spacing w:after="0"/>
              <w:rPr>
                <w:sz w:val="20"/>
                <w:szCs w:val="20"/>
                <w:color w:val="auto"/>
              </w:rPr>
            </w:pPr>
            <w:r>
              <w:rPr>
                <w:rFonts w:ascii="Arial" w:cs="Arial" w:eastAsia="Arial" w:hAnsi="Arial"/>
                <w:sz w:val="14"/>
                <w:szCs w:val="14"/>
                <w:b w:val="1"/>
                <w:bCs w:val="1"/>
                <w:color w:val="auto"/>
                <w:w w:val="99"/>
              </w:rPr>
              <w:t>(EUR’000)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External project costs</w:t>
            </w: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TransCon hGH</w:t>
            </w:r>
          </w:p>
        </w:tc>
        <w:tc>
          <w:tcPr>
            <w:tcW w:w="1180" w:type="dxa"/>
            <w:vAlign w:val="bottom"/>
          </w:tcPr>
          <w:p>
            <w:pPr>
              <w:jc w:val="right"/>
              <w:spacing w:after="0"/>
              <w:rPr>
                <w:sz w:val="20"/>
                <w:szCs w:val="20"/>
                <w:color w:val="auto"/>
              </w:rPr>
            </w:pPr>
            <w:r>
              <w:rPr>
                <w:rFonts w:ascii="Arial" w:cs="Arial" w:eastAsia="Arial" w:hAnsi="Arial"/>
                <w:sz w:val="18"/>
                <w:szCs w:val="18"/>
                <w:color w:val="auto"/>
              </w:rPr>
              <w:t>20,892</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27,770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51,782</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70,637</w:t>
            </w:r>
          </w:p>
        </w:tc>
        <w:tc>
          <w:tcPr>
            <w:tcW w:w="100" w:type="dxa"/>
            <w:vAlign w:val="bottom"/>
          </w:tcPr>
          <w:p>
            <w:pPr>
              <w:spacing w:after="0"/>
              <w:rPr>
                <w:sz w:val="20"/>
                <w:szCs w:val="20"/>
                <w:color w:val="auto"/>
              </w:rPr>
            </w:pPr>
          </w:p>
        </w:tc>
      </w:tr>
      <w:tr>
        <w:trPr>
          <w:trHeight w:val="24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TransCon PTH</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11,397</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33,214</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33,975</w:t>
            </w:r>
          </w:p>
        </w:tc>
        <w:tc>
          <w:tcPr>
            <w:tcW w:w="100" w:type="dxa"/>
            <w:vAlign w:val="bottom"/>
            <w:shd w:val="clear" w:color="auto" w:fill="CFF0FC"/>
          </w:tcPr>
          <w:p>
            <w:pPr>
              <w:spacing w:after="0"/>
              <w:rPr>
                <w:sz w:val="21"/>
                <w:szCs w:val="2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TransCon CNP</w:t>
            </w:r>
          </w:p>
        </w:tc>
        <w:tc>
          <w:tcPr>
            <w:tcW w:w="1180" w:type="dxa"/>
            <w:vAlign w:val="bottom"/>
          </w:tcPr>
          <w:p>
            <w:pPr>
              <w:jc w:val="right"/>
              <w:spacing w:after="0"/>
              <w:rPr>
                <w:sz w:val="20"/>
                <w:szCs w:val="20"/>
                <w:color w:val="auto"/>
              </w:rPr>
            </w:pPr>
            <w:r>
              <w:rPr>
                <w:rFonts w:ascii="Arial" w:cs="Arial" w:eastAsia="Arial" w:hAnsi="Arial"/>
                <w:sz w:val="18"/>
                <w:szCs w:val="18"/>
                <w:color w:val="auto"/>
              </w:rPr>
              <w:t>18,627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9,518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43,045</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26,631</w:t>
            </w:r>
          </w:p>
        </w:tc>
        <w:tc>
          <w:tcPr>
            <w:tcW w:w="100" w:type="dxa"/>
            <w:vAlign w:val="bottom"/>
          </w:tcPr>
          <w:p>
            <w:pPr>
              <w:spacing w:after="0"/>
              <w:rPr>
                <w:sz w:val="20"/>
                <w:szCs w:val="20"/>
                <w:color w:val="auto"/>
              </w:rPr>
            </w:pPr>
          </w:p>
        </w:tc>
      </w:tr>
      <w:tr>
        <w:trPr>
          <w:trHeight w:val="249"/>
        </w:trPr>
        <w:tc>
          <w:tcPr>
            <w:tcW w:w="576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TransCon IL-2 ß/γ </w:t>
            </w:r>
            <w:r>
              <w:rPr>
                <w:rFonts w:ascii="Arial" w:cs="Arial" w:eastAsia="Arial" w:hAnsi="Arial"/>
                <w:sz w:val="24"/>
                <w:szCs w:val="24"/>
                <w:color w:val="auto"/>
                <w:vertAlign w:val="superscript"/>
              </w:rPr>
              <w:t>(1)</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10,279</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30,006</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8,798</w:t>
            </w:r>
          </w:p>
        </w:tc>
        <w:tc>
          <w:tcPr>
            <w:tcW w:w="100" w:type="dxa"/>
            <w:vAlign w:val="bottom"/>
            <w:shd w:val="clear" w:color="auto" w:fill="CFF0FC"/>
          </w:tcPr>
          <w:p>
            <w:pPr>
              <w:spacing w:after="0"/>
              <w:rPr>
                <w:sz w:val="21"/>
                <w:szCs w:val="2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TransCon TLR7/8 Agonist</w:t>
            </w:r>
          </w:p>
        </w:tc>
        <w:tc>
          <w:tcPr>
            <w:tcW w:w="1180" w:type="dxa"/>
            <w:vAlign w:val="bottom"/>
          </w:tcPr>
          <w:p>
            <w:pPr>
              <w:jc w:val="right"/>
              <w:spacing w:after="0"/>
              <w:rPr>
                <w:sz w:val="20"/>
                <w:szCs w:val="20"/>
                <w:color w:val="auto"/>
              </w:rPr>
            </w:pPr>
            <w:r>
              <w:rPr>
                <w:rFonts w:ascii="Arial" w:cs="Arial" w:eastAsia="Arial" w:hAnsi="Arial"/>
                <w:sz w:val="18"/>
                <w:szCs w:val="18"/>
                <w:color w:val="auto"/>
              </w:rPr>
              <w:t>7,843</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28,417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15,268</w:t>
            </w:r>
          </w:p>
        </w:tc>
        <w:tc>
          <w:tcPr>
            <w:tcW w:w="100" w:type="dxa"/>
            <w:vAlign w:val="bottom"/>
          </w:tcPr>
          <w:p>
            <w:pPr>
              <w:spacing w:after="0"/>
              <w:rPr>
                <w:sz w:val="20"/>
                <w:szCs w:val="20"/>
                <w:color w:val="auto"/>
              </w:rPr>
            </w:pPr>
          </w:p>
        </w:tc>
      </w:tr>
      <w:tr>
        <w:trPr>
          <w:trHeight w:val="24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Ophthalmology</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5,543</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10,302</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FF0FC"/>
          </w:tcPr>
          <w:p>
            <w:pPr>
              <w:spacing w:after="0"/>
              <w:rPr>
                <w:sz w:val="21"/>
                <w:szCs w:val="21"/>
                <w:color w:val="auto"/>
              </w:rPr>
            </w:pPr>
          </w:p>
        </w:tc>
      </w:tr>
      <w:tr>
        <w:trPr>
          <w:trHeight w:val="243"/>
        </w:trPr>
        <w:tc>
          <w:tcPr>
            <w:tcW w:w="57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Other project costs </w:t>
            </w:r>
            <w:r>
              <w:rPr>
                <w:rFonts w:ascii="Arial" w:cs="Arial" w:eastAsia="Arial" w:hAnsi="Arial"/>
                <w:sz w:val="24"/>
                <w:szCs w:val="24"/>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external project costs</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73,913</w:t>
            </w:r>
          </w:p>
        </w:tc>
        <w:tc>
          <w:tcPr>
            <w:tcW w:w="2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61,611</w:t>
            </w:r>
          </w:p>
        </w:tc>
        <w:tc>
          <w:tcPr>
            <w:tcW w:w="20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197,439</w:t>
            </w:r>
          </w:p>
        </w:tc>
        <w:tc>
          <w:tcPr>
            <w:tcW w:w="2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157,456</w:t>
            </w:r>
          </w:p>
        </w:tc>
        <w:tc>
          <w:tcPr>
            <w:tcW w:w="100" w:type="dxa"/>
            <w:vAlign w:val="bottom"/>
            <w:shd w:val="clear" w:color="auto" w:fill="CFF0FC"/>
          </w:tcPr>
          <w:p>
            <w:pPr>
              <w:spacing w:after="0"/>
              <w:rPr>
                <w:sz w:val="20"/>
                <w:szCs w:val="20"/>
                <w:color w:val="auto"/>
              </w:rPr>
            </w:pPr>
          </w:p>
        </w:tc>
      </w:tr>
      <w:tr>
        <w:trPr>
          <w:trHeight w:val="239"/>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Other research and development costs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costs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29,953</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26,334</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97,288</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88,105</w:t>
            </w:r>
          </w:p>
        </w:tc>
        <w:tc>
          <w:tcPr>
            <w:tcW w:w="100" w:type="dxa"/>
            <w:vAlign w:val="bottom"/>
            <w:shd w:val="clear" w:color="auto" w:fill="CFF0FC"/>
          </w:tcPr>
          <w:p>
            <w:pPr>
              <w:spacing w:after="0"/>
              <w:rPr>
                <w:sz w:val="21"/>
                <w:szCs w:val="2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Other costs</w:t>
            </w:r>
          </w:p>
        </w:tc>
        <w:tc>
          <w:tcPr>
            <w:tcW w:w="1180" w:type="dxa"/>
            <w:vAlign w:val="bottom"/>
          </w:tcPr>
          <w:p>
            <w:pPr>
              <w:jc w:val="right"/>
              <w:spacing w:after="0"/>
              <w:rPr>
                <w:sz w:val="20"/>
                <w:szCs w:val="20"/>
                <w:color w:val="auto"/>
              </w:rPr>
            </w:pPr>
            <w:r>
              <w:rPr>
                <w:rFonts w:ascii="Arial" w:cs="Arial" w:eastAsia="Arial" w:hAnsi="Arial"/>
                <w:sz w:val="18"/>
                <w:szCs w:val="18"/>
                <w:color w:val="auto"/>
              </w:rPr>
              <w:t>4,599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19,049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17,337</w:t>
            </w:r>
          </w:p>
        </w:tc>
        <w:tc>
          <w:tcPr>
            <w:tcW w:w="100" w:type="dxa"/>
            <w:vAlign w:val="bottom"/>
          </w:tcPr>
          <w:p>
            <w:pPr>
              <w:spacing w:after="0"/>
              <w:rPr>
                <w:sz w:val="20"/>
                <w:szCs w:val="20"/>
                <w:color w:val="auto"/>
              </w:rPr>
            </w:pPr>
          </w:p>
        </w:tc>
      </w:tr>
      <w:tr>
        <w:trPr>
          <w:trHeight w:val="243"/>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Depreciation</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2,974</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8,797</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Total other research and development costs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37,526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35,820</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125,134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113,550</w:t>
            </w:r>
          </w:p>
        </w:tc>
        <w:tc>
          <w:tcPr>
            <w:tcW w:w="100" w:type="dxa"/>
            <w:vAlign w:val="bottom"/>
          </w:tcPr>
          <w:p>
            <w:pPr>
              <w:spacing w:after="0"/>
              <w:rPr>
                <w:sz w:val="20"/>
                <w:szCs w:val="20"/>
                <w:color w:val="auto"/>
              </w:rPr>
            </w:pPr>
          </w:p>
        </w:tc>
      </w:tr>
      <w:tr>
        <w:trPr>
          <w:trHeight w:val="277"/>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research and development costs</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111,439</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97,431</w:t>
            </w:r>
          </w:p>
        </w:tc>
        <w:tc>
          <w:tcPr>
            <w:tcW w:w="2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322,573</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271,006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-350520</wp:posOffset>
            </wp:positionV>
            <wp:extent cx="7747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-350520</wp:posOffset>
            </wp:positionV>
            <wp:extent cx="6858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-350520</wp:posOffset>
            </wp:positionV>
            <wp:extent cx="6858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5" w:lineRule="exact"/>
        <w:rPr>
          <w:sz w:val="20"/>
          <w:szCs w:val="20"/>
          <w:color w:val="auto"/>
        </w:rPr>
      </w:pPr>
    </w:p>
    <w:p>
      <w:pPr>
        <w:ind w:left="520" w:right="200" w:hanging="512"/>
        <w:spacing w:after="0" w:line="278" w:lineRule="auto"/>
        <w:tabs>
          <w:tab w:leader="none" w:pos="52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For the three and nine months ended 2022, other project costs included TransCon IL-2 ß</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g related costs, with total amounts of €0.6 million and €1.9 million, respectively. For the three and nine months ended, 2023, such costs are included within TransCon IL-2 ß</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g. Comparative amounts have been reclassified to reflect the change in presentation.</w:t>
      </w:r>
    </w:p>
    <w:p>
      <w:pPr>
        <w:spacing w:after="0" w:line="1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increase in research and development (“R&amp;D”) costs reflects the advancement of our pipeline of endocrinology and oncology, where we have multiple prodrug candidates in development, as well as ophthalmology.</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R&amp;D costs for the three and nine months ended September 30, 2023, was €111.4 million and €322.6 million, representing an increase of €14.0 million and €51.6 million, respectively, compared to the three and nine months ended September 30, 2022. This increase was primarily due to higher development costs for our oncology programs TransCon IL-2 ß</w:t>
      </w:r>
      <w:r>
        <w:rPr>
          <w:rFonts w:ascii="Arial" w:cs="Arial" w:eastAsia="Arial" w:hAnsi="Arial"/>
          <w:sz w:val="16"/>
          <w:szCs w:val="16"/>
          <w:b w:val="1"/>
          <w:bCs w:val="1"/>
          <w:i w:val="1"/>
          <w:iCs w:val="1"/>
          <w:color w:val="auto"/>
        </w:rPr>
        <w:t>/</w:t>
      </w:r>
      <w:r>
        <w:rPr>
          <w:rFonts w:ascii="Arial" w:cs="Arial" w:eastAsia="Arial" w:hAnsi="Arial"/>
          <w:sz w:val="16"/>
          <w:szCs w:val="16"/>
          <w:color w:val="auto"/>
        </w:rPr>
        <w:t>g and TransCon TLR7/8 Agonist, reflecting increasing product development and clinical trial activities for these product candidates, increasing clinical trial activities for TransCon CNP, increasing manufacturing costs for ophthalmology, primarily TransCon RBZ (ranibizumab), and higher employee and other costs attributable to organizational growth, partly offset by lower development costs for TransCon hGH.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Selling, general and administrative (“SG&amp;A”) expenses for the three and nine months ended September 30, 2023 was €63.6 million and €200.4 million, representing an increase of €2.9 million and €35.8 million, respectively, compared to the three and nine months ended September 30, 2022. This increase was primarily due to higher external commercial expenses related to SKYTROFA in the U.S., pre-launch activities for SKYTROFA outside the U.S., global pre-launch activities for TransCon PTH, higher employee related expenses and other general and administrative expenses attributable to organizational growth.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Finance income for the three and nine months ended September 30, 2023, was €4.1 million and €77.0 million, representing a decrease of €16.2 million and an increase of €3.2 million, respectively, compared to the three and nine months ended September 30, 2022. For the three months ended September 30, 2023, the decrease was primarily due to €17.7 million lower exchange rate gains, partly offset by €1.5 million higher interest income compared to the same period last year. For the nine months ended September 30, 2023, the increase was primarily due to €54.9 million higher gain on derivative liabilities and €8.3 million higher interest income, partly offset by €60.0 million lower exchange rate gains compared to the same period last year.</w:t>
      </w:r>
    </w:p>
    <w:p>
      <w:pPr>
        <w:spacing w:after="0" w:line="5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Finance expenses for the three and nine months ended September 30, 2023, was €24.5 million and €35.6 million, representing a decrease of €16.7 million and an increase of €10.3 million, respectively, compared to the three and nine months ended September 30, 2022. For the three months ended September 30, 2023, the decrease was primarily due to €23.7 million lower loss on derivative liabilities, partly offset by €6.5 million higher exchange rate losses and €0.5 million higher interest expenses compared to the same period last year. For the nine months ended September 30, 2023, the increase was primarily due to €8.6 million higher amortization charges and interest on convertible notes and €5.9 million higher exchange rate losses, partly offset by €4.2 million lower transaction costs attributable to the convertible notes compared to the same period last year.</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liquidity and capital resources comprise cash, cash equivalents and marketable securities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these amounted to €455.4 million, specified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280" w:type="dxa"/>
            <w:vAlign w:val="bottom"/>
            <w:gridSpan w:val="3"/>
          </w:tcPr>
          <w:p>
            <w:pPr>
              <w:ind w:left="520"/>
              <w:spacing w:after="0"/>
              <w:rPr>
                <w:sz w:val="20"/>
                <w:szCs w:val="20"/>
                <w:color w:val="auto"/>
              </w:rPr>
            </w:pPr>
            <w:r>
              <w:rPr>
                <w:rFonts w:ascii="Arial" w:cs="Arial" w:eastAsia="Arial" w:hAnsi="Arial"/>
                <w:sz w:val="14"/>
                <w:szCs w:val="14"/>
                <w:b w:val="1"/>
                <w:bCs w:val="1"/>
                <w:color w:val="auto"/>
              </w:rPr>
              <w:t>Carrying</w:t>
            </w:r>
          </w:p>
        </w:tc>
        <w:tc>
          <w:tcPr>
            <w:tcW w:w="1180" w:type="dxa"/>
            <w:vAlign w:val="bottom"/>
          </w:tcPr>
          <w:p>
            <w:pPr>
              <w:jc w:val="right"/>
              <w:ind w:right="597"/>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r>
      <w:tr>
        <w:trPr>
          <w:trHeight w:val="185"/>
        </w:trPr>
        <w:tc>
          <w:tcPr>
            <w:tcW w:w="7680" w:type="dxa"/>
            <w:vAlign w:val="bottom"/>
          </w:tcPr>
          <w:p>
            <w:pPr>
              <w:spacing w:after="0"/>
              <w:rPr>
                <w:sz w:val="16"/>
                <w:szCs w:val="16"/>
                <w:color w:val="auto"/>
              </w:rPr>
            </w:pPr>
          </w:p>
        </w:tc>
        <w:tc>
          <w:tcPr>
            <w:tcW w:w="16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2280" w:type="dxa"/>
            <w:vAlign w:val="bottom"/>
            <w:gridSpan w:val="3"/>
          </w:tcPr>
          <w:p>
            <w:pPr>
              <w:ind w:left="1400"/>
              <w:spacing w:after="0"/>
              <w:rPr>
                <w:sz w:val="20"/>
                <w:szCs w:val="20"/>
                <w:color w:val="auto"/>
              </w:rPr>
            </w:pPr>
            <w:r>
              <w:rPr>
                <w:rFonts w:ascii="Arial" w:cs="Arial" w:eastAsia="Arial" w:hAnsi="Arial"/>
                <w:sz w:val="14"/>
                <w:szCs w:val="14"/>
                <w:b w:val="1"/>
                <w:bCs w:val="1"/>
                <w:color w:val="auto"/>
              </w:rPr>
              <w:t>(EUR’000)</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September 30, 2023</w:t>
            </w:r>
          </w:p>
        </w:tc>
        <w:tc>
          <w:tcPr>
            <w:tcW w:w="1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Liquidity and capital resources</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14,165</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14,049</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441,268</w:t>
            </w:r>
          </w:p>
        </w:tc>
        <w:tc>
          <w:tcPr>
            <w:tcW w:w="220" w:type="dxa"/>
            <w:vAlign w:val="bottom"/>
            <w:tcBorders>
              <w:bottom w:val="single" w:sz="8" w:color="CFF0F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441,268</w:t>
            </w:r>
          </w:p>
        </w:tc>
        <w:tc>
          <w:tcPr>
            <w:tcW w:w="100" w:type="dxa"/>
            <w:vAlign w:val="bottom"/>
            <w:tcBorders>
              <w:bottom w:val="single" w:sz="8" w:color="CFF0FC"/>
            </w:tcBorders>
          </w:tcPr>
          <w:p>
            <w:pPr>
              <w:spacing w:after="0"/>
              <w:rPr>
                <w:sz w:val="20"/>
                <w:szCs w:val="20"/>
                <w:color w:val="auto"/>
              </w:rPr>
            </w:pPr>
          </w:p>
        </w:tc>
      </w:tr>
      <w:tr>
        <w:trPr>
          <w:trHeight w:val="238"/>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liquidity and capital resources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455,433</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455,317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-183515</wp:posOffset>
            </wp:positionV>
            <wp:extent cx="93980" cy="1968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-183515</wp:posOffset>
            </wp:positionV>
            <wp:extent cx="93980" cy="1968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196850"/>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marketable securities had a weighted average duration of 2.3 months and are classified as current positions (i.e., maturing within twelve months after the reporting date).</w:t>
      </w:r>
    </w:p>
    <w:p>
      <w:pPr>
        <w:spacing w:after="0" w:line="17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expenditures primarily relate to research and development activities and selling, general and administrative activities to support our business, including our continued development of therapeutic areas within endocrinology, oncology and ophthalmology, the commercialization of SKYTROFA and expenses made in anticipation of potential future product launches. We manage our liquidity risk by maintaining adequate cash reserves and banking facilities, and by matching the maturity profiles of financial assets including marketable securities, with cash-forecasts including payment profiles on liabilities. We monitor the risk of a shortage of funds through a liquidity planning tool, to ensure sufficient funds are available to settle liabilities as they become due.</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September 30, 2023, the unaudited condensed consolidated interim statements of financial position presented a negative balance of equity of €73.4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Based on our current operating plan, we believe that our existing capital resources as of September 30, 2023, will be sufficient to meet our projected cash requirements for at least twelve months from the date of this report. However, our operating plan may change as a result of many factors currently unknown to us, and we may need to seek additional funds sooner than planned.</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Historically, we have funded our operations primarily through issuance of preference shares, ordinary shares, including our initial public offering, follow-on offerings and exercise of warrants, convertible debt securities, and payments to us made under collaboration agreements. Including our initial public offering, since February 2015, we have completed public offerings of American Depositary Shares (“ADSs”) with net proceeds of $2,256.6 million (or €1,968.4 million at the time of the offerings).</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March 2022, we issued an aggregate principal amount of $575.0 million of fixed rate 2.25% convertible notes. The coupon interest is payable semi-annually. Unless earlier converted or redeemed, the convertible notes will mature on April 1, 2028. Refer to Note 10, “Financial Assets and Liabilities” for further information. We used $116.7 million (€105.3 million) of the net proceeds from the offering in March 2022 to repurchase 1,000,000 ADSs representing our ordinary shares. The holding of treasury shares is disclosed in Note 9, “Treasury Shares.”</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September 2023, we entered into a $150.0 million capped synthetic royalty funding agreement (the “Royalty Pharma Agreement”) with Royalty Pharma (the “Purchaser”). Under the terms of the Royalty Pharma Agreement, in exchange for the Purchaser’s payment of a cash purchase price of $150.0 million at closing (the “Purchase Price”), we have agreed to sell to the Purchaser its right to receive payment in full of 9.15% on net U.S. SKYTROFA revenue, beginning on January 1, 2025 (the “Revenue Interest Payments”). The Revenue Interest Payments to the Purchaser will cease upon reaching a multiple of the Purchase Price of 1.925x, or 1.65x if the Purchaser receives Revenue Interest Payments in that amount by December 31, 2031. The Royalty Pharma Agreement includes a buy-out option under various terms and conditions. Obligations under the Royalty Pharma Agreement are presented as part of borrowings in the consolidated statements of financial position. Further details are provided in Note 10, “Financial Assets and Liabilities”.</w:t>
      </w:r>
    </w:p>
    <w:p>
      <w:pPr>
        <w:spacing w:after="0" w:line="16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For additional description of our cash requirements, public offerings, expense structure and commitments, refer to “Item 5B. Liquidity and Capital Resources,” set forth in our 2022 Annual Report on Form 20-F.</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1020" w:right="4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our products and product candidates, if approved, including the cost and timing of building our sales and marketing capabilities;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TransCon hGH and any future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sales price and the availability of adequate third-party coverage and reimbursement for our products and product candidates, if approved;</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related to manufacturing of our products and product candidates, including the timing of when we incur such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128" w:lineRule="exact"/>
        <w:rPr>
          <w:rFonts w:ascii="Arial" w:cs="Arial" w:eastAsia="Arial" w:hAnsi="Arial"/>
          <w:sz w:val="17"/>
          <w:szCs w:val="17"/>
          <w:color w:val="auto"/>
        </w:rPr>
      </w:pPr>
    </w:p>
    <w:p>
      <w:pPr>
        <w:ind w:left="1020" w:right="46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collect payments which are due to us from customers and collaboration partners (if any), which in turn is impacted by the financial standing of any such customers and collaboration partners;</w:t>
      </w:r>
    </w:p>
    <w:p>
      <w:pPr>
        <w:spacing w:after="0" w:line="62" w:lineRule="exact"/>
        <w:rPr>
          <w:rFonts w:ascii="Arial" w:cs="Arial" w:eastAsia="Arial" w:hAnsi="Arial"/>
          <w:sz w:val="18"/>
          <w:szCs w:val="18"/>
          <w:color w:val="auto"/>
        </w:rPr>
      </w:pPr>
    </w:p>
    <w:p>
      <w:pPr>
        <w:ind w:left="1020" w:right="640" w:hanging="503"/>
        <w:spacing w:after="0" w:line="30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and manufacturing activities for our product candidates that have not been licensed, including the ability to enroll patients in a timely manner for clinical trials;</w:t>
      </w:r>
    </w:p>
    <w:p>
      <w:pPr>
        <w:spacing w:after="0" w:line="38" w:lineRule="exact"/>
        <w:rPr>
          <w:rFonts w:ascii="Arial" w:cs="Arial" w:eastAsia="Arial" w:hAnsi="Arial"/>
          <w:sz w:val="17"/>
          <w:szCs w:val="17"/>
          <w:color w:val="auto"/>
        </w:rPr>
      </w:pPr>
    </w:p>
    <w:p>
      <w:pPr>
        <w:ind w:left="1020" w:right="8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and the costs of post-marketing studies that could be required by regulatory authorities, including related to the possibility of a delay in the FDA's final regulatory decision on the TransCon PTH NDA;</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17" w:lineRule="exact"/>
        <w:rPr>
          <w:rFonts w:ascii="Arial" w:cs="Arial" w:eastAsia="Arial" w:hAnsi="Arial"/>
          <w:sz w:val="18"/>
          <w:szCs w:val="18"/>
          <w:color w:val="auto"/>
        </w:rPr>
      </w:pPr>
    </w:p>
    <w:p>
      <w:pPr>
        <w:ind w:left="1020" w:right="80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62"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62" w:lineRule="exact"/>
        <w:rPr>
          <w:rFonts w:ascii="Arial" w:cs="Arial" w:eastAsia="Arial" w:hAnsi="Arial"/>
          <w:sz w:val="18"/>
          <w:szCs w:val="18"/>
          <w:color w:val="auto"/>
        </w:rPr>
      </w:pPr>
    </w:p>
    <w:p>
      <w:pPr>
        <w:ind w:left="1020" w:hanging="503"/>
        <w:spacing w:after="0" w:line="311"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progress in the successful commercialization and co-promotion of our products and product candidates, if approved, and our efforts to develop and commercialize our other existing product candidates, including related to any potential delay in the timing of commercial launch for TransCon PTH in the United States, if approved, caused by the FDA's identification of deficiencies in the NDA for TransCon PTH;</w:t>
      </w:r>
    </w:p>
    <w:p>
      <w:pPr>
        <w:spacing w:after="0" w:line="40" w:lineRule="exact"/>
        <w:rPr>
          <w:rFonts w:ascii="Arial" w:cs="Arial" w:eastAsia="Arial" w:hAnsi="Arial"/>
          <w:sz w:val="16"/>
          <w:szCs w:val="16"/>
          <w:color w:val="auto"/>
        </w:rPr>
      </w:pPr>
    </w:p>
    <w:p>
      <w:pPr>
        <w:ind w:left="1020" w:right="2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market opportunities and patient populations for our products and product candidates, if approved, including with respect to TransCon PTH, and our ability to obtain market acceptance of our products and product candidates, if approved; and</w:t>
      </w:r>
    </w:p>
    <w:p>
      <w:pPr>
        <w:spacing w:after="0" w:line="62" w:lineRule="exact"/>
        <w:rPr>
          <w:rFonts w:ascii="Arial" w:cs="Arial" w:eastAsia="Arial" w:hAnsi="Arial"/>
          <w:sz w:val="18"/>
          <w:szCs w:val="18"/>
          <w:color w:val="auto"/>
        </w:rPr>
      </w:pPr>
    </w:p>
    <w:p>
      <w:pPr>
        <w:ind w:left="1020" w:right="16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Additional funds may not be available if we need them or on terms that are acceptable to us, or at all. If adequate funds are not available to us on a timely basis, we may be required to delay, limit, scale back or cease our research and development and commercialization activities, preclinical studies and clinical trials.</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following table summarizes our cash flows for the nine months ended September 30, 2023 and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5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6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 (used in)</w:t>
            </w: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620" w:type="dxa"/>
            <w:vAlign w:val="bottom"/>
            <w:gridSpan w:val="2"/>
          </w:tcPr>
          <w:p>
            <w:pPr>
              <w:jc w:val="right"/>
              <w:ind w:right="70"/>
              <w:spacing w:after="0"/>
              <w:rPr>
                <w:sz w:val="20"/>
                <w:szCs w:val="20"/>
                <w:color w:val="auto"/>
              </w:rPr>
            </w:pPr>
            <w:r>
              <w:rPr>
                <w:rFonts w:ascii="Arial" w:cs="Arial" w:eastAsia="Arial" w:hAnsi="Arial"/>
                <w:sz w:val="18"/>
                <w:szCs w:val="18"/>
                <w:color w:val="auto"/>
              </w:rPr>
              <w:t>(424,891 )</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(354,014 )</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(70,877 )</w:t>
            </w: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279,823</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62,529</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217,294</w:t>
            </w:r>
          </w:p>
        </w:tc>
        <w:tc>
          <w:tcPr>
            <w:tcW w:w="100" w:type="dxa"/>
            <w:vAlign w:val="bottom"/>
            <w:shd w:val="clear" w:color="auto" w:fill="CFF0FC"/>
          </w:tcPr>
          <w:p>
            <w:pPr>
              <w:spacing w:after="0"/>
              <w:rPr>
                <w:sz w:val="21"/>
                <w:szCs w:val="2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1380" w:type="dxa"/>
            <w:vAlign w:val="bottom"/>
          </w:tcPr>
          <w:p>
            <w:pPr>
              <w:jc w:val="right"/>
              <w:spacing w:after="0"/>
              <w:rPr>
                <w:sz w:val="20"/>
                <w:szCs w:val="20"/>
                <w:color w:val="auto"/>
              </w:rPr>
            </w:pPr>
            <w:r>
              <w:rPr>
                <w:rFonts w:ascii="Arial" w:cs="Arial" w:eastAsia="Arial" w:hAnsi="Arial"/>
                <w:sz w:val="18"/>
                <w:szCs w:val="18"/>
                <w:color w:val="auto"/>
              </w:rPr>
              <w:t>140,347</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395,424</w:t>
            </w:r>
          </w:p>
        </w:tc>
        <w:tc>
          <w:tcPr>
            <w:tcW w:w="2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(255,077 )</w:t>
            </w:r>
          </w:p>
        </w:tc>
      </w:tr>
      <w:tr>
        <w:trPr>
          <w:trHeight w:val="279"/>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(4,721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103,939</w:t>
            </w:r>
          </w:p>
        </w:tc>
        <w:tc>
          <w:tcPr>
            <w:tcW w:w="2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(108,660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Operating Activities</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Cash flows used in operating activities for the nine months ended September 30, 2023 was €424.9 million, representing an increase of €70.9 million compared to the nine months ended September 30, 2022. This increase included €74.3 million related to working capital balances, primarily higher inventories and receivables due to increased commercial activities, and lower contract liabilities due to deferred income, which was recognized as revenue in the period, partly offset by a €3.4 million lower net loss when adjusted for non-operating financial income and expenses, taxes and non-cash items.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Investing Activities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Cash flows from investing activities for the nine months ended September 30, 2023 was €279.8 million, representing an increase of €217.3 million compared to the nine months ended September 30, 2022. This increase was primarily attributable to €218.6 million higher net settlements of marketable securities in line with our liquidity management strategy.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Financing Activities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flows from financing activities for the nine months ended September 30, 2023 was €140.3 million, representing a decrease of €255.1 million compared to cash flows from financing activities for the nine months ended September 30, 2022. This decrease was primarily attributable to the convertible notes issuance and acquisition of treasury shares completed during the nine months ended September 30, 2022, compared to the €139.8 million net proceeds from royalty funding during the nine months ended September 30, 2023.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Disclosures about Market Risk</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activities expose us to financial risks of changes in foreign currency exchange rates, inflation rates and interest rates. We do not enter into derivative financial instruments to manage our exposure to such risks. Further, we are exposed to credit risk, equity risk and liquidity risk. For a description of our exposure to liquidity risks, including risks associated with the royalty funding liabilities and processes for managing these risks, please refer to “Liquidity and Capital Resources,” set forth above and maturity analysis for non-derivative financial liabilities provided in Note 10, “Financial Assets and Liabilities”.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are exposed to foreign exchange risk arising from various currency exposures, primarily with respect to the U.S. Dollar, the Swiss Franc and the British Pound. We have received payments in U.S. Dollars under our collaboration and license agreements, and the proceeds from our Series D financing in November 2014, our initial public offering in February 2015 and our follow-on offerings were in U.S. Dollars. In addition, our outstanding convertible notes and royalty funding liabilities are denominated in U.S. Dollars. We seek to minimize our exchange rate risk by maintaining cash positions in the currencies in which we expect to incur the majority of our future expenses and we make payments from those positions.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Outstanding convertible notes comprise a 2.25% coupon fixed rate structure. In addition, the interest rate on lease liabilities is fixed at the lease commencement date. Future indebtedness, including those related to lease arrangements, if any, may be subject to higher interest rates. In addition, future interest income from interest-bearing bank deposits and marketable securities may fall short of expectations due to changes in interest rates.</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Derivative liabilities are measured at fair value through profit or loss. Accordingly, since the fair value is exposed from the development in interest rates, the profit or loss is exposed to volatility from such development.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Inflation affects us as our vendors may pass on any increased costs to us and accordingly increase our R&amp;D costs, SG&amp;A expenses and cost of manufacturing. We do not believe that inflation had a material impact on our results of operation for the three and nine months ended September 30, 2023.</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 All material counterparties are considered creditworthy. While the concentration of credit risk may be significant, the credit risk for each individual counterpart is considered to be low. Our exposure to credit risk primarily relates to cash, cash equivalents, and marketable securities. The credit risk on our bank deposits is limited because the counterparties holding significant deposits are banks with high credit-ratings (minimum A2/A-) assigned by international credit-rating agencies.</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maintain the majority of our cash and cash equivalents in accounts with major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The banks are reviewed on a regular basis and deposits may be transferred during the year to mitigate credit risk.</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order to mitigate the concentration of credit risks on bank deposits and to preserve capital, a portion of the bank deposits have been placed into U.S. government bonds and corporate bonds. Our investment policy, approved by the Board, only allows investment in marketable securities having investment grade credit-ratings, assigned by international credit-rating agencies. Accordingly, the risk from probability of default is low. The marketable securities portfolio is disclosed in Note 10, “Financial Assets and Liabilities”.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each reporting date, we consider the risk of expected credit loss on bank deposits and marketable securities,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from the development in our share price, when remeasuring derivative liabilities at fair value.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Derivative liabilities relate to the foreign currency conversion option embedded in the convertible notes and are measured at fair value through profit or loss. Fair value cannot be measured based on quoted prices in active markets, or other observable input, and accordingly, derivative liabilities are measured by using the Black-Scholes option pricing model, where the pricing is exposed from changes in our share price. Sensitivity analysis over derivative liabilities is disclosed in Note 10, “Financial Assets and Liabilities”.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emdash "/>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o"/>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8"/>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2023-11-07T15:25:20Z</dcterms:created>
  <dcterms:modified xsi:type="dcterms:W3CDTF">2023-11-07T15:25:20Z</dcterms:modified>
</cp:coreProperties>
</file>