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2057d6k.htm"/>
      <w:bookmarkStart w:id="1" w:name="ksd15205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2026, the Company announced Week 52 data from the open-label sentinel cohort portion of the reACHin Trial (which preceded the now fully enrolled double-blinded portion of the trial) showing that treatment with once-weekly TransCon CNP (navepegritide) provided stabilization or improvement in foramen magnum stenosis (a skull bone narrowing that can lead to dangerous brain stem and spinal cord compression), as well as linear growth benefits, in infants with achondroplasia aged 0 to &lt;2 years. The data were presented by Geneviève Baujat, M.D., clinical geneticist at Necker-Enfants Malades Hospital (Paris), during ESPE 2026, the annual meeting of the European Society for Paediatric Endocrinology. </w:t>
      </w:r>
    </w:p>
    <w:p>
      <w:pPr>
        <w:pStyle w:val="TextBody"/>
        <w:bidi w:val="0"/>
        <w:spacing w:before="240" w:after="0"/>
        <w:jc w:val="left"/>
        <w:rPr>
          <w:rFonts w:ascii="Times New Roman" w:hAnsi="Times New Roman"/>
          <w:sz w:val="20"/>
        </w:rPr>
      </w:pPr>
      <w:r>
        <w:rPr>
          <w:rFonts w:ascii="Times New Roman" w:hAnsi="Times New Roman"/>
          <w:sz w:val="20"/>
        </w:rPr>
        <w:t xml:space="preserve">ReACHin is a pivotal Phase 2, randomized, placebo-controlled trial to evaluate the safety, tolerability, and efficacy of once-weekly TransCon CNP at the 100 µg/kg/week dose in at least 66 treatment-naïve infants aged 0 to &lt;2 years with genetically confirmed achondroplasia, followed by a 52-week open-label extension. Prior to recruitment for the 52-week double-blind period, seven infants with achondroplasia (mean age 11.7 months) were enrolled in an open-label sentinel cohort to evaluate the safety and pharmacokinetics (PK) of TransCon CNP in this age group. Additional outcome measures at Week 52 included Achondroplasia Foramen Magnum Score (AFMS, a standardized MRI-based grading system used to evaluate and classify the severity of foramen magnum stenosis), change from baseline in ACH-specific supine length Z-score, and annualized growth velocity (AGV). </w:t>
      </w:r>
    </w:p>
    <w:p>
      <w:pPr>
        <w:pStyle w:val="TextBody"/>
        <w:bidi w:val="0"/>
        <w:spacing w:before="360" w:after="0"/>
        <w:jc w:val="left"/>
        <w:rPr>
          <w:rFonts w:ascii="Times New Roman" w:hAnsi="Times New Roman"/>
          <w:b/>
          <w:sz w:val="20"/>
        </w:rPr>
      </w:pPr>
      <w:r>
        <w:rPr>
          <w:rFonts w:ascii="Times New Roman" w:hAnsi="Times New Roman"/>
          <w:b/>
          <w:sz w:val="20"/>
        </w:rPr>
        <w:t xml:space="preserve">Highlights from the Week 52 reACHin Trial Sentinel Cohort Data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Treatment with TransCon CNP led to stable or improved cranio-cervical junction health at Week 52, as measured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5"/>
        <w:gridCol w:w="201"/>
        <w:gridCol w:w="8272"/>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AFMS was stable or improved between baseline and Week 52 in all children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4"/>
        <w:gridCol w:w="8267"/>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 change from baseline in sagittal diameter of foramen magnum was +3.15 mm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3"/>
        <w:gridCol w:w="204"/>
        <w:gridCol w:w="8271"/>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decompression surgeries during the 52-week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Treatment with TransCon CNP increased linear growth at Week 52: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3"/>
        <w:gridCol w:w="8269"/>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 change from baseline in ACH-specific supine length Z-score was +0.42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1"/>
        <w:gridCol w:w="8271"/>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 AGV was 9.9 cm/year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PK was comparable to that observed in older children, supporting the 100 µg/kg/week dose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TransCon CNP was generally well tolerated and the safety data were consistent with those previously reported in other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4"/>
        <w:gridCol w:w="201"/>
        <w:gridCol w:w="8271"/>
      </w:tblGrid>
      <w:tr>
        <w:trPr/>
        <w:tc>
          <w:tcPr>
            <w:tcW w:w="142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reports of injection site reactions over the 52-week treatment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1"/>
        <w:gridCol w:w="8273"/>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deaths, fractures, bone-related safety events, or symptomatic hypotension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AEs were assessed by investigators as related to treatment and no AEs led to treatment disruption or discontinuation or to trial withdrawal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that involve substantial risks and uncertainties. All statements, other than statements of historical facts, included in this report regarding Ascendis’ future operations, plans and objectives of management are forward-looking statements within the meaning of Section 27A of the Securities Act of 1933, as amended, and Section 21E of the Securities Exchange Act of 1934, as amended. Examples of such statements include, but are not limited to, statements relating to (i) the potential for TransCon CNP (navepegritide) to address foramen magnum stenosis and support linear growth in infants with achondroplasia, and (ii) the potential safety, tolerability, and efficacy benefits of TransCon CNP in infants based on reACHin Trial sentinel cohort data.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without limitation: dependence on third-party manufacturers, distributors, and service providers for Ascendis’ products and product candidates; risks related to regulatory review and approval, including the possibility of delays, requests for additional data or analyses, restrictions or limitations on use, approval with labeling that is more limited than expected, or failure to obtain approval in the United States, European Union, or other jurisdictions; clinical development risks, including that results from ongoing or future trials may not confirm earlier data; unforeseen safety or efficacy findings in development programs or on-market products; manufacturing, supply chain, quality, or logistics issues that could delay development or commercialization; unforeseen expenses related to commercialization of any approved Ascendis products; unforeseen research and development or selling, general and administrative expenses and other costs impacting Ascendis’ business generally; market acceptance, pricing, and reimbursement challenges, including payer coverage decisions and health technology assessments; competitive developments, including new or improved therapies; intellectual property protection, freedom-to-operate, and litigation risks; Ascendis’ ability to obtain additional funding, if needed, to support its business activities; cybersecurity, data privacy, and information technology disruptions; and the impact of international economic, political, legal, compliance, public health, and business factors, including tariffs, trade policies, currency fluctuations, and geopolitical events.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11, 2026,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2"/>
        <w:gridCol w:w="101"/>
        <w:gridCol w:w="407"/>
        <w:gridCol w:w="101"/>
        <w:gridCol w:w="305"/>
        <w:gridCol w:w="101"/>
        <w:gridCol w:w="4598"/>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4" w:type="dxa"/>
            <w:gridSpan w:val="3"/>
            <w:tcBorders/>
          </w:tcPr>
          <w:p>
            <w:pPr>
              <w:pStyle w:val="TableContents"/>
              <w:bidi w:val="0"/>
              <w:spacing w:before="0" w:after="283"/>
              <w:jc w:val="left"/>
              <w:rPr/>
            </w:pPr>
            <w:r>
              <w:rPr/>
              <w:t>Ascendis Pharma A/S</w:t>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9"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Date: September 9, 2026</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Michael Wolff Jensen</w:t>
            </w:r>
          </w:p>
        </w:tc>
      </w:tr>
      <w:tr>
        <w:trP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Executive Vice President, Chief Legal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1137</Words>
  <Characters>6819</Characters>
  <CharactersWithSpaces>8003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