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90170</wp:posOffset>
            </wp:positionH>
            <wp:positionV relativeFrom="paragraph">
              <wp:posOffset>221615</wp:posOffset>
            </wp:positionV>
            <wp:extent cx="69703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264160</wp:posOffset>
            </wp:positionV>
            <wp:extent cx="697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217170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254000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560" w:right="140" w:hanging="425"/>
        <w:spacing w:after="0" w:line="23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1" w:lineRule="exact"/>
        <w:rPr>
          <w:sz w:val="24"/>
          <w:szCs w:val="24"/>
          <w:color w:val="auto"/>
        </w:rPr>
      </w:pPr>
    </w:p>
    <w:p>
      <w:pPr>
        <w:ind w:left="560" w:hanging="425"/>
        <w:spacing w:after="0"/>
        <w:tabs>
          <w:tab w:leader="none" w:pos="5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1" w:lineRule="exact"/>
        <w:rPr>
          <w:sz w:val="24"/>
          <w:szCs w:val="24"/>
          <w:color w:val="auto"/>
        </w:rPr>
      </w:pPr>
    </w:p>
    <w:p>
      <w:pPr>
        <w:ind w:left="560" w:right="40" w:hanging="425"/>
        <w:spacing w:after="0" w:line="255" w:lineRule="auto"/>
        <w:tabs>
          <w:tab w:leader="none" w:pos="5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-8255</wp:posOffset>
            </wp:positionV>
            <wp:extent cx="1290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1" w:lineRule="exact"/>
        <w:rPr>
          <w:sz w:val="24"/>
          <w:szCs w:val="24"/>
          <w:color w:val="auto"/>
        </w:rPr>
      </w:pPr>
    </w:p>
    <w:p>
      <w:pPr>
        <w:ind w:left="560" w:right="380" w:hanging="425"/>
        <w:spacing w:after="0" w:line="255" w:lineRule="auto"/>
        <w:tabs>
          <w:tab w:leader="none" w:pos="5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238760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Ascendis Pharma A/S</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226060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The Kingdom of Denmark</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DK-2900 Hellerup, Denmark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Jan Møller Mikkelsen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Tuborg Boulevard 12</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DK-2900 Hellerup, Denmark</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+45 70 22 22 44</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6" w:lineRule="exact"/>
        <w:rPr>
          <w:sz w:val="24"/>
          <w:szCs w:val="24"/>
          <w:color w:val="auto"/>
        </w:rPr>
      </w:pPr>
    </w:p>
    <w:tbl>
      <w:tblPr>
        <w:tblLayout w:type="fixed"/>
        <w:tblInd w:w="360" w:type="dxa"/>
        <w:tblCellMar>
          <w:top w:w="0" w:type="dxa"/>
          <w:left w:w="0" w:type="dxa"/>
          <w:bottom w:w="0" w:type="dxa"/>
          <w:right w:w="0" w:type="dxa"/>
        </w:tblCellMar>
      </w:tblPr>
      <w:tr>
        <w:trPr>
          <w:trHeight w:val="184"/>
        </w:trPr>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w w:val="77"/>
              </w:rPr>
              <w:t>American Depositary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40" w:type="dxa"/>
            <w:vAlign w:val="bottom"/>
          </w:tcPr>
          <w:p>
            <w:pPr>
              <w:spacing w:after="0"/>
              <w:rPr>
                <w:sz w:val="16"/>
                <w:szCs w:val="16"/>
                <w:color w:val="auto"/>
              </w:rPr>
            </w:pPr>
          </w:p>
        </w:tc>
        <w:tc>
          <w:tcPr>
            <w:tcW w:w="2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Trading Symbol</w:t>
            </w:r>
          </w:p>
        </w:tc>
        <w:tc>
          <w:tcPr>
            <w:tcW w:w="342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20" w:type="dxa"/>
            <w:vAlign w:val="bottom"/>
            <w:vMerge w:val="continue"/>
          </w:tcPr>
          <w:p>
            <w:pPr>
              <w:spacing w:after="0"/>
              <w:rPr>
                <w:sz w:val="15"/>
                <w:szCs w:val="15"/>
                <w:color w:val="auto"/>
              </w:rPr>
            </w:pPr>
          </w:p>
        </w:tc>
        <w:tc>
          <w:tcPr>
            <w:tcW w:w="2940" w:type="dxa"/>
            <w:vAlign w:val="bottom"/>
            <w:gridSpan w:val="2"/>
          </w:tcPr>
          <w:p>
            <w:pPr>
              <w:ind w:left="260"/>
              <w:spacing w:after="0" w:line="177" w:lineRule="exact"/>
              <w:rPr>
                <w:sz w:val="20"/>
                <w:szCs w:val="20"/>
                <w:color w:val="auto"/>
              </w:rPr>
            </w:pPr>
            <w:r>
              <w:rPr>
                <w:rFonts w:ascii="Arial" w:cs="Arial" w:eastAsia="Arial" w:hAnsi="Arial"/>
                <w:sz w:val="18"/>
                <w:szCs w:val="18"/>
                <w:b w:val="1"/>
                <w:bCs w:val="1"/>
                <w:color w:val="auto"/>
              </w:rPr>
              <w:t>Shares, each representing one</w:t>
            </w:r>
          </w:p>
        </w:tc>
        <w:tc>
          <w:tcPr>
            <w:tcW w:w="400" w:type="dxa"/>
            <w:vAlign w:val="bottom"/>
            <w:vMerge w:val="continue"/>
          </w:tcPr>
          <w:p>
            <w:pPr>
              <w:spacing w:after="0"/>
              <w:rPr>
                <w:sz w:val="15"/>
                <w:szCs w:val="15"/>
                <w:color w:val="auto"/>
              </w:rPr>
            </w:pPr>
          </w:p>
        </w:tc>
        <w:tc>
          <w:tcPr>
            <w:tcW w:w="9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ASND</w:t>
            </w:r>
          </w:p>
        </w:tc>
        <w:tc>
          <w:tcPr>
            <w:tcW w:w="7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4"/>
              </w:rPr>
              <w:t>The Nasdaq Stock Market LLC</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ordinary share, nominal value DKK 1 per share</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Ordinary shares, nominal value DKK 1 per share*</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28" w:lineRule="exact"/>
        <w:rPr>
          <w:sz w:val="24"/>
          <w:szCs w:val="24"/>
          <w:color w:val="auto"/>
        </w:rPr>
      </w:pPr>
    </w:p>
    <w:p>
      <w:pPr>
        <w:ind w:left="140" w:right="3860" w:hanging="5"/>
        <w:spacing w:after="0" w:line="528" w:lineRule="auto"/>
        <w:tabs>
          <w:tab w:leader="none" w:pos="355"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for trading, but only in connection with the registration of the American Depositary Shares. Securities registered or to be registered pursuant to Section 12(g) of the Act: None</w:t>
      </w:r>
    </w:p>
    <w:p>
      <w:pPr>
        <w:ind w:left="140"/>
        <w:spacing w:after="0"/>
        <w:rPr>
          <w:rFonts w:ascii="Arial" w:cs="Arial" w:eastAsia="Arial" w:hAnsi="Arial"/>
          <w:sz w:val="17"/>
          <w:szCs w:val="17"/>
          <w:color w:val="auto"/>
        </w:rPr>
      </w:pPr>
      <w:r>
        <w:rPr>
          <w:rFonts w:ascii="Arial" w:cs="Arial" w:eastAsia="Arial" w:hAnsi="Arial"/>
          <w:sz w:val="18"/>
          <w:szCs w:val="18"/>
          <w:color w:val="auto"/>
        </w:rPr>
        <w:t>Securities for which there is a reporting obligation pursuant to Section 15(d) of the Act: None</w:t>
      </w:r>
    </w:p>
    <w:p>
      <w:pPr>
        <w:sectPr>
          <w:pgSz w:w="11900" w:h="16838" w:orient="portrait"/>
          <w:cols w:equalWidth="0" w:num="1">
            <w:col w:w="11080"/>
          </w:cols>
          <w:pgMar w:left="320" w:top="229" w:right="499" w:bottom="0" w:gutter="0" w:footer="0" w:header="0"/>
        </w:sectPr>
      </w:pPr>
    </w:p>
    <w:bookmarkStart w:id="1" w:name="page2"/>
    <w:bookmarkEnd w:id="1"/>
    <w:p>
      <w:pPr>
        <w:ind w:right="1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3044190</wp:posOffset>
            </wp:positionH>
            <wp:positionV relativeFrom="page">
              <wp:posOffset>311150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t>Indicate the number of outstanding shares of each of the issuer’s classes of capital or common stock as of the close of the period covered by the annual report: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56,937,682 ordinary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2021)</w:t>
      </w:r>
    </w:p>
    <w:p>
      <w:pPr>
        <w:spacing w:after="0" w:line="176" w:lineRule="exact"/>
        <w:rPr>
          <w:sz w:val="20"/>
          <w:szCs w:val="20"/>
          <w:color w:val="auto"/>
        </w:rPr>
      </w:pPr>
    </w:p>
    <w:p>
      <w:pPr>
        <w:spacing w:after="0" w:line="207" w:lineRule="exact"/>
        <w:tabs>
          <w:tab w:leader="none" w:pos="858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6" w:lineRule="exact"/>
        <w:rPr>
          <w:sz w:val="20"/>
          <w:szCs w:val="20"/>
          <w:color w:val="auto"/>
        </w:rPr>
      </w:pPr>
    </w:p>
    <w:p>
      <w:pPr>
        <w:ind w:right="80"/>
        <w:spacing w:after="0" w:line="232"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1" w:lineRule="exact"/>
        <w:rPr>
          <w:sz w:val="20"/>
          <w:szCs w:val="20"/>
          <w:color w:val="auto"/>
        </w:rPr>
      </w:pPr>
    </w:p>
    <w:p>
      <w:pPr>
        <w:ind w:right="8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sz w:val="20"/>
          <w:szCs w:val="20"/>
          <w:color w:val="auto"/>
        </w:rPr>
      </w:pPr>
    </w:p>
    <w:p>
      <w:pPr>
        <w:ind w:right="16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definition of “large accelerated filer,” “accelerated filer,” and “emerging growth company” in Rule 12b-2 of the Exchange Act. (Check one):</w:t>
      </w:r>
    </w:p>
    <w:p>
      <w:pPr>
        <w:spacing w:after="0" w:line="215" w:lineRule="exact"/>
        <w:rPr>
          <w:sz w:val="20"/>
          <w:szCs w:val="20"/>
          <w:color w:val="auto"/>
        </w:rPr>
      </w:pPr>
    </w:p>
    <w:p>
      <w:pPr>
        <w:spacing w:after="0" w:line="207" w:lineRule="exact"/>
        <w:tabs>
          <w:tab w:leader="none" w:pos="3340" w:val="left"/>
          <w:tab w:leader="none" w:pos="5960" w:val="left"/>
          <w:tab w:leader="none" w:pos="8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6" w:lineRule="exact"/>
        <w:rPr>
          <w:sz w:val="20"/>
          <w:szCs w:val="20"/>
          <w:color w:val="auto"/>
        </w:rPr>
      </w:pPr>
    </w:p>
    <w:p>
      <w:pPr>
        <w:jc w:val="both"/>
        <w:ind w:right="20"/>
        <w:spacing w:after="0" w:line="226"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0"/>
          <w:szCs w:val="20"/>
          <w:color w:val="auto"/>
        </w:rPr>
      </w:pPr>
    </w:p>
    <w:p>
      <w:pPr>
        <w:ind w:right="380"/>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0980"/>
          </w:cols>
          <w:pgMar w:left="460" w:top="704" w:right="459" w:bottom="1440" w:gutter="0" w:footer="0" w:header="0"/>
        </w:sectPr>
      </w:pPr>
    </w:p>
    <w:p>
      <w:pPr>
        <w:spacing w:after="0" w:line="25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U.S. GAAP</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960" w:hanging="28"/>
        <w:spacing w:after="0" w:line="233" w:lineRule="exact"/>
        <w:rPr>
          <w:sz w:val="20"/>
          <w:szCs w:val="20"/>
          <w:color w:val="auto"/>
        </w:rPr>
      </w:pP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32" w:lineRule="exact"/>
        <w:rPr>
          <w:sz w:val="20"/>
          <w:szCs w:val="20"/>
          <w:color w:val="auto"/>
        </w:rPr>
      </w:pPr>
    </w:p>
    <w:p>
      <w:pPr>
        <w:sectPr>
          <w:pgSz w:w="11900" w:h="16838" w:orient="portrait"/>
          <w:cols w:equalWidth="0" w:num="5">
            <w:col w:w="1720" w:space="100"/>
            <w:col w:w="1340" w:space="720"/>
            <w:col w:w="4760" w:space="720"/>
            <w:col w:w="420" w:space="80"/>
            <w:col w:w="1120"/>
          </w:cols>
          <w:pgMar w:left="460" w:top="704" w:right="459" w:bottom="1440" w:gutter="0" w:footer="0" w:header="0"/>
          <w:type w:val="continuous"/>
        </w:sectPr>
      </w:pPr>
    </w:p>
    <w:p>
      <w:pPr>
        <w:ind w:right="320"/>
        <w:spacing w:after="0" w:line="232"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82" w:lineRule="exact"/>
        <w:rPr>
          <w:sz w:val="20"/>
          <w:szCs w:val="20"/>
          <w:color w:val="auto"/>
        </w:rPr>
      </w:pPr>
    </w:p>
    <w:p>
      <w:pPr>
        <w:ind w:right="1380"/>
        <w:spacing w:after="0" w:line="232"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60" w:type="dxa"/>
            <w:vAlign w:val="bottom"/>
          </w:tcPr>
          <w:p>
            <w:pPr>
              <w:jc w:val="center"/>
              <w:ind w:right="930"/>
              <w:spacing w:after="0"/>
              <w:rPr>
                <w:sz w:val="20"/>
                <w:szCs w:val="20"/>
                <w:color w:val="auto"/>
              </w:rPr>
            </w:pPr>
            <w:r>
              <w:rPr>
                <w:rFonts w:ascii="Arial" w:cs="Arial" w:eastAsia="Arial" w:hAnsi="Arial"/>
                <w:sz w:val="18"/>
                <w:szCs w:val="18"/>
                <w:b w:val="1"/>
                <w:bCs w:val="1"/>
                <w:color w:val="auto"/>
                <w:w w:val="97"/>
              </w:rPr>
              <w:t>Auditor Firm ID:</w:t>
            </w:r>
          </w:p>
        </w:tc>
        <w:tc>
          <w:tcPr>
            <w:tcW w:w="5540" w:type="dxa"/>
            <w:vAlign w:val="bottom"/>
          </w:tcPr>
          <w:p>
            <w:pPr>
              <w:ind w:left="1020"/>
              <w:spacing w:after="0"/>
              <w:rPr>
                <w:sz w:val="20"/>
                <w:szCs w:val="20"/>
                <w:color w:val="auto"/>
              </w:rPr>
            </w:pPr>
            <w:r>
              <w:rPr>
                <w:rFonts w:ascii="Arial" w:cs="Arial" w:eastAsia="Arial" w:hAnsi="Arial"/>
                <w:sz w:val="18"/>
                <w:szCs w:val="18"/>
                <w:b w:val="1"/>
                <w:bCs w:val="1"/>
                <w:color w:val="auto"/>
              </w:rPr>
              <w:t>Auditor Name:  Deloitte Statsautoriseret</w:t>
            </w:r>
          </w:p>
        </w:tc>
        <w:tc>
          <w:tcPr>
            <w:tcW w:w="3080" w:type="dxa"/>
            <w:vAlign w:val="bottom"/>
          </w:tcPr>
          <w:p>
            <w:pPr>
              <w:ind w:left="1540"/>
              <w:spacing w:after="0"/>
              <w:rPr>
                <w:sz w:val="20"/>
                <w:szCs w:val="20"/>
                <w:color w:val="auto"/>
              </w:rPr>
            </w:pPr>
            <w:r>
              <w:rPr>
                <w:rFonts w:ascii="Arial" w:cs="Arial" w:eastAsia="Arial" w:hAnsi="Arial"/>
                <w:sz w:val="18"/>
                <w:szCs w:val="18"/>
                <w:b w:val="1"/>
                <w:bCs w:val="1"/>
                <w:color w:val="auto"/>
              </w:rPr>
              <w:t>Auditor Location:</w:t>
            </w:r>
          </w:p>
        </w:tc>
      </w:tr>
      <w:tr>
        <w:trPr>
          <w:trHeight w:val="234"/>
        </w:trPr>
        <w:tc>
          <w:tcPr>
            <w:tcW w:w="2360" w:type="dxa"/>
            <w:vAlign w:val="bottom"/>
          </w:tcPr>
          <w:p>
            <w:pPr>
              <w:jc w:val="right"/>
              <w:ind w:right="1410"/>
              <w:spacing w:after="0"/>
              <w:rPr>
                <w:sz w:val="20"/>
                <w:szCs w:val="20"/>
                <w:color w:val="auto"/>
              </w:rPr>
            </w:pPr>
            <w:r>
              <w:rPr>
                <w:rFonts w:ascii="Arial" w:cs="Arial" w:eastAsia="Arial" w:hAnsi="Arial"/>
                <w:sz w:val="18"/>
                <w:szCs w:val="18"/>
                <w:b w:val="1"/>
                <w:bCs w:val="1"/>
                <w:color w:val="auto"/>
              </w:rPr>
              <w:t>1294</w:t>
            </w:r>
          </w:p>
        </w:tc>
        <w:tc>
          <w:tcPr>
            <w:tcW w:w="5540" w:type="dxa"/>
            <w:vAlign w:val="bottom"/>
          </w:tcPr>
          <w:p>
            <w:pPr>
              <w:ind w:left="2360"/>
              <w:spacing w:after="0"/>
              <w:rPr>
                <w:sz w:val="20"/>
                <w:szCs w:val="20"/>
                <w:color w:val="auto"/>
              </w:rPr>
            </w:pPr>
            <w:r>
              <w:rPr>
                <w:rFonts w:ascii="Arial" w:cs="Arial" w:eastAsia="Arial" w:hAnsi="Arial"/>
                <w:sz w:val="18"/>
                <w:szCs w:val="18"/>
                <w:b w:val="1"/>
                <w:bCs w:val="1"/>
                <w:color w:val="auto"/>
              </w:rPr>
              <w:t>Revisionspartnerselskab</w:t>
            </w:r>
          </w:p>
        </w:tc>
        <w:tc>
          <w:tcPr>
            <w:tcW w:w="3080" w:type="dxa"/>
            <w:vAlign w:val="bottom"/>
          </w:tcPr>
          <w:p>
            <w:pPr>
              <w:ind w:left="1300"/>
              <w:spacing w:after="0"/>
              <w:rPr>
                <w:sz w:val="20"/>
                <w:szCs w:val="20"/>
                <w:color w:val="auto"/>
              </w:rPr>
            </w:pPr>
            <w:r>
              <w:rPr>
                <w:rFonts w:ascii="Arial" w:cs="Arial" w:eastAsia="Arial" w:hAnsi="Arial"/>
                <w:sz w:val="18"/>
                <w:szCs w:val="18"/>
                <w:b w:val="1"/>
                <w:bCs w:val="1"/>
                <w:color w:val="auto"/>
                <w:w w:val="89"/>
              </w:rPr>
              <w:t>Copenhagen, Denmark</w:t>
            </w:r>
          </w:p>
        </w:tc>
      </w:tr>
      <w:tr>
        <w:trPr>
          <w:trHeight w:val="269"/>
        </w:trPr>
        <w:tc>
          <w:tcPr>
            <w:tcW w:w="2360" w:type="dxa"/>
            <w:vAlign w:val="bottom"/>
            <w:tcBorders>
              <w:bottom w:val="single" w:sz="8" w:color="auto"/>
            </w:tcBorders>
          </w:tcPr>
          <w:p>
            <w:pPr>
              <w:spacing w:after="0"/>
              <w:rPr>
                <w:sz w:val="23"/>
                <w:szCs w:val="23"/>
                <w:color w:val="auto"/>
              </w:rPr>
            </w:pPr>
          </w:p>
        </w:tc>
        <w:tc>
          <w:tcPr>
            <w:tcW w:w="554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tcPr>
          <w:p>
            <w:pPr>
              <w:spacing w:after="0"/>
              <w:rPr>
                <w:sz w:val="23"/>
                <w:szCs w:val="23"/>
                <w:color w:val="auto"/>
              </w:rPr>
            </w:pPr>
          </w:p>
        </w:tc>
      </w:tr>
      <w:tr>
        <w:trPr>
          <w:trHeight w:val="47"/>
        </w:trPr>
        <w:tc>
          <w:tcPr>
            <w:tcW w:w="236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r>
    </w:tbl>
    <w:p>
      <w:pPr>
        <w:sectPr>
          <w:pgSz w:w="11900" w:h="16838" w:orient="portrait"/>
          <w:cols w:equalWidth="0" w:num="1">
            <w:col w:w="10980"/>
          </w:cols>
          <w:pgMar w:left="460" w:top="704" w:right="45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20" w:type="dxa"/>
            <w:vAlign w:val="bottom"/>
            <w:gridSpan w:val="3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0" w:type="dxa"/>
            <w:vAlign w:val="bottom"/>
          </w:tcPr>
          <w:p>
            <w:pPr>
              <w:spacing w:after="0"/>
              <w:rPr>
                <w:sz w:val="17"/>
                <w:szCs w:val="17"/>
                <w:color w:val="auto"/>
              </w:rPr>
            </w:pPr>
          </w:p>
        </w:tc>
      </w:tr>
      <w:tr>
        <w:trPr>
          <w:trHeight w:val="532"/>
        </w:trPr>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11"/>
          </w:tcPr>
          <w:p>
            <w:pPr>
              <w:ind w:left="6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4"/>
                <w:szCs w:val="24"/>
                <w:color w:val="auto"/>
              </w:rPr>
            </w:pPr>
          </w:p>
        </w:tc>
      </w:tr>
      <w:tr>
        <w:trPr>
          <w:trHeight w:val="417"/>
        </w:trPr>
        <w:tc>
          <w:tcPr>
            <w:tcW w:w="14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w:t>
              </w:r>
            </w:hyperlink>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8580" w:type="dxa"/>
            <w:vAlign w:val="bottom"/>
            <w:gridSpan w:val="31"/>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303"/>
        </w:trPr>
        <w:tc>
          <w:tcPr>
            <w:tcW w:w="1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EE"/>
            </w:tcBorders>
            <w:gridSpan w:val="3"/>
          </w:tcPr>
          <w:p>
            <w:pPr>
              <w:jc w:val="cente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PART I</w:t>
              </w:r>
            </w:hyperlink>
          </w:p>
        </w:tc>
        <w:tc>
          <w:tcPr>
            <w:tcW w:w="3260" w:type="dxa"/>
            <w:vAlign w:val="bottom"/>
            <w:gridSpan w:val="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3"/>
        </w:trPr>
        <w:tc>
          <w:tcPr>
            <w:tcW w:w="1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00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Identity of Directors, Senior Management and Advisers</w:t>
              </w:r>
            </w:hyperlink>
          </w:p>
        </w:tc>
        <w:tc>
          <w:tcPr>
            <w:tcW w:w="3700" w:type="dxa"/>
            <w:vAlign w:val="bottom"/>
            <w:gridSpan w:val="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2880" w:type="dxa"/>
            <w:vAlign w:val="bottom"/>
            <w:tcBorders>
              <w:bottom w:val="single" w:sz="8" w:color="0000EE"/>
            </w:tcBorders>
            <w:gridSpan w:val="13"/>
          </w:tcPr>
          <w:p>
            <w:pPr>
              <w:spacing w:after="0" w:line="195"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Offer Statistics and Expected Timetable</w:t>
              </w:r>
            </w:hyperlink>
          </w:p>
        </w:tc>
        <w:tc>
          <w:tcPr>
            <w:tcW w:w="4820" w:type="dxa"/>
            <w:vAlign w:val="bottom"/>
            <w:gridSpan w:val="16"/>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7700" w:type="dxa"/>
            <w:vAlign w:val="bottom"/>
            <w:gridSpan w:val="29"/>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Key Information</w:t>
              </w:r>
            </w:hyperlink>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20"/>
        </w:trPr>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7700" w:type="dxa"/>
            <w:vAlign w:val="bottom"/>
            <w:gridSpan w:val="29"/>
          </w:tcPr>
          <w:p>
            <w:pPr>
              <w:spacing w:after="0" w:line="195" w:lineRule="exact"/>
              <w:rPr>
                <w:rFonts w:ascii="Arial" w:cs="Arial" w:eastAsia="Arial" w:hAnsi="Arial"/>
                <w:sz w:val="18"/>
                <w:szCs w:val="18"/>
                <w:color w:val="0000EE"/>
              </w:rPr>
            </w:pPr>
            <w:hyperlink w:anchor="page55">
              <w:r>
                <w:rPr>
                  <w:rFonts w:ascii="Arial" w:cs="Arial" w:eastAsia="Arial" w:hAnsi="Arial"/>
                  <w:sz w:val="18"/>
                  <w:szCs w:val="18"/>
                  <w:color w:val="0000EE"/>
                </w:rPr>
                <w:t>Information on the Company</w:t>
              </w:r>
            </w:hyperlink>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4A</w:t>
            </w:r>
          </w:p>
        </w:tc>
        <w:tc>
          <w:tcPr>
            <w:tcW w:w="2080" w:type="dxa"/>
            <w:vAlign w:val="bottom"/>
            <w:tcBorders>
              <w:top w:val="single" w:sz="8" w:color="0000EE"/>
            </w:tcBorders>
            <w:gridSpan w:val="10"/>
          </w:tcPr>
          <w:p>
            <w:pPr>
              <w:spacing w:after="0" w:line="195"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Unresolved Staff Comments</w:t>
              </w:r>
            </w:hyperlink>
          </w:p>
        </w:tc>
        <w:tc>
          <w:tcPr>
            <w:tcW w:w="5620" w:type="dxa"/>
            <w:vAlign w:val="bottom"/>
            <w:gridSpan w:val="19"/>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92</w:t>
            </w:r>
          </w:p>
        </w:tc>
      </w:tr>
      <w:tr>
        <w:trPr>
          <w:trHeight w:val="20"/>
        </w:trPr>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17"/>
          </w:tcPr>
          <w:p>
            <w:pPr>
              <w:spacing w:after="0" w:line="195"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Operating and Financial Review and Prospects</w:t>
              </w:r>
            </w:hyperlink>
          </w:p>
        </w:tc>
        <w:tc>
          <w:tcPr>
            <w:tcW w:w="4320" w:type="dxa"/>
            <w:vAlign w:val="bottom"/>
            <w:gridSpan w:val="12"/>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92</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6</w:t>
            </w:r>
          </w:p>
        </w:tc>
        <w:tc>
          <w:tcPr>
            <w:tcW w:w="3360" w:type="dxa"/>
            <w:vAlign w:val="bottom"/>
            <w:tcBorders>
              <w:bottom w:val="single" w:sz="8" w:color="0000EE"/>
            </w:tcBorders>
            <w:gridSpan w:val="16"/>
          </w:tcPr>
          <w:p>
            <w:pPr>
              <w:spacing w:after="0" w:line="195"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Directors, Senior Management and Employees</w:t>
              </w:r>
            </w:hyperlink>
          </w:p>
        </w:tc>
        <w:tc>
          <w:tcPr>
            <w:tcW w:w="4340" w:type="dxa"/>
            <w:vAlign w:val="bottom"/>
            <w:gridSpan w:val="13"/>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106</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7</w:t>
            </w:r>
          </w:p>
        </w:tc>
        <w:tc>
          <w:tcPr>
            <w:tcW w:w="3700" w:type="dxa"/>
            <w:vAlign w:val="bottom"/>
            <w:tcBorders>
              <w:bottom w:val="single" w:sz="8" w:color="0000EE"/>
            </w:tcBorders>
            <w:gridSpan w:val="19"/>
          </w:tcPr>
          <w:p>
            <w:pPr>
              <w:spacing w:after="0" w:line="195"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Major Shareholders and Related Party Transactions</w:t>
              </w:r>
            </w:hyperlink>
          </w:p>
        </w:tc>
        <w:tc>
          <w:tcPr>
            <w:tcW w:w="4000" w:type="dxa"/>
            <w:vAlign w:val="bottom"/>
            <w:gridSpan w:val="10"/>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119</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8</w:t>
            </w:r>
          </w:p>
        </w:tc>
        <w:tc>
          <w:tcPr>
            <w:tcW w:w="1580" w:type="dxa"/>
            <w:vAlign w:val="bottom"/>
            <w:tcBorders>
              <w:bottom w:val="single" w:sz="8" w:color="0000EE"/>
            </w:tcBorders>
            <w:gridSpan w:val="5"/>
          </w:tcPr>
          <w:p>
            <w:pPr>
              <w:spacing w:after="0" w:line="195"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Financial Information</w:t>
              </w:r>
            </w:hyperlink>
          </w:p>
        </w:tc>
        <w:tc>
          <w:tcPr>
            <w:tcW w:w="6120" w:type="dxa"/>
            <w:vAlign w:val="bottom"/>
            <w:gridSpan w:val="24"/>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124</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9</w:t>
            </w:r>
          </w:p>
        </w:tc>
        <w:tc>
          <w:tcPr>
            <w:tcW w:w="7700" w:type="dxa"/>
            <w:vAlign w:val="bottom"/>
            <w:gridSpan w:val="29"/>
          </w:tcPr>
          <w:p>
            <w:pPr>
              <w:spacing w:after="0" w:line="195" w:lineRule="exact"/>
              <w:rPr>
                <w:rFonts w:ascii="Arial" w:cs="Arial" w:eastAsia="Arial" w:hAnsi="Arial"/>
                <w:sz w:val="18"/>
                <w:szCs w:val="18"/>
                <w:color w:val="0000EE"/>
              </w:rPr>
            </w:pPr>
            <w:hyperlink w:anchor="page128">
              <w:r>
                <w:rPr>
                  <w:rFonts w:ascii="Arial" w:cs="Arial" w:eastAsia="Arial" w:hAnsi="Arial"/>
                  <w:sz w:val="18"/>
                  <w:szCs w:val="18"/>
                  <w:color w:val="0000EE"/>
                </w:rPr>
                <w:t>The Offer and Listing</w:t>
              </w:r>
            </w:hyperlink>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125</w:t>
            </w:r>
          </w:p>
        </w:tc>
      </w:tr>
      <w:tr>
        <w:trPr>
          <w:trHeight w:val="20"/>
        </w:trPr>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7"/>
          </w:tcPr>
          <w:p>
            <w:pPr>
              <w:spacing w:after="0" w:line="195" w:lineRule="exact"/>
              <w:rPr>
                <w:rFonts w:ascii="Arial" w:cs="Arial" w:eastAsia="Arial" w:hAnsi="Arial"/>
                <w:sz w:val="18"/>
                <w:szCs w:val="18"/>
                <w:color w:val="0000EE"/>
                <w:w w:val="95"/>
              </w:rPr>
            </w:pPr>
            <w:hyperlink w:anchor="page128">
              <w:r>
                <w:rPr>
                  <w:rFonts w:ascii="Arial" w:cs="Arial" w:eastAsia="Arial" w:hAnsi="Arial"/>
                  <w:sz w:val="18"/>
                  <w:szCs w:val="18"/>
                  <w:color w:val="0000EE"/>
                  <w:w w:val="95"/>
                </w:rPr>
                <w:t>Additional Information</w:t>
              </w:r>
            </w:hyperlink>
          </w:p>
        </w:tc>
        <w:tc>
          <w:tcPr>
            <w:tcW w:w="6020" w:type="dxa"/>
            <w:vAlign w:val="bottom"/>
            <w:gridSpan w:val="22"/>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125</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11</w:t>
            </w:r>
          </w:p>
        </w:tc>
        <w:tc>
          <w:tcPr>
            <w:tcW w:w="7700" w:type="dxa"/>
            <w:vAlign w:val="bottom"/>
            <w:gridSpan w:val="29"/>
          </w:tcPr>
          <w:p>
            <w:pPr>
              <w:spacing w:after="0" w:line="195" w:lineRule="exact"/>
              <w:rPr>
                <w:rFonts w:ascii="Arial" w:cs="Arial" w:eastAsia="Arial" w:hAnsi="Arial"/>
                <w:sz w:val="18"/>
                <w:szCs w:val="18"/>
                <w:color w:val="0000EE"/>
              </w:rPr>
            </w:pPr>
            <w:hyperlink w:anchor="page147">
              <w:r>
                <w:rPr>
                  <w:rFonts w:ascii="Arial" w:cs="Arial" w:eastAsia="Arial" w:hAnsi="Arial"/>
                  <w:sz w:val="18"/>
                  <w:szCs w:val="18"/>
                  <w:color w:val="0000EE"/>
                </w:rPr>
                <w:t>Quantitative and Qualitative Disclosures About Market Risk</w:t>
              </w:r>
            </w:hyperlink>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144</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12</w:t>
            </w:r>
          </w:p>
        </w:tc>
        <w:tc>
          <w:tcPr>
            <w:tcW w:w="4340" w:type="dxa"/>
            <w:vAlign w:val="bottom"/>
            <w:tcBorders>
              <w:top w:val="single" w:sz="8" w:color="0000EE"/>
            </w:tcBorders>
            <w:gridSpan w:val="23"/>
          </w:tcPr>
          <w:p>
            <w:pPr>
              <w:spacing w:after="0" w:line="195" w:lineRule="exact"/>
              <w:rPr>
                <w:rFonts w:ascii="Arial" w:cs="Arial" w:eastAsia="Arial" w:hAnsi="Arial"/>
                <w:sz w:val="18"/>
                <w:szCs w:val="18"/>
                <w:color w:val="0000EE"/>
              </w:rPr>
            </w:pPr>
            <w:hyperlink w:anchor="page148">
              <w:r>
                <w:rPr>
                  <w:rFonts w:ascii="Arial" w:cs="Arial" w:eastAsia="Arial" w:hAnsi="Arial"/>
                  <w:sz w:val="18"/>
                  <w:szCs w:val="18"/>
                  <w:color w:val="0000EE"/>
                </w:rPr>
                <w:t>Description of Securities Other than Equity Securities</w:t>
              </w:r>
            </w:hyperlink>
          </w:p>
        </w:tc>
        <w:tc>
          <w:tcPr>
            <w:tcW w:w="3360" w:type="dxa"/>
            <w:vAlign w:val="bottom"/>
            <w:gridSpan w:val="6"/>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145</w:t>
            </w:r>
          </w:p>
        </w:tc>
      </w:tr>
      <w:tr>
        <w:trPr>
          <w:trHeight w:val="303"/>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40" w:type="dxa"/>
            <w:vAlign w:val="bottom"/>
            <w:gridSpan w:val="9"/>
          </w:tcPr>
          <w:p>
            <w:pPr>
              <w:jc w:val="center"/>
              <w:ind w:right="3240"/>
              <w:spacing w:after="0"/>
              <w:rPr>
                <w:rFonts w:ascii="Arial" w:cs="Arial" w:eastAsia="Arial" w:hAnsi="Arial"/>
                <w:sz w:val="18"/>
                <w:szCs w:val="18"/>
                <w:color w:val="0000EE"/>
                <w:w w:val="95"/>
              </w:rPr>
            </w:pPr>
            <w:hyperlink w:anchor="page149">
              <w:r>
                <w:rPr>
                  <w:rFonts w:ascii="Arial" w:cs="Arial" w:eastAsia="Arial" w:hAnsi="Arial"/>
                  <w:sz w:val="18"/>
                  <w:szCs w:val="18"/>
                  <w:color w:val="0000EE"/>
                  <w:w w:val="95"/>
                </w:rPr>
                <w:t>PART II</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03"/>
        </w:trPr>
        <w:tc>
          <w:tcPr>
            <w:tcW w:w="1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35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49">
              <w:r>
                <w:rPr>
                  <w:rFonts w:ascii="Arial" w:cs="Arial" w:eastAsia="Arial" w:hAnsi="Arial"/>
                  <w:sz w:val="18"/>
                  <w:szCs w:val="18"/>
                  <w:color w:val="0000EE"/>
                  <w:w w:val="90"/>
                </w:rPr>
                <w:t>Defaults, Dividend Arrearages and Delinquencies</w:t>
              </w:r>
            </w:hyperlink>
          </w:p>
        </w:tc>
        <w:tc>
          <w:tcPr>
            <w:tcW w:w="280" w:type="dxa"/>
            <w:vAlign w:val="bottom"/>
            <w:gridSpan w:val="2"/>
          </w:tcPr>
          <w:p>
            <w:pPr>
              <w:spacing w:after="0"/>
              <w:rPr>
                <w:sz w:val="24"/>
                <w:szCs w:val="24"/>
                <w:color w:val="auto"/>
              </w:rPr>
            </w:pPr>
          </w:p>
        </w:tc>
        <w:tc>
          <w:tcPr>
            <w:tcW w:w="600" w:type="dxa"/>
            <w:vAlign w:val="bottom"/>
            <w:tcBorders>
              <w:top w:val="single" w:sz="8" w:color="0000EE"/>
            </w:tcBorders>
            <w:gridSpan w:val="5"/>
          </w:tcPr>
          <w:p>
            <w:pPr>
              <w:spacing w:after="0"/>
              <w:rPr>
                <w:sz w:val="24"/>
                <w:szCs w:val="24"/>
                <w:color w:val="auto"/>
              </w:rPr>
            </w:pPr>
          </w:p>
        </w:tc>
        <w:tc>
          <w:tcPr>
            <w:tcW w:w="324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14</w:t>
            </w:r>
          </w:p>
        </w:tc>
        <w:tc>
          <w:tcPr>
            <w:tcW w:w="5520" w:type="dxa"/>
            <w:vAlign w:val="bottom"/>
            <w:tcBorders>
              <w:bottom w:val="single" w:sz="8" w:color="0000EE"/>
            </w:tcBorders>
            <w:gridSpan w:val="28"/>
          </w:tcPr>
          <w:p>
            <w:pPr>
              <w:spacing w:after="0" w:line="195" w:lineRule="exact"/>
              <w:rPr>
                <w:rFonts w:ascii="Arial" w:cs="Arial" w:eastAsia="Arial" w:hAnsi="Arial"/>
                <w:sz w:val="18"/>
                <w:szCs w:val="18"/>
                <w:color w:val="0000EE"/>
                <w:w w:val="91"/>
              </w:rPr>
            </w:pPr>
            <w:hyperlink w:anchor="page149">
              <w:r>
                <w:rPr>
                  <w:rFonts w:ascii="Arial" w:cs="Arial" w:eastAsia="Arial" w:hAnsi="Arial"/>
                  <w:sz w:val="18"/>
                  <w:szCs w:val="18"/>
                  <w:color w:val="0000EE"/>
                  <w:w w:val="91"/>
                </w:rPr>
                <w:t>Material Modification to the Rights of Security Holders and Use of Proceeds</w:t>
              </w:r>
            </w:hyperlink>
          </w:p>
        </w:tc>
        <w:tc>
          <w:tcPr>
            <w:tcW w:w="2180" w:type="dxa"/>
            <w:vAlign w:val="bottom"/>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146</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15</w:t>
            </w:r>
          </w:p>
        </w:tc>
        <w:tc>
          <w:tcPr>
            <w:tcW w:w="1700" w:type="dxa"/>
            <w:vAlign w:val="bottom"/>
            <w:tcBorders>
              <w:bottom w:val="single" w:sz="8" w:color="0000EE"/>
            </w:tcBorders>
            <w:gridSpan w:val="8"/>
          </w:tcPr>
          <w:p>
            <w:pPr>
              <w:spacing w:after="0" w:line="195"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Control and Procedures</w:t>
              </w:r>
            </w:hyperlink>
          </w:p>
        </w:tc>
        <w:tc>
          <w:tcPr>
            <w:tcW w:w="6000" w:type="dxa"/>
            <w:vAlign w:val="bottom"/>
            <w:gridSpan w:val="21"/>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146</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16A</w:t>
            </w:r>
          </w:p>
        </w:tc>
        <w:tc>
          <w:tcPr>
            <w:tcW w:w="7700" w:type="dxa"/>
            <w:vAlign w:val="bottom"/>
            <w:gridSpan w:val="29"/>
          </w:tcPr>
          <w:p>
            <w:pPr>
              <w:spacing w:after="0" w:line="195" w:lineRule="exact"/>
              <w:rPr>
                <w:rFonts w:ascii="Arial" w:cs="Arial" w:eastAsia="Arial" w:hAnsi="Arial"/>
                <w:sz w:val="18"/>
                <w:szCs w:val="18"/>
                <w:color w:val="0000EE"/>
              </w:rPr>
            </w:pPr>
            <w:hyperlink w:anchor="page150">
              <w:r>
                <w:rPr>
                  <w:rFonts w:ascii="Arial" w:cs="Arial" w:eastAsia="Arial" w:hAnsi="Arial"/>
                  <w:sz w:val="18"/>
                  <w:szCs w:val="18"/>
                  <w:color w:val="0000EE"/>
                </w:rPr>
                <w:t>Audit Committee Financial Expert</w:t>
              </w:r>
            </w:hyperlink>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147</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16B</w:t>
            </w:r>
          </w:p>
        </w:tc>
        <w:tc>
          <w:tcPr>
            <w:tcW w:w="248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w:anchor="page150">
              <w:r>
                <w:rPr>
                  <w:rFonts w:ascii="Arial" w:cs="Arial" w:eastAsia="Arial" w:hAnsi="Arial"/>
                  <w:sz w:val="18"/>
                  <w:szCs w:val="18"/>
                  <w:color w:val="0000EE"/>
                </w:rPr>
                <w:t>Code of Ethics</w:t>
              </w:r>
            </w:hyperlink>
          </w:p>
        </w:tc>
        <w:tc>
          <w:tcPr>
            <w:tcW w:w="5220" w:type="dxa"/>
            <w:vAlign w:val="bottom"/>
            <w:gridSpan w:val="18"/>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147</w:t>
            </w:r>
          </w:p>
        </w:tc>
      </w:tr>
      <w:tr>
        <w:trPr>
          <w:trHeight w:val="20"/>
        </w:trPr>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16C</w:t>
            </w:r>
          </w:p>
        </w:tc>
        <w:tc>
          <w:tcPr>
            <w:tcW w:w="2860" w:type="dxa"/>
            <w:vAlign w:val="bottom"/>
            <w:tcBorders>
              <w:bottom w:val="single" w:sz="8" w:color="0000EE"/>
            </w:tcBorders>
            <w:gridSpan w:val="12"/>
          </w:tcPr>
          <w:p>
            <w:pPr>
              <w:spacing w:after="0" w:line="195" w:lineRule="exact"/>
              <w:rPr>
                <w:rFonts w:ascii="Arial" w:cs="Arial" w:eastAsia="Arial" w:hAnsi="Arial"/>
                <w:sz w:val="18"/>
                <w:szCs w:val="18"/>
                <w:color w:val="0000EE"/>
                <w:w w:val="89"/>
              </w:rPr>
            </w:pPr>
            <w:hyperlink w:anchor="page150">
              <w:r>
                <w:rPr>
                  <w:rFonts w:ascii="Arial" w:cs="Arial" w:eastAsia="Arial" w:hAnsi="Arial"/>
                  <w:sz w:val="18"/>
                  <w:szCs w:val="18"/>
                  <w:color w:val="0000EE"/>
                  <w:w w:val="89"/>
                </w:rPr>
                <w:t>Principal Accountant Fees and Services</w:t>
              </w:r>
            </w:hyperlink>
          </w:p>
        </w:tc>
        <w:tc>
          <w:tcPr>
            <w:tcW w:w="4840" w:type="dxa"/>
            <w:vAlign w:val="bottom"/>
            <w:gridSpan w:val="17"/>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147</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16D</w:t>
            </w:r>
          </w:p>
        </w:tc>
        <w:tc>
          <w:tcPr>
            <w:tcW w:w="7700" w:type="dxa"/>
            <w:vAlign w:val="bottom"/>
            <w:gridSpan w:val="29"/>
          </w:tcPr>
          <w:p>
            <w:pPr>
              <w:spacing w:after="0" w:line="195" w:lineRule="exact"/>
              <w:rPr>
                <w:rFonts w:ascii="Arial" w:cs="Arial" w:eastAsia="Arial" w:hAnsi="Arial"/>
                <w:sz w:val="18"/>
                <w:szCs w:val="18"/>
                <w:color w:val="0000EE"/>
              </w:rPr>
            </w:pPr>
            <w:hyperlink w:anchor="page151">
              <w:r>
                <w:rPr>
                  <w:rFonts w:ascii="Arial" w:cs="Arial" w:eastAsia="Arial" w:hAnsi="Arial"/>
                  <w:sz w:val="18"/>
                  <w:szCs w:val="18"/>
                  <w:color w:val="0000EE"/>
                </w:rPr>
                <w:t>Exemptions from the Listing Standards for Audit Committees</w:t>
              </w:r>
            </w:hyperlink>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148</w:t>
            </w:r>
          </w:p>
        </w:tc>
      </w:tr>
      <w:tr>
        <w:trPr>
          <w:trHeight w:val="20"/>
        </w:trPr>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1200" w:type="dxa"/>
            <w:vAlign w:val="bottom"/>
            <w:gridSpan w:val="9"/>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16E</w:t>
            </w:r>
          </w:p>
        </w:tc>
        <w:tc>
          <w:tcPr>
            <w:tcW w:w="5020" w:type="dxa"/>
            <w:vAlign w:val="bottom"/>
            <w:tcBorders>
              <w:bottom w:val="single" w:sz="8" w:color="0000EE"/>
            </w:tcBorders>
            <w:gridSpan w:val="27"/>
          </w:tcPr>
          <w:p>
            <w:pPr>
              <w:spacing w:after="0" w:line="195"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Purchases of Equity Securities by the Issuer and Affiliated Purchasers</w:t>
              </w:r>
            </w:hyperlink>
          </w:p>
        </w:tc>
        <w:tc>
          <w:tcPr>
            <w:tcW w:w="2680" w:type="dxa"/>
            <w:vAlign w:val="bottom"/>
            <w:gridSpan w:val="2"/>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148</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16F</w:t>
            </w:r>
          </w:p>
        </w:tc>
        <w:tc>
          <w:tcPr>
            <w:tcW w:w="3240" w:type="dxa"/>
            <w:vAlign w:val="bottom"/>
            <w:tcBorders>
              <w:bottom w:val="single" w:sz="8" w:color="0000EE"/>
            </w:tcBorders>
            <w:gridSpan w:val="15"/>
          </w:tcPr>
          <w:p>
            <w:pPr>
              <w:spacing w:after="0" w:line="195"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Change in Registrants Certifying Accountant</w:t>
              </w:r>
            </w:hyperlink>
          </w:p>
        </w:tc>
        <w:tc>
          <w:tcPr>
            <w:tcW w:w="4460" w:type="dxa"/>
            <w:vAlign w:val="bottom"/>
            <w:gridSpan w:val="14"/>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148</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16G</w:t>
            </w:r>
          </w:p>
        </w:tc>
        <w:tc>
          <w:tcPr>
            <w:tcW w:w="1640" w:type="dxa"/>
            <w:vAlign w:val="bottom"/>
            <w:tcBorders>
              <w:bottom w:val="single" w:sz="8" w:color="0000EE"/>
            </w:tcBorders>
            <w:gridSpan w:val="6"/>
          </w:tcPr>
          <w:p>
            <w:pPr>
              <w:spacing w:after="0" w:line="195"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Corporate Governance</w:t>
              </w:r>
            </w:hyperlink>
          </w:p>
        </w:tc>
        <w:tc>
          <w:tcPr>
            <w:tcW w:w="6060" w:type="dxa"/>
            <w:vAlign w:val="bottom"/>
            <w:gridSpan w:val="23"/>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148</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16H</w:t>
            </w:r>
          </w:p>
        </w:tc>
        <w:tc>
          <w:tcPr>
            <w:tcW w:w="1700" w:type="dxa"/>
            <w:vAlign w:val="bottom"/>
            <w:tcBorders>
              <w:bottom w:val="single" w:sz="8" w:color="0000EE"/>
            </w:tcBorders>
            <w:gridSpan w:val="8"/>
          </w:tcPr>
          <w:p>
            <w:pPr>
              <w:spacing w:after="0" w:line="195" w:lineRule="exact"/>
              <w:rPr>
                <w:rFonts w:ascii="Arial" w:cs="Arial" w:eastAsia="Arial" w:hAnsi="Arial"/>
                <w:sz w:val="18"/>
                <w:szCs w:val="18"/>
                <w:color w:val="0000EE"/>
                <w:w w:val="91"/>
              </w:rPr>
            </w:pPr>
            <w:hyperlink w:anchor="page152">
              <w:r>
                <w:rPr>
                  <w:rFonts w:ascii="Arial" w:cs="Arial" w:eastAsia="Arial" w:hAnsi="Arial"/>
                  <w:sz w:val="18"/>
                  <w:szCs w:val="18"/>
                  <w:color w:val="0000EE"/>
                  <w:w w:val="91"/>
                </w:rPr>
                <w:t>Mine Safety Disclosure</w:t>
              </w:r>
            </w:hyperlink>
          </w:p>
        </w:tc>
        <w:tc>
          <w:tcPr>
            <w:tcW w:w="6000" w:type="dxa"/>
            <w:vAlign w:val="bottom"/>
            <w:gridSpan w:val="21"/>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149</w:t>
            </w:r>
          </w:p>
        </w:tc>
      </w:tr>
      <w:tr>
        <w:trPr>
          <w:trHeight w:val="195"/>
        </w:trPr>
        <w:tc>
          <w:tcPr>
            <w:tcW w:w="14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rPr>
              <w:t>Item 16I</w:t>
            </w:r>
          </w:p>
        </w:tc>
        <w:tc>
          <w:tcPr>
            <w:tcW w:w="7700" w:type="dxa"/>
            <w:vAlign w:val="bottom"/>
            <w:gridSpan w:val="29"/>
          </w:tcPr>
          <w:p>
            <w:pPr>
              <w:spacing w:after="0" w:line="195" w:lineRule="exact"/>
              <w:rPr>
                <w:rFonts w:ascii="Arial" w:cs="Arial" w:eastAsia="Arial" w:hAnsi="Arial"/>
                <w:sz w:val="18"/>
                <w:szCs w:val="18"/>
                <w:color w:val="0000EE"/>
              </w:rPr>
            </w:pPr>
            <w:hyperlink w:anchor="page152">
              <w:r>
                <w:rPr>
                  <w:rFonts w:ascii="Arial" w:cs="Arial" w:eastAsia="Arial" w:hAnsi="Arial"/>
                  <w:sz w:val="18"/>
                  <w:szCs w:val="18"/>
                  <w:color w:val="0000EE"/>
                </w:rPr>
                <w:t>Disclosure Regarding Foreign Jurisdictions that Prevent Inspections</w:t>
              </w:r>
            </w:hyperlink>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149</w:t>
            </w:r>
          </w:p>
        </w:tc>
      </w:tr>
      <w:tr>
        <w:trPr>
          <w:trHeight w:val="20"/>
        </w:trPr>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ectPr>
          <w:pgSz w:w="11900" w:h="16838" w:orient="portrait"/>
          <w:cols w:equalWidth="0" w:num="1">
            <w:col w:w="11120"/>
          </w:cols>
          <w:pgMar w:left="320" w:top="471" w:right="4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18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940" w:type="dxa"/>
            <w:vAlign w:val="bottom"/>
          </w:tcPr>
          <w:p>
            <w:pPr>
              <w:spacing w:after="0"/>
              <w:rPr>
                <w:sz w:val="17"/>
                <w:szCs w:val="17"/>
                <w:color w:val="auto"/>
              </w:rPr>
            </w:pPr>
          </w:p>
        </w:tc>
      </w:tr>
      <w:tr>
        <w:trPr>
          <w:trHeight w:val="599"/>
        </w:trPr>
        <w:tc>
          <w:tcPr>
            <w:tcW w:w="10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Borders>
              <w:bottom w:val="single" w:sz="8" w:color="0000EE"/>
            </w:tcBorders>
          </w:tcPr>
          <w:p>
            <w:pPr>
              <w:spacing w:after="0"/>
              <w:rPr>
                <w:rFonts w:ascii="Arial" w:cs="Arial" w:eastAsia="Arial" w:hAnsi="Arial"/>
                <w:sz w:val="18"/>
                <w:szCs w:val="18"/>
                <w:color w:val="0000EE"/>
                <w:w w:val="94"/>
              </w:rPr>
            </w:pPr>
            <w:hyperlink w:anchor="page153">
              <w:r>
                <w:rPr>
                  <w:rFonts w:ascii="Arial" w:cs="Arial" w:eastAsia="Arial" w:hAnsi="Arial"/>
                  <w:sz w:val="18"/>
                  <w:szCs w:val="18"/>
                  <w:color w:val="0000EE"/>
                  <w:w w:val="94"/>
                </w:rPr>
                <w:t>PART III</w:t>
              </w:r>
            </w:hyperlink>
          </w:p>
        </w:tc>
        <w:tc>
          <w:tcPr>
            <w:tcW w:w="2660" w:type="dxa"/>
            <w:vAlign w:val="bottom"/>
          </w:tcPr>
          <w:p>
            <w:pPr>
              <w:spacing w:after="0"/>
              <w:rPr>
                <w:sz w:val="24"/>
                <w:szCs w:val="24"/>
                <w:color w:val="auto"/>
              </w:rPr>
            </w:pPr>
          </w:p>
        </w:tc>
        <w:tc>
          <w:tcPr>
            <w:tcW w:w="2940" w:type="dxa"/>
            <w:vAlign w:val="bottom"/>
          </w:tcPr>
          <w:p>
            <w:pPr>
              <w:ind w:left="2660"/>
              <w:spacing w:after="0"/>
              <w:rPr>
                <w:sz w:val="20"/>
                <w:szCs w:val="20"/>
                <w:color w:val="auto"/>
              </w:rPr>
            </w:pPr>
            <w:r>
              <w:rPr>
                <w:rFonts w:ascii="Arial" w:cs="Arial" w:eastAsia="Arial" w:hAnsi="Arial"/>
                <w:sz w:val="18"/>
                <w:szCs w:val="18"/>
                <w:color w:val="auto"/>
                <w:w w:val="86"/>
              </w:rPr>
              <w:t>150</w:t>
            </w:r>
          </w:p>
        </w:tc>
      </w:tr>
      <w:tr>
        <w:trPr>
          <w:trHeight w:val="303"/>
        </w:trPr>
        <w:tc>
          <w:tcPr>
            <w:tcW w:w="1020" w:type="dxa"/>
            <w:vAlign w:val="bottom"/>
          </w:tcPr>
          <w:p>
            <w:pPr>
              <w:ind w:left="140"/>
              <w:spacing w:after="0"/>
              <w:rPr>
                <w:sz w:val="20"/>
                <w:szCs w:val="20"/>
                <w:color w:val="auto"/>
              </w:rPr>
            </w:pPr>
            <w:r>
              <w:rPr>
                <w:rFonts w:ascii="Arial" w:cs="Arial" w:eastAsia="Arial" w:hAnsi="Arial"/>
                <w:sz w:val="18"/>
                <w:szCs w:val="18"/>
                <w:color w:val="auto"/>
              </w:rPr>
              <w:t>Item 17</w:t>
            </w:r>
          </w:p>
        </w:tc>
        <w:tc>
          <w:tcPr>
            <w:tcW w:w="15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53">
              <w:r>
                <w:rPr>
                  <w:rFonts w:ascii="Arial" w:cs="Arial" w:eastAsia="Arial" w:hAnsi="Arial"/>
                  <w:sz w:val="18"/>
                  <w:szCs w:val="18"/>
                  <w:color w:val="0000EE"/>
                  <w:w w:val="89"/>
                </w:rPr>
                <w:t>Financial Statements</w:t>
              </w:r>
            </w:hyperlink>
          </w:p>
        </w:tc>
        <w:tc>
          <w:tcPr>
            <w:tcW w:w="5640" w:type="dxa"/>
            <w:vAlign w:val="bottom"/>
            <w:gridSpan w:val="3"/>
          </w:tcPr>
          <w:p>
            <w:pPr>
              <w:spacing w:after="0"/>
              <w:rPr>
                <w:sz w:val="24"/>
                <w:szCs w:val="24"/>
                <w:color w:val="auto"/>
              </w:rPr>
            </w:pPr>
          </w:p>
        </w:tc>
        <w:tc>
          <w:tcPr>
            <w:tcW w:w="2940" w:type="dxa"/>
            <w:vAlign w:val="bottom"/>
          </w:tcPr>
          <w:p>
            <w:pPr>
              <w:ind w:left="2660"/>
              <w:spacing w:after="0"/>
              <w:rPr>
                <w:sz w:val="20"/>
                <w:szCs w:val="20"/>
                <w:color w:val="auto"/>
              </w:rPr>
            </w:pPr>
            <w:r>
              <w:rPr>
                <w:rFonts w:ascii="Arial" w:cs="Arial" w:eastAsia="Arial" w:hAnsi="Arial"/>
                <w:sz w:val="18"/>
                <w:szCs w:val="18"/>
                <w:color w:val="auto"/>
                <w:w w:val="86"/>
              </w:rPr>
              <w:t>150</w:t>
            </w:r>
          </w:p>
        </w:tc>
      </w:tr>
      <w:tr>
        <w:trPr>
          <w:trHeight w:val="195"/>
        </w:trPr>
        <w:tc>
          <w:tcPr>
            <w:tcW w:w="1020" w:type="dxa"/>
            <w:vAlign w:val="bottom"/>
          </w:tcPr>
          <w:p>
            <w:pPr>
              <w:ind w:left="140"/>
              <w:spacing w:after="0" w:line="195" w:lineRule="exact"/>
              <w:rPr>
                <w:sz w:val="20"/>
                <w:szCs w:val="20"/>
                <w:color w:val="auto"/>
              </w:rPr>
            </w:pPr>
            <w:r>
              <w:rPr>
                <w:rFonts w:ascii="Arial" w:cs="Arial" w:eastAsia="Arial" w:hAnsi="Arial"/>
                <w:sz w:val="18"/>
                <w:szCs w:val="18"/>
                <w:color w:val="auto"/>
              </w:rPr>
              <w:t>Item 18</w:t>
            </w:r>
          </w:p>
        </w:tc>
        <w:tc>
          <w:tcPr>
            <w:tcW w:w="7160" w:type="dxa"/>
            <w:vAlign w:val="bottom"/>
            <w:gridSpan w:val="7"/>
          </w:tcPr>
          <w:p>
            <w:pPr>
              <w:spacing w:after="0" w:line="195" w:lineRule="exact"/>
              <w:rPr>
                <w:rFonts w:ascii="Arial" w:cs="Arial" w:eastAsia="Arial" w:hAnsi="Arial"/>
                <w:sz w:val="18"/>
                <w:szCs w:val="18"/>
                <w:color w:val="0000EE"/>
              </w:rPr>
            </w:pPr>
            <w:hyperlink w:anchor="page153">
              <w:r>
                <w:rPr>
                  <w:rFonts w:ascii="Arial" w:cs="Arial" w:eastAsia="Arial" w:hAnsi="Arial"/>
                  <w:sz w:val="18"/>
                  <w:szCs w:val="18"/>
                  <w:color w:val="0000EE"/>
                </w:rPr>
                <w:t>Financial Statements</w:t>
              </w:r>
            </w:hyperlink>
          </w:p>
        </w:tc>
        <w:tc>
          <w:tcPr>
            <w:tcW w:w="2940" w:type="dxa"/>
            <w:vAlign w:val="bottom"/>
          </w:tcPr>
          <w:p>
            <w:pPr>
              <w:ind w:left="2660"/>
              <w:spacing w:after="0" w:line="195" w:lineRule="exact"/>
              <w:rPr>
                <w:sz w:val="20"/>
                <w:szCs w:val="20"/>
                <w:color w:val="auto"/>
              </w:rPr>
            </w:pPr>
            <w:r>
              <w:rPr>
                <w:rFonts w:ascii="Arial" w:cs="Arial" w:eastAsia="Arial" w:hAnsi="Arial"/>
                <w:sz w:val="18"/>
                <w:szCs w:val="18"/>
                <w:color w:val="auto"/>
                <w:w w:val="86"/>
              </w:rPr>
              <w:t>150</w:t>
            </w:r>
          </w:p>
        </w:tc>
      </w:tr>
      <w:tr>
        <w:trPr>
          <w:trHeight w:val="195"/>
        </w:trPr>
        <w:tc>
          <w:tcPr>
            <w:tcW w:w="1020" w:type="dxa"/>
            <w:vAlign w:val="bottom"/>
          </w:tcPr>
          <w:p>
            <w:pPr>
              <w:ind w:left="140"/>
              <w:spacing w:after="0" w:line="195" w:lineRule="exact"/>
              <w:rPr>
                <w:sz w:val="20"/>
                <w:szCs w:val="20"/>
                <w:color w:val="auto"/>
              </w:rPr>
            </w:pPr>
            <w:r>
              <w:rPr>
                <w:rFonts w:ascii="Arial" w:cs="Arial" w:eastAsia="Arial" w:hAnsi="Arial"/>
                <w:sz w:val="18"/>
                <w:szCs w:val="18"/>
                <w:color w:val="auto"/>
              </w:rPr>
              <w:t>Item 19</w:t>
            </w:r>
          </w:p>
        </w:tc>
        <w:tc>
          <w:tcPr>
            <w:tcW w:w="1500" w:type="dxa"/>
            <w:vAlign w:val="bottom"/>
            <w:tcBorders>
              <w:top w:val="single" w:sz="8" w:color="0000EE"/>
            </w:tcBorders>
            <w:gridSpan w:val="3"/>
          </w:tcPr>
          <w:p>
            <w:pPr>
              <w:spacing w:after="0" w:line="195" w:lineRule="exact"/>
              <w:rPr>
                <w:rFonts w:ascii="Arial" w:cs="Arial" w:eastAsia="Arial" w:hAnsi="Arial"/>
                <w:sz w:val="18"/>
                <w:szCs w:val="18"/>
                <w:color w:val="0000EE"/>
              </w:rPr>
            </w:pPr>
            <w:hyperlink w:anchor="page193">
              <w:r>
                <w:rPr>
                  <w:rFonts w:ascii="Arial" w:cs="Arial" w:eastAsia="Arial" w:hAnsi="Arial"/>
                  <w:sz w:val="18"/>
                  <w:szCs w:val="18"/>
                  <w:color w:val="0000EE"/>
                </w:rPr>
                <w:t>Exhibits</w:t>
              </w:r>
            </w:hyperlink>
          </w:p>
        </w:tc>
        <w:tc>
          <w:tcPr>
            <w:tcW w:w="5660" w:type="dxa"/>
            <w:vAlign w:val="bottom"/>
            <w:gridSpan w:val="4"/>
          </w:tcPr>
          <w:p>
            <w:pPr>
              <w:spacing w:after="0"/>
              <w:rPr>
                <w:sz w:val="16"/>
                <w:szCs w:val="16"/>
                <w:color w:val="auto"/>
              </w:rPr>
            </w:pPr>
          </w:p>
        </w:tc>
        <w:tc>
          <w:tcPr>
            <w:tcW w:w="2940" w:type="dxa"/>
            <w:vAlign w:val="bottom"/>
          </w:tcPr>
          <w:p>
            <w:pPr>
              <w:ind w:left="2660"/>
              <w:spacing w:after="0" w:line="195" w:lineRule="exact"/>
              <w:rPr>
                <w:sz w:val="20"/>
                <w:szCs w:val="20"/>
                <w:color w:val="auto"/>
              </w:rPr>
            </w:pPr>
            <w:r>
              <w:rPr>
                <w:rFonts w:ascii="Arial" w:cs="Arial" w:eastAsia="Arial" w:hAnsi="Arial"/>
                <w:sz w:val="18"/>
                <w:szCs w:val="18"/>
                <w:color w:val="auto"/>
                <w:w w:val="99"/>
              </w:rPr>
              <w:t>II-1</w:t>
            </w:r>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ectPr>
          <w:pgSz w:w="11900" w:h="16838" w:orient="portrait"/>
          <w:cols w:equalWidth="0" w:num="1">
            <w:col w:w="11120"/>
          </w:cols>
          <w:pgMar w:left="320" w:top="471"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General</w:t>
      </w:r>
    </w:p>
    <w:p>
      <w:pPr>
        <w:spacing w:after="0" w:line="120"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color w:val="auto"/>
        </w:rPr>
        <w:t>As used herein, references to “we”, “us”, the “company”, “Ascendis”, or “Ascendis Pharma”, or similar terms in this annual report on Form 20-F shall mean Ascendis Pharma A/S and, as the context requires, its subsidiaries.</w:t>
      </w:r>
    </w:p>
    <w:p>
      <w:pPr>
        <w:spacing w:after="0" w:line="171" w:lineRule="exact"/>
        <w:rPr>
          <w:sz w:val="20"/>
          <w:szCs w:val="20"/>
          <w:color w:val="auto"/>
        </w:rPr>
      </w:pPr>
    </w:p>
    <w:p>
      <w:pPr>
        <w:ind w:left="140" w:right="220"/>
        <w:spacing w:after="0" w:line="278" w:lineRule="auto"/>
        <w:rPr>
          <w:sz w:val="20"/>
          <w:szCs w:val="20"/>
          <w:color w:val="auto"/>
        </w:rPr>
      </w:pPr>
      <w:r>
        <w:rPr>
          <w:rFonts w:ascii="Arial" w:cs="Arial" w:eastAsia="Arial" w:hAnsi="Arial"/>
          <w:sz w:val="17"/>
          <w:szCs w:val="17"/>
          <w:color w:val="auto"/>
        </w:rPr>
        <w:t>Our consolidated financial statements are presented in euros except where otherwise indicated, and are prepared in accordance with International Financial Reporting Standards, or IFRS, as issued by the International Accounting Standards Board, or IASB. All references in this annual report to “Dollars”, “USD” and “$” are to U.S. Dollars, and all references to “euro”, “EUR” or “€” are to European Union euro. Throughout this annual report, references to ADSs mean ADSs or ordinary shares represented by ADSs, as the case may be.</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0" w:lineRule="exact"/>
        <w:rPr>
          <w:sz w:val="20"/>
          <w:szCs w:val="20"/>
          <w:color w:val="auto"/>
        </w:rPr>
      </w:pPr>
    </w:p>
    <w:p>
      <w:pPr>
        <w:ind w:left="140"/>
        <w:spacing w:after="0" w:line="253" w:lineRule="auto"/>
        <w:rPr>
          <w:sz w:val="20"/>
          <w:szCs w:val="20"/>
          <w:color w:val="auto"/>
        </w:rPr>
      </w:pPr>
      <w:r>
        <w:rPr>
          <w:rFonts w:ascii="Arial" w:cs="Arial" w:eastAsia="Arial" w:hAnsi="Arial"/>
          <w:sz w:val="18"/>
          <w:szCs w:val="18"/>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1100" w:hanging="426"/>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29" w:lineRule="exact"/>
        <w:rPr>
          <w:rFonts w:ascii="Arial" w:cs="Arial" w:eastAsia="Arial" w:hAnsi="Arial"/>
          <w:sz w:val="18"/>
          <w:szCs w:val="18"/>
          <w:color w:val="auto"/>
        </w:rPr>
      </w:pPr>
    </w:p>
    <w:p>
      <w:pPr>
        <w:ind w:left="1100" w:right="32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commercial availability of TransCon hGH, known by its brand name SKYTROFA (lonapegsomatropin-tcgd), in the United States and related patient support services;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commercialization of TransCon hGH and our other product candidates, if approved;</w:t>
      </w:r>
    </w:p>
    <w:p>
      <w:pPr>
        <w:spacing w:after="0" w:line="129" w:lineRule="exact"/>
        <w:rPr>
          <w:rFonts w:ascii="Arial" w:cs="Arial" w:eastAsia="Arial" w:hAnsi="Arial"/>
          <w:sz w:val="18"/>
          <w:szCs w:val="18"/>
          <w:color w:val="auto"/>
        </w:rPr>
      </w:pPr>
    </w:p>
    <w:p>
      <w:pPr>
        <w:ind w:left="1100" w:right="4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TransCon Growth Hormone, or TransCon hGH, and our other product candidates and associated devices;</w:t>
      </w:r>
    </w:p>
    <w:p>
      <w:pPr>
        <w:spacing w:after="0" w:line="77" w:lineRule="exact"/>
        <w:rPr>
          <w:rFonts w:ascii="Arial" w:cs="Arial" w:eastAsia="Arial" w:hAnsi="Arial"/>
          <w:sz w:val="18"/>
          <w:szCs w:val="18"/>
          <w:color w:val="auto"/>
        </w:rPr>
      </w:pPr>
    </w:p>
    <w:p>
      <w:pPr>
        <w:ind w:left="1100" w:right="68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w:t>
      </w:r>
    </w:p>
    <w:p>
      <w:pPr>
        <w:spacing w:after="0" w:line="77" w:lineRule="exact"/>
        <w:rPr>
          <w:rFonts w:ascii="Arial" w:cs="Arial" w:eastAsia="Arial" w:hAnsi="Arial"/>
          <w:sz w:val="18"/>
          <w:szCs w:val="18"/>
          <w:color w:val="auto"/>
        </w:rPr>
      </w:pPr>
    </w:p>
    <w:p>
      <w:pPr>
        <w:ind w:left="1100" w:right="56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related to oncology;</w:t>
      </w:r>
    </w:p>
    <w:p>
      <w:pPr>
        <w:spacing w:after="0" w:line="77" w:lineRule="exact"/>
        <w:rPr>
          <w:rFonts w:ascii="Arial" w:cs="Arial" w:eastAsia="Arial" w:hAnsi="Arial"/>
          <w:sz w:val="18"/>
          <w:szCs w:val="18"/>
          <w:color w:val="auto"/>
        </w:rPr>
      </w:pPr>
    </w:p>
    <w:p>
      <w:pPr>
        <w:ind w:left="1100" w:right="54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TransCon hGH and our other product candidates, if approved for commercial use;</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regarding the potential advantages of TransCon hGH and our other product candidates over existing therapies;</w:t>
      </w:r>
    </w:p>
    <w:p>
      <w:pPr>
        <w:spacing w:after="0" w:line="140" w:lineRule="exact"/>
        <w:rPr>
          <w:rFonts w:ascii="Arial" w:cs="Arial" w:eastAsia="Arial" w:hAnsi="Arial"/>
          <w:sz w:val="17"/>
          <w:szCs w:val="17"/>
          <w:color w:val="auto"/>
        </w:rPr>
      </w:pPr>
    </w:p>
    <w:p>
      <w:pPr>
        <w:ind w:left="1100" w:hanging="426"/>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29" w:lineRule="exact"/>
        <w:rPr>
          <w:rFonts w:ascii="Arial" w:cs="Arial" w:eastAsia="Arial" w:hAnsi="Arial"/>
          <w:sz w:val="18"/>
          <w:szCs w:val="18"/>
          <w:color w:val="auto"/>
        </w:rPr>
      </w:pPr>
    </w:p>
    <w:p>
      <w:pPr>
        <w:ind w:left="1100" w:right="104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similar for such product candidates;</w:t>
      </w:r>
    </w:p>
    <w:p>
      <w:pPr>
        <w:spacing w:after="0" w:line="77" w:lineRule="exact"/>
        <w:rPr>
          <w:rFonts w:ascii="Arial" w:cs="Arial" w:eastAsia="Arial" w:hAnsi="Arial"/>
          <w:sz w:val="18"/>
          <w:szCs w:val="18"/>
          <w:color w:val="auto"/>
        </w:rPr>
      </w:pPr>
    </w:p>
    <w:p>
      <w:pPr>
        <w:ind w:left="1100" w:right="58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7" w:lineRule="exact"/>
        <w:rPr>
          <w:rFonts w:ascii="Arial" w:cs="Arial" w:eastAsia="Arial" w:hAnsi="Arial"/>
          <w:sz w:val="18"/>
          <w:szCs w:val="18"/>
          <w:color w:val="auto"/>
        </w:rPr>
      </w:pPr>
    </w:p>
    <w:p>
      <w:pPr>
        <w:ind w:left="1100" w:right="14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similar for such product candidates;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development plans with respect to TransCon hGH and our other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29" w:lineRule="exact"/>
        <w:rPr>
          <w:rFonts w:ascii="Arial" w:cs="Arial" w:eastAsia="Arial" w:hAnsi="Arial"/>
          <w:sz w:val="18"/>
          <w:szCs w:val="18"/>
          <w:color w:val="auto"/>
        </w:rPr>
      </w:pPr>
    </w:p>
    <w:p>
      <w:pPr>
        <w:ind w:left="1100" w:right="54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TransCon hGH and our other product candidates and technologies, including global commercialization strategies;</w:t>
      </w:r>
    </w:p>
    <w:p>
      <w:pPr>
        <w:spacing w:after="0" w:line="77" w:lineRule="exact"/>
        <w:rPr>
          <w:rFonts w:ascii="Arial" w:cs="Arial" w:eastAsia="Arial" w:hAnsi="Arial"/>
          <w:sz w:val="18"/>
          <w:szCs w:val="18"/>
          <w:color w:val="auto"/>
        </w:rPr>
      </w:pPr>
    </w:p>
    <w:p>
      <w:pPr>
        <w:ind w:left="1100" w:right="60" w:hanging="426"/>
        <w:spacing w:after="0" w:line="275"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TransCon hGH and our other product candidates;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85"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420" w:hanging="426"/>
        <w:spacing w:after="0" w:line="27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and projections relating to our market conditions, competitors and industry;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effects on our business of the worldwide COVID-19 pandemic.</w:t>
      </w:r>
    </w:p>
    <w:p>
      <w:pPr>
        <w:spacing w:after="0" w:line="223" w:lineRule="exact"/>
        <w:rPr>
          <w:sz w:val="20"/>
          <w:szCs w:val="20"/>
          <w:color w:val="auto"/>
        </w:rPr>
      </w:pPr>
    </w:p>
    <w:p>
      <w:pPr>
        <w:ind w:left="140"/>
        <w:spacing w:after="0" w:line="289" w:lineRule="auto"/>
        <w:rPr>
          <w:sz w:val="20"/>
          <w:szCs w:val="20"/>
          <w:color w:val="auto"/>
        </w:rPr>
      </w:pPr>
      <w:r>
        <w:rPr>
          <w:rFonts w:ascii="Arial" w:cs="Arial" w:eastAsia="Arial" w:hAnsi="Arial"/>
          <w:sz w:val="16"/>
          <w:szCs w:val="16"/>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annual report may turn out to be inaccurate. Factors that may cause actual results to differ materially from current expectations include, among other things, those listed under the section of this annual report titled “Item 3.D—Key Information —Risk Factors” and elsewhere in this annual report. You are urged to consider these factors carefully in evaluating the forward-looking statements. These forward-looking statements speak only as of the date of this annual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65" w:lineRule="exact"/>
        <w:rPr>
          <w:sz w:val="20"/>
          <w:szCs w:val="20"/>
          <w:color w:val="auto"/>
        </w:rPr>
      </w:pPr>
    </w:p>
    <w:p>
      <w:pPr>
        <w:ind w:left="140" w:right="140"/>
        <w:spacing w:after="0" w:line="258"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You should also review the factors and risks we describe in the reports we will file or submit from time to time with the SEC after the date of this annual report. We qualify all of our forward-looking statements by these cautionary statements.</w:t>
      </w:r>
    </w:p>
    <w:p>
      <w:pPr>
        <w:spacing w:after="0" w:line="290" w:lineRule="exact"/>
        <w:rPr>
          <w:sz w:val="20"/>
          <w:szCs w:val="20"/>
          <w:color w:val="auto"/>
        </w:rPr>
      </w:pPr>
    </w:p>
    <w:p>
      <w:pPr>
        <w:ind w:left="140" w:right="3240" w:firstLine="3270"/>
        <w:spacing w:after="0" w:line="384" w:lineRule="auto"/>
        <w:rPr>
          <w:sz w:val="20"/>
          <w:szCs w:val="20"/>
          <w:color w:val="auto"/>
        </w:rPr>
      </w:pPr>
      <w:r>
        <w:rPr>
          <w:rFonts w:ascii="Arial" w:cs="Arial" w:eastAsia="Arial" w:hAnsi="Arial"/>
          <w:sz w:val="18"/>
          <w:szCs w:val="18"/>
          <w:b w:val="1"/>
          <w:bCs w:val="1"/>
          <w:color w:val="auto"/>
        </w:rPr>
        <w:t xml:space="preserve">Summary of Material Risks Associated with Our Business </w:t>
      </w:r>
      <w:r>
        <w:rPr>
          <w:rFonts w:ascii="Arial" w:cs="Arial" w:eastAsia="Arial" w:hAnsi="Arial"/>
          <w:sz w:val="18"/>
          <w:szCs w:val="18"/>
          <w:color w:val="auto"/>
        </w:rPr>
        <w:t>The principal risks and uncertainties affecting our business include the following:</w:t>
      </w:r>
    </w:p>
    <w:p>
      <w:pPr>
        <w:spacing w:after="0" w:line="1" w:lineRule="exact"/>
        <w:rPr>
          <w:sz w:val="20"/>
          <w:szCs w:val="20"/>
          <w:color w:val="auto"/>
        </w:rPr>
      </w:pPr>
    </w:p>
    <w:p>
      <w:pPr>
        <w:ind w:left="1100" w:right="420" w:hanging="426"/>
        <w:spacing w:after="0" w:line="27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global pandemic caused by COVID-19 could materially adversely impact our business, including our clinical trials, supply chain operation, regulatory timelines and commercial activities.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a limited operating history and we may incur significant losses in the future, which makes it difficult to assess our future viability.</w:t>
      </w:r>
    </w:p>
    <w:p>
      <w:pPr>
        <w:spacing w:after="0" w:line="152" w:lineRule="exact"/>
        <w:rPr>
          <w:rFonts w:ascii="Arial" w:cs="Arial" w:eastAsia="Arial" w:hAnsi="Arial"/>
          <w:sz w:val="16"/>
          <w:szCs w:val="16"/>
          <w:color w:val="auto"/>
        </w:rPr>
      </w:pPr>
    </w:p>
    <w:p>
      <w:pPr>
        <w:ind w:left="1100" w:right="80" w:hanging="426"/>
        <w:spacing w:after="0" w:line="262"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require substantial additional financing to achieve our goals, and a failure to obtain this necessary capital when needed on acceptable terms, or at all, could force us to delay, limit, scale back or cease our commercialization activities, product development or any other or all operations.</w:t>
      </w:r>
    </w:p>
    <w:p>
      <w:pPr>
        <w:spacing w:after="0" w:line="88" w:lineRule="exact"/>
        <w:rPr>
          <w:rFonts w:ascii="Arial" w:cs="Arial" w:eastAsia="Arial" w:hAnsi="Arial"/>
          <w:sz w:val="18"/>
          <w:szCs w:val="18"/>
          <w:color w:val="auto"/>
        </w:rPr>
      </w:pPr>
    </w:p>
    <w:p>
      <w:pPr>
        <w:ind w:left="1100" w:right="620" w:hanging="426"/>
        <w:spacing w:after="0" w:line="27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substantially dependent on the success of TransCon hGH and our other product candidates, which may not be successful in nonclinical studies or clinical trials, receive regulatory approval or be successfully commercialized.</w:t>
      </w:r>
    </w:p>
    <w:p>
      <w:pPr>
        <w:spacing w:after="0" w:line="77" w:lineRule="exact"/>
        <w:rPr>
          <w:rFonts w:ascii="Arial" w:cs="Arial" w:eastAsia="Arial" w:hAnsi="Arial"/>
          <w:sz w:val="18"/>
          <w:szCs w:val="18"/>
          <w:color w:val="auto"/>
        </w:rPr>
      </w:pPr>
    </w:p>
    <w:p>
      <w:pPr>
        <w:ind w:left="1100" w:right="40" w:hanging="426"/>
        <w:spacing w:after="0" w:line="306" w:lineRule="auto"/>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53" w:lineRule="exact"/>
        <w:rPr>
          <w:rFonts w:ascii="Arial" w:cs="Arial" w:eastAsia="Arial" w:hAnsi="Arial"/>
          <w:sz w:val="17"/>
          <w:szCs w:val="17"/>
          <w:color w:val="auto"/>
        </w:rPr>
      </w:pPr>
    </w:p>
    <w:p>
      <w:pPr>
        <w:ind w:left="1100" w:right="40" w:hanging="426"/>
        <w:spacing w:after="0" w:line="340" w:lineRule="auto"/>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0" w:lineRule="exact"/>
        <w:rPr>
          <w:rFonts w:ascii="Arial" w:cs="Arial" w:eastAsia="Arial" w:hAnsi="Arial"/>
          <w:sz w:val="16"/>
          <w:szCs w:val="16"/>
          <w:color w:val="auto"/>
        </w:rPr>
      </w:pPr>
    </w:p>
    <w:p>
      <w:pPr>
        <w:ind w:left="1100" w:hanging="426"/>
        <w:spacing w:after="0"/>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sales and marketing efforts for TransCon hGH may not be effective and we may not be successful in our commercial efforts.</w:t>
      </w:r>
    </w:p>
    <w:p>
      <w:pPr>
        <w:spacing w:after="0" w:line="140" w:lineRule="exact"/>
        <w:rPr>
          <w:rFonts w:ascii="Arial" w:cs="Arial" w:eastAsia="Arial" w:hAnsi="Arial"/>
          <w:sz w:val="17"/>
          <w:szCs w:val="17"/>
          <w:color w:val="auto"/>
        </w:rPr>
      </w:pPr>
    </w:p>
    <w:p>
      <w:pPr>
        <w:ind w:left="1100" w:right="100" w:hanging="426"/>
        <w:spacing w:after="0" w:line="262"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88" w:lineRule="exact"/>
        <w:rPr>
          <w:rFonts w:ascii="Arial" w:cs="Arial" w:eastAsia="Arial" w:hAnsi="Arial"/>
          <w:sz w:val="18"/>
          <w:szCs w:val="18"/>
          <w:color w:val="auto"/>
        </w:rPr>
      </w:pPr>
    </w:p>
    <w:p>
      <w:pPr>
        <w:ind w:left="1100" w:right="420" w:hanging="426"/>
        <w:spacing w:after="0" w:line="27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third-parties to manufacture our preclinical and clinical drug supplies, and we rely on third-parties to produce commercial supplies of TransCon hGH and its device components.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 and these variations may be difficult to predict.</w:t>
      </w:r>
    </w:p>
    <w:p>
      <w:pPr>
        <w:spacing w:after="0" w:line="129" w:lineRule="exact"/>
        <w:rPr>
          <w:rFonts w:ascii="Arial" w:cs="Arial" w:eastAsia="Arial" w:hAnsi="Arial"/>
          <w:sz w:val="18"/>
          <w:szCs w:val="18"/>
          <w:color w:val="auto"/>
        </w:rPr>
      </w:pPr>
    </w:p>
    <w:p>
      <w:pPr>
        <w:ind w:left="1100" w:right="220" w:hanging="426"/>
        <w:spacing w:after="0" w:line="262"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parent drug, drug substance, drug product and other components of TransCon hGH and our other product candidates are currently acquired from certain single-source suppliers. The loss of these suppliers, or their failure to supply could materially and adversely affect our business.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85"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20" w:hanging="426"/>
        <w:spacing w:after="0" w:line="262"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the European Medicines Agency and comparable authorities are lengthy, time consuming, and inherently unpredictable. If we are ultimately unable to obtain regulatory approval for our product candidates, our business will be substantially harmed.</w:t>
      </w:r>
    </w:p>
    <w:p>
      <w:pPr>
        <w:spacing w:after="0" w:line="88" w:lineRule="exact"/>
        <w:rPr>
          <w:rFonts w:ascii="Arial" w:cs="Arial" w:eastAsia="Arial" w:hAnsi="Arial"/>
          <w:sz w:val="18"/>
          <w:szCs w:val="18"/>
          <w:color w:val="auto"/>
        </w:rPr>
      </w:pPr>
    </w:p>
    <w:p>
      <w:pPr>
        <w:ind w:left="1100" w:right="60" w:hanging="426"/>
        <w:spacing w:after="0" w:line="275"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sued for allegedly infringing intellectual property rights of third parties, it will be costly and time consuming, and an unfavorable outcome in such litigation could harm our business.</w:t>
      </w:r>
    </w:p>
    <w:p>
      <w:pPr>
        <w:spacing w:after="0" w:line="171" w:lineRule="exact"/>
        <w:rPr>
          <w:sz w:val="20"/>
          <w:szCs w:val="20"/>
          <w:color w:val="auto"/>
        </w:rPr>
      </w:pPr>
    </w:p>
    <w:p>
      <w:pPr>
        <w:ind w:left="140" w:right="180"/>
        <w:spacing w:after="0" w:line="274"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20-F,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w:t>
      </w:r>
    </w:p>
    <w:p>
      <w:pPr>
        <w:spacing w:after="0" w:line="250"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pacing w:after="0" w:line="129" w:lineRule="exact"/>
        <w:rPr>
          <w:sz w:val="20"/>
          <w:szCs w:val="20"/>
          <w:color w:val="auto"/>
        </w:rPr>
      </w:pPr>
    </w:p>
    <w:p>
      <w:pPr>
        <w:ind w:left="560" w:hanging="425"/>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29" w:lineRule="exact"/>
        <w:rPr>
          <w:rFonts w:ascii="Arial" w:cs="Arial" w:eastAsia="Arial" w:hAnsi="Arial"/>
          <w:sz w:val="18"/>
          <w:szCs w:val="18"/>
          <w:b w:val="1"/>
          <w:bCs w:val="1"/>
          <w:color w:val="auto"/>
        </w:rPr>
      </w:pPr>
    </w:p>
    <w:p>
      <w:pPr>
        <w:ind w:left="560" w:hanging="425"/>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0"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i w:val="1"/>
          <w:iCs w:val="1"/>
          <w:color w:val="auto"/>
        </w:rPr>
        <w:t>Our business faces significant risks. You should carefully consider all of the information set forth in this annual report and in our other filings with the U.S. Securities and Exchange Commission (the “SEC”), including the following risk factors which we face and which are faced by our industry. Our business, financial condition or results of operations could be materially adversely affected by any of these risks. This report also contains forward-looking statements that involve risks and uncertainties. Our results could materially differ from those anticipated in these forward-looking statements, as a result of certain factors including the risks described below and elsewhere in this report and our other materials we file or furnish with the SEC. See “Special Note Regarding Forward-Looking Statements” above.</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We have a limited operating history and we may incur significant losses in the future, which makes it difficult to assess our future viability.</w:t>
      </w:r>
    </w:p>
    <w:p>
      <w:pPr>
        <w:spacing w:after="0" w:line="139" w:lineRule="exact"/>
        <w:rPr>
          <w:sz w:val="20"/>
          <w:szCs w:val="20"/>
          <w:color w:val="auto"/>
        </w:rPr>
      </w:pPr>
    </w:p>
    <w:p>
      <w:pPr>
        <w:ind w:left="140" w:right="40"/>
        <w:spacing w:after="0" w:line="275" w:lineRule="auto"/>
        <w:rPr>
          <w:sz w:val="20"/>
          <w:szCs w:val="20"/>
          <w:color w:val="auto"/>
        </w:rPr>
      </w:pPr>
      <w:r>
        <w:rPr>
          <w:rFonts w:ascii="Arial" w:cs="Arial" w:eastAsia="Arial" w:hAnsi="Arial"/>
          <w:sz w:val="16"/>
          <w:szCs w:val="16"/>
          <w:color w:val="auto"/>
        </w:rPr>
        <w:t>We are applying our innovative TransCon technologies to build a leading, fully integrated, global biopharmaceutical company and develop a pipeline of product candidates with potential best-in-class profiles to address unmet medical needs. We currently have a pipeline of multiple independent endocrinology rare disease and oncology product candidates in development. We are also working to apply our TransCon technology platform in additional therapeutic areas to address unmet medical needs. On August 25, 2021, the U.S. Food and Drug Administration (the “FDA”) approved TransCon hGH, known by its brand name SKYTROFA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its international nonproprietary name lonapegsomatropin-tcgd in the U.S. for the treatment of pediatric patients one year and older who weigh at least 11.5 kg (25.4 lb) and have growth failure due to inadequate secretion of endogenous growth hormone. In addition, Lonapegsomatropin Ascendis Pharma (developed under the name TransCon hGH) was granted marketing authorization by the European Commission (“EC”) as a once-weekly subcutaneous injection for the treatment of children and adolescents ages 3 to 18 years with growth failure due to insufficient secretion of endogenous growth hormone on January 12, 2022. Biopharmaceutical product development is a highly speculative undertaking and involves a substantial degree of risk. To date, we have focused substantially all of our efforts on our</w:t>
      </w:r>
    </w:p>
    <w:p>
      <w:pPr>
        <w:sectPr>
          <w:pgSz w:w="11900" w:h="16838" w:orient="portrait"/>
          <w:cols w:equalWidth="0" w:num="1">
            <w:col w:w="11100"/>
          </w:cols>
          <w:pgMar w:left="320" w:top="485" w:right="479" w:bottom="1440" w:gutter="0" w:footer="0" w:header="0"/>
        </w:sectPr>
      </w:pP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00"/>
          </w:cols>
          <w:pgMar w:left="320" w:top="485" w:right="4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253" w:lineRule="auto"/>
        <w:rPr>
          <w:sz w:val="20"/>
          <w:szCs w:val="20"/>
          <w:color w:val="auto"/>
        </w:rPr>
      </w:pPr>
      <w:r>
        <w:rPr>
          <w:rFonts w:ascii="Arial" w:cs="Arial" w:eastAsia="Arial" w:hAnsi="Arial"/>
          <w:sz w:val="18"/>
          <w:szCs w:val="18"/>
          <w:color w:val="auto"/>
        </w:rPr>
        <w:t>research and development activities relating to our lead product candidates, TransCon hGH, TransCon Parathyroid Hormone, or TransCon PTH, TransCon C-Type Natriuretic Peptide, or TransCon CNP, our product candidates in oncology and our proprietary TransCon technologies and the commercialization of TransCon hGH. We have only a limited operating history upon which our shareholders and ADS holders can evaluate our business and prospects. Going forward, we may incur significant losses from our operations. We had a net loss of €383.6 million during the year ended December 31, 2021 and a net loss of €419.0 million during the year ended December 31, 2020. Our total equity was €883.6 million as of December 31, 2021 compared to €838.7 million as of December 31, 2020. Neither the net loss nor net profit we have experienced in prior years are necessarily indicative of our future results.</w:t>
      </w:r>
    </w:p>
    <w:p>
      <w:pPr>
        <w:spacing w:after="0" w:line="195" w:lineRule="exact"/>
        <w:rPr>
          <w:sz w:val="20"/>
          <w:szCs w:val="20"/>
          <w:color w:val="auto"/>
        </w:rPr>
      </w:pPr>
    </w:p>
    <w:p>
      <w:pPr>
        <w:ind w:left="140" w:right="60"/>
        <w:spacing w:after="0" w:line="256" w:lineRule="auto"/>
        <w:rPr>
          <w:sz w:val="20"/>
          <w:szCs w:val="20"/>
          <w:color w:val="auto"/>
        </w:rPr>
      </w:pPr>
      <w:r>
        <w:rPr>
          <w:rFonts w:ascii="Arial" w:cs="Arial" w:eastAsia="Arial" w:hAnsi="Arial"/>
          <w:sz w:val="18"/>
          <w:szCs w:val="18"/>
          <w:color w:val="auto"/>
        </w:rPr>
        <w:t>Apart from the FDA’s recent approval of SKYTROFA and the EC’s recent approval of Lonapegsomatropin Ascendis Pharma, none of our other product candidates have been approved for commercial sale by the FDA, the EC or similar non-U.S. regulatory authorities. We expect that our annual operating expenses may increase over the next several years as we expand our research and development efforts and incur additional commercialization expenses. Although we have begun to receive revenue from commercial product sales, we may incur substantial operating losses for the foreseeable future as we execute our operating plan.</w:t>
      </w:r>
    </w:p>
    <w:p>
      <w:pPr>
        <w:spacing w:after="0" w:line="188" w:lineRule="exact"/>
        <w:rPr>
          <w:sz w:val="20"/>
          <w:szCs w:val="20"/>
          <w:color w:val="auto"/>
        </w:rPr>
      </w:pPr>
    </w:p>
    <w:p>
      <w:pPr>
        <w:ind w:left="140" w:right="720"/>
        <w:spacing w:after="0" w:line="262" w:lineRule="auto"/>
        <w:rPr>
          <w:sz w:val="20"/>
          <w:szCs w:val="20"/>
          <w:color w:val="auto"/>
        </w:rPr>
      </w:pPr>
      <w:r>
        <w:rPr>
          <w:rFonts w:ascii="Arial" w:cs="Arial" w:eastAsia="Arial" w:hAnsi="Arial"/>
          <w:sz w:val="18"/>
          <w:szCs w:val="18"/>
          <w:color w:val="auto"/>
        </w:rPr>
        <w:t>Possible future losses would have an adverse effect on our shareholders’ equity. Further, the net losses or net income we incur may fluctuate significantly from quarter to quarter and year to year, such that a period-to-period comparison of our results of operations may not be a reliable indication of our future performance.</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have limited revenue from commercial product sales of SKYTROFA.</w:t>
      </w:r>
    </w:p>
    <w:p>
      <w:pPr>
        <w:spacing w:after="0" w:line="116" w:lineRule="exact"/>
        <w:rPr>
          <w:sz w:val="20"/>
          <w:szCs w:val="20"/>
          <w:color w:val="auto"/>
        </w:rPr>
      </w:pPr>
    </w:p>
    <w:p>
      <w:pPr>
        <w:ind w:left="140" w:right="80"/>
        <w:spacing w:after="0" w:line="292" w:lineRule="auto"/>
        <w:rPr>
          <w:sz w:val="20"/>
          <w:szCs w:val="20"/>
          <w:color w:val="auto"/>
        </w:rPr>
      </w:pPr>
      <w:r>
        <w:rPr>
          <w:rFonts w:ascii="Arial" w:cs="Arial" w:eastAsia="Arial" w:hAnsi="Arial"/>
          <w:sz w:val="16"/>
          <w:szCs w:val="16"/>
          <w:color w:val="auto"/>
        </w:rPr>
        <w:t>We have limited revenue from commercial product sales of SKYTROFA in the U.S. and are yet to commercially launch Lonapegsomatropin Ascendis Pharma (developed under the name TransCon hGH) in the European Union (“EU”). Our ability to generate revenue from commercial product sales will continue to depend on our ability to successfully commercialize SKYTROFA in the U.S., to successfully launch and commercialize TransCon hGH in the EU, and to complete the research and development of our other product candidates and obtain the regulatory and marketing approvals necessary to commercialize such product candidates. Our ability to generate additional revenue from commercial product sales or pursuant to milestone payments or royalties from collaboration partners depends heavily on many factors, including but not limited to:</w:t>
      </w:r>
    </w:p>
    <w:p>
      <w:pPr>
        <w:spacing w:after="0" w:line="69" w:lineRule="exact"/>
        <w:rPr>
          <w:sz w:val="20"/>
          <w:szCs w:val="20"/>
          <w:color w:val="auto"/>
        </w:rPr>
      </w:pPr>
    </w:p>
    <w:p>
      <w:pPr>
        <w:ind w:left="1100" w:hanging="426"/>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129" w:lineRule="exact"/>
        <w:rPr>
          <w:rFonts w:ascii="Arial" w:cs="Arial" w:eastAsia="Arial" w:hAnsi="Arial"/>
          <w:sz w:val="18"/>
          <w:szCs w:val="18"/>
          <w:color w:val="auto"/>
        </w:rPr>
      </w:pPr>
    </w:p>
    <w:p>
      <w:pPr>
        <w:ind w:left="1100" w:right="240" w:hanging="426"/>
        <w:spacing w:after="0" w:line="275"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our own, or together with our strategic collaboration partners, obtaining additional regulatory approvals for our products and product candidates;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of and entering into collaboration, licensing or other arrangements;</w:t>
      </w:r>
    </w:p>
    <w:p>
      <w:pPr>
        <w:spacing w:after="0" w:line="129" w:lineRule="exact"/>
        <w:rPr>
          <w:rFonts w:ascii="Arial" w:cs="Arial" w:eastAsia="Arial" w:hAnsi="Arial"/>
          <w:sz w:val="18"/>
          <w:szCs w:val="18"/>
          <w:color w:val="auto"/>
        </w:rPr>
      </w:pPr>
    </w:p>
    <w:p>
      <w:pPr>
        <w:ind w:left="1100" w:hanging="426"/>
        <w:spacing w:after="0" w:line="275"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commercialize or co-promote, and/or the ability of our collaboration partners to successfully commercialize, our products and product candidates;</w:t>
      </w:r>
    </w:p>
    <w:p>
      <w:pPr>
        <w:spacing w:after="0" w:line="77" w:lineRule="exact"/>
        <w:rPr>
          <w:rFonts w:ascii="Arial" w:cs="Arial" w:eastAsia="Arial" w:hAnsi="Arial"/>
          <w:sz w:val="18"/>
          <w:szCs w:val="18"/>
          <w:color w:val="auto"/>
        </w:rPr>
      </w:pPr>
    </w:p>
    <w:p>
      <w:pPr>
        <w:ind w:left="1100" w:right="200" w:hanging="426"/>
        <w:spacing w:after="0" w:line="258"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sustaining a scalable manufacturing process for TransCon hGH and for any of our other product candidates, if approved, and establishing and maintaining supply and manufacturing relationships with third-parties that can conduct the process and provide adequate, in amount and quality, products to support clinical development and the market demand for TransCon hGH and for our other product candidates, if approved;</w:t>
      </w:r>
    </w:p>
    <w:p>
      <w:pPr>
        <w:spacing w:after="0" w:line="91" w:lineRule="exact"/>
        <w:rPr>
          <w:rFonts w:ascii="Arial" w:cs="Arial" w:eastAsia="Arial" w:hAnsi="Arial"/>
          <w:sz w:val="18"/>
          <w:szCs w:val="18"/>
          <w:color w:val="auto"/>
        </w:rPr>
      </w:pPr>
    </w:p>
    <w:p>
      <w:pPr>
        <w:ind w:left="1100" w:hanging="426"/>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TransCon hGH, and of our other product candidates, if approved, as viable treatment options;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assessing, acquiring, in-licensing and/or developing new product candidates;</w:t>
      </w:r>
    </w:p>
    <w:p>
      <w:pPr>
        <w:spacing w:after="0" w:line="129" w:lineRule="exact"/>
        <w:rPr>
          <w:rFonts w:ascii="Arial" w:cs="Arial" w:eastAsia="Arial" w:hAnsi="Arial"/>
          <w:sz w:val="18"/>
          <w:szCs w:val="18"/>
          <w:color w:val="auto"/>
        </w:rPr>
      </w:pPr>
    </w:p>
    <w:p>
      <w:pPr>
        <w:ind w:left="1100" w:hanging="426"/>
        <w:spacing w:after="0" w:line="262"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88" w:lineRule="exact"/>
        <w:rPr>
          <w:rFonts w:ascii="Arial" w:cs="Arial" w:eastAsia="Arial" w:hAnsi="Arial"/>
          <w:sz w:val="18"/>
          <w:szCs w:val="18"/>
          <w:color w:val="auto"/>
        </w:rPr>
      </w:pPr>
    </w:p>
    <w:p>
      <w:pPr>
        <w:ind w:left="1100" w:hanging="426"/>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3" w:lineRule="exact"/>
        <w:rPr>
          <w:sz w:val="20"/>
          <w:szCs w:val="20"/>
          <w:color w:val="auto"/>
        </w:rPr>
      </w:pPr>
    </w:p>
    <w:p>
      <w:pPr>
        <w:ind w:left="140" w:right="40"/>
        <w:spacing w:after="0" w:line="253" w:lineRule="auto"/>
        <w:rPr>
          <w:sz w:val="20"/>
          <w:szCs w:val="20"/>
          <w:color w:val="auto"/>
        </w:rPr>
      </w:pPr>
      <w:r>
        <w:rPr>
          <w:rFonts w:ascii="Arial" w:cs="Arial" w:eastAsia="Arial" w:hAnsi="Arial"/>
          <w:sz w:val="18"/>
          <w:szCs w:val="18"/>
          <w:color w:val="auto"/>
        </w:rPr>
        <w:t>In cases where we are successful in obtaining regulatory approvals to market one or more of our product candidates (such as TransCon hGH), our revenue will be dependent, in part, upon the size of the markets in the territories for which regulatory approval is granted, the accepted price for the product, the availability of competing products, the ability to get reimbursement for our products at any price and the extent of our royalty rights for that territory. If the number of patients suitable for our product candidates is not as significant as we estimate, the indication approved by regulatory authorities is narrower than we expect or the reasonably accepted population for treatment is narrowed by competition, physician choice, treatment guidelines or third-party payor restrictions, we may not generate significant revenue from the sale of such product candidates, even if approved. Limitations on our ability to generate</w:t>
      </w:r>
    </w:p>
    <w:p>
      <w:pPr>
        <w:sectPr>
          <w:pgSz w:w="11900" w:h="16838" w:orient="portrait"/>
          <w:cols w:equalWidth="0" w:num="1">
            <w:col w:w="11100"/>
          </w:cols>
          <w:pgMar w:left="320" w:top="485" w:right="479" w:bottom="1440"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00"/>
          </w:cols>
          <w:pgMar w:left="320" w:top="485" w:right="4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340" w:lineRule="auto"/>
        <w:rPr>
          <w:sz w:val="20"/>
          <w:szCs w:val="20"/>
          <w:color w:val="auto"/>
        </w:rPr>
      </w:pPr>
      <w:r>
        <w:rPr>
          <w:rFonts w:ascii="Arial" w:cs="Arial" w:eastAsia="Arial" w:hAnsi="Arial"/>
          <w:sz w:val="16"/>
          <w:szCs w:val="16"/>
          <w:color w:val="auto"/>
        </w:rPr>
        <w:t>revenue from commercial product sales or pursuant to up-front or milestone payments and royalties from collaboration partners would likely depress our market value and could impair our ability to raise capital, expand our business, discover or develop other product candidates or continue our operations.</w:t>
      </w:r>
    </w:p>
    <w:p>
      <w:pPr>
        <w:spacing w:after="0" w:line="232" w:lineRule="exact"/>
        <w:rPr>
          <w:sz w:val="20"/>
          <w:szCs w:val="20"/>
          <w:color w:val="auto"/>
        </w:rPr>
      </w:pPr>
    </w:p>
    <w:p>
      <w:pPr>
        <w:ind w:left="140" w:right="460"/>
        <w:spacing w:after="0" w:line="262" w:lineRule="auto"/>
        <w:rPr>
          <w:sz w:val="20"/>
          <w:szCs w:val="20"/>
          <w:color w:val="auto"/>
        </w:rPr>
      </w:pPr>
      <w:r>
        <w:rPr>
          <w:rFonts w:ascii="Arial" w:cs="Arial" w:eastAsia="Arial" w:hAnsi="Arial"/>
          <w:sz w:val="18"/>
          <w:szCs w:val="18"/>
          <w:b w:val="1"/>
          <w:bCs w:val="1"/>
          <w:i w:val="1"/>
          <w:iCs w:val="1"/>
          <w:color w:val="auto"/>
        </w:rPr>
        <w:t>We may require substantial additional financing to achieve our goals, and a failure to obtain this necessary capital when needed on acceptable terms, or at all, could force us to delay, limit, scale back or cease our commercialization activities, product development or any other or all operations.</w:t>
      </w:r>
    </w:p>
    <w:p>
      <w:pPr>
        <w:spacing w:after="0" w:line="75" w:lineRule="exact"/>
        <w:rPr>
          <w:sz w:val="20"/>
          <w:szCs w:val="20"/>
          <w:color w:val="auto"/>
        </w:rPr>
      </w:pPr>
    </w:p>
    <w:p>
      <w:pPr>
        <w:ind w:left="140" w:right="80"/>
        <w:spacing w:after="0" w:line="268"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and, in particular, developing our proprietary TransCon technologies and product candidates. We have funded our operations primarily through issuance of our preference shares, ordinary shares and convertible debt securities and payments to us under collaboration agreements. For example, in September 2021, we received $436.5 million (€367.7 million) in net proceeds from a public offering of American Depositary Shares (“ADSs”) representing our ordinary shares after deducting the underwriting commissions and offering expenses payable by us. As of December 31, 2021, we had cash, cash equivalents and marketable securities totaling €789.6 million. We believe that we will continue to expend substantial resources for the foreseeable future, including costs associated with research and development, commercialization activities, conducting preclinical studies, clinical trials, obtaining regulatory approvals and sales and marketing. Because the outcome of any clinical trial and/or regulatory approval process is highly uncertain, we cannot reasonably estimate the actual amounts of additional financing necessary to successfully complete the development, regulatory approval process and commercialization or co-promotion of any of our product candidates.</w:t>
      </w:r>
    </w:p>
    <w:p>
      <w:pPr>
        <w:spacing w:after="0" w:line="185" w:lineRule="exact"/>
        <w:rPr>
          <w:sz w:val="20"/>
          <w:szCs w:val="20"/>
          <w:color w:val="auto"/>
        </w:rPr>
      </w:pPr>
    </w:p>
    <w:p>
      <w:pPr>
        <w:ind w:left="140" w:right="460"/>
        <w:spacing w:after="0" w:line="258"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December 31, 2021 will be sufficient to meet our projected cash requirements for at least twelve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100" w:right="660" w:hanging="426"/>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TransCon hGH and with our other product candidates, if approved, including the cost and timing of building our sales and marketing capabilities;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TransCon hGH and any future products;</w:t>
      </w:r>
    </w:p>
    <w:p>
      <w:pPr>
        <w:spacing w:after="0" w:line="129" w:lineRule="exact"/>
        <w:rPr>
          <w:rFonts w:ascii="Arial" w:cs="Arial" w:eastAsia="Arial" w:hAnsi="Arial"/>
          <w:sz w:val="18"/>
          <w:szCs w:val="18"/>
          <w:color w:val="auto"/>
        </w:rPr>
      </w:pPr>
    </w:p>
    <w:p>
      <w:pPr>
        <w:ind w:left="1100" w:right="540" w:hanging="426"/>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TransCon hGH and for our other product candidates, if approved;</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52" w:lineRule="exact"/>
        <w:rPr>
          <w:rFonts w:ascii="Arial" w:cs="Arial" w:eastAsia="Arial" w:hAnsi="Arial"/>
          <w:sz w:val="16"/>
          <w:szCs w:val="16"/>
          <w:color w:val="auto"/>
        </w:rPr>
      </w:pPr>
    </w:p>
    <w:p>
      <w:pPr>
        <w:ind w:left="1100" w:right="80" w:hanging="426"/>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7" w:lineRule="exact"/>
        <w:rPr>
          <w:rFonts w:ascii="Arial" w:cs="Arial" w:eastAsia="Arial" w:hAnsi="Arial"/>
          <w:sz w:val="18"/>
          <w:szCs w:val="18"/>
          <w:color w:val="auto"/>
        </w:rPr>
      </w:pPr>
    </w:p>
    <w:p>
      <w:pPr>
        <w:ind w:left="1100" w:right="500" w:hanging="426"/>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timing, scope, results and costs of our preclinical studies and clinical trials and manufacturing activities for our product candidates, including the ability to enroll patients in a timely manner for clinical trials;</w:t>
      </w:r>
    </w:p>
    <w:p>
      <w:pPr>
        <w:spacing w:after="0" w:line="77" w:lineRule="exact"/>
        <w:rPr>
          <w:rFonts w:ascii="Arial" w:cs="Arial" w:eastAsia="Arial" w:hAnsi="Arial"/>
          <w:sz w:val="18"/>
          <w:szCs w:val="18"/>
          <w:color w:val="auto"/>
        </w:rPr>
      </w:pPr>
    </w:p>
    <w:p>
      <w:pPr>
        <w:ind w:left="1100" w:right="120" w:hanging="426"/>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and the costs of post-marketing studies that could be required by regulatory authorities;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29" w:lineRule="exact"/>
        <w:rPr>
          <w:rFonts w:ascii="Arial" w:cs="Arial" w:eastAsia="Arial" w:hAnsi="Arial"/>
          <w:sz w:val="18"/>
          <w:szCs w:val="18"/>
          <w:color w:val="auto"/>
        </w:rPr>
      </w:pPr>
    </w:p>
    <w:p>
      <w:pPr>
        <w:ind w:left="1100" w:right="680" w:hanging="426"/>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7" w:lineRule="exact"/>
        <w:rPr>
          <w:rFonts w:ascii="Arial" w:cs="Arial" w:eastAsia="Arial" w:hAnsi="Arial"/>
          <w:sz w:val="18"/>
          <w:szCs w:val="18"/>
          <w:color w:val="auto"/>
        </w:rPr>
      </w:pPr>
    </w:p>
    <w:p>
      <w:pPr>
        <w:ind w:left="1100" w:right="480" w:hanging="426"/>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77" w:lineRule="exact"/>
        <w:rPr>
          <w:rFonts w:ascii="Arial" w:cs="Arial" w:eastAsia="Arial" w:hAnsi="Arial"/>
          <w:sz w:val="18"/>
          <w:szCs w:val="18"/>
          <w:color w:val="auto"/>
        </w:rPr>
      </w:pPr>
    </w:p>
    <w:p>
      <w:pPr>
        <w:ind w:left="1100" w:hanging="426"/>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progress in the successful commercialization and co-promotion of TransCon hGH and of our other product candidates, if approved, and our efforts to develop and commercialize our other existing product candidates; and</w:t>
      </w:r>
    </w:p>
    <w:p>
      <w:pPr>
        <w:spacing w:after="0" w:line="77" w:lineRule="exact"/>
        <w:rPr>
          <w:rFonts w:ascii="Arial" w:cs="Arial" w:eastAsia="Arial" w:hAnsi="Arial"/>
          <w:sz w:val="18"/>
          <w:szCs w:val="18"/>
          <w:color w:val="auto"/>
        </w:rPr>
      </w:pPr>
    </w:p>
    <w:p>
      <w:pPr>
        <w:ind w:left="1100" w:right="40" w:hanging="426"/>
        <w:spacing w:after="0" w:line="262"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5"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80"/>
        <w:spacing w:after="0" w:line="300" w:lineRule="auto"/>
        <w:rPr>
          <w:sz w:val="20"/>
          <w:szCs w:val="20"/>
          <w:color w:val="auto"/>
        </w:rPr>
      </w:pPr>
      <w:r>
        <w:rPr>
          <w:rFonts w:ascii="Arial" w:cs="Arial" w:eastAsia="Arial" w:hAnsi="Arial"/>
          <w:sz w:val="16"/>
          <w:szCs w:val="16"/>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preparing for potential commercialization, preclinical studies and clinical trials for our product candidates for which we retain such responsibility and our establishment and maintenance of sales and marketing capabilities or other activities that may be necessary to commercialize TransCon hGH and our other product candidates.</w:t>
      </w:r>
    </w:p>
    <w:p>
      <w:pPr>
        <w:spacing w:after="0" w:line="264" w:lineRule="exact"/>
        <w:rPr>
          <w:sz w:val="20"/>
          <w:szCs w:val="20"/>
          <w:color w:val="auto"/>
        </w:rPr>
      </w:pPr>
    </w:p>
    <w:p>
      <w:pPr>
        <w:ind w:left="140" w:right="480"/>
        <w:spacing w:after="0" w:line="275"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of shares or ADSs, restrict our operations or require us to relinquish rights to our products or product candidates on unfavorable terms to us.</w:t>
      </w:r>
    </w:p>
    <w:p>
      <w:pPr>
        <w:spacing w:after="0" w:line="64" w:lineRule="exact"/>
        <w:rPr>
          <w:sz w:val="20"/>
          <w:szCs w:val="20"/>
          <w:color w:val="auto"/>
        </w:rPr>
      </w:pPr>
    </w:p>
    <w:p>
      <w:pPr>
        <w:ind w:left="140" w:right="80"/>
        <w:spacing w:after="0" w:line="289" w:lineRule="auto"/>
        <w:rPr>
          <w:sz w:val="20"/>
          <w:szCs w:val="20"/>
          <w:color w:val="auto"/>
        </w:rPr>
      </w:pPr>
      <w:r>
        <w:rPr>
          <w:rFonts w:ascii="Arial" w:cs="Arial" w:eastAsia="Arial" w:hAnsi="Arial"/>
          <w:sz w:val="16"/>
          <w:szCs w:val="16"/>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issuance of convertible debt or equity securities, the ownership interest of our shareholders and ADS holders would be diluted, and the terms may include liquidation or other preferences that adversely affect the rights of our shareholders and ADS holders. Such financing may result in dilution to holders of shares or ADSs, imposition of debt covenants and repayment obligations, or other restrictions that may affect our business. If we raise additional funds through up-front payments or milestone payments pursuant to strategic partnerships with third-parties, we may have to relinquish valuable rights to our products or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Related to Our Business</w:t>
      </w:r>
    </w:p>
    <w:p>
      <w:pPr>
        <w:spacing w:after="0" w:line="120" w:lineRule="exact"/>
        <w:rPr>
          <w:sz w:val="20"/>
          <w:szCs w:val="20"/>
          <w:color w:val="auto"/>
        </w:rPr>
      </w:pPr>
    </w:p>
    <w:p>
      <w:pPr>
        <w:ind w:left="140" w:right="400"/>
        <w:spacing w:after="0" w:line="275" w:lineRule="auto"/>
        <w:rPr>
          <w:sz w:val="20"/>
          <w:szCs w:val="20"/>
          <w:color w:val="auto"/>
        </w:rPr>
      </w:pPr>
      <w:r>
        <w:rPr>
          <w:rFonts w:ascii="Arial" w:cs="Arial" w:eastAsia="Arial" w:hAnsi="Arial"/>
          <w:sz w:val="18"/>
          <w:szCs w:val="18"/>
          <w:b w:val="1"/>
          <w:bCs w:val="1"/>
          <w:i w:val="1"/>
          <w:iCs w:val="1"/>
          <w:color w:val="auto"/>
        </w:rPr>
        <w:t>We are substantially dependent on the success of TransCon hGH and our other product candidates, which may not be successful in nonclinical studies or clinical trials, receive regulatory approval or be successfully commercialized.</w:t>
      </w:r>
    </w:p>
    <w:p>
      <w:pPr>
        <w:spacing w:after="0" w:line="64" w:lineRule="exact"/>
        <w:rPr>
          <w:sz w:val="20"/>
          <w:szCs w:val="20"/>
          <w:color w:val="auto"/>
        </w:rPr>
      </w:pPr>
    </w:p>
    <w:p>
      <w:pPr>
        <w:ind w:left="140" w:right="120"/>
        <w:spacing w:after="0" w:line="274" w:lineRule="auto"/>
        <w:rPr>
          <w:sz w:val="20"/>
          <w:szCs w:val="20"/>
          <w:color w:val="auto"/>
        </w:rPr>
      </w:pPr>
      <w:r>
        <w:rPr>
          <w:rFonts w:ascii="Arial" w:cs="Arial" w:eastAsia="Arial" w:hAnsi="Arial"/>
          <w:sz w:val="17"/>
          <w:szCs w:val="17"/>
          <w:color w:val="auto"/>
        </w:rPr>
        <w:t>To date, we have invested a significant amount of our efforts and financial resources in the research and development of our current product candidates utilizing our proprietary TransCon technologies and in the commercialization of TransCon hGH. Our near-term prospects, including the extent of revenue from commercial product sales, will depend heavily on our successful development and commercialization of TransCon hGH and of our other product candidates, if approved. The clinical and commercial success of TransCon hGH and our other product candidates and our TransCon technologies will depend on a number of factors, including the following:</w:t>
      </w:r>
    </w:p>
    <w:p>
      <w:pPr>
        <w:spacing w:after="0" w:line="81" w:lineRule="exact"/>
        <w:rPr>
          <w:sz w:val="20"/>
          <w:szCs w:val="20"/>
          <w:color w:val="auto"/>
        </w:rPr>
      </w:pPr>
    </w:p>
    <w:p>
      <w:pPr>
        <w:ind w:left="1100" w:hanging="426"/>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outcome and successful execution of our ongoing and planned clinical trials of TransCon hGH and our other product candidates;</w:t>
      </w:r>
    </w:p>
    <w:p>
      <w:pPr>
        <w:spacing w:after="0" w:line="140" w:lineRule="exact"/>
        <w:rPr>
          <w:rFonts w:ascii="Arial" w:cs="Arial" w:eastAsia="Arial" w:hAnsi="Arial"/>
          <w:sz w:val="17"/>
          <w:szCs w:val="17"/>
          <w:color w:val="auto"/>
        </w:rPr>
      </w:pPr>
    </w:p>
    <w:p>
      <w:pPr>
        <w:ind w:left="1100" w:right="320" w:hanging="426"/>
        <w:spacing w:after="0" w:line="275"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that of any collaboration partners to establish and maintain commercial-scale manufacturing processes for our products, product candidates and device components;</w:t>
      </w:r>
    </w:p>
    <w:p>
      <w:pPr>
        <w:spacing w:after="0" w:line="77" w:lineRule="exact"/>
        <w:rPr>
          <w:rFonts w:ascii="Arial" w:cs="Arial" w:eastAsia="Arial" w:hAnsi="Arial"/>
          <w:sz w:val="18"/>
          <w:szCs w:val="18"/>
          <w:color w:val="auto"/>
        </w:rPr>
      </w:pPr>
    </w:p>
    <w:p>
      <w:pPr>
        <w:ind w:left="1100" w:right="100" w:hanging="426"/>
        <w:spacing w:after="0" w:line="275"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our product candidates’ safety, purity, potency, tolerability and/or efficacy profiles will be satisfactory to the European Medicines Agency (“EMA”), the FDA and similar regulatory authorities to warrant marketing approval;</w:t>
      </w:r>
    </w:p>
    <w:p>
      <w:pPr>
        <w:spacing w:after="0" w:line="77" w:lineRule="exact"/>
        <w:rPr>
          <w:rFonts w:ascii="Arial" w:cs="Arial" w:eastAsia="Arial" w:hAnsi="Arial"/>
          <w:sz w:val="18"/>
          <w:szCs w:val="18"/>
          <w:color w:val="auto"/>
        </w:rPr>
      </w:pPr>
    </w:p>
    <w:p>
      <w:pPr>
        <w:ind w:left="1100" w:hanging="426"/>
        <w:spacing w:after="0" w:line="275"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EMA, the FDA or similar regulatory authorities will require additional clinical trials prior to approving our product candidates, if ever;</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TransCon hGH and our other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occurrence of adverse events that implicate the TransCon technologies, including among any out-licensed product candidates;</w:t>
      </w:r>
    </w:p>
    <w:p>
      <w:pPr>
        <w:spacing w:after="0" w:line="140" w:lineRule="exact"/>
        <w:rPr>
          <w:rFonts w:ascii="Arial" w:cs="Arial" w:eastAsia="Arial" w:hAnsi="Arial"/>
          <w:sz w:val="17"/>
          <w:szCs w:val="17"/>
          <w:color w:val="auto"/>
        </w:rPr>
      </w:pPr>
    </w:p>
    <w:p>
      <w:pPr>
        <w:ind w:left="1100" w:right="360" w:hanging="426"/>
        <w:spacing w:after="0" w:line="275"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timely receipt of necessary marketing authorizations or certifications for our product candidates and associated device components from the FDA, similar regulatory authorities and notified bodies;</w:t>
      </w:r>
    </w:p>
    <w:p>
      <w:pPr>
        <w:spacing w:after="0" w:line="77" w:lineRule="exact"/>
        <w:rPr>
          <w:rFonts w:ascii="Arial" w:cs="Arial" w:eastAsia="Arial" w:hAnsi="Arial"/>
          <w:sz w:val="18"/>
          <w:szCs w:val="18"/>
          <w:color w:val="auto"/>
        </w:rPr>
      </w:pPr>
    </w:p>
    <w:p>
      <w:pPr>
        <w:ind w:left="1100" w:right="240" w:hanging="426"/>
        <w:spacing w:after="0" w:line="262"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that of any collaboration partners to successfully commercialize TransCon hGH or to commercialize our other product candidates, if approved for marketing and sale by the FDA or similar regulatory authorities, including educating physicians and patients about the benefits, administration and use of such products;</w:t>
      </w:r>
    </w:p>
    <w:p>
      <w:pPr>
        <w:spacing w:after="0" w:line="88" w:lineRule="exact"/>
        <w:rPr>
          <w:rFonts w:ascii="Arial" w:cs="Arial" w:eastAsia="Arial" w:hAnsi="Arial"/>
          <w:sz w:val="18"/>
          <w:szCs w:val="18"/>
          <w:color w:val="auto"/>
        </w:rPr>
      </w:pPr>
    </w:p>
    <w:p>
      <w:pPr>
        <w:ind w:left="1100" w:hanging="426"/>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acceptance of TransCon hGH, or our other product candidates, if approved, as safe and effective by patients and the medical community;</w:t>
      </w:r>
    </w:p>
    <w:p>
      <w:pPr>
        <w:spacing w:after="0" w:line="152" w:lineRule="exact"/>
        <w:rPr>
          <w:rFonts w:ascii="Arial" w:cs="Arial" w:eastAsia="Arial" w:hAnsi="Arial"/>
          <w:sz w:val="16"/>
          <w:szCs w:val="16"/>
          <w:color w:val="auto"/>
        </w:rPr>
      </w:pPr>
    </w:p>
    <w:p>
      <w:pPr>
        <w:ind w:left="1100" w:right="160" w:hanging="426"/>
        <w:spacing w:after="0" w:line="262"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the device components of our combination products and combination product candidates, if approved, including the TransCon hGH auto-injector and the TransCon PTH drug delivery device and associated Bluetooth connectivity features, by patients and the medical community;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85"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hanging="426"/>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competing treatments;</w:t>
      </w:r>
    </w:p>
    <w:p>
      <w:pPr>
        <w:spacing w:after="0" w:line="140" w:lineRule="exact"/>
        <w:rPr>
          <w:rFonts w:ascii="Arial" w:cs="Arial" w:eastAsia="Arial" w:hAnsi="Arial"/>
          <w:sz w:val="17"/>
          <w:szCs w:val="17"/>
          <w:color w:val="auto"/>
        </w:rPr>
      </w:pPr>
    </w:p>
    <w:p>
      <w:pPr>
        <w:ind w:left="1100" w:right="180" w:hanging="426"/>
        <w:spacing w:after="0" w:line="275"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TransCon hGH and our other product candidates by third-party payors;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and any collaboration partners’ marketing, sales and distribution strategies and operations;</w:t>
      </w:r>
    </w:p>
    <w:p>
      <w:pPr>
        <w:spacing w:after="0" w:line="129" w:lineRule="exact"/>
        <w:rPr>
          <w:rFonts w:ascii="Arial" w:cs="Arial" w:eastAsia="Arial" w:hAnsi="Arial"/>
          <w:sz w:val="18"/>
          <w:szCs w:val="18"/>
          <w:color w:val="auto"/>
        </w:rPr>
      </w:pPr>
    </w:p>
    <w:p>
      <w:pPr>
        <w:ind w:left="1100" w:right="180" w:hanging="426"/>
        <w:spacing w:after="0" w:line="262"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that of any collaboration partners, or any third-party manufacturer we contract with, to manufacture supplies of TransCon hGH and/or our other product candidates and to develop, validate and maintain commercially viable manufacturing processes that are compliant with current good manufacturing practice, or cGMP, or similar requirements;</w:t>
      </w:r>
    </w:p>
    <w:p>
      <w:pPr>
        <w:spacing w:after="0" w:line="88" w:lineRule="exact"/>
        <w:rPr>
          <w:rFonts w:ascii="Arial" w:cs="Arial" w:eastAsia="Arial" w:hAnsi="Arial"/>
          <w:sz w:val="18"/>
          <w:szCs w:val="18"/>
          <w:color w:val="auto"/>
        </w:rPr>
      </w:pPr>
    </w:p>
    <w:p>
      <w:pPr>
        <w:ind w:left="1100" w:hanging="426"/>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enforcing intellectual property rights in and to TransCon hGH and our other product candidates;</w:t>
      </w:r>
    </w:p>
    <w:p>
      <w:pPr>
        <w:spacing w:after="0" w:line="129" w:lineRule="exact"/>
        <w:rPr>
          <w:rFonts w:ascii="Arial" w:cs="Arial" w:eastAsia="Arial" w:hAnsi="Arial"/>
          <w:sz w:val="18"/>
          <w:szCs w:val="18"/>
          <w:color w:val="auto"/>
        </w:rPr>
      </w:pPr>
    </w:p>
    <w:p>
      <w:pPr>
        <w:ind w:left="1100" w:right="600" w:hanging="426"/>
        <w:spacing w:after="0" w:line="275"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acceptable safety profiles of TransCon hGH and of our other product candidates following any potential approval.</w:t>
      </w:r>
    </w:p>
    <w:p>
      <w:pPr>
        <w:spacing w:after="0" w:line="223" w:lineRule="exact"/>
        <w:rPr>
          <w:sz w:val="20"/>
          <w:szCs w:val="20"/>
          <w:color w:val="auto"/>
        </w:rPr>
      </w:pPr>
    </w:p>
    <w:p>
      <w:pPr>
        <w:ind w:left="140" w:right="340"/>
        <w:spacing w:after="0" w:line="275"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any collaboration partners.</w:t>
      </w:r>
    </w:p>
    <w:p>
      <w:pPr>
        <w:spacing w:after="0" w:line="171"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We cannot be certain that TransCon hGH will be successfully commercialized or approved in other jurisdictions and we cannot be certain that any of our other product candidates will ever be approved or successfully commercialized, or that we will ever generate revenue from sales of such other product candidates. If we are not successful in completing the development of, obtaining approval for, and commercializing our product candidates, or are significantly delayed in doing so, our business will be harmed.</w:t>
      </w:r>
    </w:p>
    <w:p>
      <w:pPr>
        <w:spacing w:after="0" w:line="294" w:lineRule="exact"/>
        <w:rPr>
          <w:sz w:val="20"/>
          <w:szCs w:val="20"/>
          <w:color w:val="auto"/>
        </w:rPr>
      </w:pPr>
    </w:p>
    <w:p>
      <w:pPr>
        <w:ind w:left="140" w:right="480"/>
        <w:spacing w:after="0" w:line="340"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17" w:lineRule="exact"/>
        <w:rPr>
          <w:sz w:val="20"/>
          <w:szCs w:val="20"/>
          <w:color w:val="auto"/>
        </w:rPr>
      </w:pPr>
    </w:p>
    <w:p>
      <w:pPr>
        <w:ind w:left="140" w:right="40"/>
        <w:spacing w:after="0" w:line="289" w:lineRule="auto"/>
        <w:rPr>
          <w:sz w:val="20"/>
          <w:szCs w:val="20"/>
          <w:color w:val="auto"/>
        </w:rPr>
      </w:pPr>
      <w:r>
        <w:rPr>
          <w:rFonts w:ascii="Arial" w:cs="Arial" w:eastAsia="Arial" w:hAnsi="Arial"/>
          <w:sz w:val="16"/>
          <w:szCs w:val="16"/>
          <w:color w:val="auto"/>
        </w:rPr>
        <w:t>Before obtaining marketing approval from regulatory authorities for the sale of any product candidates, we must conduct extensive clinical studies to demonstrate the safety, purity, potency and/or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Product candidates in later stages of clinical trials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w:t>
      </w:r>
    </w:p>
    <w:p>
      <w:pPr>
        <w:spacing w:after="0" w:line="165"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We may experience delays or setbacks in our ongoing clinical trials, and we do not know whether future clinical trials will begin on time, need to be redesigned, enroll an adequate number of patients on time or be completed on schedule, if at all. Clinical trials can be delayed or terminated for a variety of reasons, including delay or failure to:</w:t>
      </w:r>
    </w:p>
    <w:p>
      <w:pPr>
        <w:spacing w:after="0" w:line="89" w:lineRule="exact"/>
        <w:rPr>
          <w:sz w:val="20"/>
          <w:szCs w:val="20"/>
          <w:color w:val="auto"/>
        </w:rPr>
      </w:pPr>
    </w:p>
    <w:p>
      <w:pPr>
        <w:ind w:left="1100" w:hanging="426"/>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generate sufficient preclinical, toxicology, or other in vivo or in vitro data to support the initiation or continuation of clinical trials;</w:t>
      </w:r>
    </w:p>
    <w:p>
      <w:pPr>
        <w:spacing w:after="0" w:line="140" w:lineRule="exact"/>
        <w:rPr>
          <w:rFonts w:ascii="Arial" w:cs="Arial" w:eastAsia="Arial" w:hAnsi="Arial"/>
          <w:sz w:val="17"/>
          <w:szCs w:val="17"/>
          <w:color w:val="auto"/>
        </w:rPr>
      </w:pPr>
    </w:p>
    <w:p>
      <w:pPr>
        <w:ind w:left="1100" w:right="160" w:hanging="426"/>
        <w:spacing w:after="0" w:line="275"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 consensus with regulatory authorities on study design or implementation of the clinical trials and/or obtain regulatory authorization to commence a trial;</w:t>
      </w:r>
    </w:p>
    <w:p>
      <w:pPr>
        <w:spacing w:after="0" w:line="77" w:lineRule="exact"/>
        <w:rPr>
          <w:rFonts w:ascii="Arial" w:cs="Arial" w:eastAsia="Arial" w:hAnsi="Arial"/>
          <w:sz w:val="18"/>
          <w:szCs w:val="18"/>
          <w:color w:val="auto"/>
        </w:rPr>
      </w:pPr>
    </w:p>
    <w:p>
      <w:pPr>
        <w:ind w:left="1100" w:right="80" w:hanging="426"/>
        <w:spacing w:after="0" w:line="275"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(“CROs”) and clinical trial sites, the terms of which can be subject to extensive negotiation and may vary significantly among different CROs and trial sites;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institutional review board (“IRB”) or ethics committee approval at each site;</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manufacture, test, release, validate or import sufficient quantities of drug product for use in a trial;</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 screen and enroll suitable patients to participate in a trial;</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patients complete a trial or return for post-treatment follow-up;</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85"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hanging="426"/>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that clinical sites observe trial protocol or continue to participate in a trial;</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 or</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w:t>
      </w:r>
    </w:p>
    <w:p>
      <w:pPr>
        <w:spacing w:after="0" w:line="223" w:lineRule="exact"/>
        <w:rPr>
          <w:sz w:val="20"/>
          <w:szCs w:val="20"/>
          <w:color w:val="auto"/>
        </w:rPr>
      </w:pPr>
    </w:p>
    <w:p>
      <w:pPr>
        <w:ind w:left="140"/>
        <w:spacing w:after="0" w:line="292" w:lineRule="auto"/>
        <w:rPr>
          <w:sz w:val="20"/>
          <w:szCs w:val="20"/>
          <w:color w:val="auto"/>
        </w:rPr>
      </w:pPr>
      <w:r>
        <w:rPr>
          <w:rFonts w:ascii="Arial" w:cs="Arial" w:eastAsia="Arial" w:hAnsi="Arial"/>
          <w:sz w:val="16"/>
          <w:szCs w:val="16"/>
          <w:color w:val="auto"/>
        </w:rPr>
        <w:t>The COVID-19 pandemic has had, and may continue to have an evolving impact on the conduct of clinical trials of investigational therapeutic candidates, and any challenges which may arise, for example, from quarantines, site closures, travel limitations, interruptions to the supply chain for our product candidates, or other considerations if site personnel or trial subjects become infected with COVID-19, which may lead to difficulties in meeting protocol-specified procedures, including administering or using the product candidate or adhering to protocol-mandated visits and laboratory/diagnostic testing, unavoidable protocol deviations due to COVID-19 illness and/or COVID-19 control measures, which will likely vary depending on many factors, including the nature of disease under study, the trial design, and in what region(s) the study is being conducted.</w:t>
      </w:r>
    </w:p>
    <w:p>
      <w:pPr>
        <w:spacing w:after="0" w:line="164" w:lineRule="exact"/>
        <w:rPr>
          <w:sz w:val="20"/>
          <w:szCs w:val="20"/>
          <w:color w:val="auto"/>
        </w:rPr>
      </w:pPr>
    </w:p>
    <w:p>
      <w:pPr>
        <w:ind w:left="140" w:right="20"/>
        <w:spacing w:after="0" w:line="271" w:lineRule="auto"/>
        <w:rPr>
          <w:sz w:val="20"/>
          <w:szCs w:val="20"/>
          <w:color w:val="auto"/>
        </w:rPr>
      </w:pPr>
      <w:r>
        <w:rPr>
          <w:rFonts w:ascii="Arial" w:cs="Arial" w:eastAsia="Arial" w:hAnsi="Arial"/>
          <w:sz w:val="17"/>
          <w:szCs w:val="17"/>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 In addition, our Phase 3 foresiGHt Trial includes clinical sites located in Ukraine, and the recent invasion of Ukraine has impacted and may further impact our ability to enroll patients at those clinical sites or collect data from patients who are already enrolled at those clinical sites. We will continue to closely monitor the rapidly evolving geopolitical situation in Ukraine and Russia and its impact on our clinical trial operations and timelines.</w:t>
      </w:r>
    </w:p>
    <w:p>
      <w:pPr>
        <w:spacing w:after="0" w:line="177" w:lineRule="exact"/>
        <w:rPr>
          <w:sz w:val="20"/>
          <w:szCs w:val="20"/>
          <w:color w:val="auto"/>
        </w:rPr>
      </w:pPr>
    </w:p>
    <w:p>
      <w:pPr>
        <w:ind w:left="140"/>
        <w:spacing w:after="0" w:line="272" w:lineRule="auto"/>
        <w:rPr>
          <w:sz w:val="20"/>
          <w:szCs w:val="20"/>
          <w:color w:val="auto"/>
        </w:rPr>
      </w:pPr>
      <w:r>
        <w:rPr>
          <w:rFonts w:ascii="Arial" w:cs="Arial" w:eastAsia="Arial" w:hAnsi="Arial"/>
          <w:sz w:val="17"/>
          <w:szCs w:val="17"/>
          <w:color w:val="auto"/>
        </w:rPr>
        <w:t>We could also encounter delays if a clinical trial is suspended or terminated by us for a product candidate, by the IRBs of the institutions in which such trials are being conducted, by an independent data safety monitoring board (“DSMB”), for such trial or by the FDA or similar regulatory authorities. Such authorities, or we, may suspend or terminate a clinical trial due to a number of factors, including failure to conduct the clinical trial in accordance with regulatory requirements or our clinical protocols, inspection of the clinical trial operations or trial site by the FDA or similar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7"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Further, we are conducting, and plan to conduct, clinical trials in sites outside of the United States. Conducting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In addition, the EMA or the FDA may determine that the clinical trial results obtained in foreign subjects do not establish the safety, purity, potency and/or efficacy of a product candidate when administered in EU or U.S. patients, and are thus not supportive of an application for a marketing authorization in the EU or of a New Drug Application (“NDA”), or Biologics License Application (“BLA”), approval in the United States. As a result, the EMA or the FDA may not accept data from clinical trials conducted outside the EU or the United States, respectively, and may require that we conduct additional clinical trials or obtain additional data before we can submit an NDA or BLA in the United States or a Marketing Authorization Application (“MAA”) in the EU. The EMA or the FDA may even require conducting additional clinical trials in the EU or the United States, respectively.</w:t>
      </w:r>
    </w:p>
    <w:p>
      <w:pPr>
        <w:spacing w:after="0" w:line="167" w:lineRule="exact"/>
        <w:rPr>
          <w:sz w:val="20"/>
          <w:szCs w:val="20"/>
          <w:color w:val="auto"/>
        </w:rPr>
      </w:pPr>
    </w:p>
    <w:p>
      <w:pPr>
        <w:ind w:left="140" w:right="80"/>
        <w:spacing w:after="0" w:line="289" w:lineRule="auto"/>
        <w:rPr>
          <w:sz w:val="20"/>
          <w:szCs w:val="20"/>
          <w:color w:val="auto"/>
        </w:rPr>
      </w:pPr>
      <w:r>
        <w:rPr>
          <w:rFonts w:ascii="Arial" w:cs="Arial" w:eastAsia="Arial" w:hAnsi="Arial"/>
          <w:sz w:val="16"/>
          <w:szCs w:val="16"/>
          <w:color w:val="auto"/>
        </w:rPr>
        <w:t>If there are delays in the completion of, or termination of, any clinical trial of our product candidates or if we are required to conduct additional clinical trials in addition to those we have currently planned, the commercial prospects of our product candidates may be harmed, and our ability to generate revenue from commercial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commercial product sales. Any of these occurrences may significantly harm our business, financial condition and prospects. Clinical trial delays may also allow our competitors to bring products to market before we do, which could impair our ability to obtain orphan exclusivity for our products that potentially qualify for orphan drug designation. In addition, many of the factors that cause, or lead to, a delay in the commencement or completion of clinical trials may also ultimately lead to the denial of regulatory approval of our product candidates.</w:t>
      </w:r>
    </w:p>
    <w:p>
      <w:pPr>
        <w:spacing w:after="0" w:line="165" w:lineRule="exact"/>
        <w:rPr>
          <w:sz w:val="20"/>
          <w:szCs w:val="20"/>
          <w:color w:val="auto"/>
        </w:rPr>
      </w:pPr>
    </w:p>
    <w:p>
      <w:pPr>
        <w:ind w:left="140" w:right="20"/>
        <w:spacing w:after="0" w:line="288" w:lineRule="auto"/>
        <w:rPr>
          <w:sz w:val="20"/>
          <w:szCs w:val="20"/>
          <w:color w:val="auto"/>
        </w:rPr>
      </w:pPr>
      <w:r>
        <w:rPr>
          <w:rFonts w:ascii="Arial" w:cs="Arial" w:eastAsia="Arial" w:hAnsi="Arial"/>
          <w:sz w:val="16"/>
          <w:szCs w:val="16"/>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w:t>
      </w:r>
    </w:p>
    <w:p>
      <w:pPr>
        <w:sectPr>
          <w:pgSz w:w="11900" w:h="16838" w:orient="portrait"/>
          <w:cols w:equalWidth="0" w:num="1">
            <w:col w:w="11060"/>
          </w:cols>
          <w:pgMar w:left="320" w:top="485" w:right="519" w:bottom="1440" w:gutter="0" w:footer="0" w:header="0"/>
        </w:sectPr>
      </w:pP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60"/>
          </w:cols>
          <w:pgMar w:left="320" w:top="485" w:right="5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80"/>
        <w:spacing w:after="0" w:line="254" w:lineRule="auto"/>
        <w:rPr>
          <w:sz w:val="20"/>
          <w:szCs w:val="20"/>
          <w:color w:val="auto"/>
        </w:rPr>
      </w:pPr>
      <w:r>
        <w:rPr>
          <w:rFonts w:ascii="Arial" w:cs="Arial" w:eastAsia="Arial" w:hAnsi="Arial"/>
          <w:sz w:val="18"/>
          <w:szCs w:val="18"/>
          <w:color w:val="auto"/>
        </w:rPr>
        <w:t>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 Compliance with the CTR requirements by us and our third-party service providers, such as CROs, may impact our developments plans.</w:t>
      </w:r>
    </w:p>
    <w:p>
      <w:pPr>
        <w:spacing w:after="0" w:line="192" w:lineRule="exact"/>
        <w:rPr>
          <w:sz w:val="20"/>
          <w:szCs w:val="20"/>
          <w:color w:val="auto"/>
        </w:rPr>
      </w:pPr>
    </w:p>
    <w:p>
      <w:pPr>
        <w:ind w:left="140" w:right="140"/>
        <w:spacing w:after="0" w:line="269" w:lineRule="auto"/>
        <w:rPr>
          <w:sz w:val="20"/>
          <w:szCs w:val="20"/>
          <w:color w:val="auto"/>
        </w:rPr>
      </w:pPr>
      <w:r>
        <w:rPr>
          <w:rFonts w:ascii="Arial" w:cs="Arial" w:eastAsia="Arial" w:hAnsi="Arial"/>
          <w:sz w:val="17"/>
          <w:szCs w:val="17"/>
          <w:color w:val="auto"/>
        </w:rPr>
        <w:t>It is currently unclear to what extent the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(“MHRA”) launched an eight-week consultation on reframing the UK legislation for clinical trials. The consultation closes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81" w:lineRule="exact"/>
        <w:rPr>
          <w:sz w:val="20"/>
          <w:szCs w:val="20"/>
          <w:color w:val="auto"/>
        </w:rPr>
      </w:pPr>
    </w:p>
    <w:p>
      <w:pPr>
        <w:ind w:left="140" w:right="500"/>
        <w:spacing w:after="0" w:line="275"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be adversely impacted.</w:t>
      </w:r>
    </w:p>
    <w:p>
      <w:pPr>
        <w:spacing w:after="0" w:line="279" w:lineRule="exact"/>
        <w:rPr>
          <w:sz w:val="20"/>
          <w:szCs w:val="20"/>
          <w:color w:val="auto"/>
        </w:rPr>
      </w:pPr>
    </w:p>
    <w:p>
      <w:pPr>
        <w:ind w:left="140" w:right="540"/>
        <w:spacing w:after="0" w:line="275" w:lineRule="auto"/>
        <w:rPr>
          <w:sz w:val="20"/>
          <w:szCs w:val="20"/>
          <w:color w:val="auto"/>
        </w:rPr>
      </w:pPr>
      <w:r>
        <w:rPr>
          <w:rFonts w:ascii="Arial" w:cs="Arial" w:eastAsia="Arial" w:hAnsi="Arial"/>
          <w:sz w:val="18"/>
          <w:szCs w:val="18"/>
          <w:b w:val="1"/>
          <w:bCs w:val="1"/>
          <w:i w:val="1"/>
          <w:iCs w:val="1"/>
          <w:color w:val="auto"/>
        </w:rPr>
        <w:t>Certain of our product candidates are in various stages of preclinical development and we may not be successful in our efforts to successfully develop these products or expand our pipeline of product candidates.</w:t>
      </w:r>
    </w:p>
    <w:p>
      <w:pPr>
        <w:spacing w:after="0" w:line="64" w:lineRule="exact"/>
        <w:rPr>
          <w:sz w:val="20"/>
          <w:szCs w:val="20"/>
          <w:color w:val="auto"/>
        </w:rPr>
      </w:pPr>
    </w:p>
    <w:p>
      <w:pPr>
        <w:ind w:left="140" w:right="80"/>
        <w:spacing w:after="0" w:line="270" w:lineRule="auto"/>
        <w:rPr>
          <w:sz w:val="20"/>
          <w:szCs w:val="20"/>
          <w:color w:val="auto"/>
        </w:rPr>
      </w:pPr>
      <w:r>
        <w:rPr>
          <w:rFonts w:ascii="Arial" w:cs="Arial" w:eastAsia="Arial" w:hAnsi="Arial"/>
          <w:sz w:val="17"/>
          <w:szCs w:val="17"/>
          <w:color w:val="auto"/>
        </w:rPr>
        <w:t>A key element of our strategy is to expand our pipeline of product candidates utilizing our proprietary TransCon technologies, and to advance such product candidates through clinical development. Certain of our product candidates are in preclinical development and may require significant time and additional research and development before we can submit INDs or equivalent foreign regulatory applications to regulatory authorities to begin clinical studies. Of the large number of drugs and biologics in development, only a small percentage of such drugs successfully complete the EMA or FDA regulatory approval process and are commercialized. Accordingly, even if we are able to continue to fund such development programs, our product candidates may not be advanced to clinical studies or be successfully developed or commercialized. In addition, our preclinical product candidates may not demonstrate the advantages we expect from application of our TransCon technologies in preclinical studies. In such event, we may decide not to progress any such product candidates into clinical trials.</w:t>
      </w:r>
    </w:p>
    <w:p>
      <w:pPr>
        <w:spacing w:after="0" w:line="178" w:lineRule="exact"/>
        <w:rPr>
          <w:sz w:val="20"/>
          <w:szCs w:val="20"/>
          <w:color w:val="auto"/>
        </w:rPr>
      </w:pPr>
    </w:p>
    <w:p>
      <w:pPr>
        <w:ind w:left="140" w:right="140"/>
        <w:spacing w:after="0" w:line="300" w:lineRule="auto"/>
        <w:rPr>
          <w:sz w:val="20"/>
          <w:szCs w:val="20"/>
          <w:color w:val="auto"/>
        </w:rPr>
      </w:pPr>
      <w:r>
        <w:rPr>
          <w:rFonts w:ascii="Arial" w:cs="Arial" w:eastAsia="Arial" w:hAnsi="Arial"/>
          <w:sz w:val="16"/>
          <w:szCs w:val="16"/>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pure, potent and/or effective. Our research programs may initially show promise in identifying potential product candidates, yet fail to yield product candidates for clinical development or commercialization for many reasons, including the following:</w:t>
      </w:r>
    </w:p>
    <w:p>
      <w:pPr>
        <w:spacing w:after="0" w:line="62" w:lineRule="exact"/>
        <w:rPr>
          <w:sz w:val="20"/>
          <w:szCs w:val="20"/>
          <w:color w:val="auto"/>
        </w:rPr>
      </w:pPr>
    </w:p>
    <w:p>
      <w:pPr>
        <w:ind w:left="1100" w:hanging="426"/>
        <w:spacing w:after="0"/>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research methodology used and our TransCon technologies may not be successful in creating potential product candidates;</w:t>
      </w:r>
    </w:p>
    <w:p>
      <w:pPr>
        <w:spacing w:after="0" w:line="140" w:lineRule="exact"/>
        <w:rPr>
          <w:rFonts w:ascii="Arial" w:cs="Arial" w:eastAsia="Arial" w:hAnsi="Arial"/>
          <w:sz w:val="17"/>
          <w:szCs w:val="17"/>
          <w:color w:val="auto"/>
        </w:rPr>
      </w:pPr>
    </w:p>
    <w:p>
      <w:pPr>
        <w:ind w:left="1100" w:hanging="426"/>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29" w:lineRule="exact"/>
        <w:rPr>
          <w:rFonts w:ascii="Arial" w:cs="Arial" w:eastAsia="Arial" w:hAnsi="Arial"/>
          <w:sz w:val="18"/>
          <w:szCs w:val="18"/>
          <w:color w:val="auto"/>
        </w:rPr>
      </w:pPr>
    </w:p>
    <w:p>
      <w:pPr>
        <w:ind w:left="1100" w:right="160" w:hanging="426"/>
        <w:spacing w:after="0" w:line="306" w:lineRule="auto"/>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candidates we develop may nevertheless be covered by third-parties’ intellectual property rights or other types of exclusivity and we may not be able to obtain a license from such third-party or the license terms may not be acceptable to us;</w:t>
      </w:r>
    </w:p>
    <w:p>
      <w:pPr>
        <w:spacing w:after="0" w:line="53" w:lineRule="exact"/>
        <w:rPr>
          <w:rFonts w:ascii="Arial" w:cs="Arial" w:eastAsia="Arial" w:hAnsi="Arial"/>
          <w:sz w:val="17"/>
          <w:szCs w:val="17"/>
          <w:color w:val="auto"/>
        </w:rPr>
      </w:pPr>
    </w:p>
    <w:p>
      <w:pPr>
        <w:ind w:left="1100" w:right="640" w:hanging="426"/>
        <w:spacing w:after="0" w:line="275"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or we may discover that such market was smaller than initially expected so that such a product may become financially unfeasible to continue to develop;</w:t>
      </w:r>
    </w:p>
    <w:p>
      <w:pPr>
        <w:spacing w:after="0" w:line="77" w:lineRule="exact"/>
        <w:rPr>
          <w:rFonts w:ascii="Arial" w:cs="Arial" w:eastAsia="Arial" w:hAnsi="Arial"/>
          <w:sz w:val="18"/>
          <w:szCs w:val="18"/>
          <w:color w:val="auto"/>
        </w:rPr>
      </w:pPr>
    </w:p>
    <w:p>
      <w:pPr>
        <w:ind w:left="1100" w:right="220" w:hanging="426"/>
        <w:spacing w:after="0" w:line="275"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be demonstrated to have harmful side effects or not to be effective, or otherwise not to meet other requirements for regulatory approval;</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29" w:lineRule="exact"/>
        <w:rPr>
          <w:rFonts w:ascii="Arial" w:cs="Arial" w:eastAsia="Arial" w:hAnsi="Arial"/>
          <w:sz w:val="18"/>
          <w:szCs w:val="18"/>
          <w:color w:val="auto"/>
        </w:rPr>
      </w:pPr>
    </w:p>
    <w:p>
      <w:pPr>
        <w:ind w:left="1100" w:hanging="426"/>
        <w:spacing w:after="0" w:line="275"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or reimbursable by third-party payors, if applicable.</w:t>
      </w:r>
    </w:p>
    <w:p>
      <w:pPr>
        <w:spacing w:after="0" w:line="171" w:lineRule="exact"/>
        <w:rPr>
          <w:sz w:val="20"/>
          <w:szCs w:val="20"/>
          <w:color w:val="auto"/>
        </w:rPr>
      </w:pPr>
    </w:p>
    <w:p>
      <w:pPr>
        <w:ind w:left="140" w:right="600"/>
        <w:spacing w:after="0" w:line="306" w:lineRule="auto"/>
        <w:rPr>
          <w:sz w:val="20"/>
          <w:szCs w:val="20"/>
          <w:color w:val="auto"/>
        </w:rPr>
      </w:pPr>
      <w:r>
        <w:rPr>
          <w:rFonts w:ascii="Arial" w:cs="Arial" w:eastAsia="Arial" w:hAnsi="Arial"/>
          <w:sz w:val="17"/>
          <w:szCs w:val="17"/>
          <w:color w:val="auto"/>
        </w:rPr>
        <w:t>Even if we are successful in continuing to expand our pipeline, through our own research and development efforts or by pursuing in-licensing or acquisition of product candidates, the potential product candidates that we identify or acquire may not be suitable for</w:t>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5"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commercial product sales in future periods or achieve or sustain profitability.</w:t>
      </w:r>
    </w:p>
    <w:p>
      <w:pPr>
        <w:spacing w:after="0" w:line="291" w:lineRule="exact"/>
        <w:rPr>
          <w:sz w:val="20"/>
          <w:szCs w:val="20"/>
          <w:color w:val="auto"/>
        </w:rPr>
      </w:pPr>
    </w:p>
    <w:p>
      <w:pPr>
        <w:ind w:left="140" w:right="300"/>
        <w:spacing w:after="0" w:line="340"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 w:lineRule="exact"/>
        <w:rPr>
          <w:sz w:val="20"/>
          <w:szCs w:val="20"/>
          <w:color w:val="auto"/>
        </w:rPr>
      </w:pPr>
    </w:p>
    <w:p>
      <w:pPr>
        <w:ind w:left="140" w:right="40"/>
        <w:spacing w:after="0" w:line="290"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66" w:lineRule="exact"/>
        <w:rPr>
          <w:sz w:val="20"/>
          <w:szCs w:val="20"/>
          <w:color w:val="auto"/>
        </w:rPr>
      </w:pPr>
    </w:p>
    <w:p>
      <w:pPr>
        <w:ind w:left="140" w:right="200"/>
        <w:spacing w:after="0" w:line="258"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6" w:lineRule="exact"/>
        <w:rPr>
          <w:sz w:val="20"/>
          <w:szCs w:val="20"/>
          <w:color w:val="auto"/>
        </w:rPr>
      </w:pPr>
    </w:p>
    <w:p>
      <w:pPr>
        <w:ind w:left="140" w:right="120"/>
        <w:spacing w:after="0" w:line="27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4" w:lineRule="exact"/>
        <w:rPr>
          <w:sz w:val="20"/>
          <w:szCs w:val="20"/>
          <w:color w:val="auto"/>
        </w:rPr>
      </w:pPr>
    </w:p>
    <w:p>
      <w:pPr>
        <w:ind w:left="140" w:right="280"/>
        <w:spacing w:after="0" w:line="275" w:lineRule="auto"/>
        <w:rPr>
          <w:sz w:val="20"/>
          <w:szCs w:val="20"/>
          <w:color w:val="auto"/>
        </w:rPr>
      </w:pPr>
      <w:r>
        <w:rPr>
          <w:rFonts w:ascii="Arial" w:cs="Arial" w:eastAsia="Arial" w:hAnsi="Arial"/>
          <w:sz w:val="18"/>
          <w:szCs w:val="18"/>
          <w:b w:val="1"/>
          <w:bCs w:val="1"/>
          <w:i w:val="1"/>
          <w:iCs w:val="1"/>
          <w:color w:val="auto"/>
        </w:rPr>
        <w:t>By expending our limited resources to pursue particular product candidates and areas of focus we may fail to capitalize on product candidates or areas of focus that are more profitable or for which there is a greater likelihood of success.</w:t>
      </w:r>
    </w:p>
    <w:p>
      <w:pPr>
        <w:spacing w:after="0" w:line="64" w:lineRule="exact"/>
        <w:rPr>
          <w:sz w:val="20"/>
          <w:szCs w:val="20"/>
          <w:color w:val="auto"/>
        </w:rPr>
      </w:pPr>
    </w:p>
    <w:p>
      <w:pPr>
        <w:ind w:left="140" w:right="100"/>
        <w:spacing w:after="0" w:line="271" w:lineRule="auto"/>
        <w:rPr>
          <w:sz w:val="20"/>
          <w:szCs w:val="20"/>
          <w:color w:val="auto"/>
        </w:rPr>
      </w:pPr>
      <w:r>
        <w:rPr>
          <w:rFonts w:ascii="Arial" w:cs="Arial" w:eastAsia="Arial" w:hAnsi="Arial"/>
          <w:sz w:val="17"/>
          <w:szCs w:val="17"/>
          <w:color w:val="auto"/>
        </w:rPr>
        <w:t>We have focused on research programs and product candidates within the endocrinology and oncology therapeutic areas. As a result, we may forego or delay pursuit of opportunities with other product candidates or in other therapeutic areas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4" w:lineRule="exact"/>
        <w:rPr>
          <w:sz w:val="20"/>
          <w:szCs w:val="20"/>
          <w:color w:val="auto"/>
        </w:rPr>
      </w:pPr>
    </w:p>
    <w:p>
      <w:pPr>
        <w:ind w:left="140" w:right="280"/>
        <w:spacing w:after="0" w:line="374" w:lineRule="auto"/>
        <w:rPr>
          <w:sz w:val="20"/>
          <w:szCs w:val="20"/>
          <w:color w:val="auto"/>
        </w:rPr>
      </w:pPr>
      <w:r>
        <w:rPr>
          <w:rFonts w:ascii="Arial" w:cs="Arial" w:eastAsia="Arial" w:hAnsi="Arial"/>
          <w:sz w:val="15"/>
          <w:szCs w:val="15"/>
          <w:b w:val="1"/>
          <w:bCs w:val="1"/>
          <w:i w:val="1"/>
          <w:iCs w:val="1"/>
          <w:color w:val="auto"/>
        </w:rPr>
        <w:t>We rely on third-parties to conduct our nonclinical studies and clinical trials. If these third-parties do not successfully carry out their contractual duties or meet expected deadlines, we may be unable to obtain regulatory approval for, or commercialize, our product candidates.</w:t>
      </w:r>
    </w:p>
    <w:p>
      <w:pPr>
        <w:spacing w:after="0" w:line="1"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color w:val="auto"/>
        </w:rPr>
        <w:t>We do not currently have the ability to independently conduct clinical trials or IND-enabling nonclinical studies. We rely on medical institutions, clinical investigators, contract laboratories, collaboration partners and other third-parties, such as CROs, to conduct clinical trials of TransCon hGH and our other product candidates. The third-parties with whom we contract for execution of our clinical trials play a significant role in the conduct of these trials and the subsequent collection and analysis of data. However, these third-parties are not our employees, and except for contractual duties and obligations, we control only certain aspects of their activities and have limited ability to control the amount or timing of resources that they devote to our programs. Although we rely on these third-parties to conduct our nonclinical studies and our clinical trials, we remain responsible for ensuring that each of our nonclinical studies and clinical trials is conducted in accordance with the applicable protocol, legal, regulatory and scientific standards and our reliance on third-parties does not relieve us of our regulatory responsibilities. We and these third-parties are required to comply with current good laboratory practices (“GLPs”), for nonclinical studies, and good clinical practices (“GCPs”), for clinical studies. GLPs and GCPs are regulations and guidelines enforced by the FDA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85"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95" w:lineRule="auto"/>
        <w:rPr>
          <w:sz w:val="20"/>
          <w:szCs w:val="20"/>
          <w:color w:val="auto"/>
        </w:rPr>
      </w:pPr>
      <w:r>
        <w:rPr>
          <w:rFonts w:ascii="Arial" w:cs="Arial" w:eastAsia="Arial" w:hAnsi="Arial"/>
          <w:sz w:val="16"/>
          <w:szCs w:val="16"/>
          <w:color w:val="auto"/>
        </w:rPr>
        <w:t>requirements, including GCPs, the clinical data generated in our clinical trials may be deemed unreliable and the EMA, the FDA, or similar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regulations. In addition, our clinical trials must be conducted with products produced under cGMP or similar regulations outside the United States. The failure of our contract manufacturers to comply with these regulations may require us to repeat clinical trials, which would delay the regulatory approval process.</w:t>
      </w:r>
    </w:p>
    <w:p>
      <w:pPr>
        <w:spacing w:after="0" w:line="268" w:lineRule="exact"/>
        <w:rPr>
          <w:sz w:val="20"/>
          <w:szCs w:val="20"/>
          <w:color w:val="auto"/>
        </w:rPr>
      </w:pPr>
    </w:p>
    <w:p>
      <w:pPr>
        <w:ind w:left="140" w:right="480"/>
        <w:spacing w:after="0" w:line="340" w:lineRule="auto"/>
        <w:rPr>
          <w:sz w:val="20"/>
          <w:szCs w:val="20"/>
          <w:color w:val="auto"/>
        </w:rPr>
      </w:pPr>
      <w:r>
        <w:rPr>
          <w:rFonts w:ascii="Arial" w:cs="Arial" w:eastAsia="Arial" w:hAnsi="Arial"/>
          <w:sz w:val="16"/>
          <w:szCs w:val="16"/>
          <w:b w:val="1"/>
          <w:bCs w:val="1"/>
          <w:i w:val="1"/>
          <w:iCs w:val="1"/>
          <w:color w:val="auto"/>
        </w:rPr>
        <w:t>The acceptance and commercial success of TransCon hGH, or any of our other product candidates, if approved, will depend, in part, upon the degree of acceptance among physicians, patients, patient advocacy groups, third-party payors and the medical community.</w:t>
      </w:r>
    </w:p>
    <w:p>
      <w:pPr>
        <w:spacing w:after="0" w:line="17" w:lineRule="exact"/>
        <w:rPr>
          <w:sz w:val="20"/>
          <w:szCs w:val="20"/>
          <w:color w:val="auto"/>
        </w:rPr>
      </w:pPr>
    </w:p>
    <w:p>
      <w:pPr>
        <w:ind w:left="140" w:right="420"/>
        <w:spacing w:after="0" w:line="258" w:lineRule="auto"/>
        <w:rPr>
          <w:sz w:val="20"/>
          <w:szCs w:val="20"/>
          <w:color w:val="auto"/>
        </w:rPr>
      </w:pPr>
      <w:r>
        <w:rPr>
          <w:rFonts w:ascii="Arial" w:cs="Arial" w:eastAsia="Arial" w:hAnsi="Arial"/>
          <w:sz w:val="18"/>
          <w:szCs w:val="18"/>
          <w:color w:val="auto"/>
        </w:rPr>
        <w:t>Even if our other product candidates obtain FDA or other regulatory approvals, and are ultimately commercialized, TransCon hGH and our other product candidates may not achieve significant market acceptance among physicians, patients, third-party payors, patient advocacy groups and the medical community. The degree of market acceptance, if any, for TransCon hGH and our other product candidates for which marketing approval is obtained will depend on a number of factors, including:</w:t>
      </w:r>
    </w:p>
    <w:p>
      <w:pPr>
        <w:spacing w:after="0" w:line="92" w:lineRule="exact"/>
        <w:rPr>
          <w:sz w:val="20"/>
          <w:szCs w:val="20"/>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safety, purity, potency and/or efficacy of the products as demonstrated in clinical trials;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profile of the product;</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safety of the TransCon technologies;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convenience and features of the auto-injector or drug delivery device used to administer the drug;</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29" w:lineRule="exact"/>
        <w:rPr>
          <w:rFonts w:ascii="Arial" w:cs="Arial" w:eastAsia="Arial" w:hAnsi="Arial"/>
          <w:sz w:val="18"/>
          <w:szCs w:val="18"/>
          <w:color w:val="auto"/>
        </w:rPr>
      </w:pPr>
    </w:p>
    <w:p>
      <w:pPr>
        <w:ind w:left="1100" w:right="240" w:hanging="426"/>
        <w:spacing w:after="0" w:line="275"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the product as a safe and effective treatment and their willingness to pay for them;</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products;</w:t>
      </w:r>
    </w:p>
    <w:p>
      <w:pPr>
        <w:spacing w:after="0" w:line="129" w:lineRule="exact"/>
        <w:rPr>
          <w:rFonts w:ascii="Arial" w:cs="Arial" w:eastAsia="Arial" w:hAnsi="Arial"/>
          <w:sz w:val="18"/>
          <w:szCs w:val="18"/>
          <w:color w:val="auto"/>
        </w:rPr>
      </w:pPr>
    </w:p>
    <w:p>
      <w:pPr>
        <w:ind w:left="1100" w:right="100" w:hanging="426"/>
        <w:spacing w:after="0" w:line="275"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supply of our products and their ability to meet market demand;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and distribution support for our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coverage and reimbursement policies of government and other third-party payors.</w:t>
      </w:r>
    </w:p>
    <w:p>
      <w:pPr>
        <w:spacing w:after="0" w:line="223" w:lineRule="exact"/>
        <w:rPr>
          <w:sz w:val="20"/>
          <w:szCs w:val="20"/>
          <w:color w:val="auto"/>
        </w:rPr>
      </w:pPr>
    </w:p>
    <w:p>
      <w:pPr>
        <w:ind w:left="140" w:right="180"/>
        <w:spacing w:after="0" w:line="275" w:lineRule="auto"/>
        <w:rPr>
          <w:sz w:val="20"/>
          <w:szCs w:val="20"/>
          <w:color w:val="auto"/>
        </w:rPr>
      </w:pPr>
      <w:r>
        <w:rPr>
          <w:rFonts w:ascii="Arial" w:cs="Arial" w:eastAsia="Arial" w:hAnsi="Arial"/>
          <w:sz w:val="18"/>
          <w:szCs w:val="18"/>
          <w:color w:val="auto"/>
        </w:rPr>
        <w:t>If TransCon hGH or our other product candidates that obtain regulatory approval do not achieve significant market acceptance or commercial success, this could harm our business, results of operations and prospects, and the value of our shares or ADSs.</w:t>
      </w:r>
    </w:p>
    <w:p>
      <w:pPr>
        <w:spacing w:after="0" w:line="279" w:lineRule="exact"/>
        <w:rPr>
          <w:sz w:val="20"/>
          <w:szCs w:val="20"/>
          <w:color w:val="auto"/>
        </w:rPr>
      </w:pPr>
    </w:p>
    <w:p>
      <w:pPr>
        <w:ind w:left="140" w:right="180"/>
        <w:spacing w:after="0" w:line="258" w:lineRule="auto"/>
        <w:rPr>
          <w:sz w:val="20"/>
          <w:szCs w:val="20"/>
          <w:color w:val="auto"/>
        </w:rPr>
      </w:pPr>
      <w:r>
        <w:rPr>
          <w:rFonts w:ascii="Arial" w:cs="Arial" w:eastAsia="Arial" w:hAnsi="Arial"/>
          <w:sz w:val="18"/>
          <w:szCs w:val="18"/>
          <w:b w:val="1"/>
          <w:bCs w:val="1"/>
          <w:i w:val="1"/>
          <w:iCs w:val="1"/>
          <w:color w:val="auto"/>
        </w:rPr>
        <w:t>Our products and product candidates may cause undesirable side effects or have other properties that could delay or prevent their regulatory approval, limit the commercial profile of an approved label, or result in significant negative consequences following regulatory approval, if any. If any of our product candidates receives marketing approval and subsequently causes undesirable side effects, the ability to market the product candidates could be compromised.</w:t>
      </w:r>
    </w:p>
    <w:p>
      <w:pPr>
        <w:spacing w:after="0" w:line="79" w:lineRule="exact"/>
        <w:rPr>
          <w:sz w:val="20"/>
          <w:szCs w:val="20"/>
          <w:color w:val="auto"/>
        </w:rPr>
      </w:pPr>
    </w:p>
    <w:p>
      <w:pPr>
        <w:ind w:left="140" w:right="40"/>
        <w:spacing w:after="0" w:line="271" w:lineRule="auto"/>
        <w:rPr>
          <w:sz w:val="20"/>
          <w:szCs w:val="20"/>
          <w:color w:val="auto"/>
        </w:rPr>
      </w:pPr>
      <w:r>
        <w:rPr>
          <w:rFonts w:ascii="Arial" w:cs="Arial" w:eastAsia="Arial" w:hAnsi="Arial"/>
          <w:sz w:val="17"/>
          <w:szCs w:val="17"/>
          <w:color w:val="auto"/>
        </w:rPr>
        <w:t>Undesirable side effects caused by any of our approved products or product candidates could cause us or regulatory authorities to interrupt, delay or halt clinical trials and could result in a more restrictive label or the delay or denial of regulatory approval by the FDA or similar authorities. In the event that trials conducted by us or any collaboration partners, or trials we conduct with our product candidates, reveal a high and unacceptable severity and prevalence of side effects, such trials could be suspended or terminated and the FDA or similar regulatory authorities could order any collaboration partners or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7" w:lineRule="exact"/>
        <w:rPr>
          <w:sz w:val="20"/>
          <w:szCs w:val="20"/>
          <w:color w:val="auto"/>
        </w:rPr>
      </w:pPr>
    </w:p>
    <w:p>
      <w:pPr>
        <w:ind w:left="140" w:right="260"/>
        <w:spacing w:after="0" w:line="256" w:lineRule="auto"/>
        <w:rPr>
          <w:sz w:val="20"/>
          <w:szCs w:val="20"/>
          <w:color w:val="auto"/>
        </w:rPr>
      </w:pPr>
      <w:r>
        <w:rPr>
          <w:rFonts w:ascii="Arial" w:cs="Arial" w:eastAsia="Arial" w:hAnsi="Arial"/>
          <w:sz w:val="18"/>
          <w:szCs w:val="18"/>
          <w:color w:val="auto"/>
        </w:rPr>
        <w:t>Additionally, if we successfully develop a product candidate and it receives marketing approval, the FDA could require us to adopt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Foreign regulatory authorities may require us to adopt similar risk management measures.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5"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306" w:lineRule="auto"/>
        <w:rPr>
          <w:sz w:val="20"/>
          <w:szCs w:val="20"/>
          <w:color w:val="auto"/>
        </w:rPr>
      </w:pPr>
      <w:r>
        <w:rPr>
          <w:rFonts w:ascii="Arial" w:cs="Arial" w:eastAsia="Arial" w:hAnsi="Arial"/>
          <w:sz w:val="17"/>
          <w:szCs w:val="17"/>
          <w:color w:val="auto"/>
        </w:rPr>
        <w:t>In addition, in the event that any of our product candidates receives regulatory approval and we or others later identify undesirable side effects caused by one of our products including TransCon hGH, a number of potentially significant negative consequences could occur, including:</w:t>
      </w:r>
    </w:p>
    <w:p>
      <w:pPr>
        <w:spacing w:after="0" w:line="53" w:lineRule="exact"/>
        <w:rPr>
          <w:sz w:val="20"/>
          <w:szCs w:val="20"/>
          <w:color w:val="auto"/>
        </w:rPr>
      </w:pPr>
    </w:p>
    <w:p>
      <w:pPr>
        <w:ind w:left="1100" w:hanging="426"/>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any collaboration partners, may be required to recall the product;</w:t>
      </w:r>
    </w:p>
    <w:p>
      <w:pPr>
        <w:spacing w:after="0" w:line="129" w:lineRule="exact"/>
        <w:rPr>
          <w:rFonts w:ascii="Arial" w:cs="Arial" w:eastAsia="Arial" w:hAnsi="Arial"/>
          <w:sz w:val="18"/>
          <w:szCs w:val="18"/>
          <w:color w:val="auto"/>
        </w:rPr>
      </w:pPr>
    </w:p>
    <w:p>
      <w:pPr>
        <w:ind w:left="1100" w:right="280" w:hanging="426"/>
        <w:spacing w:after="0" w:line="262"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REMS or requirements for similar actions, such as patient education, certification of health care professionals or specific monitoring;</w:t>
      </w:r>
    </w:p>
    <w:p>
      <w:pPr>
        <w:spacing w:after="0" w:line="88" w:lineRule="exact"/>
        <w:rPr>
          <w:rFonts w:ascii="Arial" w:cs="Arial" w:eastAsia="Arial" w:hAnsi="Arial"/>
          <w:sz w:val="18"/>
          <w:szCs w:val="18"/>
          <w:color w:val="auto"/>
        </w:rPr>
      </w:pPr>
    </w:p>
    <w:p>
      <w:pPr>
        <w:ind w:left="1100" w:hanging="426"/>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any collaboration partners, may be subject to fines, injunctions or the imposition of civil or criminal penalties;</w:t>
      </w:r>
    </w:p>
    <w:p>
      <w:pPr>
        <w:spacing w:after="0" w:line="129" w:lineRule="exact"/>
        <w:rPr>
          <w:rFonts w:ascii="Arial" w:cs="Arial" w:eastAsia="Arial" w:hAnsi="Arial"/>
          <w:sz w:val="18"/>
          <w:szCs w:val="18"/>
          <w:color w:val="auto"/>
        </w:rPr>
      </w:pPr>
    </w:p>
    <w:p>
      <w:pPr>
        <w:ind w:left="1100" w:right="280" w:hanging="426"/>
        <w:spacing w:after="0" w:line="340" w:lineRule="auto"/>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30" w:lineRule="exact"/>
        <w:rPr>
          <w:rFonts w:ascii="Arial" w:cs="Arial" w:eastAsia="Arial" w:hAnsi="Arial"/>
          <w:sz w:val="16"/>
          <w:szCs w:val="16"/>
          <w:color w:val="auto"/>
        </w:rPr>
      </w:pPr>
    </w:p>
    <w:p>
      <w:pPr>
        <w:ind w:left="1100" w:hanging="426"/>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3" w:lineRule="exact"/>
        <w:rPr>
          <w:sz w:val="20"/>
          <w:szCs w:val="20"/>
          <w:color w:val="auto"/>
        </w:rPr>
      </w:pPr>
    </w:p>
    <w:p>
      <w:pPr>
        <w:ind w:left="140" w:right="100"/>
        <w:spacing w:after="0" w:line="262" w:lineRule="auto"/>
        <w:rPr>
          <w:sz w:val="20"/>
          <w:szCs w:val="20"/>
          <w:color w:val="auto"/>
        </w:rPr>
      </w:pPr>
      <w:r>
        <w:rPr>
          <w:rFonts w:ascii="Arial" w:cs="Arial" w:eastAsia="Arial" w:hAnsi="Arial"/>
          <w:sz w:val="18"/>
          <w:szCs w:val="18"/>
          <w:color w:val="auto"/>
        </w:rPr>
        <w:t>For example, a number of adverse reactions have been reported among users of daily somatropin, and we may observe and be required report similar adverse reactions for users of SKYTROFA. This reporting may result in Dear Healthcare Provider letters or other communications containing warnings or other safety information about the product.</w:t>
      </w:r>
    </w:p>
    <w:p>
      <w:pPr>
        <w:spacing w:after="0" w:line="183" w:lineRule="exact"/>
        <w:rPr>
          <w:sz w:val="20"/>
          <w:szCs w:val="20"/>
          <w:color w:val="auto"/>
        </w:rPr>
      </w:pPr>
    </w:p>
    <w:p>
      <w:pPr>
        <w:jc w:val="both"/>
        <w:ind w:left="140" w:right="80"/>
        <w:spacing w:after="0" w:line="340" w:lineRule="auto"/>
        <w:rPr>
          <w:sz w:val="20"/>
          <w:szCs w:val="20"/>
          <w:color w:val="auto"/>
        </w:rPr>
      </w:pPr>
      <w:r>
        <w:rPr>
          <w:rFonts w:ascii="Arial" w:cs="Arial" w:eastAsia="Arial" w:hAnsi="Arial"/>
          <w:sz w:val="16"/>
          <w:szCs w:val="16"/>
          <w:color w:val="auto"/>
        </w:rPr>
        <w:t>Any of the foregoing events could prevent us, or any collaboration partners, from achieving or maintaining market acceptance of TransCon hGH or any other product candidate, if approved, and could result in the loss of significant revenue to us, which would harm our results of operations and business.</w:t>
      </w:r>
    </w:p>
    <w:p>
      <w:pPr>
        <w:spacing w:after="0" w:line="232" w:lineRule="exact"/>
        <w:rPr>
          <w:sz w:val="20"/>
          <w:szCs w:val="20"/>
          <w:color w:val="auto"/>
        </w:rPr>
      </w:pPr>
    </w:p>
    <w:p>
      <w:pPr>
        <w:ind w:left="140" w:right="300"/>
        <w:spacing w:after="0" w:line="374" w:lineRule="auto"/>
        <w:rPr>
          <w:sz w:val="20"/>
          <w:szCs w:val="20"/>
          <w:color w:val="auto"/>
        </w:rPr>
      </w:pPr>
      <w:r>
        <w:rPr>
          <w:rFonts w:ascii="Arial" w:cs="Arial" w:eastAsia="Arial" w:hAnsi="Arial"/>
          <w:sz w:val="15"/>
          <w:szCs w:val="15"/>
          <w:b w:val="1"/>
          <w:bCs w:val="1"/>
          <w:i w:val="1"/>
          <w:iCs w:val="1"/>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1" w:lineRule="exact"/>
        <w:rPr>
          <w:sz w:val="20"/>
          <w:szCs w:val="20"/>
          <w:color w:val="auto"/>
        </w:rPr>
      </w:pPr>
    </w:p>
    <w:p>
      <w:pPr>
        <w:ind w:left="140" w:right="100"/>
        <w:spacing w:after="0" w:line="254" w:lineRule="auto"/>
        <w:rPr>
          <w:sz w:val="20"/>
          <w:szCs w:val="20"/>
          <w:color w:val="auto"/>
        </w:rPr>
      </w:pPr>
      <w:r>
        <w:rPr>
          <w:rFonts w:ascii="Arial" w:cs="Arial" w:eastAsia="Arial" w:hAnsi="Arial"/>
          <w:sz w:val="18"/>
          <w:szCs w:val="18"/>
          <w:color w:val="auto"/>
        </w:rPr>
        <w:t>The markets in which we intend to compete are undergoing, and are expected to continue to undergo, rapid and significant technological changes. TransCon hGH and some of our other product candidates are for fields in which competitive products already exist and are established. We expect competition to intensify as technological advances are made or new drugs and biotechnology products are introduced. New developments by competitors may render our TransCon hGH and our other current or future product candidates and/or technologies non-competitive, obsolete or not economical. Our competitors’ products may be more efficacious or marketed and sold more effectively than TransCon hGH or any of our other product candidates.</w:t>
      </w:r>
    </w:p>
    <w:p>
      <w:pPr>
        <w:spacing w:after="0" w:line="192" w:lineRule="exact"/>
        <w:rPr>
          <w:sz w:val="20"/>
          <w:szCs w:val="20"/>
          <w:color w:val="auto"/>
        </w:rPr>
      </w:pPr>
    </w:p>
    <w:p>
      <w:pPr>
        <w:ind w:left="140" w:right="60"/>
        <w:spacing w:after="0" w:line="284" w:lineRule="auto"/>
        <w:rPr>
          <w:sz w:val="20"/>
          <w:szCs w:val="20"/>
          <w:color w:val="auto"/>
        </w:rPr>
      </w:pPr>
      <w:r>
        <w:rPr>
          <w:rFonts w:ascii="Arial" w:cs="Arial" w:eastAsia="Arial" w:hAnsi="Arial"/>
          <w:sz w:val="16"/>
          <w:szCs w:val="16"/>
          <w:color w:val="auto"/>
        </w:rPr>
        <w:t>We are aware of several pharmaceutical and biopharmaceutical companies that have commenced clinical studies of products or have successfully commercialized products addressing areas that we are targeting. A permanently PEGylated long-acting growth hormone developed by GeneScience Pharmaceuticals Co., Ltd. is available in China and the Somatropin Biopartners product (LB03002), is available in Korea. Novo Nordisk has received regulatory approval in the United States, Japan, and Europe of once-weekly somapacitan (brand name Sogroya) for replacement of endogenous growth hormone in adult patients with GHD. Pfizer (in collaboration with OPKO Health Inc.) has received regulatory approval of once-weekly somatrogon (brand name NGENLA) in the EU, Canada, Australia, and in Japan for pediatric GHD. In January 2022, Pfizer (in collaboration with OPKO Health) announced the FDA issued a Complete Response Letter for the Biologics License Application (“BLA”) for somatrogon. Other experimental growth hormone therapies based on permanent modification are in different stages of clinical development by various companies, including GeneScience Pharmaceuticals Co., Ltd., Genexine Inc., I-MAB, and JCR Pharmaceuticals Co., Ltd. In addition, Shire-NPS Pharmaceuticals Inc., a Takeda company owns the rights to parathyroid hormone (brand name Natpara), a treatment for hypoparathyroidism. Parathyroid hormone was voluntarily recalled in September 2019 in the U.S. and is now only available to a limited number of patients through a Special Use Program offered by its manufacturer, Shire-NPS Pharmaceuticals Inc., a Takeda company. In addition, we are aware of several academic groups and companies working on making longer-acting agonists of the PTH receptor, or PTH1R. Other companies and groups are developing or commercializing therapies for hypoparathyroidism, including Chugai Pharmaceutical Co., Ltd., Entera Bio, Extend Biosciences, Massachusetts General Hospital, Amolyt Pharma, and Eli Lilly and Company. Other companies are developing therapies for achondroplasia, including BioMarin, Pfizer, QED Therapeutics and BioClin Therapeutics. BioMarin Pharmaceutical, Inc. has received regulatory approval for vosoritide (brand name VOXZOGO) in the United States and EU and is developing vosoritide for the treatment of achondroplasia, and Therachon and BioClin Therapeutics, Inc. are developing compounds for achondroplasia. Other companies are developing toll like receptor agonists for cancer immunotherapy including: Nektar Therapeutics, CureVac N.V., Seven and Eight Biopharmaceuticals Inc., Idera Pharmaceuticals, Inc., Checkmate Pharmaceuticals, Inc., Exicure, Inc., Bolt Therapeutics, Inc., and Silverback Therapeutics, Inc. In addition to product-based</w:t>
      </w: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5"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40" w:right="100"/>
        <w:spacing w:after="0" w:line="285" w:lineRule="auto"/>
        <w:rPr>
          <w:sz w:val="20"/>
          <w:szCs w:val="20"/>
          <w:color w:val="auto"/>
        </w:rPr>
      </w:pPr>
      <w:r>
        <w:rPr>
          <w:rFonts w:ascii="Arial" w:cs="Arial" w:eastAsia="Arial" w:hAnsi="Arial"/>
          <w:sz w:val="17"/>
          <w:szCs w:val="17"/>
          <w:color w:val="auto"/>
        </w:rPr>
        <w:t>competition, our TransCon technologies face technology-based competition as we believe other companies are developing or evaluating enhanced drug delivery and sustained release technologies. In particular, we believe Nektar Therapeutics, OPKO Health, Inc., ProLynx LLC and Serina Therapeutics, Inc. are developing technologies that use reversible linkers and that may be competitive with our TransCon technologies.</w:t>
      </w:r>
    </w:p>
    <w:p>
      <w:pPr>
        <w:spacing w:after="0" w:line="165" w:lineRule="exact"/>
        <w:rPr>
          <w:sz w:val="20"/>
          <w:szCs w:val="20"/>
          <w:color w:val="auto"/>
        </w:rPr>
      </w:pPr>
    </w:p>
    <w:p>
      <w:pPr>
        <w:ind w:left="140" w:right="20"/>
        <w:spacing w:after="0" w:line="271" w:lineRule="auto"/>
        <w:rPr>
          <w:sz w:val="20"/>
          <w:szCs w:val="20"/>
          <w:color w:val="auto"/>
        </w:rPr>
      </w:pPr>
      <w:r>
        <w:rPr>
          <w:rFonts w:ascii="Arial" w:cs="Arial" w:eastAsia="Arial" w:hAnsi="Arial"/>
          <w:sz w:val="17"/>
          <w:szCs w:val="17"/>
          <w:color w:val="auto"/>
        </w:rPr>
        <w:t>TransCon hGH is approved by the FDA in the U.S. under the brand name SKYTROFA (lonapegsomatropin-tcgd) for the treatment of pediatric patients one year and older who weigh at least 11.5 kg (25.4 lb) and have growth failure due to inadequate secretion of endogenous growth hormone. In addition, the European Commission has granted a marketing authorization for Lonapegsomatropin Ascendis Pharma (developed under the name TransCon hGH) as a once weekly subcutaneous injection for the treatment of children and adolescents ages 3 to 18 years with growth failure due to insufficient secretion of endogenous growth hormone. However, it is also possible that our competitors will commercialize competing drugs or treatments before we can launch any other product candidates that are ultimately approved by regulatory authorities. We also anticipate that we will face increased competition in the future as new companies enter into our current and target markets.</w:t>
      </w:r>
    </w:p>
    <w:p>
      <w:pPr>
        <w:spacing w:after="0" w:line="177"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Furthermore, to the extent we are developing TransCon product candidates that incorporate already approved drugs, we face competition from the pharmaceutical companies which are currently marketing such approved products. These pharmaceutical companies can generally be expected to seek to delay the introduction of competing products through a variety of means including:</w:t>
      </w:r>
    </w:p>
    <w:p>
      <w:pPr>
        <w:spacing w:after="0" w:line="89" w:lineRule="exact"/>
        <w:rPr>
          <w:sz w:val="20"/>
          <w:szCs w:val="20"/>
          <w:color w:val="auto"/>
        </w:rPr>
      </w:pPr>
    </w:p>
    <w:p>
      <w:pPr>
        <w:ind w:left="1100" w:hanging="426"/>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filing new formulation patent applications on drugs whose original patent protection is about to expire;</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filing an increasing number of patent applications that are more complex and costly to challenge;</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filing suits for alleged patent infringement that automatically delay FDA or foreign regulatory authorities approval;</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developing patented controlled-release or other “next-generation” products, which may compete with TransCon product candidates;</w:t>
      </w:r>
    </w:p>
    <w:p>
      <w:pPr>
        <w:spacing w:after="0" w:line="140" w:lineRule="exact"/>
        <w:rPr>
          <w:rFonts w:ascii="Arial" w:cs="Arial" w:eastAsia="Arial" w:hAnsi="Arial"/>
          <w:sz w:val="17"/>
          <w:szCs w:val="17"/>
          <w:color w:val="auto"/>
        </w:rPr>
      </w:pPr>
    </w:p>
    <w:p>
      <w:pPr>
        <w:ind w:left="1100" w:hanging="426"/>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exclusive contracts with third-party payors; or</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product claims and product labeling.</w:t>
      </w:r>
    </w:p>
    <w:p>
      <w:pPr>
        <w:spacing w:after="0" w:line="223" w:lineRule="exact"/>
        <w:rPr>
          <w:sz w:val="20"/>
          <w:szCs w:val="20"/>
          <w:color w:val="auto"/>
        </w:rPr>
      </w:pPr>
    </w:p>
    <w:p>
      <w:pPr>
        <w:ind w:left="140" w:right="320"/>
        <w:spacing w:after="0" w:line="275" w:lineRule="auto"/>
        <w:rPr>
          <w:sz w:val="20"/>
          <w:szCs w:val="20"/>
          <w:color w:val="auto"/>
        </w:rPr>
      </w:pPr>
      <w:r>
        <w:rPr>
          <w:rFonts w:ascii="Arial" w:cs="Arial" w:eastAsia="Arial" w:hAnsi="Arial"/>
          <w:sz w:val="18"/>
          <w:szCs w:val="18"/>
          <w:color w:val="auto"/>
        </w:rPr>
        <w:t>Any one of these strategies may increase the costs and risks associated with our efforts to develop and commercialize TransCon hGH and any of our other product candidates and may delay or altogether prevent such development or commercialization.</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Many of our competitors have:</w:t>
      </w:r>
    </w:p>
    <w:p>
      <w:pPr>
        <w:spacing w:after="0" w:line="129" w:lineRule="exact"/>
        <w:rPr>
          <w:sz w:val="20"/>
          <w:szCs w:val="20"/>
          <w:color w:val="auto"/>
        </w:rPr>
      </w:pPr>
    </w:p>
    <w:p>
      <w:pPr>
        <w:jc w:val="both"/>
        <w:ind w:left="1100" w:right="60" w:hanging="426"/>
        <w:spacing w:after="0" w:line="285"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significantly greater name recognition, financial, marketing, research, drug development and technical and human resources than we have at every stage of the discovery, development, manufacturing and commercialization process and additional mergers and acquisitions in the biotechnology industries may result in even more resources being concentrated in our competitors;</w:t>
      </w:r>
    </w:p>
    <w:p>
      <w:pPr>
        <w:spacing w:after="0" w:line="70" w:lineRule="exact"/>
        <w:rPr>
          <w:rFonts w:ascii="Arial" w:cs="Arial" w:eastAsia="Arial" w:hAnsi="Arial"/>
          <w:sz w:val="17"/>
          <w:szCs w:val="17"/>
          <w:color w:val="auto"/>
        </w:rPr>
      </w:pPr>
    </w:p>
    <w:p>
      <w:pPr>
        <w:ind w:left="1100" w:right="440" w:hanging="426"/>
        <w:spacing w:after="0" w:line="275"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extensive experience in commercializing drugs, conducting preclinical testing, conducting clinical studies, obtaining regulatory approvals, challenging patents and in manufacturing and marketing pharmaceutical products;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 arrangements in our target markets with leading companies and research institutions.</w:t>
      </w:r>
    </w:p>
    <w:p>
      <w:pPr>
        <w:spacing w:after="0" w:line="223" w:lineRule="exact"/>
        <w:rPr>
          <w:sz w:val="20"/>
          <w:szCs w:val="20"/>
          <w:color w:val="auto"/>
        </w:rPr>
      </w:pPr>
    </w:p>
    <w:p>
      <w:pPr>
        <w:ind w:left="140"/>
        <w:spacing w:after="0" w:line="275" w:lineRule="auto"/>
        <w:rPr>
          <w:sz w:val="20"/>
          <w:szCs w:val="20"/>
          <w:color w:val="auto"/>
        </w:rPr>
      </w:pPr>
      <w:r>
        <w:rPr>
          <w:rFonts w:ascii="Arial" w:cs="Arial" w:eastAsia="Arial" w:hAnsi="Arial"/>
          <w:sz w:val="18"/>
          <w:szCs w:val="18"/>
          <w:color w:val="auto"/>
        </w:rPr>
        <w:t>With respect to TransCon hGH and any other product candidates that we successfully develop, we will face competition based on many different factors, including:</w:t>
      </w:r>
    </w:p>
    <w:p>
      <w:pPr>
        <w:spacing w:after="0" w:line="77" w:lineRule="exact"/>
        <w:rPr>
          <w:sz w:val="20"/>
          <w:szCs w:val="20"/>
          <w:color w:val="auto"/>
        </w:rPr>
      </w:pPr>
    </w:p>
    <w:p>
      <w:pPr>
        <w:ind w:left="1100" w:hanging="426"/>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safety and effectiveness of such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and specific circumstances relating to regulatory approvals for these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marketing and sales capabilities;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of our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amount of third-party reimbursement for our product candidates;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our patent position.</w:t>
      </w:r>
    </w:p>
    <w:p>
      <w:pPr>
        <w:spacing w:after="0" w:line="223" w:lineRule="exact"/>
        <w:rPr>
          <w:sz w:val="20"/>
          <w:szCs w:val="20"/>
          <w:color w:val="auto"/>
        </w:rPr>
      </w:pPr>
    </w:p>
    <w:p>
      <w:pPr>
        <w:ind w:left="140" w:right="40"/>
        <w:spacing w:after="0" w:line="262" w:lineRule="auto"/>
        <w:rPr>
          <w:sz w:val="20"/>
          <w:szCs w:val="20"/>
          <w:color w:val="auto"/>
        </w:rPr>
      </w:pPr>
      <w:r>
        <w:rPr>
          <w:rFonts w:ascii="Arial" w:cs="Arial" w:eastAsia="Arial" w:hAnsi="Arial"/>
          <w:sz w:val="18"/>
          <w:szCs w:val="18"/>
          <w:color w:val="auto"/>
        </w:rPr>
        <w:t>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w:t>
      </w:r>
    </w:p>
    <w:p>
      <w:pPr>
        <w:sectPr>
          <w:pgSz w:w="11900" w:h="16838" w:orient="portrait"/>
          <w:cols w:equalWidth="0" w:num="1">
            <w:col w:w="11100"/>
          </w:cols>
          <w:pgMar w:left="320" w:top="485" w:right="479" w:bottom="1440" w:gutter="0" w:footer="0" w:header="0"/>
        </w:sectPr>
      </w:pP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00"/>
          </w:cols>
          <w:pgMar w:left="320" w:top="485" w:right="4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40"/>
        <w:spacing w:after="0" w:line="262" w:lineRule="auto"/>
        <w:rPr>
          <w:sz w:val="20"/>
          <w:szCs w:val="20"/>
          <w:color w:val="auto"/>
        </w:rPr>
      </w:pPr>
      <w:r>
        <w:rPr>
          <w:rFonts w:ascii="Arial" w:cs="Arial" w:eastAsia="Arial" w:hAnsi="Arial"/>
          <w:sz w:val="18"/>
          <w:szCs w:val="18"/>
          <w:color w:val="auto"/>
        </w:rPr>
        <w:t>Our competitors may develop or commercialize products with significant advantages in regard to any of these factors. Our competitors may therefore be more successful in commercializing their products than we are, which could adversely affect our business, results of operations and prospects, and the value of our shares or ADSs.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Our sales and marketing efforts for TransCon hGH may not be effective and we may not be successful in our commercial efforts.</w:t>
      </w:r>
    </w:p>
    <w:p>
      <w:pPr>
        <w:spacing w:after="0" w:line="127" w:lineRule="exact"/>
        <w:rPr>
          <w:sz w:val="20"/>
          <w:szCs w:val="20"/>
          <w:color w:val="auto"/>
        </w:rPr>
      </w:pPr>
    </w:p>
    <w:p>
      <w:pPr>
        <w:ind w:left="140" w:right="20"/>
        <w:spacing w:after="0" w:line="269" w:lineRule="auto"/>
        <w:rPr>
          <w:sz w:val="20"/>
          <w:szCs w:val="20"/>
          <w:color w:val="auto"/>
        </w:rPr>
      </w:pPr>
      <w:r>
        <w:rPr>
          <w:rFonts w:ascii="Arial" w:cs="Arial" w:eastAsia="Arial" w:hAnsi="Arial"/>
          <w:sz w:val="17"/>
          <w:szCs w:val="17"/>
          <w:color w:val="auto"/>
        </w:rPr>
        <w:t>We have limited direct sales and distribution capabilities and we have only recently begun commercial sales of our first approved product, TransCon hGH, known by its brand name SKYTROFA and its international nonproprietary name lonapegsomatropin-tcgd in the United States for the treatment of pediatric patients one year and older who weigh at least 11.5 kg (25.4 lb) and have growth failure due to inadequate secretion of endogenous growth hormone. Except for our license agreements with VISEN for Greater China and certain limited sales and distribution agreements with specialty pharmacies in the U.S. for TransCon hGH, we have no sales, marketing or distribution agreements for TransCon hGH, TransCon PTH, TransCon CNP, or our other product candidates. We may enter into arrangements with third-parties to market and sell TransCon hGH and certain of our other product candidates in one or multiple geographies. We may not be able to enter into such marketing and sales arrangements with others on acceptable terms, if at all. To the extent that we enter into marketing and sales arrangements with other companies, our revenues, if any, will depend on the terms of any such arrangements and the efforts of others. These efforts may turn out not to be sufficient.</w:t>
      </w:r>
    </w:p>
    <w:p>
      <w:pPr>
        <w:spacing w:after="0" w:line="181" w:lineRule="exact"/>
        <w:rPr>
          <w:sz w:val="20"/>
          <w:szCs w:val="20"/>
          <w:color w:val="auto"/>
        </w:rPr>
      </w:pPr>
    </w:p>
    <w:p>
      <w:pPr>
        <w:ind w:left="140" w:right="280"/>
        <w:spacing w:after="0" w:line="262" w:lineRule="auto"/>
        <w:rPr>
          <w:sz w:val="20"/>
          <w:szCs w:val="20"/>
          <w:color w:val="auto"/>
        </w:rPr>
      </w:pPr>
      <w:r>
        <w:rPr>
          <w:rFonts w:ascii="Arial" w:cs="Arial" w:eastAsia="Arial" w:hAnsi="Arial"/>
          <w:sz w:val="18"/>
          <w:szCs w:val="18"/>
          <w:color w:val="auto"/>
        </w:rPr>
        <w:t>We have a newly established U.S. sales organization and, although members of this organization have extensive experience commercializing endocrinology rare disease products at other companies, we have only recently begun U.S. commercial sales of our first approved product, TransCon hGH, and there can be no assurance that we will commercialize successfully.</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Factors which may affect the success of our commercialization of TransCon hGH include:</w:t>
      </w:r>
    </w:p>
    <w:p>
      <w:pPr>
        <w:spacing w:after="0" w:line="129" w:lineRule="exact"/>
        <w:rPr>
          <w:sz w:val="20"/>
          <w:szCs w:val="20"/>
          <w:color w:val="auto"/>
        </w:rPr>
      </w:pPr>
    </w:p>
    <w:p>
      <w:pPr>
        <w:ind w:left="1100" w:hanging="426"/>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hire and retain required sales and marketing personnel;</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provide sufficient training to develop and strengthen the technical expertise of our sales and marketing personnel;</w:t>
      </w:r>
    </w:p>
    <w:p>
      <w:pPr>
        <w:spacing w:after="0" w:line="140" w:lineRule="exact"/>
        <w:rPr>
          <w:rFonts w:ascii="Arial" w:cs="Arial" w:eastAsia="Arial" w:hAnsi="Arial"/>
          <w:sz w:val="17"/>
          <w:szCs w:val="17"/>
          <w:color w:val="auto"/>
        </w:rPr>
      </w:pPr>
    </w:p>
    <w:p>
      <w:pPr>
        <w:ind w:left="1100" w:right="500" w:hanging="426"/>
        <w:spacing w:after="0" w:line="275"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provide required support materials and resources to our sales personnel to help them educate physicians and healthcare providers regarding TransCon hGH and its proper administration; and</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resources to meet and timely fulfill supply obligations to our customers.</w:t>
      </w:r>
    </w:p>
    <w:p>
      <w:pPr>
        <w:spacing w:after="0" w:line="223"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color w:val="auto"/>
        </w:rPr>
        <w:t>Additionally, to commercialize any of our other product candidates, we or any collaboration partners must build and/or maintain marketing, sales, distribution, managerial and other non-technical capabilities or make arrangements with third-parties to perform these services, and we or any collaboration partners may not be successful in doing so. If one or more of our other product candidates receives regulatory approval, we may establish a specialty sales organization with technical expertise and supporting distribution capabilities to co-promote and/or commercialize our product candidates, which will be expensive and time consuming. As a company, we have only just begun to sell and distribute our first approved drug and there are significant risks involved in managing a sales organization, including our ability to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 Any failure or delay in the development of our internal sales, marketing and distribution capabilities with respect to TransCon hGH or any other non-licensed product candidate that we develop would adversely impact the commercialization of TransCon hGH or such other product candidate.</w:t>
      </w:r>
    </w:p>
    <w:p>
      <w:pPr>
        <w:spacing w:after="0" w:line="185"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We may choose to work with third-parties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proprietary TransCon technologies include a new approach to extending the residence time and duration of action of a variety of drug products.</w:t>
      </w:r>
    </w:p>
    <w:p>
      <w:pPr>
        <w:spacing w:after="0" w:line="150" w:lineRule="exact"/>
        <w:rPr>
          <w:sz w:val="20"/>
          <w:szCs w:val="20"/>
          <w:color w:val="auto"/>
        </w:rPr>
      </w:pPr>
    </w:p>
    <w:p>
      <w:pPr>
        <w:ind w:left="140" w:right="120"/>
        <w:spacing w:after="0" w:line="289" w:lineRule="auto"/>
        <w:rPr>
          <w:sz w:val="20"/>
          <w:szCs w:val="20"/>
          <w:color w:val="auto"/>
        </w:rPr>
      </w:pPr>
      <w:r>
        <w:rPr>
          <w:rFonts w:ascii="Arial" w:cs="Arial" w:eastAsia="Arial" w:hAnsi="Arial"/>
          <w:sz w:val="16"/>
          <w:szCs w:val="16"/>
          <w:color w:val="auto"/>
        </w:rPr>
        <w:t>Our TransCon technologies have been developed to improve the delivery of a variety of drug products. TransCon hGH is approved by the FDA in the U.S. under the brand name SKYTROFA (lonapegsomatropin-tcgd) for the treatment of pediatric patients one year and older who weigh at least 11.5 kg (25.4 lb) and have growth failure due to inadequate secretion of endogenous growth hormone. The European Commission has granted a marketing authorization for Lonapegsomatropin Ascendis Pharma (developed under the name TransCon hGH) as a once weekly subcutaneous injection for the treatment of children and adolescents ages 3 to 18 years with growth failure due to insufficient secretion of endogenous growth hormone. However, we cannot be certain that any of our other product candidates using our TransCon technologies will be deemed safe or efficacious (or that TransCon hGH will be deemed safe or effective for other indications), nor that any aspects of our TransCon technologies will yield additional product candidates that could be commercially valuable. Further, one of our two carrier systems, the use of TransCon hydrogel carrier system, has been limited in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5"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humans. As a result, our TransCon hydrogel carriers, when dosed extensively in humans, may fail to perform as we expect. Failure of any of our product candidates to be successfully developed, approved and commercialized may result in our TransCon technologies being viewed as an ineffective approach to developing drug products which would harm our business and prospects.</w:t>
      </w:r>
    </w:p>
    <w:p>
      <w:pPr>
        <w:spacing w:after="0" w:line="183" w:lineRule="exact"/>
        <w:rPr>
          <w:sz w:val="20"/>
          <w:szCs w:val="20"/>
          <w:color w:val="auto"/>
        </w:rPr>
      </w:pPr>
    </w:p>
    <w:p>
      <w:pPr>
        <w:ind w:left="140" w:right="40"/>
        <w:spacing w:after="0" w:line="253" w:lineRule="auto"/>
        <w:rPr>
          <w:sz w:val="20"/>
          <w:szCs w:val="20"/>
          <w:color w:val="auto"/>
        </w:rPr>
      </w:pPr>
      <w:r>
        <w:rPr>
          <w:rFonts w:ascii="Arial" w:cs="Arial" w:eastAsia="Arial" w:hAnsi="Arial"/>
          <w:sz w:val="18"/>
          <w:szCs w:val="18"/>
          <w:color w:val="auto"/>
        </w:rPr>
        <w:t>We apply our TransCon technologies to both approved and unapproved parent drugs to extend the life of such drugs in the body, and to enhance the overall benefit of a given therapy. Even when applied to approved parent drugs, we have generated limited clinical data on our product candidates using our systemic TransCon technologies with respect to safety and efficacy for long-term treatment in humans. The long-term safety and efficacy of our TransCon technologies and the extended life in the body of our product candidates utilizing TransCon technologies is unknown, and it is possible that our product candidates may have an increased risk of unforeseen reactions following extended treatment relative to other approved products. If extended treatment with TransCon hGH or other product candidates utilizing TransCon in our ongoing or future clinical trials results in any concerns about the safety or efficacy of our TransCon technologies, we may be unable to successfully develop or commercialize TransCon hGH or our other product candidates.</w:t>
      </w:r>
    </w:p>
    <w:p>
      <w:pPr>
        <w:spacing w:after="0" w:line="299" w:lineRule="exact"/>
        <w:rPr>
          <w:sz w:val="20"/>
          <w:szCs w:val="20"/>
          <w:color w:val="auto"/>
        </w:rPr>
      </w:pPr>
    </w:p>
    <w:p>
      <w:pPr>
        <w:ind w:left="140" w:right="120"/>
        <w:spacing w:after="0" w:line="275" w:lineRule="auto"/>
        <w:rPr>
          <w:sz w:val="20"/>
          <w:szCs w:val="20"/>
          <w:color w:val="auto"/>
        </w:rPr>
      </w:pPr>
      <w:r>
        <w:rPr>
          <w:rFonts w:ascii="Arial" w:cs="Arial" w:eastAsia="Arial" w:hAnsi="Arial"/>
          <w:sz w:val="18"/>
          <w:szCs w:val="18"/>
          <w:b w:val="1"/>
          <w:bCs w:val="1"/>
          <w:i w:val="1"/>
          <w:iCs w:val="1"/>
          <w:color w:val="auto"/>
        </w:rPr>
        <w:t>We have limited clinical data on product candidates utilizing our TransCon technologies to indicate whether they are safe or effective for long-term use in humans.</w:t>
      </w:r>
    </w:p>
    <w:p>
      <w:pPr>
        <w:spacing w:after="0" w:line="64" w:lineRule="exact"/>
        <w:rPr>
          <w:sz w:val="20"/>
          <w:szCs w:val="20"/>
          <w:color w:val="auto"/>
        </w:rPr>
      </w:pPr>
    </w:p>
    <w:p>
      <w:pPr>
        <w:ind w:left="140" w:right="20"/>
        <w:spacing w:after="0" w:line="269" w:lineRule="auto"/>
        <w:rPr>
          <w:sz w:val="20"/>
          <w:szCs w:val="20"/>
          <w:color w:val="auto"/>
        </w:rPr>
      </w:pPr>
      <w:r>
        <w:rPr>
          <w:rFonts w:ascii="Arial" w:cs="Arial" w:eastAsia="Arial" w:hAnsi="Arial"/>
          <w:sz w:val="17"/>
          <w:szCs w:val="17"/>
          <w:color w:val="auto"/>
        </w:rPr>
        <w:t>TransCon hGH and our other product candidates are designed to transiently link a parent drug molecule to select TransCon carriers via our TransCon linkers. Once injected, we believe that our prodrugs predictably release the unmodified parent drug molecule over time, thus preserving the parent drug’s original mode of action, and, we believe, the parent drug’s original safety and efficacy profile. We believe that our TransCon carriers remain bound to our TransCon linkers and that they are cleared from the body predominantly by renal filtration and biliary transport with fecal excretion. We have limited clinical data regarding utilizing the systemic TransCon technologies to indicate whether they are safe, pure, potent and/or effective for long-term use in humans, including the safety of any degradation products that may result after the TransCon carrier and TransCon linker are cleaved from the parent drug molecule. If treatment with any of our product candidates in our clinical trials results in concerns about their safety or efficacy, we and any collaboration partners may be unable to successfully develop or commercialize any or all of our TransCon technologies based on such product candidates or enter into collaborations with respect to our product candidates.</w:t>
      </w:r>
    </w:p>
    <w:p>
      <w:pPr>
        <w:spacing w:after="0" w:line="288" w:lineRule="exact"/>
        <w:rPr>
          <w:sz w:val="20"/>
          <w:szCs w:val="20"/>
          <w:color w:val="auto"/>
        </w:rPr>
      </w:pPr>
    </w:p>
    <w:p>
      <w:pPr>
        <w:ind w:left="140"/>
        <w:spacing w:after="0" w:line="339" w:lineRule="auto"/>
        <w:rPr>
          <w:sz w:val="20"/>
          <w:szCs w:val="20"/>
          <w:color w:val="auto"/>
        </w:rPr>
      </w:pPr>
      <w:r>
        <w:rPr>
          <w:rFonts w:ascii="Arial" w:cs="Arial" w:eastAsia="Arial" w:hAnsi="Arial"/>
          <w:sz w:val="15"/>
          <w:szCs w:val="15"/>
          <w:b w:val="1"/>
          <w:bCs w:val="1"/>
          <w:i w:val="1"/>
          <w:iCs w:val="1"/>
          <w:color w:val="auto"/>
        </w:rPr>
        <w:t>We depend on certain collaboration partners to develop and conduct clinical studies with, obtain regulatory approvals for, market and sell product candidates, and if such collaboration partners fail to perform as expected, or are unable to obtain the required regulatory approvals for such product candidates, the potential of such product candidates would be significantly reduced and our business would be significantly harmed.</w:t>
      </w:r>
    </w:p>
    <w:p>
      <w:pPr>
        <w:spacing w:after="0" w:line="22" w:lineRule="exact"/>
        <w:rPr>
          <w:sz w:val="20"/>
          <w:szCs w:val="20"/>
          <w:color w:val="auto"/>
        </w:rPr>
      </w:pPr>
    </w:p>
    <w:p>
      <w:pPr>
        <w:ind w:left="140" w:right="200"/>
        <w:spacing w:after="0" w:line="254" w:lineRule="auto"/>
        <w:rPr>
          <w:sz w:val="20"/>
          <w:szCs w:val="20"/>
          <w:color w:val="auto"/>
        </w:rPr>
      </w:pPr>
      <w:r>
        <w:rPr>
          <w:rFonts w:ascii="Arial" w:cs="Arial" w:eastAsia="Arial" w:hAnsi="Arial"/>
          <w:sz w:val="18"/>
          <w:szCs w:val="18"/>
          <w:color w:val="auto"/>
        </w:rPr>
        <w:t>We rely on our collaboration partners to conduct certain clinical studies. For example, in November 2018, we announced the formation of VISEN Pharmaceuticals (“VISEN”), a company established to develop, manufacture, and commercialize our endocrinology rare disease therapy candidates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We may also enter into collaboration agreements with other parties in the future relating to our other product candidates.</w:t>
      </w:r>
    </w:p>
    <w:p>
      <w:pPr>
        <w:spacing w:after="0" w:line="192" w:lineRule="exact"/>
        <w:rPr>
          <w:sz w:val="20"/>
          <w:szCs w:val="20"/>
          <w:color w:val="auto"/>
        </w:rPr>
      </w:pPr>
    </w:p>
    <w:p>
      <w:pPr>
        <w:ind w:left="140" w:right="40"/>
        <w:spacing w:after="0" w:line="288" w:lineRule="auto"/>
        <w:rPr>
          <w:sz w:val="20"/>
          <w:szCs w:val="20"/>
          <w:color w:val="auto"/>
        </w:rPr>
      </w:pPr>
      <w:r>
        <w:rPr>
          <w:rFonts w:ascii="Arial" w:cs="Arial" w:eastAsia="Arial" w:hAnsi="Arial"/>
          <w:sz w:val="16"/>
          <w:szCs w:val="16"/>
          <w:color w:val="auto"/>
        </w:rPr>
        <w:t>If our collaboration partners do not perform in the manner we expect or fulfill their responsibilities in a timely manner, or at all, if our agreements with them terminate or if the quality or accuracy of the clinical data they obtain is compromised, the clinical development, regulatory approval and commercialization efforts related to our collaboration product candidates could be delayed or terminated and it could become necessary for us to assume the responsibility at our own expense for the clinical development of such product candidates. In that event, we would likely be required to limit the size and scope of efforts for the development and commercialization of such product candidate, to seek additional financing to fund further development, or to identify alternative collaboration partners, and our potential to generate future revenue from royalties and milestone payments from such product candidate would be significantly reduced or delayed and our business would be harmed. Our existing collaborations and any future collaboration arrangements that we may enter into with third-parties may not be scientifically or commercially successful. In addition to the risks inherent in the development of a drug product candidate, factors that may affect the success of our collaborations include the following:</w:t>
      </w:r>
    </w:p>
    <w:p>
      <w:pPr>
        <w:spacing w:after="0" w:line="71" w:lineRule="exact"/>
        <w:rPr>
          <w:sz w:val="20"/>
          <w:szCs w:val="20"/>
          <w:color w:val="auto"/>
        </w:rPr>
      </w:pPr>
    </w:p>
    <w:p>
      <w:pPr>
        <w:ind w:left="1100" w:right="60" w:hanging="426"/>
        <w:spacing w:after="0" w:line="258"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collaboration partners have the unilateral ability to choose not to develop a collaboration product for one or more indications for which such product has been or is currently being evaluated, and our collaboration partners may choose to pursue an indication that is not in our strategic best interest or to forego an indication that they believe does not provide significant market potential even if clinical data is supportive of further development for such indication;</w:t>
      </w:r>
    </w:p>
    <w:p>
      <w:pPr>
        <w:spacing w:after="0" w:line="91" w:lineRule="exact"/>
        <w:rPr>
          <w:rFonts w:ascii="Arial" w:cs="Arial" w:eastAsia="Arial" w:hAnsi="Arial"/>
          <w:sz w:val="18"/>
          <w:szCs w:val="18"/>
          <w:color w:val="auto"/>
        </w:rPr>
      </w:pPr>
    </w:p>
    <w:p>
      <w:pPr>
        <w:ind w:left="1100" w:hanging="426"/>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collaboration partners may choose not to develop and commercialize our collaboration products in certain relevant markets;</w:t>
      </w:r>
    </w:p>
    <w:p>
      <w:pPr>
        <w:spacing w:after="0" w:line="140" w:lineRule="exact"/>
        <w:rPr>
          <w:rFonts w:ascii="Arial" w:cs="Arial" w:eastAsia="Arial" w:hAnsi="Arial"/>
          <w:sz w:val="17"/>
          <w:szCs w:val="17"/>
          <w:color w:val="auto"/>
        </w:rPr>
      </w:pPr>
    </w:p>
    <w:p>
      <w:pPr>
        <w:ind w:left="1100" w:right="160" w:hanging="426"/>
        <w:spacing w:after="0" w:line="262"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collaboration partners may take considerably more time advancing our product candidates through the clinical and regulatory process than we currently anticipate, which could materially delay the achievement of milestones and, consequently the receipt of milestone payments from our collaboration partners;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5"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100" w:right="420" w:hanging="426"/>
        <w:spacing w:after="0" w:line="262"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collaboration partners have substantial discretion under their respective agreements regarding how they structure their efforts and allocate resources to fulfill their obligations to diligently develop, obtain regulatory approval for and commercialize our collaboration products;</w:t>
      </w:r>
    </w:p>
    <w:p>
      <w:pPr>
        <w:spacing w:after="0" w:line="88" w:lineRule="exact"/>
        <w:rPr>
          <w:rFonts w:ascii="Arial" w:cs="Arial" w:eastAsia="Arial" w:hAnsi="Arial"/>
          <w:sz w:val="18"/>
          <w:szCs w:val="18"/>
          <w:color w:val="auto"/>
        </w:rPr>
      </w:pPr>
    </w:p>
    <w:p>
      <w:pPr>
        <w:ind w:left="1100" w:right="240" w:hanging="426"/>
        <w:spacing w:after="0" w:line="262"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collaboration partners control all aspects of commercialization efforts under their respective license agreements and may change the focus of their development and commercialization efforts or pursue higher-priority programs and, accordingly, reduce the efforts and resources allocated to their collaborations with us;</w:t>
      </w:r>
    </w:p>
    <w:p>
      <w:pPr>
        <w:spacing w:after="0" w:line="88" w:lineRule="exact"/>
        <w:rPr>
          <w:rFonts w:ascii="Arial" w:cs="Arial" w:eastAsia="Arial" w:hAnsi="Arial"/>
          <w:sz w:val="18"/>
          <w:szCs w:val="18"/>
          <w:color w:val="auto"/>
        </w:rPr>
      </w:pPr>
    </w:p>
    <w:p>
      <w:pPr>
        <w:ind w:left="1100" w:right="180" w:hanging="426"/>
        <w:spacing w:after="0" w:line="258"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collaboration partners are solely responsible for obtaining and maintaining all regulatory approvals and we or our collaboration partners may fail to develop a commercially viable formulation or manufacturing process for our product candidates, and we or our collaboration partners may fail to manufacture or supply sufficient drug substance for commercial use, if approved, which could result in lost revenue under such collaborations;</w:t>
      </w:r>
    </w:p>
    <w:p>
      <w:pPr>
        <w:spacing w:after="0" w:line="91" w:lineRule="exact"/>
        <w:rPr>
          <w:rFonts w:ascii="Arial" w:cs="Arial" w:eastAsia="Arial" w:hAnsi="Arial"/>
          <w:sz w:val="18"/>
          <w:szCs w:val="18"/>
          <w:color w:val="auto"/>
        </w:rPr>
      </w:pPr>
    </w:p>
    <w:p>
      <w:pPr>
        <w:ind w:left="1100" w:right="100" w:hanging="426"/>
        <w:spacing w:after="0" w:line="275"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collaboration partners may not comply with all applicable regulatory requirements or may fail to report safety data in accordance with all applicable regulatory requirements;</w:t>
      </w:r>
    </w:p>
    <w:p>
      <w:pPr>
        <w:spacing w:after="0" w:line="77" w:lineRule="exact"/>
        <w:rPr>
          <w:rFonts w:ascii="Arial" w:cs="Arial" w:eastAsia="Arial" w:hAnsi="Arial"/>
          <w:sz w:val="18"/>
          <w:szCs w:val="18"/>
          <w:color w:val="auto"/>
        </w:rPr>
      </w:pPr>
    </w:p>
    <w:p>
      <w:pPr>
        <w:ind w:left="1100" w:right="280" w:hanging="426"/>
        <w:spacing w:after="0" w:line="262"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any of our agreements with our collaboration partners terminate, we will no longer have any rights to receive potential revenue under such agreement, in which case we would need to identify alternative means to continue the development, manufacture and commercialization of the affected product candidates, alone or with others;</w:t>
      </w:r>
    </w:p>
    <w:p>
      <w:pPr>
        <w:spacing w:after="0" w:line="88" w:lineRule="exact"/>
        <w:rPr>
          <w:rFonts w:ascii="Arial" w:cs="Arial" w:eastAsia="Arial" w:hAnsi="Arial"/>
          <w:sz w:val="18"/>
          <w:szCs w:val="18"/>
          <w:color w:val="auto"/>
        </w:rPr>
      </w:pPr>
    </w:p>
    <w:p>
      <w:pPr>
        <w:ind w:left="1100" w:right="340" w:hanging="426"/>
        <w:spacing w:after="0" w:line="275"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collaboration partners have the discretion to sublicense their rights with respect to our collaboration technology in connection with collaboration product candidates to one or more third-parties without our consent; and</w:t>
      </w:r>
    </w:p>
    <w:p>
      <w:pPr>
        <w:spacing w:after="0" w:line="77" w:lineRule="exact"/>
        <w:rPr>
          <w:rFonts w:ascii="Arial" w:cs="Arial" w:eastAsia="Arial" w:hAnsi="Arial"/>
          <w:sz w:val="18"/>
          <w:szCs w:val="18"/>
          <w:color w:val="auto"/>
        </w:rPr>
      </w:pPr>
    </w:p>
    <w:p>
      <w:pPr>
        <w:ind w:left="1100" w:right="620" w:hanging="426"/>
        <w:spacing w:after="0" w:line="262"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collaboration partners may be pursuing alternative technologies or developing alternative products, either on their own or in collaboration with others, that may be competitive with products on which they are collaborating with us or which could affect our collaboration partners’ commitment to the collaboration.</w:t>
      </w:r>
    </w:p>
    <w:p>
      <w:pPr>
        <w:spacing w:after="0" w:line="183"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The timing and amount of any milestone and royalty payments we may receive under agreements with collaboration partners and the value of any equity we own in our collaboration partners (such as the equity we own in VISEN) will depend on, among other things, the efforts, allocation of resources, and successful development and commercialization of our product candidates by our collaboration partners. We cannot be certain that any development and regulatory milestones will be achieved or that we will receive any future milestone payments under agreements we may enter into with collaboration partners. In addition, in certain circumstances we may believe that we have achieved a particular milestone and the applicable collaboration partner may disagree with our belief. In that case, receipt of that milestone payment may be delayed or may never be received, which may require us to adjust our operating plans. We also cannot be certain that any equity we own in our collaboration partners (such as the equity we own in VISEN) will maintain its value or grow in value.</w:t>
      </w:r>
    </w:p>
    <w:p>
      <w:pPr>
        <w:spacing w:after="0" w:line="286" w:lineRule="exact"/>
        <w:rPr>
          <w:sz w:val="20"/>
          <w:szCs w:val="20"/>
          <w:color w:val="auto"/>
        </w:rPr>
      </w:pPr>
    </w:p>
    <w:p>
      <w:pPr>
        <w:ind w:left="140" w:right="180"/>
        <w:spacing w:after="0" w:line="275" w:lineRule="auto"/>
        <w:rPr>
          <w:sz w:val="20"/>
          <w:szCs w:val="20"/>
          <w:color w:val="auto"/>
        </w:rPr>
      </w:pPr>
      <w:r>
        <w:rPr>
          <w:rFonts w:ascii="Arial" w:cs="Arial" w:eastAsia="Arial" w:hAnsi="Arial"/>
          <w:sz w:val="18"/>
          <w:szCs w:val="18"/>
          <w:b w:val="1"/>
          <w:bCs w:val="1"/>
          <w:i w:val="1"/>
          <w:iCs w:val="1"/>
          <w:color w:val="auto"/>
        </w:rPr>
        <w:t>We may form additional strategic collaborations in the future with respect to our proprietary programs, but we may not realize the benefits of such collaborations.</w:t>
      </w:r>
    </w:p>
    <w:p>
      <w:pPr>
        <w:spacing w:after="0" w:line="64" w:lineRule="exact"/>
        <w:rPr>
          <w:sz w:val="20"/>
          <w:szCs w:val="20"/>
          <w:color w:val="auto"/>
        </w:rPr>
      </w:pPr>
    </w:p>
    <w:p>
      <w:pPr>
        <w:ind w:left="140"/>
        <w:spacing w:after="0" w:line="266" w:lineRule="auto"/>
        <w:rPr>
          <w:sz w:val="20"/>
          <w:szCs w:val="20"/>
          <w:color w:val="auto"/>
        </w:rPr>
      </w:pPr>
      <w:r>
        <w:rPr>
          <w:rFonts w:ascii="Arial" w:cs="Arial" w:eastAsia="Arial" w:hAnsi="Arial"/>
          <w:sz w:val="17"/>
          <w:szCs w:val="17"/>
          <w:color w:val="auto"/>
        </w:rPr>
        <w:t>We may form strategic collaborations, create joint ventures or enter into licensing arrangements with third-parties with respect to our independent programs that we believe will complement or augment our existing business. We have historically engaged, and intend to continue to engage, in partnering discussions with a range of biopharmaceutical companies and could enter into new collaborations at any time. For example, in November 2018, we announced the formation of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We face significant competition in seeking appropriate strategic partners, and the negotiation process to secure appropriate terms is time-consuming and complex. Any delays in identifying suitable development partners and entering into agreements to develop our product candidates could also delay the commercialization of our product candidates, which may reduce their competitiveness even if they reach the market. Moreover, we may not be successful in our efforts to establish such a strategic partnership for any future product candidates and programs on terms that are acceptable to us, or at all. This may be for a number of reasons. For example, under our collaboration with VISEN, VISEN has a right of first negotiation to develop certain of our endocrinology product candidates in Greater China, so our ability to negotiate such a collaboration with suitable third-parties may be hampered by such rights we granted to VISEN. Additionally, our product candidates and programs may be deemed to be at too early of a stage of development for collaborative effort, our research and development pipeline may be viewed as insufficient, and/or third-parties may not view our product candidates and programs as having sufficient potential for commercialization, including the likelihood of an adequate safety and efficacy profile. Even if we are successful in entering into a strategic alliance or license arrangement, there is no guarantee that the collaboration will be successful, or that any future collaboration partner will commit sufficient resources to the development, regulatory approval, and commercialization of our product candidates, or that such alliances will result in us achieving revenues that justify such transactions.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85"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40"/>
        <w:spacing w:after="0" w:line="262"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75" w:lineRule="exact"/>
        <w:rPr>
          <w:sz w:val="20"/>
          <w:szCs w:val="20"/>
          <w:color w:val="auto"/>
        </w:rPr>
      </w:pPr>
    </w:p>
    <w:p>
      <w:pPr>
        <w:ind w:left="140" w:right="20"/>
        <w:spacing w:after="0" w:line="268" w:lineRule="auto"/>
        <w:rPr>
          <w:sz w:val="20"/>
          <w:szCs w:val="20"/>
          <w:color w:val="auto"/>
        </w:rPr>
      </w:pPr>
      <w:r>
        <w:rPr>
          <w:rFonts w:ascii="Arial" w:cs="Arial" w:eastAsia="Arial" w:hAnsi="Arial"/>
          <w:sz w:val="17"/>
          <w:szCs w:val="17"/>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 Orphan drug designation must be requested before submitting a BLA or NDA in the United States or a MAA in the EU.</w:t>
      </w:r>
    </w:p>
    <w:p>
      <w:pPr>
        <w:spacing w:after="0" w:line="179" w:lineRule="exact"/>
        <w:rPr>
          <w:sz w:val="20"/>
          <w:szCs w:val="20"/>
          <w:color w:val="auto"/>
        </w:rPr>
      </w:pPr>
    </w:p>
    <w:p>
      <w:pPr>
        <w:ind w:left="140" w:right="20"/>
        <w:spacing w:after="0" w:line="253" w:lineRule="auto"/>
        <w:rPr>
          <w:sz w:val="20"/>
          <w:szCs w:val="20"/>
          <w:color w:val="auto"/>
        </w:rPr>
      </w:pPr>
      <w:r>
        <w:rPr>
          <w:rFonts w:ascii="Arial" w:cs="Arial" w:eastAsia="Arial" w:hAnsi="Arial"/>
          <w:sz w:val="18"/>
          <w:szCs w:val="18"/>
          <w:color w:val="auto"/>
        </w:rPr>
        <w:t>If a drug or biologic with an orphan drug designation subsequently receives the first marketing approval for the indication for which it has such designation, the drug or biologic is entitled to a period of marketing exclusivity, which precludes the FDA from approving another marketing application for the same drug or biologic for the same disease or condition for a seven year period, except in limited circumstances. If our competitors are able to obtain orphan drug exclusivity prior to us, for products that constitute the “same drug” and treat the same diseases or conditions as our product candidates, we may not be able to have competing products approved by the applicable regulatory authority for a significant period of time. The applicable period is seven years in the United States. The applicable exclusivity period is ten years in the EU, but such exclusivity period can be reduced to six years if, at the end of the fifth year, a product no longer meets the criteria for orphan designation or if the product is sufficiently profitable so that market exclusivity is no longer justified.</w:t>
      </w:r>
    </w:p>
    <w:p>
      <w:pPr>
        <w:spacing w:after="0" w:line="192" w:lineRule="exact"/>
        <w:rPr>
          <w:sz w:val="20"/>
          <w:szCs w:val="20"/>
          <w:color w:val="auto"/>
        </w:rPr>
      </w:pPr>
    </w:p>
    <w:p>
      <w:pPr>
        <w:ind w:left="140" w:right="20"/>
        <w:spacing w:after="0" w:line="252" w:lineRule="auto"/>
        <w:rPr>
          <w:sz w:val="20"/>
          <w:szCs w:val="20"/>
          <w:color w:val="auto"/>
        </w:rPr>
      </w:pPr>
      <w:r>
        <w:rPr>
          <w:rFonts w:ascii="Arial" w:cs="Arial" w:eastAsia="Arial" w:hAnsi="Arial"/>
          <w:sz w:val="18"/>
          <w:szCs w:val="18"/>
          <w:color w:val="auto"/>
        </w:rPr>
        <w:t>As part of our business strategy, we intend to pursue orphan drug designation for certain of our product candidates. For example, in June 2018, we were granted orphan drug designation by the FDA for TransCon PTH for the treatment of hypoparathyroidism, in February 2019, we were granted orphan drug designation by the FDA for TransCon CNP for the treatment of achondroplasia, and in April 2020, we were granted orphan drug designation by the FDA for TransCon hGH for the treatment of GHD. Additionally, in July 2020, we were granted orphan designation by the EC for TransCon CNP for the treatment of achondroplasia and in October 2020, we were granted orphan designation by the EC for TransCon PTH for treatment of hypoparathyroidism. In October 2019, we were granted orphan designation by the EC for TransCon hGH for GHD. In July 2021, we were granted orphan drug designation from the Japanese Ministry of Health, Labor and Welfare for TransCon PTH. However, we may be unsuccessful in obtaining orphan drug designation or orphan designation for other product candidates, and may be unable to maintain the benefits associated with orphan drug designation.</w:t>
      </w:r>
    </w:p>
    <w:p>
      <w:pPr>
        <w:spacing w:after="0" w:line="196"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color w:val="auto"/>
        </w:rPr>
        <w:t>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foreign regulatory authorities from approving the same or a different drug in another indication. Even after an orphan drug is granted orphan exclusivity and approved, the FDA or foreign regulatory authorities can subsequently approve a later application for the same drug for the same condition before the expiration of the exclusivity period if the FDA or foreign regulatory authorities conclude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and in foreign jurisdictions may be lost if the FDA or foreign regulatory authorities later determine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Any biological product for which we intend to seek approval may face competition sooner than anticipated.</w:t>
      </w:r>
    </w:p>
    <w:p>
      <w:pPr>
        <w:spacing w:after="0" w:line="116"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5"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40" w:right="120"/>
        <w:spacing w:after="0" w:line="258" w:lineRule="auto"/>
        <w:rPr>
          <w:sz w:val="20"/>
          <w:szCs w:val="20"/>
          <w:color w:val="auto"/>
        </w:rPr>
      </w:pPr>
      <w:r>
        <w:rPr>
          <w:rFonts w:ascii="Arial" w:cs="Arial" w:eastAsia="Arial" w:hAnsi="Arial"/>
          <w:sz w:val="18"/>
          <w:szCs w:val="18"/>
          <w:color w:val="auto"/>
        </w:rPr>
        <w:t>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86" w:lineRule="exact"/>
        <w:rPr>
          <w:sz w:val="20"/>
          <w:szCs w:val="20"/>
          <w:color w:val="auto"/>
        </w:rPr>
      </w:pPr>
    </w:p>
    <w:p>
      <w:pPr>
        <w:ind w:left="140" w:right="80"/>
        <w:spacing w:after="0" w:line="290" w:lineRule="auto"/>
        <w:rPr>
          <w:sz w:val="20"/>
          <w:szCs w:val="20"/>
          <w:color w:val="auto"/>
        </w:rPr>
      </w:pPr>
      <w:r>
        <w:rPr>
          <w:rFonts w:ascii="Arial" w:cs="Arial" w:eastAsia="Arial" w:hAnsi="Arial"/>
          <w:sz w:val="16"/>
          <w:szCs w:val="16"/>
          <w:color w:val="auto"/>
        </w:rPr>
        <w:t>We believe that any of our future biological product candidates approved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273" w:lineRule="exact"/>
        <w:rPr>
          <w:sz w:val="20"/>
          <w:szCs w:val="20"/>
          <w:color w:val="auto"/>
        </w:rPr>
      </w:pPr>
    </w:p>
    <w:p>
      <w:pPr>
        <w:ind w:left="140" w:right="240"/>
        <w:spacing w:after="0" w:line="275" w:lineRule="auto"/>
        <w:rPr>
          <w:sz w:val="20"/>
          <w:szCs w:val="20"/>
          <w:color w:val="auto"/>
        </w:rPr>
      </w:pPr>
      <w:r>
        <w:rPr>
          <w:rFonts w:ascii="Arial" w:cs="Arial" w:eastAsia="Arial" w:hAnsi="Arial"/>
          <w:sz w:val="18"/>
          <w:szCs w:val="18"/>
          <w:b w:val="1"/>
          <w:bCs w:val="1"/>
          <w:i w:val="1"/>
          <w:iCs w:val="1"/>
          <w:color w:val="auto"/>
        </w:rPr>
        <w:t>We rely on third-parties to manufacture our preclinical and clinical drug supplies, and we rely on third-parties to produce commercial supplies of TransCon hGH and its device components.</w:t>
      </w:r>
    </w:p>
    <w:p>
      <w:pPr>
        <w:spacing w:after="0" w:line="64" w:lineRule="exact"/>
        <w:rPr>
          <w:sz w:val="20"/>
          <w:szCs w:val="20"/>
          <w:color w:val="auto"/>
        </w:rPr>
      </w:pPr>
    </w:p>
    <w:p>
      <w:pPr>
        <w:ind w:left="140" w:right="100"/>
        <w:spacing w:after="0" w:line="262" w:lineRule="auto"/>
        <w:rPr>
          <w:sz w:val="20"/>
          <w:szCs w:val="20"/>
          <w:color w:val="auto"/>
        </w:rPr>
      </w:pPr>
      <w:r>
        <w:rPr>
          <w:rFonts w:ascii="Arial" w:cs="Arial" w:eastAsia="Arial" w:hAnsi="Arial"/>
          <w:sz w:val="18"/>
          <w:szCs w:val="18"/>
          <w:color w:val="auto"/>
        </w:rPr>
        <w:t>We do not own facilities for manufacturing TransCon hGH and our other product candidates for the potential pivotal clinical studies and/or commercial manufacturing of our products and product candidates. We depend on third-parties to manufacture and provide analytical services with respect to TransCon hGH and our other product candidates and device components.</w:t>
      </w:r>
    </w:p>
    <w:p>
      <w:pPr>
        <w:spacing w:after="0" w:line="183" w:lineRule="exact"/>
        <w:rPr>
          <w:sz w:val="20"/>
          <w:szCs w:val="20"/>
          <w:color w:val="auto"/>
        </w:rPr>
      </w:pPr>
    </w:p>
    <w:p>
      <w:pPr>
        <w:ind w:left="140" w:right="40"/>
        <w:spacing w:after="0" w:line="267" w:lineRule="auto"/>
        <w:rPr>
          <w:sz w:val="20"/>
          <w:szCs w:val="20"/>
          <w:color w:val="auto"/>
        </w:rPr>
      </w:pPr>
      <w:r>
        <w:rPr>
          <w:rFonts w:ascii="Arial" w:cs="Arial" w:eastAsia="Arial" w:hAnsi="Arial"/>
          <w:sz w:val="17"/>
          <w:szCs w:val="17"/>
          <w:color w:val="auto"/>
        </w:rPr>
        <w:t>In addition, to produce the quantities necessary to meet anticipated market demand, we and/or any collaboration partners will need to secure sufficient manufacturing capacity with third-party manufacturers. For TransCon hGH, we believe we have secured agreements to provide for sufficient manufacturing capacity with third-party manufacturers; however, our estimates of market demand may be inaccurate and third-party manufacturers may fail to produce sufficient quantities on a timely basis or at all. If we and/or any collaboration partners are unable to produce TransCon hGH or our other product candidates in sufficient quantities to meet the requirements for the launch of the product or to meet future demand, our revenues and gross margins would be adversely affected. For example, public health epidemics or pandemics, such as COVID-19 currently impacting multiple jurisdictions worldwide may impact the ability of our existing or future manufacturers to perform their obligations under our manufacturing agreements with such parties. Such failure or substantial delay could materially harm our business. To be successful, TransCon hGH and our other product candidates must be manufactured in commercial quantities in compliance with regulatory requirements and at acceptable costs. We and/or any collaboration partners will regularly need to maintain access to facilities to manufacture TransCon hGH and our other product candidates commercially. All of this will require additional funds and inspection or audits and approval by the FDA, other regulatory authorities and notified bodies with respect to the device components. If we and/or any collaboration partners are unable to establish and maintain a manufacturing capacity within our planned time and cost parameters, the development and sales of our products and product candidates as well as our business, results of operations and prospects, and the value of our shares or ADSs could be adversely affected.</w:t>
      </w:r>
    </w:p>
    <w:p>
      <w:pPr>
        <w:spacing w:after="0" w:line="184" w:lineRule="exact"/>
        <w:rPr>
          <w:sz w:val="20"/>
          <w:szCs w:val="20"/>
          <w:color w:val="auto"/>
        </w:rPr>
      </w:pPr>
    </w:p>
    <w:p>
      <w:pPr>
        <w:ind w:left="140" w:right="700"/>
        <w:spacing w:after="0" w:line="275" w:lineRule="auto"/>
        <w:rPr>
          <w:sz w:val="20"/>
          <w:szCs w:val="20"/>
          <w:color w:val="auto"/>
        </w:rPr>
      </w:pPr>
      <w:r>
        <w:rPr>
          <w:rFonts w:ascii="Arial" w:cs="Arial" w:eastAsia="Arial" w:hAnsi="Arial"/>
          <w:sz w:val="18"/>
          <w:szCs w:val="18"/>
          <w:color w:val="auto"/>
        </w:rPr>
        <w:t>We and/or any collaboration partners may encounter problems with aspects of manufacturing TransCon hGH and our other product candidates, including the following:</w:t>
      </w:r>
    </w:p>
    <w:p>
      <w:pPr>
        <w:spacing w:after="0" w:line="77" w:lineRule="exact"/>
        <w:rPr>
          <w:sz w:val="20"/>
          <w:szCs w:val="20"/>
          <w:color w:val="auto"/>
        </w:rPr>
      </w:pPr>
    </w:p>
    <w:p>
      <w:pPr>
        <w:ind w:left="1100" w:hanging="426"/>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yields;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FDA and foreign regulations;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costs;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 of advanced manufacturing techniques and process controls.</w:t>
      </w:r>
    </w:p>
    <w:p>
      <w:pPr>
        <w:spacing w:after="0" w:line="223"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We evaluate our options for clinical study supplies and commercial production of TransCon hGH and our other product candidates on a regular basis, which may include use of third-party manufacturers, or entering into a manufacturing joint venture relationship with a third party. We are aware of only a limited number of companies on a worldwide basis who operate manufacturing facilities in which TransCon hGH and our other our product candidates can be manufactured under cGMP regulations, a requirement for all pharmaceutical products. We cannot be certain that we will be able to contract with any of these companies on acceptable terms, if at all, all of which could harm our business, results of operations and prospects, and the value of our shares or ADSs.</w:t>
      </w:r>
    </w:p>
    <w:p>
      <w:pPr>
        <w:spacing w:after="0" w:line="192" w:lineRule="exact"/>
        <w:rPr>
          <w:sz w:val="20"/>
          <w:szCs w:val="20"/>
          <w:color w:val="auto"/>
        </w:rPr>
      </w:pPr>
    </w:p>
    <w:p>
      <w:pPr>
        <w:ind w:left="140" w:right="180"/>
        <w:spacing w:after="0" w:line="275" w:lineRule="auto"/>
        <w:rPr>
          <w:sz w:val="20"/>
          <w:szCs w:val="20"/>
          <w:color w:val="auto"/>
        </w:rPr>
      </w:pPr>
      <w:r>
        <w:rPr>
          <w:rFonts w:ascii="Arial" w:cs="Arial" w:eastAsia="Arial" w:hAnsi="Arial"/>
          <w:sz w:val="18"/>
          <w:szCs w:val="18"/>
          <w:color w:val="auto"/>
        </w:rPr>
        <w:t>In addition, we, as well as any third-party manufacturer, will be required to register such manufacturing facilities with the FDA (and have a U.S. agent for the facility, if outside the United States) and other regulatory authorities. The facilities will be subject to</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5"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95" w:lineRule="auto"/>
        <w:rPr>
          <w:sz w:val="20"/>
          <w:szCs w:val="20"/>
          <w:color w:val="auto"/>
        </w:rPr>
      </w:pPr>
      <w:r>
        <w:rPr>
          <w:rFonts w:ascii="Arial" w:cs="Arial" w:eastAsia="Arial" w:hAnsi="Arial"/>
          <w:sz w:val="16"/>
          <w:szCs w:val="16"/>
          <w:color w:val="auto"/>
        </w:rPr>
        <w:t>inspections confirming compliance with the FDA, and other regulatory authority GMPs requirements. We do not control the manufacturing process of our product candidates, and we are dependent on our contract manufacturing partners for compliance with cGMPs or similar regulations for manufacture of both active drug substances and finished drug products. If we or any third-party manufacturer fails to maintain regulatory compliance, our business, financial condition and results of operations may be harmed, and the FDA or other regulatory authorities can impose regulatory sanctions that range from a warning letter to withdrawal of approval to seeking product seizures, injunctions and, where appropriate, criminal prosecution.</w:t>
      </w:r>
    </w:p>
    <w:p>
      <w:pPr>
        <w:spacing w:after="0" w:line="161" w:lineRule="exact"/>
        <w:rPr>
          <w:sz w:val="20"/>
          <w:szCs w:val="20"/>
          <w:color w:val="auto"/>
        </w:rPr>
      </w:pPr>
    </w:p>
    <w:p>
      <w:pPr>
        <w:ind w:left="140" w:right="300"/>
        <w:spacing w:after="0" w:line="262" w:lineRule="auto"/>
        <w:rPr>
          <w:sz w:val="20"/>
          <w:szCs w:val="20"/>
          <w:color w:val="auto"/>
        </w:rPr>
      </w:pPr>
      <w:r>
        <w:rPr>
          <w:rFonts w:ascii="Arial" w:cs="Arial" w:eastAsia="Arial" w:hAnsi="Arial"/>
          <w:sz w:val="18"/>
          <w:szCs w:val="18"/>
          <w:color w:val="auto"/>
        </w:rPr>
        <w:t>Under our agreements with VISEN, we are obligated to use commercially reasonable efforts to supply clinical trial material for VISEN to conduct certain clinical trials, and will negotiate in good faith with VISEN the terms and conditions governing our commercial supply of relevant products to VISEN. In turn, we currently rely on third-party manufacturers in fulfilling our supply obligations to VISEN.</w:t>
      </w:r>
    </w:p>
    <w:p>
      <w:pPr>
        <w:spacing w:after="0" w:line="183" w:lineRule="exact"/>
        <w:rPr>
          <w:sz w:val="20"/>
          <w:szCs w:val="20"/>
          <w:color w:val="auto"/>
        </w:rPr>
      </w:pPr>
    </w:p>
    <w:p>
      <w:pPr>
        <w:ind w:left="140" w:right="120"/>
        <w:spacing w:after="0" w:line="272" w:lineRule="auto"/>
        <w:rPr>
          <w:sz w:val="20"/>
          <w:szCs w:val="20"/>
          <w:color w:val="auto"/>
        </w:rPr>
      </w:pPr>
      <w:r>
        <w:rPr>
          <w:rFonts w:ascii="Arial" w:cs="Arial" w:eastAsia="Arial" w:hAnsi="Arial"/>
          <w:sz w:val="17"/>
          <w:szCs w:val="17"/>
          <w:color w:val="auto"/>
        </w:rPr>
        <w:t>If our contract manufacturers cannot successfully manufacture material that conforms to our specifications and the strict regulatory requirements of the FDA or similar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similar regulatory authority does not approve these facilities for the manufacture of TransCon hGH or our other product candidates or if it withdraws any such approval in the future, we may need to find alternative manufacturing facilities, which would significantly impact our ability to develop, obtain regulatory approval for or market TransCon hGH or our other product candidates, if approved.</w:t>
      </w:r>
    </w:p>
    <w:p>
      <w:pPr>
        <w:spacing w:after="0" w:line="285" w:lineRule="exact"/>
        <w:rPr>
          <w:sz w:val="20"/>
          <w:szCs w:val="20"/>
          <w:color w:val="auto"/>
        </w:rPr>
      </w:pPr>
    </w:p>
    <w:p>
      <w:pPr>
        <w:ind w:left="140" w:right="400"/>
        <w:spacing w:after="0" w:line="262" w:lineRule="auto"/>
        <w:rPr>
          <w:sz w:val="20"/>
          <w:szCs w:val="20"/>
          <w:color w:val="auto"/>
        </w:rPr>
      </w:pPr>
      <w:r>
        <w:rPr>
          <w:rFonts w:ascii="Arial" w:cs="Arial" w:eastAsia="Arial" w:hAnsi="Arial"/>
          <w:sz w:val="18"/>
          <w:szCs w:val="18"/>
          <w:b w:val="1"/>
          <w:bCs w:val="1"/>
          <w:i w:val="1"/>
          <w:iCs w:val="1"/>
          <w:color w:val="auto"/>
        </w:rPr>
        <w:t>We rely on our manufacturers to purchase from third-party suppliers the materials necessary to produce TransCon hGH and our other product candidates. Any significant delay or discontinuation in the supply of such materials would delay commercialization and the completion of our clinical studies and harm our business.</w:t>
      </w:r>
    </w:p>
    <w:p>
      <w:pPr>
        <w:spacing w:after="0" w:line="75" w:lineRule="exact"/>
        <w:rPr>
          <w:sz w:val="20"/>
          <w:szCs w:val="20"/>
          <w:color w:val="auto"/>
        </w:rPr>
      </w:pPr>
    </w:p>
    <w:p>
      <w:pPr>
        <w:ind w:left="140" w:right="20"/>
        <w:spacing w:after="0" w:line="289" w:lineRule="auto"/>
        <w:rPr>
          <w:sz w:val="20"/>
          <w:szCs w:val="20"/>
          <w:color w:val="auto"/>
        </w:rPr>
      </w:pPr>
      <w:r>
        <w:rPr>
          <w:rFonts w:ascii="Arial" w:cs="Arial" w:eastAsia="Arial" w:hAnsi="Arial"/>
          <w:sz w:val="16"/>
          <w:szCs w:val="16"/>
          <w:color w:val="auto"/>
        </w:rPr>
        <w:t>There are a limited number of suppliers for raw materials that we use to manufacture TransCon hGH and our other product candidates, and there may be a need to identify alternate suppliers to prevent a possible disruption of the manufacture of the materials necessary to produce TransCon hGH and our other product candidates for commercial sale and our clinical studies.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and we currently envision that VISEN, which relies on us for clinical supply of our product candidates, would do the same, any significant delay or discontinuity in the supply of a product candidate, or the raw material components thereof, for a clinical study due to the need to replace a third-party manufacturer could considerably delay completion of our or VISEN’s clinical studies, product testing, and potential regulatory approval of our product candidates, which could harm our business and results of operations.</w:t>
      </w:r>
    </w:p>
    <w:p>
      <w:pPr>
        <w:spacing w:after="0" w:line="165" w:lineRule="exact"/>
        <w:rPr>
          <w:sz w:val="20"/>
          <w:szCs w:val="20"/>
          <w:color w:val="auto"/>
        </w:rPr>
      </w:pPr>
    </w:p>
    <w:p>
      <w:pPr>
        <w:ind w:left="140" w:right="660"/>
        <w:spacing w:after="0" w:line="340" w:lineRule="auto"/>
        <w:rPr>
          <w:sz w:val="20"/>
          <w:szCs w:val="20"/>
          <w:color w:val="auto"/>
        </w:rPr>
      </w:pPr>
      <w:r>
        <w:rPr>
          <w:rFonts w:ascii="Arial" w:cs="Arial" w:eastAsia="Arial" w:hAnsi="Arial"/>
          <w:sz w:val="16"/>
          <w:szCs w:val="16"/>
          <w:color w:val="auto"/>
        </w:rPr>
        <w:t>Any inability to obtain suppliers, including an inability to obtain, or delay in obtaining, approval of a supplier from the FDA or other regulatory authorities, would delay or prevent the clinical development and commercialization of TransCon hGH and our other product candidates.</w:t>
      </w:r>
    </w:p>
    <w:p>
      <w:pPr>
        <w:spacing w:after="0" w:line="232" w:lineRule="exact"/>
        <w:rPr>
          <w:sz w:val="20"/>
          <w:szCs w:val="20"/>
          <w:color w:val="auto"/>
        </w:rPr>
      </w:pPr>
    </w:p>
    <w:p>
      <w:pPr>
        <w:ind w:left="140" w:right="80"/>
        <w:spacing w:after="0" w:line="27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TransCon hGH and our other product candidates.</w:t>
      </w:r>
    </w:p>
    <w:p>
      <w:pPr>
        <w:spacing w:after="0" w:line="64" w:lineRule="exact"/>
        <w:rPr>
          <w:sz w:val="20"/>
          <w:szCs w:val="20"/>
          <w:color w:val="auto"/>
        </w:rPr>
      </w:pPr>
    </w:p>
    <w:p>
      <w:pPr>
        <w:ind w:left="140"/>
        <w:spacing w:after="0" w:line="289" w:lineRule="auto"/>
        <w:rPr>
          <w:sz w:val="20"/>
          <w:szCs w:val="20"/>
          <w:color w:val="auto"/>
        </w:rPr>
      </w:pPr>
      <w:r>
        <w:rPr>
          <w:rFonts w:ascii="Arial" w:cs="Arial" w:eastAsia="Arial" w:hAnsi="Arial"/>
          <w:sz w:val="16"/>
          <w:szCs w:val="16"/>
          <w:color w:val="auto"/>
        </w:rPr>
        <w:t>Our business exposes us to potential product liability risks which are inherent in research and development, preclinical and clinical studies, manufacturing, marketing and use of our TransCon hGH and our other product candidates.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Product liability claims may be expensive to defend and may result in judgements against us which are potentially punitive. If we cannot successfully defend ourselves against product liability claims, we may incur substantial liabilities or be required to limit commercialization of TransCon hGH and our other product candidates. Even successful defense would require significant financial and management resources. Regardless of the merits or eventual outcome, liability claims may result in:</w:t>
      </w:r>
    </w:p>
    <w:p>
      <w:pPr>
        <w:spacing w:after="0" w:line="71" w:lineRule="exact"/>
        <w:rPr>
          <w:sz w:val="20"/>
          <w:szCs w:val="20"/>
          <w:color w:val="auto"/>
        </w:rPr>
      </w:pPr>
    </w:p>
    <w:p>
      <w:pPr>
        <w:ind w:left="1100" w:hanging="42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TransCon hGH and our other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5"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hanging="426"/>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or co-promote TransCon hGH or our other product candidates.</w:t>
      </w:r>
    </w:p>
    <w:p>
      <w:pPr>
        <w:spacing w:after="0" w:line="223" w:lineRule="exact"/>
        <w:rPr>
          <w:sz w:val="20"/>
          <w:szCs w:val="20"/>
          <w:color w:val="auto"/>
        </w:rPr>
      </w:pPr>
    </w:p>
    <w:p>
      <w:pPr>
        <w:ind w:left="140" w:right="20"/>
        <w:spacing w:after="0" w:line="284" w:lineRule="auto"/>
        <w:rPr>
          <w:sz w:val="20"/>
          <w:szCs w:val="20"/>
          <w:color w:val="auto"/>
        </w:rPr>
      </w:pPr>
      <w:r>
        <w:rPr>
          <w:rFonts w:ascii="Arial" w:cs="Arial" w:eastAsia="Arial" w:hAnsi="Arial"/>
          <w:sz w:val="16"/>
          <w:szCs w:val="16"/>
          <w:color w:val="auto"/>
        </w:rPr>
        <w:t>It is generally necessary for us to secure certain levels of insurance as a condition for the conduct of clinical studies. We believe that our product liability insurance for clinical studies is sufficient to cover claims. We currently maintain liability insurance with certain specified coverage limits. We cannot be certain that the insurance policies will be sufficient to cover all claims that may be made against us. 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w:t>
      </w:r>
    </w:p>
    <w:p>
      <w:pPr>
        <w:spacing w:after="0" w:line="2" w:lineRule="exact"/>
        <w:rPr>
          <w:sz w:val="20"/>
          <w:szCs w:val="20"/>
          <w:color w:val="auto"/>
        </w:rPr>
      </w:pPr>
    </w:p>
    <w:p>
      <w:pPr>
        <w:ind w:left="140" w:right="20"/>
        <w:spacing w:after="0" w:line="250" w:lineRule="auto"/>
        <w:rPr>
          <w:sz w:val="20"/>
          <w:szCs w:val="20"/>
          <w:color w:val="auto"/>
        </w:rPr>
      </w:pPr>
      <w:r>
        <w:rPr>
          <w:rFonts w:ascii="Arial" w:cs="Arial" w:eastAsia="Arial" w:hAnsi="Arial"/>
          <w:sz w:val="18"/>
          <w:szCs w:val="18"/>
          <w:color w:val="auto"/>
        </w:rPr>
        <w:t>$20 million in the aggregate on our primary insurance policy and $100 million in the aggregate on our excess insurance policy. Any claim that may be brought against us could result in a court judgement or settlement in an amount that is not covered, in whole or in part, by our insurance or that is in excess of the limits of our insurance coverage. Our insurance policies also have various limits, exclusions and deductibles, and given these various limits, exclusions and deductibles,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Product liability insurance is expensive, difficult to obtain and may not be available in the future on acceptable terms.</w:t>
      </w:r>
    </w:p>
    <w:p>
      <w:pPr>
        <w:spacing w:after="0" w:line="305"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b w:val="1"/>
          <w:bCs w:val="1"/>
          <w:i w:val="1"/>
          <w:iCs w:val="1"/>
          <w:color w:val="auto"/>
        </w:rPr>
        <w:t>We will need to continue to significantly increase the size of our organization and we may have difficulties in managing our growth and expanding our operations successfully.</w:t>
      </w:r>
    </w:p>
    <w:p>
      <w:pPr>
        <w:spacing w:after="0" w:line="64"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color w:val="auto"/>
        </w:rPr>
        <w:t>As of December 31, 2021, we had 639 employees worldwide, with key facilities in Denmark, Germany, and the United States. As we advance TransCon hGH and our other product candidates through the development and commercialization process, we will need to expand managerial, operational, financial, sales and marketing and other resources to manage our operations, preclinical and clinical trials, research and development activities, regulatory filings, manufacturing and supply activities, and any marketing and commercialization activities or contract with other organizations to provide these capabilities for us. As operations expand, we expect that we will need to manage additional relationships with various suppliers and other organizations. Our ability to manage our operations and growth requires us to continue to improve our operational, financial and management controls, reporting systems and procedures across a global organization. Such growth could place a strain on our administrative and operational infrastructure. We may not be able to make improvements to our management information and control systems in an efficient or timely manner and may discover deficiencies in existing systems and controls. Our management, personnel, systems and facilities currently in place may not be adequate to support this future growth. Our need to effectively execute our growth strategy requires that we either internally, together with collaboration partners or through third-party contractors, as applicable:</w:t>
      </w:r>
    </w:p>
    <w:p>
      <w:pPr>
        <w:spacing w:after="0" w:line="88" w:lineRule="exact"/>
        <w:rPr>
          <w:sz w:val="20"/>
          <w:szCs w:val="20"/>
          <w:color w:val="auto"/>
        </w:rPr>
      </w:pPr>
    </w:p>
    <w:p>
      <w:pPr>
        <w:ind w:left="1100" w:hanging="426"/>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 our general and administrative functions;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third-parties;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and build a marketing and commercial organization;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 to improve our operational, legal, financial and management controls, reporting systems and procedures.</w:t>
      </w:r>
    </w:p>
    <w:p>
      <w:pPr>
        <w:spacing w:after="0" w:line="223" w:lineRule="exact"/>
        <w:rPr>
          <w:sz w:val="20"/>
          <w:szCs w:val="20"/>
          <w:color w:val="auto"/>
        </w:rPr>
      </w:pPr>
    </w:p>
    <w:p>
      <w:pPr>
        <w:jc w:val="both"/>
        <w:ind w:left="140" w:right="360"/>
        <w:spacing w:after="0" w:line="262" w:lineRule="auto"/>
        <w:rPr>
          <w:sz w:val="20"/>
          <w:szCs w:val="20"/>
          <w:color w:val="auto"/>
        </w:rPr>
      </w:pPr>
      <w:r>
        <w:rPr>
          <w:rFonts w:ascii="Arial" w:cs="Arial" w:eastAsia="Arial" w:hAnsi="Arial"/>
          <w:sz w:val="18"/>
          <w:szCs w:val="18"/>
          <w:color w:val="auto"/>
        </w:rPr>
        <w:t>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1" w:lineRule="exact"/>
        <w:rPr>
          <w:sz w:val="20"/>
          <w:szCs w:val="20"/>
          <w:color w:val="auto"/>
        </w:rPr>
      </w:pPr>
    </w:p>
    <w:p>
      <w:pPr>
        <w:ind w:left="140" w:right="140"/>
        <w:spacing w:after="0" w:line="262"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75" w:lineRule="exact"/>
        <w:rPr>
          <w:sz w:val="20"/>
          <w:szCs w:val="20"/>
          <w:color w:val="auto"/>
        </w:rPr>
      </w:pPr>
    </w:p>
    <w:p>
      <w:pPr>
        <w:ind w:left="140" w:right="80"/>
        <w:spacing w:after="0" w:line="269"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Our senior management and other personnel need to devote a substantial amount of time to ensure that we maintain compliance with all of these requirements. Moreover, the reporting requirements, rules and regulations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members of our senior management, or to obtain certain types of insurance, including directors’ and officers’ insurance, on acceptable terms.</w:t>
      </w:r>
    </w:p>
    <w:p>
      <w:pPr>
        <w:sectPr>
          <w:pgSz w:w="11900" w:h="16838" w:orient="portrait"/>
          <w:cols w:equalWidth="0" w:num="1">
            <w:col w:w="11100"/>
          </w:cols>
          <w:pgMar w:left="320" w:top="485" w:right="479" w:bottom="1440" w:gutter="0" w:footer="0" w:header="0"/>
        </w:sectPr>
      </w:pP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00"/>
          </w:cols>
          <w:pgMar w:left="320" w:top="485" w:right="4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generally require our senior management and independent registered public accounting firm to report on the effectiveness of our internal control over financial reporting. Section 404 requires an annual management assessment of the effectiveness of our internal control over financial reporting, and we are required to include an opinion from our independent registered public accounting firm on the effectiveness of our internal controls over financial reporting.</w:t>
      </w:r>
    </w:p>
    <w:p>
      <w:pPr>
        <w:spacing w:after="0" w:line="188" w:lineRule="exact"/>
        <w:rPr>
          <w:sz w:val="20"/>
          <w:szCs w:val="20"/>
          <w:color w:val="auto"/>
        </w:rPr>
      </w:pPr>
    </w:p>
    <w:p>
      <w:pPr>
        <w:ind w:left="140" w:right="60"/>
        <w:spacing w:after="0" w:line="253" w:lineRule="auto"/>
        <w:rPr>
          <w:sz w:val="20"/>
          <w:szCs w:val="20"/>
          <w:color w:val="auto"/>
        </w:rPr>
      </w:pPr>
      <w:r>
        <w:rPr>
          <w:rFonts w:ascii="Arial" w:cs="Arial" w:eastAsia="Arial" w:hAnsi="Arial"/>
          <w:sz w:val="18"/>
          <w:szCs w:val="18"/>
          <w:color w:val="auto"/>
        </w:rPr>
        <w:t>As we grow our business and enter into new activities, and as the reporting requirements increase,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the ADSs to fall. In addition, as a public company we are required to file accurate and timely annual reports with the SEC under the Exchange Act. Any failure to report our financial results on an accurate and timely basis could result in sanctions, lawsuits, delisting of the ADSs from The Nasdaq Global Select Market or other adverse consequences that would harm our business.</w:t>
      </w:r>
    </w:p>
    <w:p>
      <w:pPr>
        <w:spacing w:after="0" w:line="29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operating results may vary significantly from period to period and these variations may be difficult to predict.</w:t>
      </w:r>
    </w:p>
    <w:p>
      <w:pPr>
        <w:spacing w:after="0" w:line="116" w:lineRule="exact"/>
        <w:rPr>
          <w:sz w:val="20"/>
          <w:szCs w:val="20"/>
          <w:color w:val="auto"/>
        </w:rPr>
      </w:pPr>
    </w:p>
    <w:p>
      <w:pPr>
        <w:ind w:left="140" w:right="560"/>
        <w:spacing w:after="0" w:line="275" w:lineRule="auto"/>
        <w:rPr>
          <w:sz w:val="20"/>
          <w:szCs w:val="20"/>
          <w:color w:val="auto"/>
        </w:rPr>
      </w:pPr>
      <w:r>
        <w:rPr>
          <w:rFonts w:ascii="Arial" w:cs="Arial" w:eastAsia="Arial" w:hAnsi="Arial"/>
          <w:sz w:val="18"/>
          <w:szCs w:val="18"/>
          <w:color w:val="auto"/>
        </w:rPr>
        <w:t>Our operating results are expected to vary significantly from period to period due to a number of factors. Many of these factors are outside of our control. These factors include:</w:t>
      </w:r>
    </w:p>
    <w:p>
      <w:pPr>
        <w:spacing w:after="0" w:line="77" w:lineRule="exact"/>
        <w:rPr>
          <w:sz w:val="20"/>
          <w:szCs w:val="20"/>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regulatory approvals, if any, for our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revenue from product sales;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initiation of intellectual property litigation by third-parties or by us;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relating to the expansion of our business operations and facilities;</w:t>
      </w:r>
    </w:p>
    <w:p>
      <w:pPr>
        <w:spacing w:after="0" w:line="140" w:lineRule="exact"/>
        <w:rPr>
          <w:rFonts w:ascii="Arial" w:cs="Arial" w:eastAsia="Arial" w:hAnsi="Arial"/>
          <w:sz w:val="17"/>
          <w:szCs w:val="17"/>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the commencement, completion or termination of collaboration agreements;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amount of payments to us under collaboration agreements, if any;</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introduction of new products and services by us, collaboration partners or our competitors;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preclinical testing and clinical studies;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and expenses associated with preclinical testing and clinical studies;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of license fees for the right to use third-party proprietary rights, if any.</w:t>
      </w:r>
    </w:p>
    <w:p>
      <w:pPr>
        <w:spacing w:after="0" w:line="223" w:lineRule="exact"/>
        <w:rPr>
          <w:sz w:val="20"/>
          <w:szCs w:val="20"/>
          <w:color w:val="auto"/>
        </w:rPr>
      </w:pPr>
    </w:p>
    <w:p>
      <w:pPr>
        <w:ind w:left="140" w:right="100"/>
        <w:spacing w:after="0" w:line="275" w:lineRule="auto"/>
        <w:rPr>
          <w:sz w:val="20"/>
          <w:szCs w:val="20"/>
          <w:color w:val="auto"/>
        </w:rPr>
      </w:pPr>
      <w:r>
        <w:rPr>
          <w:rFonts w:ascii="Arial" w:cs="Arial" w:eastAsia="Arial" w:hAnsi="Arial"/>
          <w:sz w:val="18"/>
          <w:szCs w:val="18"/>
          <w:color w:val="auto"/>
        </w:rPr>
        <w:t>Our revenues in any particular period may be lower than we anticipate and, if we are unable to reduce spending in that period, our operating results will be harmed.</w:t>
      </w:r>
    </w:p>
    <w:p>
      <w:pPr>
        <w:spacing w:after="0" w:line="279" w:lineRule="exact"/>
        <w:rPr>
          <w:sz w:val="20"/>
          <w:szCs w:val="20"/>
          <w:color w:val="auto"/>
        </w:rPr>
      </w:pPr>
    </w:p>
    <w:p>
      <w:pPr>
        <w:ind w:left="140" w:right="900"/>
        <w:spacing w:after="0" w:line="275"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4" w:lineRule="exact"/>
        <w:rPr>
          <w:sz w:val="20"/>
          <w:szCs w:val="20"/>
          <w:color w:val="auto"/>
        </w:rPr>
      </w:pPr>
    </w:p>
    <w:p>
      <w:pPr>
        <w:ind w:left="140" w:right="120"/>
        <w:spacing w:after="0" w:line="272" w:lineRule="auto"/>
        <w:rPr>
          <w:sz w:val="20"/>
          <w:szCs w:val="20"/>
          <w:color w:val="auto"/>
        </w:rPr>
      </w:pPr>
      <w:r>
        <w:rPr>
          <w:rFonts w:ascii="Arial" w:cs="Arial" w:eastAsia="Arial" w:hAnsi="Arial"/>
          <w:sz w:val="17"/>
          <w:szCs w:val="17"/>
          <w:color w:val="auto"/>
        </w:rPr>
        <w:t>We may consider strategic transactions, such as acquisitions of companies, asset purchases, and in-licensing or out-licensing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w:t>
      </w:r>
    </w:p>
    <w:p>
      <w:pPr>
        <w:spacing w:after="0" w:line="83" w:lineRule="exact"/>
        <w:rPr>
          <w:sz w:val="20"/>
          <w:szCs w:val="20"/>
          <w:color w:val="auto"/>
        </w:rPr>
      </w:pPr>
    </w:p>
    <w:p>
      <w:pPr>
        <w:ind w:left="1100" w:right="80" w:hanging="426"/>
        <w:spacing w:after="0" w:line="275"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77" w:lineRule="exact"/>
        <w:rPr>
          <w:rFonts w:ascii="Arial" w:cs="Arial" w:eastAsia="Arial" w:hAnsi="Arial"/>
          <w:sz w:val="18"/>
          <w:szCs w:val="18"/>
          <w:color w:val="auto"/>
        </w:rPr>
      </w:pPr>
    </w:p>
    <w:p>
      <w:pPr>
        <w:ind w:left="1100" w:right="600" w:hanging="426"/>
        <w:spacing w:after="0" w:line="275"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unknown liabilities, including potential indemnification claims from a potential spin-off or out-license of certain of our intellectual property rights;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5"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480" w:hanging="426"/>
        <w:spacing w:after="0" w:line="275"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product candidates or technologies;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129" w:lineRule="exact"/>
        <w:rPr>
          <w:rFonts w:ascii="Arial" w:cs="Arial" w:eastAsia="Arial" w:hAnsi="Arial"/>
          <w:sz w:val="18"/>
          <w:szCs w:val="18"/>
          <w:color w:val="auto"/>
        </w:rPr>
      </w:pPr>
    </w:p>
    <w:p>
      <w:pPr>
        <w:ind w:left="1100" w:right="640" w:hanging="426"/>
        <w:spacing w:after="0" w:line="275"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lower-than-expected benefits, from out-licensing or selling our technology, intellectual property or any of our subsidiaries or, from in-licensing intellectual property or purchasing assets;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29" w:lineRule="exact"/>
        <w:rPr>
          <w:rFonts w:ascii="Arial" w:cs="Arial" w:eastAsia="Arial" w:hAnsi="Arial"/>
          <w:sz w:val="18"/>
          <w:szCs w:val="18"/>
          <w:color w:val="auto"/>
        </w:rPr>
      </w:pPr>
    </w:p>
    <w:p>
      <w:pPr>
        <w:ind w:left="1100" w:right="80" w:hanging="426"/>
        <w:spacing w:after="0" w:line="275"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and cost in combining or separating the operations and personnel of any acquired or sold businesses with our existing operations and personnel;</w:t>
      </w:r>
    </w:p>
    <w:p>
      <w:pPr>
        <w:spacing w:after="0" w:line="77" w:lineRule="exact"/>
        <w:rPr>
          <w:rFonts w:ascii="Arial" w:cs="Arial" w:eastAsia="Arial" w:hAnsi="Arial"/>
          <w:sz w:val="18"/>
          <w:szCs w:val="18"/>
          <w:color w:val="auto"/>
        </w:rPr>
      </w:pPr>
    </w:p>
    <w:p>
      <w:pPr>
        <w:ind w:left="1100" w:right="160" w:hanging="426"/>
        <w:spacing w:after="0" w:line="275"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or sold businesses due to changes in our senior management and ownership; and</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3" w:lineRule="exact"/>
        <w:rPr>
          <w:sz w:val="20"/>
          <w:szCs w:val="20"/>
          <w:color w:val="auto"/>
        </w:rPr>
      </w:pPr>
    </w:p>
    <w:p>
      <w:pPr>
        <w:ind w:left="140" w:right="180"/>
        <w:spacing w:after="0" w:line="262" w:lineRule="auto"/>
        <w:rPr>
          <w:sz w:val="20"/>
          <w:szCs w:val="20"/>
          <w:color w:val="auto"/>
        </w:rPr>
      </w:pPr>
      <w:r>
        <w:rPr>
          <w:rFonts w:ascii="Arial" w:cs="Arial" w:eastAsia="Arial" w:hAnsi="Arial"/>
          <w:sz w:val="18"/>
          <w:szCs w:val="18"/>
          <w:color w:val="auto"/>
        </w:rPr>
        <w:t>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Exchange rate fluctuations or abandonment of the euro currency may harm our results of operations and financial condition.</w:t>
      </w:r>
    </w:p>
    <w:p>
      <w:pPr>
        <w:spacing w:after="0" w:line="116"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Due to the international scope of our operations, fluctuations in exchange rates, particularly between the Euro, the Danish Krone and the U.S. Dollar, may adversely affect us. Although we are based in Denmark, we source research and development, manufacturing, consulting and other services from several countries. Further, potential future revenue may be derived from abroad, including from the United States. We currently attempt to limit our exposure to exchange rate risks by maintaining cash positions in the currencies in which we expect to incur the majority of our future expenses; however, for a variety of reasons we may be unable to maintain cash positions in the currencies in which we expect to incur the majority of our future expenses and we may fail to predict the currency of our future expenses, accurately or at all. As a result, our business and the price of the ADSs may be affected by fluctuations in foreign exchange rates between the Euro and these other currencies, which may also have a significant impact on our reported results of operations and cash flows from period to period. We currently do not enter into foreign exchange contracts to cover our exposure to exchange rate fluctuations, or any other form of exchange rate hedging arrangements. If we fail to manage foreign exchange risk adequately our business, results of operations and prospects, and the value of our shares or ADSs may be adversely affected.</w:t>
      </w:r>
    </w:p>
    <w:p>
      <w:pPr>
        <w:spacing w:after="0" w:line="167" w:lineRule="exact"/>
        <w:rPr>
          <w:sz w:val="20"/>
          <w:szCs w:val="20"/>
          <w:color w:val="auto"/>
        </w:rPr>
      </w:pPr>
    </w:p>
    <w:p>
      <w:pPr>
        <w:ind w:left="140" w:right="40"/>
        <w:spacing w:after="0" w:line="292" w:lineRule="auto"/>
        <w:rPr>
          <w:sz w:val="20"/>
          <w:szCs w:val="20"/>
          <w:color w:val="auto"/>
        </w:rPr>
      </w:pPr>
      <w:r>
        <w:rPr>
          <w:rFonts w:ascii="Arial" w:cs="Arial" w:eastAsia="Arial" w:hAnsi="Arial"/>
          <w:sz w:val="16"/>
          <w:szCs w:val="16"/>
          <w:color w:val="auto"/>
        </w:rPr>
        <w:t>In addition, the possible abandonment of the Euro by one or more members of the European Union (“EU”) could harm our business in the future. Despite measures taken by the EU to provide funding to certain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The effects on our business of a potential dissolution of the EU, the exit of one or more EU member states from the European Union or the abandonment of the Euro as a currency, are impossible to predict with certainty, and any such events could harm our business, financial condition and results of operations.</w:t>
      </w:r>
    </w:p>
    <w:p>
      <w:pPr>
        <w:spacing w:after="0" w:line="271"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4" w:lineRule="exact"/>
        <w:rPr>
          <w:sz w:val="20"/>
          <w:szCs w:val="20"/>
          <w:color w:val="auto"/>
        </w:rPr>
      </w:pPr>
    </w:p>
    <w:p>
      <w:pPr>
        <w:ind w:left="140" w:right="60"/>
        <w:spacing w:after="0" w:line="256" w:lineRule="auto"/>
        <w:rPr>
          <w:sz w:val="20"/>
          <w:szCs w:val="20"/>
          <w:color w:val="auto"/>
        </w:rPr>
      </w:pPr>
      <w:r>
        <w:rPr>
          <w:rFonts w:ascii="Arial" w:cs="Arial" w:eastAsia="Arial" w:hAnsi="Arial"/>
          <w:sz w:val="18"/>
          <w:szCs w:val="18"/>
          <w:color w:val="auto"/>
        </w:rPr>
        <w:t>The United Kingdom (“UK”) left the EU on January 31, 2020, following which existing EU legislation continued to apply in the UK during a transition period under the terms of the EU-UK Withdrawal Agreement. The transition period, which ended on December 31, 2020, maintained access to the EU single market and to global trade deals negotiated by the EU on behalf of its members. The transition period provided time for the UK and EU to negotiate a framework for partnership for the future, which was then crystallized in the Trade and Cooperation Agreement (“Trade and Cooperation Agreement”) which became effective on the January 1, 2021.</w:t>
      </w:r>
    </w:p>
    <w:p>
      <w:pPr>
        <w:spacing w:after="0" w:line="188" w:lineRule="exact"/>
        <w:rPr>
          <w:sz w:val="20"/>
          <w:szCs w:val="20"/>
          <w:color w:val="auto"/>
        </w:rPr>
      </w:pPr>
    </w:p>
    <w:p>
      <w:pPr>
        <w:ind w:left="140"/>
        <w:spacing w:after="0" w:line="253" w:lineRule="auto"/>
        <w:rPr>
          <w:sz w:val="20"/>
          <w:szCs w:val="20"/>
          <w:color w:val="auto"/>
        </w:rPr>
      </w:pPr>
      <w:r>
        <w:rPr>
          <w:rFonts w:ascii="Arial" w:cs="Arial" w:eastAsia="Arial" w:hAnsi="Arial"/>
          <w:sz w:val="18"/>
          <w:szCs w:val="18"/>
          <w:color w:val="auto"/>
        </w:rPr>
        <w:t>The long term effects of Brexit on our business in the UK, the EU and worldwide will depend on the effects of the implementation and application of the Trade and Cooperation Agreement and any other relevant agreements between the UK and the EU. EU laws which have been transposed into UK law through secondary legislation continue to be applicable as “retained EU law”. However, new legislation will not be applicable. The UK government has passed a new Medicines and Medical Devices Act 2021, which introduces delegated powers in favor of the Secretary of State or an ‘appropriate authority’ to amend or supplement existing regulations in the area of medical devices. This allows new rules to be introduced in the future by way of secondary legislation, which aims to allow flexibility in addressing regulatory gaps. There is a possibility that over time, national laws will be amended and that consequently the regulatory framework in Great Britain will diverge from that of the EU. As of January 1, 2021, the MHRA is the UK’s standalone</w:t>
      </w:r>
    </w:p>
    <w:p>
      <w:pPr>
        <w:sectPr>
          <w:pgSz w:w="11900" w:h="16838" w:orient="portrait"/>
          <w:cols w:equalWidth="0" w:num="1">
            <w:col w:w="11100"/>
          </w:cols>
          <w:pgMar w:left="320" w:top="485" w:right="479" w:bottom="1440" w:gutter="0" w:footer="0" w:header="0"/>
        </w:sectPr>
      </w:pP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00"/>
          </w:cols>
          <w:pgMar w:left="320" w:top="485" w:right="4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40" w:right="360"/>
        <w:spacing w:after="0" w:line="262" w:lineRule="auto"/>
        <w:rPr>
          <w:sz w:val="20"/>
          <w:szCs w:val="20"/>
          <w:color w:val="auto"/>
        </w:rPr>
      </w:pPr>
      <w:r>
        <w:rPr>
          <w:rFonts w:ascii="Arial" w:cs="Arial" w:eastAsia="Arial" w:hAnsi="Arial"/>
          <w:sz w:val="18"/>
          <w:szCs w:val="18"/>
          <w:color w:val="auto"/>
        </w:rPr>
        <w:t>medicines and medical devices regulator. As a result of the Northern Ireland protocol, different rules will apply in Northern Ireland than in England, Wales, and Scotland, together, Great Britain; broadly, Northern Ireland will continue to follow the EU regulatory regime, but its national competent authority will remain the MHRA.</w:t>
      </w:r>
    </w:p>
    <w:p>
      <w:pPr>
        <w:spacing w:after="0" w:line="183" w:lineRule="exact"/>
        <w:rPr>
          <w:sz w:val="20"/>
          <w:szCs w:val="20"/>
          <w:color w:val="auto"/>
        </w:rPr>
      </w:pPr>
    </w:p>
    <w:p>
      <w:pPr>
        <w:jc w:val="both"/>
        <w:ind w:left="140"/>
        <w:spacing w:after="0" w:line="258"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the ADSs.</w:t>
      </w:r>
    </w:p>
    <w:p>
      <w:pPr>
        <w:spacing w:after="0" w:line="294" w:lineRule="exact"/>
        <w:rPr>
          <w:sz w:val="20"/>
          <w:szCs w:val="20"/>
          <w:color w:val="auto"/>
        </w:rPr>
      </w:pPr>
    </w:p>
    <w:p>
      <w:pPr>
        <w:ind w:left="140" w:right="300"/>
        <w:spacing w:after="0" w:line="275"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product candidates in foreign jurisdictions, could harm our business.</w:t>
      </w:r>
    </w:p>
    <w:p>
      <w:pPr>
        <w:spacing w:after="0" w:line="64" w:lineRule="exact"/>
        <w:rPr>
          <w:sz w:val="20"/>
          <w:szCs w:val="20"/>
          <w:color w:val="auto"/>
        </w:rPr>
      </w:pPr>
    </w:p>
    <w:p>
      <w:pPr>
        <w:ind w:left="140" w:right="200"/>
        <w:spacing w:after="0" w:line="262" w:lineRule="auto"/>
        <w:rPr>
          <w:sz w:val="20"/>
          <w:szCs w:val="20"/>
          <w:color w:val="auto"/>
        </w:rPr>
      </w:pPr>
      <w:r>
        <w:rPr>
          <w:rFonts w:ascii="Arial" w:cs="Arial" w:eastAsia="Arial" w:hAnsi="Arial"/>
          <w:sz w:val="18"/>
          <w:szCs w:val="18"/>
          <w:color w:val="auto"/>
        </w:rPr>
        <w:t>We engage extensively in international operations, which include seeking marketing approval for certain of our product candidates in foreign jurisdictions. We expect that we are or will be subject to additional risks related to entering into these international business markets and relationships, including:</w:t>
      </w:r>
    </w:p>
    <w:p>
      <w:pPr>
        <w:spacing w:after="0" w:line="89" w:lineRule="exact"/>
        <w:rPr>
          <w:sz w:val="20"/>
          <w:szCs w:val="20"/>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differing drug import and export rules;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29" w:lineRule="exact"/>
        <w:rPr>
          <w:rFonts w:ascii="Arial" w:cs="Arial" w:eastAsia="Arial" w:hAnsi="Arial"/>
          <w:sz w:val="18"/>
          <w:szCs w:val="18"/>
          <w:color w:val="auto"/>
        </w:rPr>
      </w:pPr>
    </w:p>
    <w:p>
      <w:pPr>
        <w:ind w:left="1100" w:right="200" w:hanging="426"/>
        <w:spacing w:after="0" w:line="275"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liability resulting from work conducted by these distributors;</w:t>
      </w:r>
    </w:p>
    <w:p>
      <w:pPr>
        <w:spacing w:after="0" w:line="129" w:lineRule="exact"/>
        <w:rPr>
          <w:rFonts w:ascii="Arial" w:cs="Arial" w:eastAsia="Arial" w:hAnsi="Arial"/>
          <w:sz w:val="18"/>
          <w:szCs w:val="18"/>
          <w:color w:val="auto"/>
        </w:rPr>
      </w:pPr>
    </w:p>
    <w:p>
      <w:pPr>
        <w:ind w:left="1100" w:right="20" w:hanging="426"/>
        <w:spacing w:after="0" w:line="275"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Foreign Corrupt Practices Act, its books and records provisions, or its anti-bribery provisions; and</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3" w:lineRule="exact"/>
        <w:rPr>
          <w:sz w:val="20"/>
          <w:szCs w:val="20"/>
          <w:color w:val="auto"/>
        </w:rPr>
      </w:pPr>
    </w:p>
    <w:p>
      <w:pPr>
        <w:ind w:left="140" w:right="180"/>
        <w:spacing w:after="0" w:line="258" w:lineRule="auto"/>
        <w:rPr>
          <w:sz w:val="20"/>
          <w:szCs w:val="20"/>
          <w:color w:val="auto"/>
        </w:rPr>
      </w:pPr>
      <w:r>
        <w:rPr>
          <w:rFonts w:ascii="Arial" w:cs="Arial" w:eastAsia="Arial" w:hAnsi="Arial"/>
          <w:sz w:val="18"/>
          <w:szCs w:val="18"/>
          <w:color w:val="auto"/>
        </w:rPr>
        <w:t>The manufacture of TransCon hGH and our other product candidates is dependent upon third-party manufacturers that are based in other parts of the world, including the United States, Europe, Japan and China. This manufacturing process requires that the components used in TransCon hGH and our other product candidates are transported long distances, through multiple countries, which increases the risk that issues in the global supply chain or other disruptions to the international marketplace could harm our business.</w:t>
      </w:r>
    </w:p>
    <w:p>
      <w:pPr>
        <w:spacing w:after="0" w:line="294" w:lineRule="exact"/>
        <w:rPr>
          <w:sz w:val="20"/>
          <w:szCs w:val="20"/>
          <w:color w:val="auto"/>
        </w:rPr>
      </w:pPr>
    </w:p>
    <w:p>
      <w:pPr>
        <w:ind w:left="140" w:right="240"/>
        <w:spacing w:after="0" w:line="374" w:lineRule="auto"/>
        <w:rPr>
          <w:sz w:val="20"/>
          <w:szCs w:val="20"/>
          <w:color w:val="auto"/>
        </w:rPr>
      </w:pPr>
      <w:r>
        <w:rPr>
          <w:rFonts w:ascii="Arial" w:cs="Arial" w:eastAsia="Arial" w:hAnsi="Arial"/>
          <w:sz w:val="15"/>
          <w:szCs w:val="15"/>
          <w:b w:val="1"/>
          <w:bCs w:val="1"/>
          <w:i w:val="1"/>
          <w:iCs w:val="1"/>
          <w:color w:val="auto"/>
        </w:rPr>
        <w:t>The parent drug, drug substance, drug product and other components of TransCon hGH and our other product candidates are currently acquired from certain single-source suppliers. The loss of these suppliers, or their failure to supply could materially and adversely affect our business.</w:t>
      </w:r>
    </w:p>
    <w:p>
      <w:pPr>
        <w:spacing w:after="0" w:line="1" w:lineRule="exact"/>
        <w:rPr>
          <w:sz w:val="20"/>
          <w:szCs w:val="20"/>
          <w:color w:val="auto"/>
        </w:rPr>
      </w:pPr>
    </w:p>
    <w:p>
      <w:pPr>
        <w:ind w:left="140" w:right="140"/>
        <w:spacing w:after="0" w:line="289" w:lineRule="auto"/>
        <w:rPr>
          <w:sz w:val="20"/>
          <w:szCs w:val="20"/>
          <w:color w:val="auto"/>
        </w:rPr>
      </w:pPr>
      <w:r>
        <w:rPr>
          <w:rFonts w:ascii="Arial" w:cs="Arial" w:eastAsia="Arial" w:hAnsi="Arial"/>
          <w:sz w:val="16"/>
          <w:szCs w:val="16"/>
          <w:color w:val="auto"/>
        </w:rPr>
        <w:t>Our growth hormone parent drug as well as our TransCon hGH drug substance are supplied by Fujifilm Diosynth Biotechnologies UK Limited (“Fujifilm”), pursuant to our agreement with Fujifilm. TransCon hGH drug product in vials is manufactured by Vetter Pharma Fertigung (“Vetter”), pursuant to our agreement with Vetter. TransCon hGH drug product in dual chamber cartridges is supplied by Vetter for use in our drug delivery device made by Philips Medisize A/S (formerly Medicom Innovation Partner A/S). The intermediates of our proprietary TransCon linkers are made by CARBOGEN AMCIS AG under an agreement with CARBOGEN AMCIS AG and accompanying purchase orders. For products that utilize soluble TransCon carriers, NOF Corporation (Japan) (“NOF”), supplies PEGs. Furthermore, NOF is responsible for coupling the TransCon linker used for TransCon hGH to methoxy PEG, under manufacturing agreements and accompanying purchase orders. Our PTH as well as our TransCon PTH drug substance is supplied by Bachem, Switzerland, pursuant to our agreement with Bachem. Vetter manufactures the TransCon PTH drug product in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5"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288" w:lineRule="auto"/>
        <w:rPr>
          <w:sz w:val="20"/>
          <w:szCs w:val="20"/>
          <w:color w:val="auto"/>
        </w:rPr>
      </w:pPr>
      <w:r>
        <w:rPr>
          <w:rFonts w:ascii="Arial" w:cs="Arial" w:eastAsia="Arial" w:hAnsi="Arial"/>
          <w:sz w:val="16"/>
          <w:szCs w:val="16"/>
          <w:color w:val="auto"/>
        </w:rPr>
        <w:t>cartridges and assembles the cartridges with a drug delivery device made by Ypsomed AG. CNP drug substance is supplied by Wacker Biotech, Germany. Our TransCon CNP drug product in vials is manufactured by Vetter pursuant to our agreement with Vetter. With the exception of Lonza, who will be supplying TransCon hGH drug substance, we do not currently have any other suppliers for the drug substance, drug product or other components of our TransCon hGH, TransCon PTH and TransCon CNP, although we believe that there are alternate sources of supply that could satisfy our clinical and commercial requirements, we cannot provide assurance that identifying alternate sources and establishing relationships with such sources would not result in significant delays in the commercialization or development of TransCon hGH and our other product candidates. Additionally, we may not be able to enter into supply arrangements with alternative suppliers on commercially reasonable terms or at all. A delay in the commercialization or development of TransCon hGH or our other product candidates or having to enter into a new agreement with a different third-party on less favorable terms than we have with our current suppliers could have a material adverse impact upon on our business.</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not be successful in our efforts to identify additional product candidates based on our TransCon technologies.</w:t>
      </w:r>
    </w:p>
    <w:p>
      <w:pPr>
        <w:spacing w:after="0" w:line="116" w:lineRule="exact"/>
        <w:rPr>
          <w:sz w:val="20"/>
          <w:szCs w:val="20"/>
          <w:color w:val="auto"/>
        </w:rPr>
      </w:pPr>
    </w:p>
    <w:p>
      <w:pPr>
        <w:jc w:val="both"/>
        <w:ind w:left="140" w:right="280"/>
        <w:spacing w:after="0" w:line="310" w:lineRule="auto"/>
        <w:rPr>
          <w:sz w:val="20"/>
          <w:szCs w:val="20"/>
          <w:color w:val="auto"/>
        </w:rPr>
      </w:pPr>
      <w:r>
        <w:rPr>
          <w:rFonts w:ascii="Arial" w:cs="Arial" w:eastAsia="Arial" w:hAnsi="Arial"/>
          <w:sz w:val="16"/>
          <w:szCs w:val="16"/>
          <w:color w:val="auto"/>
        </w:rPr>
        <w:t>An important element of our strategy is to develop new products and product candidates based on our TransCon technologies. Research programs to identify new product candidates require substantial technical, financial and human resources. These research programs may initially show promise in identifying potential product candidates, yet fail to yield product candidates for clinical development for a number of reasons, including that:</w:t>
      </w:r>
    </w:p>
    <w:p>
      <w:pPr>
        <w:spacing w:after="0" w:line="54" w:lineRule="exact"/>
        <w:rPr>
          <w:sz w:val="20"/>
          <w:szCs w:val="20"/>
          <w:color w:val="auto"/>
        </w:rPr>
      </w:pPr>
    </w:p>
    <w:p>
      <w:pPr>
        <w:ind w:left="1100" w:hanging="426"/>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 or</w:t>
      </w:r>
    </w:p>
    <w:p>
      <w:pPr>
        <w:spacing w:after="0" w:line="129" w:lineRule="exact"/>
        <w:rPr>
          <w:rFonts w:ascii="Arial" w:cs="Arial" w:eastAsia="Arial" w:hAnsi="Arial"/>
          <w:sz w:val="18"/>
          <w:szCs w:val="18"/>
          <w:color w:val="auto"/>
        </w:rPr>
      </w:pPr>
    </w:p>
    <w:p>
      <w:pPr>
        <w:jc w:val="both"/>
        <w:ind w:left="1100" w:right="400" w:hanging="426"/>
        <w:spacing w:after="0" w:line="310" w:lineRule="auto"/>
        <w:tabs>
          <w:tab w:leader="none" w:pos="11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potential product candidates may, on further study, be shown to have inadequate efficacy, harmful side effects or other characteristics suggesting that they are unlikely to be effective or safe products, or that they may not be sufficiently differentiated or offer substantial improvement over the currently available treatment options or standard of care in a given therapeutic category.</w:t>
      </w:r>
    </w:p>
    <w:p>
      <w:pPr>
        <w:spacing w:after="0" w:line="148" w:lineRule="exact"/>
        <w:rPr>
          <w:sz w:val="20"/>
          <w:szCs w:val="20"/>
          <w:color w:val="auto"/>
        </w:rPr>
      </w:pPr>
    </w:p>
    <w:p>
      <w:pPr>
        <w:ind w:left="140" w:right="100"/>
        <w:spacing w:after="0" w:line="306" w:lineRule="auto"/>
        <w:rPr>
          <w:sz w:val="20"/>
          <w:szCs w:val="20"/>
          <w:color w:val="auto"/>
        </w:rPr>
      </w:pPr>
      <w:r>
        <w:rPr>
          <w:rFonts w:ascii="Arial" w:cs="Arial" w:eastAsia="Arial" w:hAnsi="Arial"/>
          <w:sz w:val="17"/>
          <w:szCs w:val="17"/>
          <w:color w:val="auto"/>
        </w:rPr>
        <w:t>If we are unable to develop suitable product candidates through internal research programs or otherwise, we will not be able to increase our revenues in future periods, which could harm our business, results of operations and prospects, and the value of our shares or ADSs.</w:t>
      </w:r>
    </w:p>
    <w:p>
      <w:pPr>
        <w:spacing w:after="0" w:line="255" w:lineRule="exact"/>
        <w:rPr>
          <w:sz w:val="20"/>
          <w:szCs w:val="20"/>
          <w:color w:val="auto"/>
        </w:rPr>
      </w:pPr>
    </w:p>
    <w:p>
      <w:pPr>
        <w:ind w:left="140" w:right="260"/>
        <w:spacing w:after="0" w:line="340" w:lineRule="auto"/>
        <w:rPr>
          <w:sz w:val="20"/>
          <w:szCs w:val="20"/>
          <w:color w:val="auto"/>
        </w:rPr>
      </w:pPr>
      <w:r>
        <w:rPr>
          <w:rFonts w:ascii="Arial" w:cs="Arial" w:eastAsia="Arial" w:hAnsi="Arial"/>
          <w:sz w:val="16"/>
          <w:szCs w:val="16"/>
          <w:b w:val="1"/>
          <w:bCs w:val="1"/>
          <w:i w:val="1"/>
          <w:iCs w:val="1"/>
          <w:color w:val="auto"/>
        </w:rPr>
        <w:t>We are highly dependent on the services of our President and Chief Executive Officer, Jan Møller Mikkelsen, and if we are not able to retain this member of our senior management or recruit additional management, clinical and scientific personnel, our business will suffer.</w:t>
      </w:r>
    </w:p>
    <w:p>
      <w:pPr>
        <w:spacing w:after="0" w:line="17" w:lineRule="exact"/>
        <w:rPr>
          <w:sz w:val="20"/>
          <w:szCs w:val="20"/>
          <w:color w:val="auto"/>
        </w:rPr>
      </w:pPr>
    </w:p>
    <w:p>
      <w:pPr>
        <w:ind w:left="140"/>
        <w:spacing w:after="0" w:line="295"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personnel. We may not be able to attract or retain qualified management and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1" w:lineRule="exact"/>
        <w:rPr>
          <w:sz w:val="20"/>
          <w:szCs w:val="20"/>
          <w:color w:val="auto"/>
        </w:rPr>
      </w:pPr>
    </w:p>
    <w:p>
      <w:pPr>
        <w:ind w:left="140" w:right="340"/>
        <w:spacing w:after="0" w:line="275" w:lineRule="auto"/>
        <w:rPr>
          <w:sz w:val="20"/>
          <w:szCs w:val="20"/>
          <w:color w:val="auto"/>
        </w:rPr>
      </w:pPr>
      <w:r>
        <w:rPr>
          <w:rFonts w:ascii="Arial" w:cs="Arial" w:eastAsia="Arial" w:hAnsi="Arial"/>
          <w:sz w:val="18"/>
          <w:szCs w:val="18"/>
          <w:color w:val="auto"/>
        </w:rPr>
        <w:t>In particular, we are highly dependent upon Jan Møller Mikkelsen, our President and Chief Executive Officer. The loss of services of this individual could result in delays in product development and harm our business.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have difficulties in attracting and retaining key personnel, and if we fail to do so our business may suffer.</w:t>
      </w:r>
    </w:p>
    <w:p>
      <w:pPr>
        <w:spacing w:after="0" w:line="116" w:lineRule="exact"/>
        <w:rPr>
          <w:sz w:val="20"/>
          <w:szCs w:val="20"/>
          <w:color w:val="auto"/>
        </w:rPr>
      </w:pPr>
    </w:p>
    <w:p>
      <w:pPr>
        <w:ind w:left="140" w:right="40"/>
        <w:spacing w:after="0" w:line="295" w:lineRule="auto"/>
        <w:rPr>
          <w:sz w:val="20"/>
          <w:szCs w:val="20"/>
          <w:color w:val="auto"/>
        </w:rPr>
      </w:pPr>
      <w:r>
        <w:rPr>
          <w:rFonts w:ascii="Arial" w:cs="Arial" w:eastAsia="Arial" w:hAnsi="Arial"/>
          <w:sz w:val="16"/>
          <w:szCs w:val="16"/>
          <w:color w:val="auto"/>
        </w:rPr>
        <w:t>We are highly dependent on the principal members of our senior management and scientific staff, the loss of whose services could adversely affect the achievement of planned development objectives. In addition, we could experience difficulties attracting and retaining qualified employees in the future. For example, competition for qualified personnel in the biotechnology and pharmaceuticals field is intense due to the limited number of individuals who possess the skills and experience required by our industry. As such, we could have difficulty attracting experienced personnel to our company and may be required to expend significant financial resources in our employee recruitment and retention efforts.</w:t>
      </w:r>
    </w:p>
    <w:p>
      <w:pPr>
        <w:spacing w:after="0" w:line="161" w:lineRule="exact"/>
        <w:rPr>
          <w:sz w:val="20"/>
          <w:szCs w:val="20"/>
          <w:color w:val="auto"/>
        </w:rPr>
      </w:pPr>
    </w:p>
    <w:p>
      <w:pPr>
        <w:ind w:left="140" w:right="120"/>
        <w:spacing w:after="0" w:line="270" w:lineRule="auto"/>
        <w:rPr>
          <w:sz w:val="20"/>
          <w:szCs w:val="20"/>
          <w:color w:val="auto"/>
        </w:rPr>
      </w:pPr>
      <w:r>
        <w:rPr>
          <w:rFonts w:ascii="Arial" w:cs="Arial" w:eastAsia="Arial" w:hAnsi="Arial"/>
          <w:sz w:val="17"/>
          <w:szCs w:val="17"/>
          <w:color w:val="auto"/>
        </w:rPr>
        <w:t>For us to further expand our product development plans, we will need to hire additional qualified scientific personnel to perform research and development. We will also need to hire personnel with expertise in clinical testing, government regulation, sales and marketing, and finance, and might need to hire personnel with expertise in manufacturing.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personnel, there can be no assurance that we will be able to attract and retain such personnel on acceptable terms given the competition for experienced scientists from numerous pharmaceutical and chemical companies, specialized biotechnology firms, universities and other research institutions. Our failure to do so could adversely affect our business, results of operations and prospects, and the value of our shares or ADSs.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5"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80"/>
        <w:spacing w:after="0" w:line="306" w:lineRule="auto"/>
        <w:rPr>
          <w:sz w:val="20"/>
          <w:szCs w:val="20"/>
          <w:color w:val="auto"/>
        </w:rPr>
      </w:pPr>
      <w:r>
        <w:rPr>
          <w:rFonts w:ascii="Arial" w:cs="Arial" w:eastAsia="Arial" w:hAnsi="Arial"/>
          <w:sz w:val="17"/>
          <w:szCs w:val="17"/>
          <w:b w:val="1"/>
          <w:bCs w:val="1"/>
          <w:i w:val="1"/>
          <w:iCs w:val="1"/>
          <w:color w:val="auto"/>
        </w:rPr>
        <w:t>Our information technology systems, or those of our CROs or other contractors or consultants, may fail or suffer security breaches, which could result in a material disruption of our product development programs and other critical business functions.</w:t>
      </w:r>
    </w:p>
    <w:p>
      <w:pPr>
        <w:spacing w:after="0" w:line="40" w:lineRule="exact"/>
        <w:rPr>
          <w:sz w:val="20"/>
          <w:szCs w:val="20"/>
          <w:color w:val="auto"/>
        </w:rPr>
      </w:pPr>
    </w:p>
    <w:p>
      <w:pPr>
        <w:ind w:left="140" w:right="80"/>
        <w:spacing w:after="0" w:line="286" w:lineRule="auto"/>
        <w:rPr>
          <w:sz w:val="20"/>
          <w:szCs w:val="20"/>
          <w:color w:val="auto"/>
        </w:rPr>
      </w:pPr>
      <w:r>
        <w:rPr>
          <w:rFonts w:ascii="Arial" w:cs="Arial" w:eastAsia="Arial" w:hAnsi="Arial"/>
          <w:sz w:val="16"/>
          <w:szCs w:val="16"/>
          <w:color w:val="auto"/>
        </w:rPr>
        <w:t>Despite the implementation of security measures, our information technology systems and those of our CROs and other contractors and consultants are vulnerable to attack and damage from computer viruses and malware (e.g., ransomware), unauthorized access, natural disasters, terrorism, war, telecommunication and electrical failures, malfeasance by external or internal parties, human error (e.g., social engineering, phishing).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we may also face increased cybersecurity risks due to our reliance on internet technology and the number of our employees who are working remotely, which may create additional opportunities for cybercriminals to exploit vulnerabilities.</w:t>
      </w:r>
    </w:p>
    <w:p>
      <w:pPr>
        <w:spacing w:after="0" w:line="171" w:lineRule="exact"/>
        <w:rPr>
          <w:sz w:val="20"/>
          <w:szCs w:val="20"/>
          <w:color w:val="auto"/>
        </w:rPr>
      </w:pPr>
    </w:p>
    <w:p>
      <w:pPr>
        <w:ind w:left="140" w:right="20"/>
        <w:spacing w:after="0" w:line="270" w:lineRule="auto"/>
        <w:rPr>
          <w:sz w:val="20"/>
          <w:szCs w:val="20"/>
          <w:color w:val="auto"/>
        </w:rPr>
      </w:pPr>
      <w:r>
        <w:rPr>
          <w:rFonts w:ascii="Arial" w:cs="Arial" w:eastAsia="Arial" w:hAnsi="Arial"/>
          <w:sz w:val="17"/>
          <w:szCs w:val="17"/>
          <w:color w:val="auto"/>
        </w:rPr>
        <w:t>We and certain of our service providers may from time to time be subject to cyberattacks and security incidents. While we do not believe that we have experienced any significant system failure, accident or security breach to date, if such an event were to occur and cause interruptions in our and our critical third parties’ operations, it could result in a material disruption of our programs, our operations, and ultimately, our financial results. For example, the loss of clinical trial data from completed or ongoing clinical trials for TransCon hGH or any of our other product candidates could result in delays in our regulatory approval efforts, and the loss of research data could result in delays of our research and development efforts and it would be expensive to recover or reproduce the data. To the extent that any disruption or security breach results in a loss of or damage to our data or applications, or inappropriate disclosure of confidential or proprietary information, we could incur liability and the further development of TransCon hGH or our other product candidates could be delayed.</w:t>
      </w:r>
    </w:p>
    <w:p>
      <w:pPr>
        <w:spacing w:after="0" w:line="286" w:lineRule="exact"/>
        <w:rPr>
          <w:sz w:val="20"/>
          <w:szCs w:val="20"/>
          <w:color w:val="auto"/>
        </w:rPr>
      </w:pPr>
    </w:p>
    <w:p>
      <w:pPr>
        <w:ind w:left="140" w:right="340"/>
        <w:spacing w:after="0" w:line="275" w:lineRule="auto"/>
        <w:rPr>
          <w:sz w:val="20"/>
          <w:szCs w:val="20"/>
          <w:color w:val="auto"/>
        </w:rPr>
      </w:pPr>
      <w:r>
        <w:rPr>
          <w:rFonts w:ascii="Arial" w:cs="Arial" w:eastAsia="Arial" w:hAnsi="Arial"/>
          <w:sz w:val="18"/>
          <w:szCs w:val="18"/>
          <w:b w:val="1"/>
          <w:bCs w:val="1"/>
          <w:i w:val="1"/>
          <w:iCs w:val="1"/>
          <w:color w:val="auto"/>
        </w:rPr>
        <w:t>The global pandemic caused by COVID-19 could materially adversely impact our business, including our clinical trials, supply chain operation, regulatory timelines and commercial activities.</w:t>
      </w:r>
    </w:p>
    <w:p>
      <w:pPr>
        <w:spacing w:after="0" w:line="64" w:lineRule="exact"/>
        <w:rPr>
          <w:sz w:val="20"/>
          <w:szCs w:val="20"/>
          <w:color w:val="auto"/>
        </w:rPr>
      </w:pPr>
    </w:p>
    <w:p>
      <w:pPr>
        <w:jc w:val="both"/>
        <w:ind w:left="140" w:right="200"/>
        <w:spacing w:after="0" w:line="310"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Since then, the COVID-19 coronavirus has been declared by WHO to be a worldwide pandemic. As a result of the rapidly growing spread of COVID-19 throughout the areas we operate, we may experience disruptions that could severely impact our business, clinical trials and commercialization activities, including:</w:t>
      </w:r>
    </w:p>
    <w:p>
      <w:pPr>
        <w:spacing w:after="0" w:line="54" w:lineRule="exact"/>
        <w:rPr>
          <w:sz w:val="20"/>
          <w:szCs w:val="20"/>
          <w:color w:val="auto"/>
        </w:rPr>
      </w:pPr>
    </w:p>
    <w:p>
      <w:pPr>
        <w:ind w:left="1100" w:hanging="426"/>
        <w:spacing w:after="0" w:line="275"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which could potentially have a negative impact on clinical trial timelines;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29" w:lineRule="exact"/>
        <w:rPr>
          <w:rFonts w:ascii="Arial" w:cs="Arial" w:eastAsia="Arial" w:hAnsi="Arial"/>
          <w:sz w:val="18"/>
          <w:szCs w:val="18"/>
          <w:color w:val="auto"/>
        </w:rPr>
      </w:pPr>
    </w:p>
    <w:p>
      <w:pPr>
        <w:ind w:left="1100" w:right="420" w:hanging="426"/>
        <w:spacing w:after="0" w:line="275"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increases in expenses required to manage impacts to our business to complete our planned operations within our projected timelines;</w:t>
      </w:r>
    </w:p>
    <w:p>
      <w:pPr>
        <w:spacing w:after="0" w:line="77" w:lineRule="exact"/>
        <w:rPr>
          <w:rFonts w:ascii="Arial" w:cs="Arial" w:eastAsia="Arial" w:hAnsi="Arial"/>
          <w:sz w:val="18"/>
          <w:szCs w:val="18"/>
          <w:color w:val="auto"/>
        </w:rPr>
      </w:pPr>
    </w:p>
    <w:p>
      <w:pPr>
        <w:ind w:left="1100" w:right="180" w:hanging="426"/>
        <w:spacing w:after="0" w:line="275"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7" w:lineRule="exact"/>
        <w:rPr>
          <w:rFonts w:ascii="Arial" w:cs="Arial" w:eastAsia="Arial" w:hAnsi="Arial"/>
          <w:sz w:val="18"/>
          <w:szCs w:val="18"/>
          <w:color w:val="auto"/>
        </w:rPr>
      </w:pPr>
    </w:p>
    <w:p>
      <w:pPr>
        <w:ind w:left="1100" w:right="220" w:hanging="426"/>
        <w:spacing w:after="0" w:line="275"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77" w:lineRule="exact"/>
        <w:rPr>
          <w:rFonts w:ascii="Arial" w:cs="Arial" w:eastAsia="Arial" w:hAnsi="Arial"/>
          <w:sz w:val="18"/>
          <w:szCs w:val="18"/>
          <w:color w:val="auto"/>
        </w:rPr>
      </w:pPr>
    </w:p>
    <w:p>
      <w:pPr>
        <w:ind w:left="1100" w:right="220" w:hanging="426"/>
        <w:spacing w:after="0" w:line="340" w:lineRule="auto"/>
        <w:tabs>
          <w:tab w:leader="none" w:pos="11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and commercialization activities, including because of sickness of employees or their families or the desire of employees to avoid contact with large groups of people;</w:t>
      </w:r>
    </w:p>
    <w:p>
      <w:pPr>
        <w:spacing w:after="0" w:line="30" w:lineRule="exact"/>
        <w:rPr>
          <w:rFonts w:ascii="Arial" w:cs="Arial" w:eastAsia="Arial" w:hAnsi="Arial"/>
          <w:sz w:val="16"/>
          <w:szCs w:val="16"/>
          <w:color w:val="auto"/>
        </w:rPr>
      </w:pPr>
    </w:p>
    <w:p>
      <w:pPr>
        <w:ind w:left="1100" w:hanging="426"/>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29" w:lineRule="exact"/>
        <w:rPr>
          <w:rFonts w:ascii="Arial" w:cs="Arial" w:eastAsia="Arial" w:hAnsi="Arial"/>
          <w:sz w:val="18"/>
          <w:szCs w:val="18"/>
          <w:color w:val="auto"/>
        </w:rPr>
      </w:pPr>
    </w:p>
    <w:p>
      <w:pPr>
        <w:ind w:left="1100" w:right="140" w:hanging="426"/>
        <w:spacing w:after="0" w:line="275"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in global storage and shipping that may affect the supply of TransCon hGH or the transport of clinical trial materials, such as comparator drugs used in certain of our clinical trials;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interruptions in our global supply chain with regards to clinical trials and commercial supply;</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85"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hanging="426"/>
        <w:spacing w:after="0" w:line="275"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77" w:lineRule="exact"/>
        <w:rPr>
          <w:rFonts w:ascii="Arial" w:cs="Arial" w:eastAsia="Arial" w:hAnsi="Arial"/>
          <w:sz w:val="18"/>
          <w:szCs w:val="18"/>
          <w:color w:val="auto"/>
        </w:rPr>
      </w:pPr>
    </w:p>
    <w:p>
      <w:pPr>
        <w:ind w:left="1100" w:right="100" w:hanging="426"/>
        <w:spacing w:after="0" w:line="275"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of regulatory authorities to accept data from clinical trials in these affected geographies;</w:t>
      </w:r>
    </w:p>
    <w:p>
      <w:pPr>
        <w:spacing w:after="0" w:line="129" w:lineRule="exact"/>
        <w:rPr>
          <w:rFonts w:ascii="Arial" w:cs="Arial" w:eastAsia="Arial" w:hAnsi="Arial"/>
          <w:sz w:val="18"/>
          <w:szCs w:val="18"/>
          <w:color w:val="auto"/>
        </w:rPr>
      </w:pPr>
    </w:p>
    <w:p>
      <w:pPr>
        <w:ind w:left="1100" w:right="420" w:hanging="426"/>
        <w:spacing w:after="0" w:line="275"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conducting our clinical trials, suppliers may experience delays in providing necessary equipment, consumables and services, which could cause temporary delays in clinical trial activities;</w:t>
      </w:r>
    </w:p>
    <w:p>
      <w:pPr>
        <w:spacing w:after="0" w:line="77" w:lineRule="exact"/>
        <w:rPr>
          <w:rFonts w:ascii="Arial" w:cs="Arial" w:eastAsia="Arial" w:hAnsi="Arial"/>
          <w:sz w:val="18"/>
          <w:szCs w:val="18"/>
          <w:color w:val="auto"/>
        </w:rPr>
      </w:pPr>
    </w:p>
    <w:p>
      <w:pPr>
        <w:ind w:left="1100" w:right="120" w:hanging="426"/>
        <w:spacing w:after="0" w:line="262"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global demand for COVID-19 vaccines or COVID-19 therapeutics could result in contract manufacturers not having sufficient capacity to meet scheduled manufacturing. In addition, sourcing of certain types of raw materials, consumables and equipment could result in scheduled manufacturing being delayed or postponed;</w:t>
      </w:r>
    </w:p>
    <w:p>
      <w:pPr>
        <w:spacing w:after="0" w:line="88" w:lineRule="exact"/>
        <w:rPr>
          <w:rFonts w:ascii="Arial" w:cs="Arial" w:eastAsia="Arial" w:hAnsi="Arial"/>
          <w:sz w:val="18"/>
          <w:szCs w:val="18"/>
          <w:color w:val="auto"/>
        </w:rPr>
      </w:pPr>
    </w:p>
    <w:p>
      <w:pPr>
        <w:ind w:left="1100" w:right="180" w:hanging="426"/>
        <w:spacing w:after="0" w:line="262"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travel restrictions and local outbreaks of COVID-19 could restrict authorities from performing site inspections in connection with their review procedures of marketing applications for TransCon hGH, which could potentially delay the commercial launch in areas outside of the United States; and</w:t>
      </w:r>
    </w:p>
    <w:p>
      <w:pPr>
        <w:spacing w:after="0" w:line="88" w:lineRule="exact"/>
        <w:rPr>
          <w:rFonts w:ascii="Arial" w:cs="Arial" w:eastAsia="Arial" w:hAnsi="Arial"/>
          <w:sz w:val="18"/>
          <w:szCs w:val="18"/>
          <w:color w:val="auto"/>
        </w:rPr>
      </w:pPr>
    </w:p>
    <w:p>
      <w:pPr>
        <w:ind w:left="1100" w:right="440" w:hanging="426"/>
        <w:spacing w:after="0" w:line="262"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commercial launch strategy, including for TransCon hGH, could be negatively impacted by patients not being able to see their physicians, and similarly, our commercial team not being able to meet in-person with physicians and payors, which could both have a negative impact on the commercial launch strategy.</w:t>
      </w:r>
    </w:p>
    <w:p>
      <w:pPr>
        <w:spacing w:after="0" w:line="183" w:lineRule="exact"/>
        <w:rPr>
          <w:sz w:val="20"/>
          <w:szCs w:val="20"/>
          <w:color w:val="auto"/>
        </w:rPr>
      </w:pPr>
    </w:p>
    <w:p>
      <w:pPr>
        <w:ind w:left="140" w:right="80"/>
        <w:spacing w:after="0" w:line="262" w:lineRule="auto"/>
        <w:rPr>
          <w:sz w:val="20"/>
          <w:szCs w:val="20"/>
          <w:color w:val="auto"/>
        </w:rPr>
      </w:pPr>
      <w:r>
        <w:rPr>
          <w:rFonts w:ascii="Arial" w:cs="Arial" w:eastAsia="Arial" w:hAnsi="Arial"/>
          <w:sz w:val="18"/>
          <w:szCs w:val="18"/>
          <w:color w:val="auto"/>
        </w:rPr>
        <w:t>In addition, the pandemic has caused, and may cause further, disruption to global financial markets. This may reduce our ability to access capital on favorable terms or to access capital at all. Furthermore, sustained adverse market events (such as a recession or depression) resulting from the pandemic could materially and adversely affect our business and the price of our ADSs.</w:t>
      </w:r>
    </w:p>
    <w:p>
      <w:pPr>
        <w:spacing w:after="0" w:line="183" w:lineRule="exact"/>
        <w:rPr>
          <w:sz w:val="20"/>
          <w:szCs w:val="20"/>
          <w:color w:val="auto"/>
        </w:rPr>
      </w:pPr>
    </w:p>
    <w:p>
      <w:pPr>
        <w:ind w:left="140" w:right="100"/>
        <w:spacing w:after="0" w:line="258" w:lineRule="auto"/>
        <w:rPr>
          <w:sz w:val="20"/>
          <w:szCs w:val="20"/>
          <w:color w:val="auto"/>
        </w:rPr>
      </w:pPr>
      <w:r>
        <w:rPr>
          <w:rFonts w:ascii="Arial" w:cs="Arial" w:eastAsia="Arial" w:hAnsi="Arial"/>
          <w:sz w:val="18"/>
          <w:szCs w:val="18"/>
          <w:color w:val="auto"/>
        </w:rPr>
        <w:t>The extent to which the COVID-19 pandemic further impacts our business and clinical trials will depend on future developments, which are highly uncertain and cannot be predicted with confidence, such as the speed and extent of geographic spread of the disease, the duration of the outbreak, travel restrictions and social distancing in the affected areas, business closures or business disruptions and the effectiveness of actions taken in the affected areas to contain and treat the disease.</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Natural disasters or other events beyond our control could disrupt our business and result in loss of revenue or higher expenses.</w:t>
      </w:r>
    </w:p>
    <w:p>
      <w:pPr>
        <w:spacing w:after="0" w:line="127" w:lineRule="exact"/>
        <w:rPr>
          <w:sz w:val="20"/>
          <w:szCs w:val="20"/>
          <w:color w:val="auto"/>
        </w:rPr>
      </w:pPr>
    </w:p>
    <w:p>
      <w:pPr>
        <w:ind w:left="140" w:right="20"/>
        <w:spacing w:after="0" w:line="267" w:lineRule="auto"/>
        <w:rPr>
          <w:sz w:val="20"/>
          <w:szCs w:val="20"/>
          <w:color w:val="auto"/>
        </w:rPr>
      </w:pPr>
      <w:r>
        <w:rPr>
          <w:rFonts w:ascii="Arial" w:cs="Arial" w:eastAsia="Arial" w:hAnsi="Arial"/>
          <w:sz w:val="17"/>
          <w:szCs w:val="17"/>
          <w:color w:val="auto"/>
        </w:rPr>
        <w:t>Natural disasters, terrorist activities, and other business disruptions including, but not limited to, internet security threats and violence motivated by political or social causes, could seriously harm our revenue and financial condition and increase our costs and expenses. For example, the March 2011 earthquake and tsunami in Japan and their aftermath created economic uncertainty and disrupted economic activities in Japan, including a reduction in hospital spending. Moreover, global climate change could result in certain types of natural disasters occurring more frequently or with more intense effects. Some of our corporate and operational functions, including certain of our oncology research facilities, are located in California, which has experienced both severe earthquakes and other natural disasters in the past and is vulnerable to climate change effects. For example, increasing intensity of drought throughout the state and annual periods of wildfire danger increase the probability of planned power outages in the communities where we work and live. This danger has the potential to impact our employees’ abilities to commute to work or to work from home and stay connected effectively during the COVID-19 pandemic. We do not have multiple-site capacity for all of our operations in the event of a business disruption. Furthermore, parties in our supply chain and our customers are similarly vulnerable to natural disasters or other sudden, unforeseen, and severe adverse events. A natural disaster in any of our major markets, or an unanticipated business disruption caused, for example, by internet security threats, damage to global communication networks, or similar events, could have a material adverse impact on our business, financial condition, results of operations, or cash flows.</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Related to Government Regulatory and Legal Requirements</w:t>
      </w:r>
    </w:p>
    <w:p>
      <w:pPr>
        <w:spacing w:after="0" w:line="120" w:lineRule="exact"/>
        <w:rPr>
          <w:sz w:val="20"/>
          <w:szCs w:val="20"/>
          <w:color w:val="auto"/>
        </w:rPr>
      </w:pPr>
    </w:p>
    <w:p>
      <w:pPr>
        <w:ind w:left="140" w:right="140"/>
        <w:spacing w:after="0" w:line="340" w:lineRule="auto"/>
        <w:rPr>
          <w:sz w:val="20"/>
          <w:szCs w:val="20"/>
          <w:color w:val="auto"/>
        </w:rPr>
      </w:pPr>
      <w:r>
        <w:rPr>
          <w:rFonts w:ascii="Arial" w:cs="Arial" w:eastAsia="Arial" w:hAnsi="Arial"/>
          <w:sz w:val="16"/>
          <w:szCs w:val="16"/>
          <w:b w:val="1"/>
          <w:bCs w:val="1"/>
          <w:i w:val="1"/>
          <w:iCs w:val="1"/>
          <w:color w:val="auto"/>
        </w:rPr>
        <w:t>The regulatory approval processes of the EMA, the FDA and comparable authorities are lengthy, time consuming, and inherently unpredictable. If we are ultimately unable to obtain regulatory approval for our product candidates, our business will be substantially harmed.</w:t>
      </w:r>
    </w:p>
    <w:p>
      <w:pPr>
        <w:spacing w:after="0" w:line="17" w:lineRule="exact"/>
        <w:rPr>
          <w:sz w:val="20"/>
          <w:szCs w:val="20"/>
          <w:color w:val="auto"/>
        </w:rPr>
      </w:pPr>
    </w:p>
    <w:p>
      <w:pPr>
        <w:ind w:left="140" w:right="60"/>
        <w:spacing w:after="0" w:line="256"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are subject to extensive regulation by the FDA, EU legislative bodies and other regulatory authorities in the United States, the EU and other jurisdictions, which regulations differ from country to country. We are not permitted to market any drug product in the United States until we receive marketing approval from the FDA. Equally, we are not permitted to market any drug product in the EU until we receive a marketing authorization from the EC or EU member state competent authorities.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5"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20"/>
        <w:spacing w:after="0" w:line="262" w:lineRule="auto"/>
        <w:rPr>
          <w:sz w:val="20"/>
          <w:szCs w:val="20"/>
          <w:color w:val="auto"/>
        </w:rPr>
      </w:pPr>
      <w:r>
        <w:rPr>
          <w:rFonts w:ascii="Arial" w:cs="Arial" w:eastAsia="Arial" w:hAnsi="Arial"/>
          <w:sz w:val="18"/>
          <w:szCs w:val="18"/>
          <w:color w:val="auto"/>
        </w:rPr>
        <w:t>Obtaining regulatory approval of an NDA, BLA or MAA, can be a lengthy, expensive and uncertain process. In addition, failure to comply with FDA and other applicable U.S., EU and foreign regulatory requirements may subject us to administrative or judicially imposed sanctions or other actions, including:</w:t>
      </w:r>
    </w:p>
    <w:p>
      <w:pPr>
        <w:spacing w:after="0" w:line="89" w:lineRule="exact"/>
        <w:rPr>
          <w:sz w:val="20"/>
          <w:szCs w:val="20"/>
          <w:color w:val="auto"/>
        </w:rPr>
      </w:pPr>
    </w:p>
    <w:p>
      <w:pPr>
        <w:ind w:left="1100" w:hanging="426"/>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regulatory approval of products;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29" w:lineRule="exact"/>
        <w:rPr>
          <w:rFonts w:ascii="Arial" w:cs="Arial" w:eastAsia="Arial" w:hAnsi="Arial"/>
          <w:sz w:val="18"/>
          <w:szCs w:val="18"/>
          <w:color w:val="auto"/>
        </w:rPr>
      </w:pPr>
    </w:p>
    <w:p>
      <w:pPr>
        <w:ind w:left="1100" w:right="240" w:hanging="426"/>
        <w:spacing w:after="0" w:line="275"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NDAs or BLAs, MAA, or supplements to approved NDAs or BLAs or extensions or variations to marketing authorizations.</w:t>
      </w:r>
    </w:p>
    <w:p>
      <w:pPr>
        <w:spacing w:after="0" w:line="171" w:lineRule="exact"/>
        <w:rPr>
          <w:sz w:val="20"/>
          <w:szCs w:val="20"/>
          <w:color w:val="auto"/>
        </w:rPr>
      </w:pPr>
    </w:p>
    <w:p>
      <w:pPr>
        <w:ind w:left="140"/>
        <w:spacing w:after="0" w:line="288" w:lineRule="auto"/>
        <w:rPr>
          <w:sz w:val="20"/>
          <w:szCs w:val="20"/>
          <w:color w:val="auto"/>
        </w:rPr>
      </w:pPr>
      <w:r>
        <w:rPr>
          <w:rFonts w:ascii="Arial" w:cs="Arial" w:eastAsia="Arial" w:hAnsi="Arial"/>
          <w:sz w:val="16"/>
          <w:szCs w:val="16"/>
          <w:color w:val="auto"/>
        </w:rPr>
        <w:t>Prior to obtaining approval to commercialize a drug or biological product candidate in the United States, the EU or other regions, we must demonstrate with substantial evidence from well-controlled clinical trials, and to the satisfaction of the EMA, the FDA or other similar regulatory authorities, that any drug product candidates are safe and effective for their intended uses, and that any biological product candidates are safe, pure and potent for their intended uses. The number of nonclinical studies and clinical trials that will be required for FDA, or EMA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Administering drug or biological product candidates to humans may produce undesirable side effects, which could interrupt, delay or halt clinical trials and result in the FDA or other regulatory authorities denying approval of a product candidate for any or all targeted indications.</w:t>
      </w:r>
    </w:p>
    <w:p>
      <w:pPr>
        <w:spacing w:after="0" w:line="165" w:lineRule="exact"/>
        <w:rPr>
          <w:sz w:val="20"/>
          <w:szCs w:val="20"/>
          <w:color w:val="auto"/>
        </w:rPr>
      </w:pPr>
    </w:p>
    <w:p>
      <w:pPr>
        <w:ind w:left="140" w:right="60"/>
        <w:spacing w:after="0" w:line="287" w:lineRule="auto"/>
        <w:rPr>
          <w:sz w:val="20"/>
          <w:szCs w:val="20"/>
          <w:color w:val="auto"/>
        </w:rPr>
      </w:pPr>
      <w:r>
        <w:rPr>
          <w:rFonts w:ascii="Arial" w:cs="Arial" w:eastAsia="Arial" w:hAnsi="Arial"/>
          <w:sz w:val="16"/>
          <w:szCs w:val="16"/>
          <w:color w:val="auto"/>
        </w:rPr>
        <w:t>The time required to obtain approval by the FDA and comparable authorities is unpredictable, typically takes many years following the commencement of clinical studies, and depends upon numerous factors. The EMA, the FDA and comparable authorities have substantial discretion in the approval process and we may encounter matters with the EMA, the FDA or such comparable authorities that requires us to expend additional time and resources and delay or prevent the approval of our product candidates. For example, the FDA or EMA may require us to conduct additional studies or trials for drug or biological product candidates either prior to or post-approval, such as additional drug-drug interaction studies or safety or efficacy studies or trials, or it may object to elements of our clinical development program such as the number of subjects in our current clinical trials from the United States or Europe.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73" w:lineRule="exact"/>
        <w:rPr>
          <w:sz w:val="20"/>
          <w:szCs w:val="20"/>
          <w:color w:val="auto"/>
        </w:rPr>
      </w:pPr>
    </w:p>
    <w:p>
      <w:pPr>
        <w:ind w:left="1100" w:right="460" w:hanging="426"/>
        <w:spacing w:after="0" w:line="275"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EMA, the FDA or other comparable foreign regulatory authorities may disagree with the design or implementation of our, or any collaboration partners’, clinical studies;</w:t>
      </w:r>
    </w:p>
    <w:p>
      <w:pPr>
        <w:spacing w:after="0" w:line="77" w:lineRule="exact"/>
        <w:rPr>
          <w:rFonts w:ascii="Arial" w:cs="Arial" w:eastAsia="Arial" w:hAnsi="Arial"/>
          <w:sz w:val="18"/>
          <w:szCs w:val="18"/>
          <w:color w:val="auto"/>
        </w:rPr>
      </w:pPr>
    </w:p>
    <w:p>
      <w:pPr>
        <w:ind w:left="1100" w:right="360" w:hanging="426"/>
        <w:spacing w:after="0" w:line="275"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77" w:lineRule="exact"/>
        <w:rPr>
          <w:rFonts w:ascii="Arial" w:cs="Arial" w:eastAsia="Arial" w:hAnsi="Arial"/>
          <w:sz w:val="18"/>
          <w:szCs w:val="18"/>
          <w:color w:val="auto"/>
        </w:rPr>
      </w:pPr>
    </w:p>
    <w:p>
      <w:pPr>
        <w:ind w:left="1100" w:right="280" w:hanging="426"/>
        <w:spacing w:after="0" w:line="275"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EMA, the FDA or comparable foreign regulatory authorities may disagree with the interpretation of data from preclinical studies or clinical studies;</w:t>
      </w:r>
    </w:p>
    <w:p>
      <w:pPr>
        <w:spacing w:after="0" w:line="77" w:lineRule="exact"/>
        <w:rPr>
          <w:rFonts w:ascii="Arial" w:cs="Arial" w:eastAsia="Arial" w:hAnsi="Arial"/>
          <w:sz w:val="18"/>
          <w:szCs w:val="18"/>
          <w:color w:val="auto"/>
        </w:rPr>
      </w:pPr>
    </w:p>
    <w:p>
      <w:pPr>
        <w:ind w:left="1100" w:right="420" w:hanging="426"/>
        <w:spacing w:after="0" w:line="275"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BLA, MAA, or other submission or to obtain regulatory approval in the United States, the EU or elsewhere;</w:t>
      </w:r>
    </w:p>
    <w:p>
      <w:pPr>
        <w:spacing w:after="0" w:line="77" w:lineRule="exact"/>
        <w:rPr>
          <w:rFonts w:ascii="Arial" w:cs="Arial" w:eastAsia="Arial" w:hAnsi="Arial"/>
          <w:sz w:val="18"/>
          <w:szCs w:val="18"/>
          <w:color w:val="auto"/>
        </w:rPr>
      </w:pPr>
    </w:p>
    <w:p>
      <w:pPr>
        <w:ind w:left="1100" w:right="100" w:hanging="426"/>
        <w:spacing w:after="0" w:line="275"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any collaboration partners, may be unable to demonstrate to the EMA, the FDA or comparable foreign regulatory authorities that a product candidate’s risk-benefit ratio for its proposed indication is acceptable;</w:t>
      </w:r>
    </w:p>
    <w:p>
      <w:pPr>
        <w:spacing w:after="0" w:line="77" w:lineRule="exact"/>
        <w:rPr>
          <w:rFonts w:ascii="Arial" w:cs="Arial" w:eastAsia="Arial" w:hAnsi="Arial"/>
          <w:sz w:val="18"/>
          <w:szCs w:val="18"/>
          <w:color w:val="auto"/>
        </w:rPr>
      </w:pPr>
    </w:p>
    <w:p>
      <w:pPr>
        <w:ind w:left="1100" w:right="60" w:hanging="426"/>
        <w:spacing w:after="0" w:line="275"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77" w:lineRule="exact"/>
        <w:rPr>
          <w:rFonts w:ascii="Arial" w:cs="Arial" w:eastAsia="Arial" w:hAnsi="Arial"/>
          <w:sz w:val="18"/>
          <w:szCs w:val="18"/>
          <w:color w:val="auto"/>
        </w:rPr>
      </w:pPr>
    </w:p>
    <w:p>
      <w:pPr>
        <w:ind w:left="1100" w:right="620" w:hanging="426"/>
        <w:spacing w:after="0" w:line="275"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85"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00"/>
        <w:spacing w:after="0" w:line="254" w:lineRule="auto"/>
        <w:rPr>
          <w:sz w:val="20"/>
          <w:szCs w:val="20"/>
          <w:color w:val="auto"/>
        </w:rPr>
      </w:pPr>
      <w:r>
        <w:rPr>
          <w:rFonts w:ascii="Arial" w:cs="Arial" w:eastAsia="Arial" w:hAnsi="Arial"/>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A proposal for revision of several legislative instruments related to medicinal products (potentially revising the duration of regulatory exclusivity, eligibility for expedited pathways, etc.) is expected to be adopted by the EC by the end of 2022. The proposed revisions, once they are agreed and adopted by the European Parliament and European Council (not expected before the end of 2024) may have a significant impact on the pharmaceutical industry in the long term.</w:t>
      </w:r>
    </w:p>
    <w:p>
      <w:pPr>
        <w:spacing w:after="0" w:line="192" w:lineRule="exact"/>
        <w:rPr>
          <w:sz w:val="20"/>
          <w:szCs w:val="20"/>
          <w:color w:val="auto"/>
        </w:rPr>
      </w:pPr>
    </w:p>
    <w:p>
      <w:pPr>
        <w:ind w:left="140" w:right="160"/>
        <w:spacing w:after="0" w:line="300" w:lineRule="auto"/>
        <w:rPr>
          <w:sz w:val="20"/>
          <w:szCs w:val="20"/>
          <w:color w:val="auto"/>
        </w:rPr>
      </w:pPr>
      <w:r>
        <w:rPr>
          <w:rFonts w:ascii="Arial" w:cs="Arial" w:eastAsia="Arial" w:hAnsi="Arial"/>
          <w:sz w:val="16"/>
          <w:szCs w:val="16"/>
          <w:color w:val="auto"/>
        </w:rPr>
        <w:t>This lengthy approval process, as well as the unpredictability of the results of clinical studies, may result in our failure to obtain regulatory approval to market any of our product candidates, which would significantly harm our business, results of operations, and prospects. Additionally, if the EMA, the FDA or comparable foreign regulatory authorities require that we conduct additional clinical studies, place limitations on our label, delay approval to market our product candidates or limit the use of our products, our business and results of operations may be harmed.</w:t>
      </w:r>
    </w:p>
    <w:p>
      <w:pPr>
        <w:spacing w:after="0" w:line="156" w:lineRule="exact"/>
        <w:rPr>
          <w:sz w:val="20"/>
          <w:szCs w:val="20"/>
          <w:color w:val="auto"/>
        </w:rPr>
      </w:pPr>
    </w:p>
    <w:p>
      <w:pPr>
        <w:ind w:left="140" w:right="40"/>
        <w:spacing w:after="0" w:line="274" w:lineRule="auto"/>
        <w:rPr>
          <w:sz w:val="20"/>
          <w:szCs w:val="20"/>
          <w:color w:val="auto"/>
        </w:rPr>
      </w:pPr>
      <w:r>
        <w:rPr>
          <w:rFonts w:ascii="Arial" w:cs="Arial" w:eastAsia="Arial" w:hAnsi="Arial"/>
          <w:sz w:val="17"/>
          <w:szCs w:val="17"/>
          <w:color w:val="auto"/>
        </w:rPr>
        <w:t>In addition, even if we ultimately obtain approval for any product candidate, regulatory authorities may approve any of our product candidates for fewer or more limited indications than we request, may not approve the price we intend to charge for our products, may grant approval contingent on the performance of costly post-marketing clinical trials, may impose a REMS or similar risk management measures, or may approve a product candidate with a label that does not include the labeling claims necessary or desirable for the successful commercialization of that product candidate. Any of the foregoing scenarios could harm the commercial prospects for our product candidates.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Additional time may be required to obtain marketing authorizations for any of our product candidates that we develop as combination products.</w:t>
      </w:r>
    </w:p>
    <w:p>
      <w:pPr>
        <w:spacing w:after="0" w:line="139" w:lineRule="exact"/>
        <w:rPr>
          <w:sz w:val="20"/>
          <w:szCs w:val="20"/>
          <w:color w:val="auto"/>
        </w:rPr>
      </w:pPr>
    </w:p>
    <w:p>
      <w:pPr>
        <w:ind w:left="140" w:right="40"/>
        <w:spacing w:after="0" w:line="267" w:lineRule="auto"/>
        <w:rPr>
          <w:sz w:val="20"/>
          <w:szCs w:val="20"/>
          <w:color w:val="auto"/>
        </w:rPr>
      </w:pPr>
      <w:r>
        <w:rPr>
          <w:rFonts w:ascii="Arial" w:cs="Arial" w:eastAsia="Arial" w:hAnsi="Arial"/>
          <w:sz w:val="17"/>
          <w:szCs w:val="17"/>
          <w:color w:val="auto"/>
        </w:rPr>
        <w:t>We are developing a pen-injector device with Ypsomed to facilitate patient administration of TransCon PTH. We anticipate that, if successfully developed, the pen-injector version of TransCon PTH would be regulated as a combination product by the FDA and other regulatory authorities. Combination products require coordination within the FDA and within comparable regulatory agencies for review of their drug and device components. For example, the FDA’s review of TransCon PTH may include the participation of both the FDA’s Center for Drug Evaluation and Research and the FDA’s Center for Devices and Radiological Health. 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MAA must include – where available – the results of the assessment of the conformity of the device part with the EU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spacing w:after="0" w:line="182" w:lineRule="exact"/>
        <w:rPr>
          <w:sz w:val="20"/>
          <w:szCs w:val="20"/>
          <w:color w:val="auto"/>
        </w:rPr>
      </w:pPr>
    </w:p>
    <w:p>
      <w:pPr>
        <w:ind w:left="140"/>
        <w:spacing w:after="0" w:line="292" w:lineRule="auto"/>
        <w:rPr>
          <w:sz w:val="20"/>
          <w:szCs w:val="20"/>
          <w:color w:val="auto"/>
        </w:rPr>
      </w:pPr>
      <w:r>
        <w:rPr>
          <w:rFonts w:ascii="Arial" w:cs="Arial" w:eastAsia="Arial" w:hAnsi="Arial"/>
          <w:sz w:val="16"/>
          <w:szCs w:val="16"/>
          <w:color w:val="auto"/>
        </w:rPr>
        <w:t>Although the FDA and comparable foreign agencies have or may have systems in place for the review and approval of combination products, we may experience additional delays in the development and commercialization of such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drug component application, and that no separate marketing application for the device components of such product candidates will be required in the United States, the FDA or comparable regulatory authorities may delay approval or require additional studies with the device which may delay the approval of the combination product.</w:t>
      </w:r>
    </w:p>
    <w:p>
      <w:pPr>
        <w:spacing w:after="0" w:line="271" w:lineRule="exact"/>
        <w:rPr>
          <w:sz w:val="20"/>
          <w:szCs w:val="20"/>
          <w:color w:val="auto"/>
        </w:rPr>
      </w:pPr>
    </w:p>
    <w:p>
      <w:pPr>
        <w:ind w:left="140" w:right="160"/>
        <w:spacing w:after="0" w:line="258" w:lineRule="auto"/>
        <w:rPr>
          <w:sz w:val="20"/>
          <w:szCs w:val="20"/>
          <w:color w:val="auto"/>
        </w:rPr>
      </w:pPr>
      <w:r>
        <w:rPr>
          <w:rFonts w:ascii="Arial" w:cs="Arial" w:eastAsia="Arial" w:hAnsi="Arial"/>
          <w:sz w:val="18"/>
          <w:szCs w:val="18"/>
          <w:b w:val="1"/>
          <w:bCs w:val="1"/>
          <w:i w:val="1"/>
          <w:iCs w:val="1"/>
          <w:color w:val="auto"/>
        </w:rPr>
        <w:t>Even after a regulatory approval for a product candidate, we are subject to ongoing regulatory obligations and review, which may result in significant additional expenses. Additionally, TransCon hGH and any other product candidates, if approved, could be subject to labeling and other restrictions and we may be subject to penalties if we fail to comply with regulatory requirements or experience unanticipated problems with our products.</w:t>
      </w:r>
    </w:p>
    <w:p>
      <w:pPr>
        <w:spacing w:after="0" w:line="79"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The governmental regulation of the development of products, including SKYTROFA (lonapegsomatropin-tcgd), and our other product candidates extend beyond clinical studies to approval required for their sale and monitoring of such products after sale. This regulation, approval and monitoring is the responsibility of numerous authorities in the United States, the EU and authorities in other territories. Following any regulatory approval of a product candidate, we, any collaboration partners and the manufacturers of our products will be subject to continuing regulatory obligations, including safety reporting requirements, regulatory oversight of product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85"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promotion and marketing, and cGMP or similar requirements. Furthermore, the manufacturing processes, labeling, packaging, distribution, adverse event reporting, storage, advertising, promotion and recordkeeping for the product will be subject to extensive and ongoing regulatory requirements. These regulations cover all aspects of manufacturing, testing, quality control and recordkeeping of our products. If we or any collaboration partners or manufacturers fail to comply with applicable regulatory requirements, we may be subject to fines, suspension or withdrawal of regulatory approvals, product recalls, seizure of products, operating restrictions and criminal prosecution. These requirements include submissions of safety and other post-marketing information and reports, registration, as well as continued compliance with cGMPs or similar requirements and GCPs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71" w:lineRule="exact"/>
        <w:rPr>
          <w:sz w:val="20"/>
          <w:szCs w:val="20"/>
          <w:color w:val="auto"/>
        </w:rPr>
      </w:pPr>
    </w:p>
    <w:p>
      <w:pPr>
        <w:ind w:left="140" w:right="20"/>
        <w:spacing w:after="0" w:line="268" w:lineRule="auto"/>
        <w:rPr>
          <w:sz w:val="20"/>
          <w:szCs w:val="20"/>
          <w:color w:val="auto"/>
        </w:rPr>
      </w:pPr>
      <w:r>
        <w:rPr>
          <w:rFonts w:ascii="Arial" w:cs="Arial" w:eastAsia="Arial" w:hAnsi="Arial"/>
          <w:sz w:val="17"/>
          <w:szCs w:val="17"/>
          <w:color w:val="auto"/>
        </w:rPr>
        <w:t>In addition, under the Federal Food, Drug, and Cosmetic Act, particular restrictions are placed on the distribution of human growth hormone products, including TransCon hGH. The distribution of product samples to physicians must also comply with the requirements of the Prescription Drug Marketing Act. Manufacturing facilities remain subject to FDA inspection and must continue to adhere to International Conference on Harmonisation of Technical Requirements for Registration of Pharmaceuticals for Human Use and the FDA’s cGMP requirements. Application holders must obtain FDA approval for many product and manufacturing changes, depending on the nature of the change. Sales, marketing, and scientific/educational grant programs must comply with the U.S. Anti-Kickback Statute, the False Claims Act, as amended and similar state laws. Certain payments and other transfers of value to U.S. licensed physicians (as defined under statute) and teaching hospitals must be reported under the Physician Payments Sunshine Act.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U.S. consumer protection and unfair competition laws.</w:t>
      </w:r>
    </w:p>
    <w:p>
      <w:pPr>
        <w:spacing w:after="0" w:line="182" w:lineRule="exact"/>
        <w:rPr>
          <w:sz w:val="20"/>
          <w:szCs w:val="20"/>
          <w:color w:val="auto"/>
        </w:rPr>
      </w:pPr>
    </w:p>
    <w:p>
      <w:pPr>
        <w:ind w:left="140"/>
        <w:spacing w:after="0" w:line="300" w:lineRule="auto"/>
        <w:rPr>
          <w:sz w:val="20"/>
          <w:szCs w:val="20"/>
          <w:color w:val="auto"/>
        </w:rPr>
      </w:pPr>
      <w:r>
        <w:rPr>
          <w:rFonts w:ascii="Arial" w:cs="Arial" w:eastAsia="Arial" w:hAnsi="Arial"/>
          <w:sz w:val="16"/>
          <w:szCs w:val="16"/>
          <w:color w:val="auto"/>
        </w:rPr>
        <w:t>We will also be required to report certain adverse reactions and production problems, if any, to the FDA or foreign regulatory authorities, and to comply with requirements concerning advertising and promotion for our products. Promotional communications with respect to prescription pharmaceutical products are subject to a variety of legal and regulatory restrictions and must be consistent with the information in the product’s approved label. As such, we may not promote our products for indications or uses for which they do not have FDA or foreign regulatory authorities approval.</w:t>
      </w:r>
    </w:p>
    <w:p>
      <w:pPr>
        <w:spacing w:after="0" w:line="156" w:lineRule="exact"/>
        <w:rPr>
          <w:sz w:val="20"/>
          <w:szCs w:val="20"/>
          <w:color w:val="auto"/>
        </w:rPr>
      </w:pPr>
    </w:p>
    <w:p>
      <w:pPr>
        <w:ind w:left="140" w:right="20"/>
        <w:spacing w:after="0" w:line="306"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3" w:lineRule="exact"/>
        <w:rPr>
          <w:sz w:val="20"/>
          <w:szCs w:val="20"/>
          <w:color w:val="auto"/>
        </w:rPr>
      </w:pPr>
    </w:p>
    <w:p>
      <w:pPr>
        <w:ind w:left="1100" w:hanging="426"/>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 fines or holds on clinical trials;</w:t>
      </w:r>
    </w:p>
    <w:p>
      <w:pPr>
        <w:spacing w:after="0" w:line="129" w:lineRule="exact"/>
        <w:rPr>
          <w:rFonts w:ascii="Arial" w:cs="Arial" w:eastAsia="Arial" w:hAnsi="Arial"/>
          <w:sz w:val="18"/>
          <w:szCs w:val="18"/>
          <w:color w:val="auto"/>
        </w:rPr>
      </w:pPr>
    </w:p>
    <w:p>
      <w:pPr>
        <w:ind w:left="1100" w:right="520" w:hanging="426"/>
        <w:spacing w:after="0" w:line="275"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of any of our future or ongoing clinical trials;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3" w:lineRule="exact"/>
        <w:rPr>
          <w:sz w:val="20"/>
          <w:szCs w:val="20"/>
          <w:color w:val="auto"/>
        </w:rPr>
      </w:pPr>
    </w:p>
    <w:p>
      <w:pPr>
        <w:ind w:left="140" w:right="20"/>
        <w:spacing w:after="0" w:line="25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86"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color w:val="auto"/>
        </w:rPr>
        <w:t>In addition, the FDA’s and foreign regulatory authorities’ policies may change and additional government laws or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85"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254" w:lineRule="auto"/>
        <w:rPr>
          <w:sz w:val="20"/>
          <w:szCs w:val="20"/>
          <w:color w:val="auto"/>
        </w:rPr>
      </w:pPr>
      <w:r>
        <w:rPr>
          <w:rFonts w:ascii="Arial" w:cs="Arial" w:eastAsia="Arial" w:hAnsi="Arial"/>
          <w:sz w:val="18"/>
          <w:szCs w:val="18"/>
          <w:color w:val="auto"/>
        </w:rPr>
        <w:t>Within the EU, once a marketing authorization is obtained, numerous post-approval requirements similar to the above ones also apply, and as in the United States, advertising and promotional activities for the product must be consistent with the approved summary of product characteristics and therefore off-label promotion of medicinal products is not permitted. Furthermore, the advertising and promotion of medicinal products is also subject to laws concerning promotion of medicinal products, interactions with physicians, misleading and comparative advertising and unfair commercial practices. Direct-to-consumer advertising of prescription medicines is also prohibited in the EU. The requirements are regulated by both EU regulations as well as national applicable regulations.</w:t>
      </w:r>
    </w:p>
    <w:p>
      <w:pPr>
        <w:spacing w:after="0" w:line="192" w:lineRule="exact"/>
        <w:rPr>
          <w:sz w:val="20"/>
          <w:szCs w:val="20"/>
          <w:color w:val="auto"/>
        </w:rPr>
      </w:pPr>
    </w:p>
    <w:p>
      <w:pPr>
        <w:jc w:val="both"/>
        <w:ind w:left="140" w:right="200"/>
        <w:spacing w:after="0" w:line="340" w:lineRule="auto"/>
        <w:rPr>
          <w:sz w:val="20"/>
          <w:szCs w:val="20"/>
          <w:color w:val="auto"/>
        </w:rPr>
      </w:pPr>
      <w:r>
        <w:rPr>
          <w:rFonts w:ascii="Arial" w:cs="Arial" w:eastAsia="Arial" w:hAnsi="Arial"/>
          <w:sz w:val="16"/>
          <w:szCs w:val="16"/>
          <w:color w:val="auto"/>
        </w:rPr>
        <w:t>The regulatory requirements relating to the manufacturing, testing, marketing and sale of pharmaceutical products are subject to periodic change. This may impact our development plans. Changes in the regulations governing us could increase costs and adversely affect our business.</w:t>
      </w:r>
    </w:p>
    <w:p>
      <w:pPr>
        <w:spacing w:after="0" w:line="124" w:lineRule="exact"/>
        <w:rPr>
          <w:sz w:val="20"/>
          <w:szCs w:val="20"/>
          <w:color w:val="auto"/>
        </w:rPr>
      </w:pPr>
    </w:p>
    <w:p>
      <w:pPr>
        <w:jc w:val="both"/>
        <w:ind w:left="140" w:right="180"/>
        <w:spacing w:after="0" w:line="310" w:lineRule="auto"/>
        <w:rPr>
          <w:sz w:val="20"/>
          <w:szCs w:val="20"/>
          <w:color w:val="auto"/>
        </w:rPr>
      </w:pPr>
      <w:r>
        <w:rPr>
          <w:rFonts w:ascii="Arial" w:cs="Arial" w:eastAsia="Arial" w:hAnsi="Arial"/>
          <w:sz w:val="16"/>
          <w:szCs w:val="16"/>
          <w:color w:val="auto"/>
        </w:rPr>
        <w:t>Furthermore, companies developing pharmaceutical products are facing increased demands to publish clinical trial results. Any such publication by us may, in addition to the additional cost of the publication, lead to investors misinterpreting the published data due to its technical and scientific nature, which, in turn, may adversely affect our business, results of operations and prospects and the value of our shares or ADSs.</w:t>
      </w:r>
    </w:p>
    <w:p>
      <w:pPr>
        <w:spacing w:after="0" w:line="256" w:lineRule="exact"/>
        <w:rPr>
          <w:sz w:val="20"/>
          <w:szCs w:val="20"/>
          <w:color w:val="auto"/>
        </w:rPr>
      </w:pPr>
    </w:p>
    <w:p>
      <w:pPr>
        <w:ind w:left="140" w:right="320"/>
        <w:spacing w:after="0" w:line="285"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57" w:lineRule="exact"/>
        <w:rPr>
          <w:sz w:val="20"/>
          <w:szCs w:val="20"/>
          <w:color w:val="auto"/>
        </w:rPr>
      </w:pPr>
    </w:p>
    <w:p>
      <w:pPr>
        <w:ind w:left="140" w:right="40"/>
        <w:spacing w:after="0" w:line="288" w:lineRule="auto"/>
        <w:rPr>
          <w:sz w:val="20"/>
          <w:szCs w:val="20"/>
          <w:color w:val="auto"/>
        </w:rPr>
      </w:pPr>
      <w:r>
        <w:rPr>
          <w:rFonts w:ascii="Arial" w:cs="Arial" w:eastAsia="Arial" w:hAnsi="Arial"/>
          <w:sz w:val="16"/>
          <w:szCs w:val="16"/>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medical devices and biologics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65" w:lineRule="exact"/>
        <w:rPr>
          <w:sz w:val="20"/>
          <w:szCs w:val="20"/>
          <w:color w:val="auto"/>
        </w:rPr>
      </w:pPr>
    </w:p>
    <w:p>
      <w:pPr>
        <w:ind w:left="140" w:right="20"/>
        <w:spacing w:after="0" w:line="285"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77" w:lineRule="exact"/>
        <w:rPr>
          <w:sz w:val="20"/>
          <w:szCs w:val="20"/>
          <w:color w:val="auto"/>
        </w:rPr>
      </w:pPr>
    </w:p>
    <w:p>
      <w:pPr>
        <w:ind w:left="140" w:right="300"/>
        <w:spacing w:after="0" w:line="374" w:lineRule="auto"/>
        <w:rPr>
          <w:sz w:val="20"/>
          <w:szCs w:val="20"/>
          <w:color w:val="auto"/>
        </w:rPr>
      </w:pPr>
      <w:r>
        <w:rPr>
          <w:rFonts w:ascii="Arial" w:cs="Arial" w:eastAsia="Arial" w:hAnsi="Arial"/>
          <w:sz w:val="15"/>
          <w:szCs w:val="15"/>
          <w:b w:val="1"/>
          <w:bCs w:val="1"/>
          <w:i w:val="1"/>
          <w:iCs w:val="1"/>
          <w:color w:val="auto"/>
        </w:rPr>
        <w:t>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spacing w:after="0" w:line="1"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in the United States are essential for most patients to be able to afford treatments such as TransCon hGH or our other product candidates, assuming approval. Our ability to achieve acceptable levels of coverage and reimbursement for drug treatments by governmental authorities, private health insurers and other organizations will have an effect on our ability to successfully commercialize TransCon hGH, and potentially attract additional collaboration partners to invest in the development of our product candidates. We cannot be sure that adequate coverage and reimbursement in the United States, the EU 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5"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89" w:lineRule="auto"/>
        <w:rPr>
          <w:sz w:val="20"/>
          <w:szCs w:val="20"/>
          <w:color w:val="auto"/>
        </w:rPr>
      </w:pPr>
      <w:r>
        <w:rPr>
          <w:rFonts w:ascii="Arial" w:cs="Arial" w:eastAsia="Arial" w:hAnsi="Arial"/>
          <w:sz w:val="16"/>
          <w:szCs w:val="16"/>
          <w:color w:val="auto"/>
        </w:rPr>
        <w:t>elsewhere will be available for TransCon hGH or any other product that we may develop, and any reimbursement that may become available may be decreased or eliminated in the future. 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TransCon hGH or our other product candidates, if approved, and the generic or biosimilar parent drug as substitutable and only offer to reimburse patients for the generic drug. Even if we show improved efficacy or improved convenience of administration with TransCon hGH or our other product candidates, if approved, pricing of the existing parent drug may limit the amount we will be able to charge for such product. If reimbursement is not available or is available only at limited levels, we may not be able to successfully commercialize TransCon hGH or our other product candidates, and may not be able to obtain a satisfactory financial return on products that we may develop.</w:t>
      </w:r>
    </w:p>
    <w:p>
      <w:pPr>
        <w:spacing w:after="0" w:line="165" w:lineRule="exact"/>
        <w:rPr>
          <w:sz w:val="20"/>
          <w:szCs w:val="20"/>
          <w:color w:val="auto"/>
        </w:rPr>
      </w:pPr>
    </w:p>
    <w:p>
      <w:pPr>
        <w:ind w:left="140" w:right="60"/>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TransCon hGH or our other product candidates.</w:t>
      </w:r>
    </w:p>
    <w:p>
      <w:pPr>
        <w:spacing w:after="0" w:line="192" w:lineRule="exact"/>
        <w:rPr>
          <w:sz w:val="20"/>
          <w:szCs w:val="20"/>
          <w:color w:val="auto"/>
        </w:rPr>
      </w:pPr>
    </w:p>
    <w:p>
      <w:pPr>
        <w:ind w:left="140" w:right="20"/>
        <w:spacing w:after="0" w:line="268"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TransCon hGH, and our other product candidates, if approved, and on related parent drugs. In many countries, the prices of medical products are subject to varying price control mechanisms as part of national health systems. Many countries, including the European Union member states, established complex and lengthy procedures to obtain price approvals, coverage and reimbursement. These procedures vary from country to country but are commonly initiated after grant of the related marketing authorization. Other countries allow companies to fix their own prices for medical products, but monitor and control company profits. Additional foreign price controls or other changes in pricing regulation could restrict the amount that we are able to charge for TransCon hGH or our other product candidates. Accordingly, in markets outside the United States, the 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spacing w:after="0" w:line="179" w:lineRule="exact"/>
        <w:rPr>
          <w:sz w:val="20"/>
          <w:szCs w:val="20"/>
          <w:color w:val="auto"/>
        </w:rPr>
      </w:pPr>
    </w:p>
    <w:p>
      <w:pPr>
        <w:ind w:left="140" w:right="100"/>
        <w:spacing w:after="0" w:line="292"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TransCon hGH or our other product candidates. We expect to experience pricing pressures in connection with the sale of TransCon hGH and any of our other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w:t>
      </w:r>
    </w:p>
    <w:p>
      <w:pPr>
        <w:spacing w:after="0" w:line="271" w:lineRule="exact"/>
        <w:rPr>
          <w:sz w:val="20"/>
          <w:szCs w:val="20"/>
          <w:color w:val="auto"/>
        </w:rPr>
      </w:pPr>
    </w:p>
    <w:p>
      <w:pPr>
        <w:ind w:left="140" w:right="440"/>
        <w:spacing w:after="0" w:line="262" w:lineRule="auto"/>
        <w:rPr>
          <w:sz w:val="20"/>
          <w:szCs w:val="20"/>
          <w:color w:val="auto"/>
        </w:rPr>
      </w:pPr>
      <w:r>
        <w:rPr>
          <w:rFonts w:ascii="Arial" w:cs="Arial" w:eastAsia="Arial" w:hAnsi="Arial"/>
          <w:sz w:val="18"/>
          <w:szCs w:val="18"/>
          <w:b w:val="1"/>
          <w:bCs w:val="1"/>
          <w:i w:val="1"/>
          <w:iCs w:val="1"/>
          <w:color w:val="auto"/>
        </w:rPr>
        <w:t>We and contract manufacturers are subject to significant regulation with respect to manufacturing TransCon hGH and our other product candidates. The manufacturing facilities on which we rely may not continue to meet regulatory requirements or may not be able to meet supply demands.</w:t>
      </w:r>
    </w:p>
    <w:p>
      <w:pPr>
        <w:spacing w:after="0" w:line="75" w:lineRule="exact"/>
        <w:rPr>
          <w:sz w:val="20"/>
          <w:szCs w:val="20"/>
          <w:color w:val="auto"/>
        </w:rPr>
      </w:pPr>
    </w:p>
    <w:p>
      <w:pPr>
        <w:ind w:left="140" w:right="80"/>
        <w:spacing w:after="0" w:line="286" w:lineRule="auto"/>
        <w:rPr>
          <w:sz w:val="20"/>
          <w:szCs w:val="20"/>
          <w:color w:val="auto"/>
        </w:rPr>
      </w:pPr>
      <w:r>
        <w:rPr>
          <w:rFonts w:ascii="Arial" w:cs="Arial" w:eastAsia="Arial" w:hAnsi="Arial"/>
          <w:sz w:val="16"/>
          <w:szCs w:val="16"/>
          <w:color w:val="auto"/>
        </w:rPr>
        <w:t>We depend on third-parties to manufacture products employing our TransCon technologies. Components of a finished therapeutic product approved for commercial sale or used in late-stage clinical studies must be manufactured in accordance with cGMP or similar requirements outside the United States. These regulations govern manufacturing processes and procedures (including record keeping) and the implementation and operation of quality systems to control and assure the quality of investigational products and products approved for sale. All entities involved in the preparation of TransCon hGH and our other product candidates for clinical studies or commercial sale, including our existing contract manufacturers for TransCon hGH and our other product candidates, are subject to extensive regulation. Manufacturing facilities are subject to pre-approval and ongoing periodic inspection by the FDA and other corresponding governmental authorities, including unannounced inspections, and must be licensed before they can be used in commercial manufacturing of products employing our TransCon technologies. After regulatory approvals or licensure are obtained, the subsequent discovery of previously unknown manufacturing, quality control or regulatory documentation problems or failure to maintain compliance with the regulatory requirements may result in restrictions on the marketing of a product, revocation of the license, withdrawal of the product from the market, seizures, injunctions, or criminal sanctions. Poor control of production processes can lead to the introduction of contaminants or to inadvertent changes in the properties or stability of our product candidates that may not be detectable in final product testing. We or our</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5"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270" w:lineRule="auto"/>
        <w:rPr>
          <w:sz w:val="20"/>
          <w:szCs w:val="20"/>
          <w:color w:val="auto"/>
        </w:rPr>
      </w:pPr>
      <w:r>
        <w:rPr>
          <w:rFonts w:ascii="Arial" w:cs="Arial" w:eastAsia="Arial" w:hAnsi="Arial"/>
          <w:sz w:val="17"/>
          <w:szCs w:val="17"/>
          <w:color w:val="auto"/>
        </w:rPr>
        <w:t>contract manufacturers must supply all necessary documentation in support of an NDA, BLA, MAA or comparable regulatory filing on a timely basis and must adhere to cGMP or similar regulations enforced by the FDA and other regulatory authorities through their facilities inspection programs. Some of our contract manufacturers have never produced a commercially approved pharmaceutical product and therefore have not obtained the requisite regulatory authority approvals to do so.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78"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suspension of production or closure of a facility. Any such remedial measures imposed upon us or third-parties with whom we contract could harm our business.</w:t>
      </w:r>
    </w:p>
    <w:p>
      <w:pPr>
        <w:spacing w:after="0" w:line="192" w:lineRule="exact"/>
        <w:rPr>
          <w:sz w:val="20"/>
          <w:szCs w:val="20"/>
          <w:color w:val="auto"/>
        </w:rPr>
      </w:pPr>
    </w:p>
    <w:p>
      <w:pPr>
        <w:jc w:val="both"/>
        <w:ind w:left="140" w:right="500"/>
        <w:spacing w:after="0" w:line="310" w:lineRule="auto"/>
        <w:rPr>
          <w:sz w:val="20"/>
          <w:szCs w:val="20"/>
          <w:color w:val="auto"/>
        </w:rPr>
      </w:pPr>
      <w:r>
        <w:rPr>
          <w:rFonts w:ascii="Arial" w:cs="Arial" w:eastAsia="Arial" w:hAnsi="Arial"/>
          <w:sz w:val="16"/>
          <w:szCs w:val="16"/>
          <w:color w:val="auto"/>
        </w:rPr>
        <w:t>If we or any of our third-party manufacturers fail to maintain regulatory compliance, the FDA or other applicable regulatory authority can impose regulatory sanctions including, among other things, refusal to approve a pending application for a new pharmaceutical product, withdrawal of an approval, or suspension of production. As a result, our business, financial condition, and results of operations may be harmed.</w:t>
      </w:r>
    </w:p>
    <w:p>
      <w:pPr>
        <w:spacing w:after="0" w:line="148" w:lineRule="exact"/>
        <w:rPr>
          <w:sz w:val="20"/>
          <w:szCs w:val="20"/>
          <w:color w:val="auto"/>
        </w:rPr>
      </w:pPr>
    </w:p>
    <w:p>
      <w:pPr>
        <w:ind w:left="140" w:right="40"/>
        <w:spacing w:after="0" w:line="254"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or BLA, a supplemental NDA or BLA, a marketing authorization variation application or equivalent foreign regulatory filing,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 Furthermore, interruption or delay in supplies from one contract manufacturer may cause delays further down the supply chain, as certain contract manufacturers may rely on delivery of materials from other contract manufacturers.</w:t>
      </w:r>
    </w:p>
    <w:p>
      <w:pPr>
        <w:spacing w:after="0" w:line="192" w:lineRule="exact"/>
        <w:rPr>
          <w:sz w:val="20"/>
          <w:szCs w:val="20"/>
          <w:color w:val="auto"/>
        </w:rPr>
      </w:pPr>
    </w:p>
    <w:p>
      <w:pPr>
        <w:ind w:left="140" w:right="120"/>
        <w:spacing w:after="0" w:line="258" w:lineRule="auto"/>
        <w:rPr>
          <w:sz w:val="20"/>
          <w:szCs w:val="20"/>
          <w:color w:val="auto"/>
        </w:rPr>
      </w:pPr>
      <w:r>
        <w:rPr>
          <w:rFonts w:ascii="Arial" w:cs="Arial" w:eastAsia="Arial" w:hAnsi="Arial"/>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94" w:lineRule="exact"/>
        <w:rPr>
          <w:sz w:val="20"/>
          <w:szCs w:val="20"/>
          <w:color w:val="auto"/>
        </w:rPr>
      </w:pPr>
    </w:p>
    <w:p>
      <w:pPr>
        <w:ind w:left="140" w:right="40"/>
        <w:spacing w:after="0" w:line="275" w:lineRule="auto"/>
        <w:rPr>
          <w:sz w:val="20"/>
          <w:szCs w:val="20"/>
          <w:color w:val="auto"/>
        </w:rPr>
      </w:pPr>
      <w:r>
        <w:rPr>
          <w:rFonts w:ascii="Arial" w:cs="Arial" w:eastAsia="Arial" w:hAnsi="Arial"/>
          <w:sz w:val="18"/>
          <w:szCs w:val="18"/>
          <w:b w:val="1"/>
          <w:bCs w:val="1"/>
          <w:i w:val="1"/>
          <w:iCs w:val="1"/>
          <w:color w:val="auto"/>
        </w:rPr>
        <w:t>Our operations involve hazardous materials and we and third-parties with whom we contract must comply with environmental laws and regulations, which can be expensive and restrict how we do business.</w:t>
      </w:r>
    </w:p>
    <w:p>
      <w:pPr>
        <w:spacing w:after="0" w:line="64" w:lineRule="exact"/>
        <w:rPr>
          <w:sz w:val="20"/>
          <w:szCs w:val="20"/>
          <w:color w:val="auto"/>
        </w:rPr>
      </w:pPr>
    </w:p>
    <w:p>
      <w:pPr>
        <w:ind w:left="140"/>
        <w:spacing w:after="0" w:line="284" w:lineRule="auto"/>
        <w:rPr>
          <w:sz w:val="20"/>
          <w:szCs w:val="20"/>
          <w:color w:val="auto"/>
        </w:rPr>
      </w:pPr>
      <w:r>
        <w:rPr>
          <w:rFonts w:ascii="Arial" w:cs="Arial" w:eastAsia="Arial" w:hAnsi="Arial"/>
          <w:sz w:val="16"/>
          <w:szCs w:val="16"/>
          <w:color w:val="auto"/>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the event of an accident or environmental discharge, we may be held liable for any consequential damage and any resulting claims for damages, which may exceed our financial resources and may materially adversely affect our business, results of operations and prospects, and the value of our shares or ADSs.</w:t>
      </w:r>
    </w:p>
    <w:p>
      <w:pPr>
        <w:spacing w:after="0" w:line="283" w:lineRule="exact"/>
        <w:rPr>
          <w:sz w:val="20"/>
          <w:szCs w:val="20"/>
          <w:color w:val="auto"/>
        </w:rPr>
      </w:pPr>
    </w:p>
    <w:p>
      <w:pPr>
        <w:ind w:left="140" w:right="740"/>
        <w:spacing w:after="0" w:line="340" w:lineRule="auto"/>
        <w:rPr>
          <w:sz w:val="20"/>
          <w:szCs w:val="20"/>
          <w:color w:val="auto"/>
        </w:rPr>
      </w:pPr>
      <w:r>
        <w:rPr>
          <w:rFonts w:ascii="Arial" w:cs="Arial" w:eastAsia="Arial" w:hAnsi="Arial"/>
          <w:sz w:val="16"/>
          <w:szCs w:val="16"/>
          <w:b w:val="1"/>
          <w:bCs w:val="1"/>
          <w:i w:val="1"/>
          <w:iCs w:val="1"/>
          <w:color w:val="auto"/>
        </w:rPr>
        <w:t>If we fail to comply or are found to have failed to comply with EU, FDA and other regulations related to the promotion of our products for unapproved uses, we could be subject to criminal penalties, substantial fines or other sanctions and damage awards.</w:t>
      </w:r>
    </w:p>
    <w:p>
      <w:pPr>
        <w:spacing w:after="0" w:line="17" w:lineRule="exact"/>
        <w:rPr>
          <w:sz w:val="20"/>
          <w:szCs w:val="20"/>
          <w:color w:val="auto"/>
        </w:rPr>
      </w:pPr>
    </w:p>
    <w:p>
      <w:pPr>
        <w:ind w:left="140" w:right="260"/>
        <w:spacing w:after="0" w:line="275" w:lineRule="auto"/>
        <w:rPr>
          <w:sz w:val="20"/>
          <w:szCs w:val="20"/>
          <w:color w:val="auto"/>
        </w:rPr>
      </w:pPr>
      <w:r>
        <w:rPr>
          <w:rFonts w:ascii="Arial" w:cs="Arial" w:eastAsia="Arial" w:hAnsi="Arial"/>
          <w:sz w:val="18"/>
          <w:szCs w:val="18"/>
          <w:color w:val="auto"/>
        </w:rPr>
        <w:t>The regulations relating to the promotion of products for unapproved uses are complex and subject to substantial interpretation by the FDA and other regulatory authorities, as well as courts. Our first product SKYTROFA (lonapegsomatropin-tcgd) was approved by the</w:t>
      </w:r>
    </w:p>
    <w:p>
      <w:pPr>
        <w:sectPr>
          <w:pgSz w:w="11900" w:h="16838" w:orient="portrait"/>
          <w:cols w:equalWidth="0" w:num="1">
            <w:col w:w="11100"/>
          </w:cols>
          <w:pgMar w:left="320" w:top="485" w:right="479" w:bottom="1440" w:gutter="0" w:footer="0" w:header="0"/>
        </w:sectPr>
      </w:pP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00"/>
          </w:cols>
          <w:pgMar w:left="320" w:top="485" w:right="4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80"/>
        <w:spacing w:after="0" w:line="295" w:lineRule="auto"/>
        <w:rPr>
          <w:sz w:val="20"/>
          <w:szCs w:val="20"/>
          <w:color w:val="auto"/>
        </w:rPr>
      </w:pPr>
      <w:r>
        <w:rPr>
          <w:rFonts w:ascii="Arial" w:cs="Arial" w:eastAsia="Arial" w:hAnsi="Arial"/>
          <w:sz w:val="16"/>
          <w:szCs w:val="16"/>
          <w:color w:val="auto"/>
        </w:rPr>
        <w:t>FDA on August 25, 2021 for the treatment of pediatric patients 1 year and older who weigh at least 11.5 kg and have growth failure due to inadequate secretion of endogenous growth hormone, and we are restricted from marketing SKYTROFA and any other product candidate that receives marketing approval outside of its approved labeling, also referred to as off-label promotion. However, physicians may nevertheless lawfully prescribe an approved product to their patients in a manner that is inconsistent with the approved label, which is an off-label use. The FDA or other government authorities may allege or find that our practices constitute prohibited promotion of TransCon hGH for unapproved uses.</w:t>
      </w:r>
    </w:p>
    <w:p>
      <w:pPr>
        <w:spacing w:after="0" w:line="161"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color w:val="auto"/>
        </w:rPr>
        <w:t>Over the past several years, a significant number of pharmaceutical and biotechnology companies have been the target of inquiries and investigations by various 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79"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5" w:lineRule="exact"/>
        <w:rPr>
          <w:sz w:val="20"/>
          <w:szCs w:val="20"/>
          <w:color w:val="auto"/>
        </w:rPr>
      </w:pPr>
    </w:p>
    <w:p>
      <w:pPr>
        <w:ind w:left="140" w:right="80"/>
        <w:spacing w:after="0" w:line="275"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w:t>
      </w:r>
    </w:p>
    <w:p>
      <w:pPr>
        <w:spacing w:after="0" w:line="64" w:lineRule="exact"/>
        <w:rPr>
          <w:sz w:val="20"/>
          <w:szCs w:val="20"/>
          <w:color w:val="auto"/>
        </w:rPr>
      </w:pPr>
    </w:p>
    <w:p>
      <w:pPr>
        <w:ind w:left="140" w:right="20"/>
        <w:spacing w:after="0" w:line="284"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(1) FDA or similar foreign regulations, including those laws that require the reporting of true, complete and accurate information to the FDA or foreign regulatory authorities; (2) manufacturing standards; (3) U.S. federal and state fraud and abuse and other healthcare laws and regulations including foreign requirements;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or non U.S. healthcare programs, imprisonment, contractual damages, reputational harm, diminished profits and future earnings, and curtailment of our operations, any of which could adversely affect our ability to operate our business and our results of operations.</w:t>
      </w:r>
    </w:p>
    <w:p>
      <w:pPr>
        <w:spacing w:after="0" w:line="281" w:lineRule="exact"/>
        <w:rPr>
          <w:sz w:val="20"/>
          <w:szCs w:val="20"/>
          <w:color w:val="auto"/>
        </w:rPr>
      </w:pPr>
    </w:p>
    <w:p>
      <w:pPr>
        <w:ind w:left="140" w:right="100"/>
        <w:spacing w:after="0" w:line="275" w:lineRule="auto"/>
        <w:rPr>
          <w:sz w:val="20"/>
          <w:szCs w:val="20"/>
          <w:color w:val="auto"/>
        </w:rPr>
      </w:pPr>
      <w:r>
        <w:rPr>
          <w:rFonts w:ascii="Arial" w:cs="Arial" w:eastAsia="Arial" w:hAnsi="Arial"/>
          <w:sz w:val="18"/>
          <w:szCs w:val="18"/>
          <w:b w:val="1"/>
          <w:bCs w:val="1"/>
          <w:i w:val="1"/>
          <w:iCs w:val="1"/>
          <w:color w:val="auto"/>
        </w:rPr>
        <w:t>We are subject to global anti-corruption laws, including the U.S. Foreign Corrupt Practices Act, and non-compliance with such laws can subject us to criminal or civil liability and harm our business, financial condition and results of operations.</w:t>
      </w:r>
    </w:p>
    <w:p>
      <w:pPr>
        <w:spacing w:after="0" w:line="64"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Our business activities may be subject to the Foreign Corrupt Practices Act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w:t>
      </w:r>
    </w:p>
    <w:p>
      <w:pPr>
        <w:sectPr>
          <w:pgSz w:w="11900" w:h="16838" w:orient="portrait"/>
          <w:cols w:equalWidth="0" w:num="1">
            <w:col w:w="11100"/>
          </w:cols>
          <w:pgMar w:left="320" w:top="485" w:right="479" w:bottom="1440" w:gutter="0" w:footer="0" w:header="0"/>
        </w:sectPr>
      </w:pP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00"/>
          </w:cols>
          <w:pgMar w:left="320" w:top="485" w:right="47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0"/>
        <w:spacing w:after="0" w:line="269" w:lineRule="auto"/>
        <w:rPr>
          <w:sz w:val="20"/>
          <w:szCs w:val="20"/>
          <w:color w:val="auto"/>
        </w:rPr>
      </w:pPr>
      <w:r>
        <w:rPr>
          <w:rFonts w:ascii="Arial" w:cs="Arial" w:eastAsia="Arial" w:hAnsi="Arial"/>
          <w:sz w:val="17"/>
          <w:szCs w:val="17"/>
          <w:color w:val="auto"/>
        </w:rPr>
        <w:t>There is no certainty that all of our employees, agents, contractors, or collaborators, or those of our affiliates, will comply with all applicable laws and regulations, particularly given the high level of complexity of these requirements. We have adopted a code of conduct, but it is not always possible to identify and deter employee misconduct, and the precautions we take to detect and prevent this activity may be ineffective in controlling unknown or unmanaged risks or losses or in protecting us from allegations, governmental investigations or other actions or lawsuits stemming from a failure to comply with these requirements. If any such actions are instituted against us, and we are not successful in defending ourselves or asserting our rights, those actions could have a significant impact on our business,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Investigations of alleged violations can also be disruptive and cause us to incur significant legal and investigatory fees.”</w:t>
      </w:r>
    </w:p>
    <w:p>
      <w:pPr>
        <w:spacing w:after="0" w:line="288" w:lineRule="exact"/>
        <w:rPr>
          <w:sz w:val="20"/>
          <w:szCs w:val="20"/>
          <w:color w:val="auto"/>
        </w:rPr>
      </w:pPr>
    </w:p>
    <w:p>
      <w:pPr>
        <w:ind w:left="140" w:right="660"/>
        <w:spacing w:after="0" w:line="275" w:lineRule="auto"/>
        <w:rPr>
          <w:sz w:val="20"/>
          <w:szCs w:val="20"/>
          <w:color w:val="auto"/>
        </w:rPr>
      </w:pPr>
      <w:r>
        <w:rPr>
          <w:rFonts w:ascii="Arial" w:cs="Arial" w:eastAsia="Arial" w:hAnsi="Arial"/>
          <w:sz w:val="18"/>
          <w:szCs w:val="18"/>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64" w:lineRule="exact"/>
        <w:rPr>
          <w:sz w:val="20"/>
          <w:szCs w:val="20"/>
          <w:color w:val="auto"/>
        </w:rPr>
      </w:pPr>
    </w:p>
    <w:p>
      <w:pPr>
        <w:ind w:left="140" w:right="40"/>
        <w:spacing w:after="0" w:line="289" w:lineRule="auto"/>
        <w:rPr>
          <w:sz w:val="20"/>
          <w:szCs w:val="20"/>
          <w:color w:val="auto"/>
        </w:rPr>
      </w:pPr>
      <w:r>
        <w:rPr>
          <w:rFonts w:ascii="Arial" w:cs="Arial" w:eastAsia="Arial" w:hAnsi="Arial"/>
          <w:sz w:val="16"/>
          <w:szCs w:val="16"/>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Failure to obtain regulatory approvals in non-U.S. jurisdictions would prevent us from marketing our products outside of the United States.</w:t>
      </w:r>
    </w:p>
    <w:p>
      <w:pPr>
        <w:spacing w:after="0" w:line="139"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In order to market our products outside of the United States, we, or any potential partner, must obtain separate regulatory approvals and comply with numerous and varying regulatory requirements of other countries regarding safety and efficacy and governing, among other things, clinical trials and commercial sales, pricing and distribution of our products. The time required to obtain approval in other countries might differ from and be longer than that required to obtain FDA approval. The regulatory approval process in other countries may include all of the risks detailed in these “Risk Factors” , as well as other risks.</w:t>
      </w:r>
    </w:p>
    <w:p>
      <w:pPr>
        <w:spacing w:after="0" w:line="188" w:lineRule="exact"/>
        <w:rPr>
          <w:sz w:val="20"/>
          <w:szCs w:val="20"/>
          <w:color w:val="auto"/>
        </w:rPr>
      </w:pPr>
    </w:p>
    <w:p>
      <w:pPr>
        <w:ind w:left="140" w:right="660"/>
        <w:spacing w:after="0" w:line="275" w:lineRule="auto"/>
        <w:rPr>
          <w:sz w:val="20"/>
          <w:szCs w:val="20"/>
          <w:color w:val="auto"/>
        </w:rPr>
      </w:pPr>
      <w:r>
        <w:rPr>
          <w:rFonts w:ascii="Arial" w:cs="Arial" w:eastAsia="Arial" w:hAnsi="Arial"/>
          <w:sz w:val="18"/>
          <w:szCs w:val="18"/>
          <w:color w:val="auto"/>
        </w:rPr>
        <w:t>In the EU, medicinal products can only be commercialized after obtaining a marketing authorization. For additional information, see “Item 4 B. Information on the Company – Business Overview – Foreign Regulation.”</w:t>
      </w:r>
    </w:p>
    <w:p>
      <w:pPr>
        <w:spacing w:after="0" w:line="171" w:lineRule="exact"/>
        <w:rPr>
          <w:sz w:val="20"/>
          <w:szCs w:val="20"/>
          <w:color w:val="auto"/>
        </w:rPr>
      </w:pPr>
    </w:p>
    <w:p>
      <w:pPr>
        <w:ind w:left="140" w:right="160"/>
        <w:spacing w:after="0" w:line="289" w:lineRule="auto"/>
        <w:rPr>
          <w:sz w:val="20"/>
          <w:szCs w:val="20"/>
          <w:color w:val="auto"/>
        </w:rPr>
      </w:pPr>
      <w:r>
        <w:rPr>
          <w:rFonts w:ascii="Arial" w:cs="Arial" w:eastAsia="Arial" w:hAnsi="Arial"/>
          <w:sz w:val="16"/>
          <w:szCs w:val="16"/>
          <w:color w:val="auto"/>
        </w:rPr>
        <w:t>Outside the U.S. and the EU, approval procedures vary among countries and can involve additional clinical testing, and the time required to obtain approval may differ from that required to obtain FDA or EU approval. Clinical trials conducted in one country may not be accepted by regulatory authorities in other countries. Approval by the FDA, EC, or EU member state competent authorities does not ensure approval by regulatory authorities in other countries, and approval by one or more foreign regulatory authorities does not ensure approval by regulatory authorities in other foreign countries or by the FDA, EC, or EU member states competent authorities. However, a failure or delay in obtaining regulatory approval in one country may have a negative effect on the regulatory process in others. The foreign regulatory approval process may include all of the risks associated with obtaining FDA approval, EC, or EU member states competent authority. We may not be able to file for regulatory approvals or to do so on a timely basis, and even if we do file, we may not receive necessary approvals to commercialize our products in any market.</w:t>
      </w:r>
    </w:p>
    <w:p>
      <w:pPr>
        <w:spacing w:after="0" w:line="272" w:lineRule="exact"/>
        <w:rPr>
          <w:sz w:val="20"/>
          <w:szCs w:val="20"/>
          <w:color w:val="auto"/>
        </w:rPr>
      </w:pPr>
    </w:p>
    <w:p>
      <w:pPr>
        <w:ind w:left="140" w:right="460"/>
        <w:spacing w:after="0" w:line="275" w:lineRule="auto"/>
        <w:rPr>
          <w:sz w:val="20"/>
          <w:szCs w:val="20"/>
          <w:color w:val="auto"/>
        </w:rPr>
      </w:pPr>
      <w:r>
        <w:rPr>
          <w:rFonts w:ascii="Arial" w:cs="Arial" w:eastAsia="Arial" w:hAnsi="Arial"/>
          <w:sz w:val="18"/>
          <w:szCs w:val="18"/>
          <w:b w:val="1"/>
          <w:bCs w:val="1"/>
          <w:i w:val="1"/>
          <w:iCs w:val="1"/>
          <w:color w:val="auto"/>
        </w:rPr>
        <w:t>We are subject to healthcare laws, regulation and enforcement; our failure to comply with these laws could harm our results of operations and financial conditions.</w:t>
      </w:r>
    </w:p>
    <w:p>
      <w:pPr>
        <w:spacing w:after="0" w:line="64" w:lineRule="exact"/>
        <w:rPr>
          <w:sz w:val="20"/>
          <w:szCs w:val="20"/>
          <w:color w:val="auto"/>
        </w:rPr>
      </w:pPr>
    </w:p>
    <w:p>
      <w:pPr>
        <w:ind w:left="140" w:right="740"/>
        <w:spacing w:after="0" w:line="275" w:lineRule="auto"/>
        <w:rPr>
          <w:sz w:val="20"/>
          <w:szCs w:val="20"/>
          <w:color w:val="auto"/>
        </w:rPr>
      </w:pPr>
      <w:r>
        <w:rPr>
          <w:rFonts w:ascii="Arial" w:cs="Arial" w:eastAsia="Arial" w:hAnsi="Arial"/>
          <w:sz w:val="18"/>
          <w:szCs w:val="18"/>
          <w:color w:val="auto"/>
        </w:rPr>
        <w:t>We are subject to healthcare, statutory and regulatory requirements and enforcement by the U.S. federal government and the states and foreign governments in which we conduct our business. The laws that affect our ability to operate include:</w:t>
      </w:r>
    </w:p>
    <w:p>
      <w:pPr>
        <w:spacing w:after="0" w:line="77" w:lineRule="exact"/>
        <w:rPr>
          <w:sz w:val="20"/>
          <w:szCs w:val="20"/>
          <w:color w:val="auto"/>
        </w:rPr>
      </w:pPr>
    </w:p>
    <w:p>
      <w:pPr>
        <w:ind w:left="1100" w:right="60" w:hanging="426"/>
        <w:spacing w:after="0" w:line="256"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Anti-Kickback Statute, which prohibits, among other things, persons and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U.S. federal healthcare programs such as the Medicare and Medicaid programs. A person or entity does not need to have actual knowledge of the statute or specific intent to violate it to have committed a violation;</w:t>
      </w:r>
    </w:p>
    <w:p>
      <w:pPr>
        <w:spacing w:after="0" w:line="93" w:lineRule="exact"/>
        <w:rPr>
          <w:rFonts w:ascii="Arial" w:cs="Arial" w:eastAsia="Arial" w:hAnsi="Arial"/>
          <w:sz w:val="18"/>
          <w:szCs w:val="18"/>
          <w:color w:val="auto"/>
        </w:rPr>
      </w:pPr>
    </w:p>
    <w:p>
      <w:pPr>
        <w:ind w:left="1100" w:right="200" w:hanging="426"/>
        <w:spacing w:after="0" w:line="258"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U.S. federal Anti-Kickback Statute constitutes a false or fraudulent claim for purposes of the False Claims Act;</w:t>
      </w:r>
    </w:p>
    <w:p>
      <w:pPr>
        <w:spacing w:after="0" w:line="91" w:lineRule="exact"/>
        <w:rPr>
          <w:rFonts w:ascii="Arial" w:cs="Arial" w:eastAsia="Arial" w:hAnsi="Arial"/>
          <w:sz w:val="18"/>
          <w:szCs w:val="18"/>
          <w:color w:val="auto"/>
        </w:rPr>
      </w:pPr>
    </w:p>
    <w:p>
      <w:pPr>
        <w:ind w:left="1100" w:right="140" w:hanging="426"/>
        <w:spacing w:after="0" w:line="275"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 federal criminal laws that prohibit executing a scheme to defraud any healthcare benefit program or making false statements relating to healthcare matters;</w:t>
      </w:r>
    </w:p>
    <w:p>
      <w:pPr>
        <w:spacing w:after="0" w:line="77" w:lineRule="exact"/>
        <w:rPr>
          <w:rFonts w:ascii="Arial" w:cs="Arial" w:eastAsia="Arial" w:hAnsi="Arial"/>
          <w:sz w:val="18"/>
          <w:szCs w:val="18"/>
          <w:color w:val="auto"/>
        </w:rPr>
      </w:pPr>
    </w:p>
    <w:p>
      <w:pPr>
        <w:ind w:left="1100" w:hanging="426"/>
        <w:spacing w:after="0" w:line="274"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1" w:lineRule="exact"/>
        <w:rPr>
          <w:rFonts w:ascii="Arial" w:cs="Arial" w:eastAsia="Arial" w:hAnsi="Arial"/>
          <w:sz w:val="17"/>
          <w:szCs w:val="17"/>
          <w:color w:val="auto"/>
        </w:rPr>
      </w:pPr>
    </w:p>
    <w:p>
      <w:pPr>
        <w:ind w:left="1100" w:right="20" w:hanging="426"/>
        <w:spacing w:after="0" w:line="295" w:lineRule="auto"/>
        <w:tabs>
          <w:tab w:leader="none" w:pos="11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U.S. federal Physician Payments Sunshine Act, which requires certain manufacturers of drugs, devices, biologics, and medical supplies to report annually to the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under statute) and their immediate family members;</w:t>
      </w:r>
    </w:p>
    <w:p>
      <w:pPr>
        <w:sectPr>
          <w:pgSz w:w="11900" w:h="16838" w:orient="portrait"/>
          <w:cols w:equalWidth="0" w:num="1">
            <w:col w:w="11100"/>
          </w:cols>
          <w:pgMar w:left="320" w:top="485" w:right="479" w:bottom="0" w:gutter="0" w:footer="0" w:header="0"/>
        </w:sectPr>
      </w:pP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00"/>
          </w:cols>
          <w:pgMar w:left="320" w:top="485" w:right="479" w:bottom="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420" w:hanging="426"/>
        <w:spacing w:after="0" w:line="275"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state law equivalents of each of the above U.S. federal laws, such as anti-kickback and false claims laws which may apply to items or services reimbursed by any third-party payor, including commercial insurers;</w:t>
      </w:r>
    </w:p>
    <w:p>
      <w:pPr>
        <w:spacing w:after="0" w:line="77" w:lineRule="exact"/>
        <w:rPr>
          <w:rFonts w:ascii="Arial" w:cs="Arial" w:eastAsia="Arial" w:hAnsi="Arial"/>
          <w:sz w:val="18"/>
          <w:szCs w:val="18"/>
          <w:color w:val="auto"/>
        </w:rPr>
      </w:pPr>
    </w:p>
    <w:p>
      <w:pPr>
        <w:ind w:left="1100" w:right="240" w:hanging="426"/>
        <w:spacing w:after="0" w:line="262"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U.S. federal government, or otherwise restrict payments that may be made to healthcare providers and other potential referral sources;</w:t>
      </w:r>
    </w:p>
    <w:p>
      <w:pPr>
        <w:spacing w:after="0" w:line="88" w:lineRule="exact"/>
        <w:rPr>
          <w:rFonts w:ascii="Arial" w:cs="Arial" w:eastAsia="Arial" w:hAnsi="Arial"/>
          <w:sz w:val="18"/>
          <w:szCs w:val="18"/>
          <w:color w:val="auto"/>
        </w:rPr>
      </w:pPr>
    </w:p>
    <w:p>
      <w:pPr>
        <w:ind w:left="1100" w:right="280" w:hanging="426"/>
        <w:spacing w:after="0" w:line="275"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marketing expenditures and pricing information; and</w:t>
      </w:r>
    </w:p>
    <w:p>
      <w:pPr>
        <w:spacing w:after="0" w:line="171" w:lineRule="exact"/>
        <w:rPr>
          <w:sz w:val="20"/>
          <w:szCs w:val="20"/>
          <w:color w:val="auto"/>
        </w:rPr>
      </w:pPr>
    </w:p>
    <w:p>
      <w:pPr>
        <w:ind w:left="140" w:right="700"/>
        <w:spacing w:after="0" w:line="275" w:lineRule="auto"/>
        <w:rPr>
          <w:sz w:val="20"/>
          <w:szCs w:val="20"/>
          <w:color w:val="auto"/>
        </w:rPr>
      </w:pPr>
      <w:r>
        <w:rPr>
          <w:rFonts w:ascii="Arial" w:cs="Arial" w:eastAsia="Arial" w:hAnsi="Arial"/>
          <w:sz w:val="18"/>
          <w:szCs w:val="18"/>
          <w:color w:val="auto"/>
        </w:rPr>
        <w:t>European and other foreign law equivalents of each of the laws, including regulation regarding advertising of medicinal products and reporting requirements detailing interactions with and payments to healthcare providers.</w:t>
      </w:r>
    </w:p>
    <w:p>
      <w:pPr>
        <w:spacing w:after="0" w:line="171" w:lineRule="exact"/>
        <w:rPr>
          <w:sz w:val="20"/>
          <w:szCs w:val="20"/>
          <w:color w:val="auto"/>
        </w:rPr>
      </w:pPr>
    </w:p>
    <w:p>
      <w:pPr>
        <w:ind w:left="140" w:right="160"/>
        <w:spacing w:after="0" w:line="258"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activities being found in violation of these laws is increased by the fact that many of them have not been fully interpreted by the regulatory authorities or the courts, and their provisions are open to a variety of interpretations.</w:t>
      </w:r>
    </w:p>
    <w:p>
      <w:pPr>
        <w:spacing w:after="0" w:line="186" w:lineRule="exact"/>
        <w:rPr>
          <w:sz w:val="20"/>
          <w:szCs w:val="20"/>
          <w:color w:val="auto"/>
        </w:rPr>
      </w:pPr>
    </w:p>
    <w:p>
      <w:pPr>
        <w:ind w:left="140"/>
        <w:spacing w:after="0" w:line="295" w:lineRule="auto"/>
        <w:rPr>
          <w:sz w:val="20"/>
          <w:szCs w:val="20"/>
          <w:color w:val="auto"/>
        </w:rPr>
      </w:pPr>
      <w:r>
        <w:rPr>
          <w:rFonts w:ascii="Arial" w:cs="Arial" w:eastAsia="Arial" w:hAnsi="Arial"/>
          <w:sz w:val="16"/>
          <w:szCs w:val="16"/>
          <w:color w:val="auto"/>
        </w:rPr>
        <w:t>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significant penalties, including civil and criminal penalties, damages, fines, the curtailment or restructuring of our operations, the exclusion from participation in U.S. federal and state and/or foreign healthcare programs and imprisonment, any of which could adversely affect our ability to market our products and adversely impact our financial results.</w:t>
      </w:r>
    </w:p>
    <w:p>
      <w:pPr>
        <w:spacing w:after="0" w:line="268" w:lineRule="exact"/>
        <w:rPr>
          <w:sz w:val="20"/>
          <w:szCs w:val="20"/>
          <w:color w:val="auto"/>
        </w:rPr>
      </w:pPr>
    </w:p>
    <w:p>
      <w:pPr>
        <w:ind w:left="140" w:right="500"/>
        <w:spacing w:after="0" w:line="275" w:lineRule="auto"/>
        <w:rPr>
          <w:sz w:val="20"/>
          <w:szCs w:val="20"/>
          <w:color w:val="auto"/>
        </w:rPr>
      </w:pPr>
      <w:r>
        <w:rPr>
          <w:rFonts w:ascii="Arial" w:cs="Arial" w:eastAsia="Arial" w:hAnsi="Arial"/>
          <w:sz w:val="18"/>
          <w:szCs w:val="18"/>
          <w:b w:val="1"/>
          <w:bCs w:val="1"/>
          <w:i w:val="1"/>
          <w:iCs w:val="1"/>
          <w:color w:val="auto"/>
        </w:rPr>
        <w:t>Changes in and failures to comply with U.S. and foreign privacy and data protection laws, regulations and standards may adversely affect our business, operations and financial performance.</w:t>
      </w:r>
    </w:p>
    <w:p>
      <w:pPr>
        <w:spacing w:after="0" w:line="64" w:lineRule="exact"/>
        <w:rPr>
          <w:sz w:val="20"/>
          <w:szCs w:val="20"/>
          <w:color w:val="auto"/>
        </w:rPr>
      </w:pPr>
    </w:p>
    <w:p>
      <w:pPr>
        <w:ind w:left="140" w:right="80"/>
        <w:spacing w:after="0" w:line="286"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Complying with these numerous, complex and often changing regulations is expensive and difficult, and any failure or perceived failure to comply with any data privacy laws or security laws, our policies and procedures, our contracts governing our processing of personal information or any security incident or breach involving the misappropriation, loss or other unauthorized use or disclosure of sensitive or confidential patient or consumer information, whether by us, one of our partners or another third-party, could adversely affect our business, financial condition and results of operations, and could result in negative publicity, government investigations and enforcement actions, claims by third-parties and damage to our reputation, any of which could have a material adverse effect on our operations, financial performance and business.</w:t>
      </w:r>
    </w:p>
    <w:p>
      <w:pPr>
        <w:spacing w:after="0" w:line="167" w:lineRule="exact"/>
        <w:rPr>
          <w:sz w:val="20"/>
          <w:szCs w:val="20"/>
          <w:color w:val="auto"/>
        </w:rPr>
      </w:pPr>
    </w:p>
    <w:p>
      <w:pPr>
        <w:ind w:left="140"/>
        <w:spacing w:after="0" w:line="285"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85"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color w:val="auto"/>
        </w:rPr>
        <w:t>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Even when HIPAA or a state law does not apply, according to the Federal Trade Commission (the “FTC”), violating consumers’ privacy rights or failing</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 take appropriate steps to keep consumers’ personal information secure may constitute unfair and/or deceptive acts or practices in violation of</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Section 5(a) of the Federal Trade Commission Act. The FTC expects a company’s data security measures to be reasonable and appropriate in light of the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sensitivity and volume of consumer information it holds, the size and complexity of its business, and the cost of available tools to improve security and</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reduce vulnerabilities.</w:t>
      </w:r>
    </w:p>
    <w:p>
      <w:pPr>
        <w:spacing w:after="0" w:line="209" w:lineRule="exact"/>
        <w:rPr>
          <w:sz w:val="20"/>
          <w:szCs w:val="20"/>
          <w:color w:val="auto"/>
        </w:rPr>
      </w:pPr>
    </w:p>
    <w:p>
      <w:pPr>
        <w:ind w:left="140"/>
        <w:spacing w:after="0" w:line="266" w:lineRule="auto"/>
        <w:rPr>
          <w:sz w:val="20"/>
          <w:szCs w:val="20"/>
          <w:color w:val="auto"/>
        </w:rPr>
      </w:pPr>
      <w:r>
        <w:rPr>
          <w:rFonts w:ascii="Arial" w:cs="Arial" w:eastAsia="Arial" w:hAnsi="Arial"/>
          <w:sz w:val="17"/>
          <w:szCs w:val="17"/>
          <w:color w:val="auto"/>
        </w:rPr>
        <w:t>In Europe, the General Data Protection Regulation (the “GDPR”) imposes strict requirements for processing the personal data of individuals within the EEA, including clinical trial data. For example, the GDPR requires us to make detailed disclosures to data subjects, requires disclosure of the legal basis on which we can process personal data, makes it harder for us to obtain valid consent for processing and in other cases prevents the use of consent as legal basis for processing of personal data, requires the appointment of data protection officers when sensitive personal data, such as health data, is processed on a large scale, provides robust rights for data subjects, imposes mandatory data breach notification through the EU and EEA,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greater of €20 million or up to 4% of our total global annual revenue in the event of a significant breach. In addition, we may be the subject of litigation and/or adverse publicity, which could adversely affect our business, results of operations and financial condition. The law in this area is also developing rapidly. For example, in July 2020, the Court of Justice of the EU invalidated the Privacy Shield, limiting how organizations could lawfully transfer personal data from the EEA to the U.S. Relatedly, from January 1, 2021, companies have had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91" w:lineRule="exact"/>
        <w:rPr>
          <w:sz w:val="20"/>
          <w:szCs w:val="20"/>
          <w:color w:val="auto"/>
        </w:rPr>
      </w:pPr>
    </w:p>
    <w:p>
      <w:pPr>
        <w:ind w:left="140" w:right="20"/>
        <w:spacing w:after="0" w:line="267"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criminal or civil sanctions, all of which may harm our business, financial condition and results of operations.</w:t>
      </w:r>
    </w:p>
    <w:p>
      <w:pPr>
        <w:spacing w:after="0" w:line="294" w:lineRule="exact"/>
        <w:rPr>
          <w:sz w:val="20"/>
          <w:szCs w:val="20"/>
          <w:color w:val="auto"/>
        </w:rPr>
      </w:pPr>
    </w:p>
    <w:p>
      <w:pPr>
        <w:jc w:val="both"/>
        <w:ind w:left="140" w:right="200"/>
        <w:spacing w:after="0" w:line="285"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and in foreign jurisdictions may make it more difficult and costly for us to obtain regulatory clearance or approval of our product candidates in the United States and in foreign jurisdictions and to produce, market and distribute our products in the United States and in foreign jurisdictions after clearance or approval is obtained.</w:t>
      </w:r>
    </w:p>
    <w:p>
      <w:pPr>
        <w:spacing w:after="0" w:line="57" w:lineRule="exact"/>
        <w:rPr>
          <w:sz w:val="20"/>
          <w:szCs w:val="20"/>
          <w:color w:val="auto"/>
        </w:rPr>
      </w:pPr>
    </w:p>
    <w:p>
      <w:pPr>
        <w:ind w:left="140" w:right="80"/>
        <w:spacing w:after="0" w:line="274" w:lineRule="auto"/>
        <w:rPr>
          <w:sz w:val="20"/>
          <w:szCs w:val="20"/>
          <w:color w:val="auto"/>
        </w:rPr>
      </w:pPr>
      <w:r>
        <w:rPr>
          <w:rFonts w:ascii="Arial" w:cs="Arial" w:eastAsia="Arial" w:hAnsi="Arial"/>
          <w:sz w:val="17"/>
          <w:szCs w:val="17"/>
          <w:color w:val="auto"/>
        </w:rPr>
        <w:t>From time to time, legislation is drafted and introduced in U.S.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Similar risks exist in foreign jurisdictions. We cannot determine what effect changes in regulations, statutes, legal interpretation or policies, when and if promulgated, enacted or adopted may have on our business in the future. Such changes could, among other things, require:</w:t>
      </w:r>
    </w:p>
    <w:p>
      <w:pPr>
        <w:spacing w:after="0" w:line="81" w:lineRule="exact"/>
        <w:rPr>
          <w:sz w:val="20"/>
          <w:szCs w:val="20"/>
          <w:color w:val="auto"/>
        </w:rPr>
      </w:pPr>
    </w:p>
    <w:p>
      <w:pPr>
        <w:ind w:left="1100" w:hanging="426"/>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5"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hanging="426"/>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223" w:lineRule="exact"/>
        <w:rPr>
          <w:sz w:val="20"/>
          <w:szCs w:val="20"/>
          <w:color w:val="auto"/>
        </w:rPr>
      </w:pPr>
    </w:p>
    <w:p>
      <w:pPr>
        <w:jc w:val="both"/>
        <w:ind w:left="140" w:right="400"/>
        <w:spacing w:after="0" w:line="340" w:lineRule="auto"/>
        <w:rPr>
          <w:sz w:val="20"/>
          <w:szCs w:val="20"/>
          <w:color w:val="auto"/>
        </w:rPr>
      </w:pPr>
      <w:r>
        <w:rPr>
          <w:rFonts w:ascii="Arial" w:cs="Arial" w:eastAsia="Arial" w:hAnsi="Arial"/>
          <w:sz w:val="16"/>
          <w:szCs w:val="16"/>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124"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In addition, the trend toward managed healthcare in the United States and the changes in health insurance programs, as well as legislative proposals to reform healthcare or reduce government insurance programs, may result in lower prices for pharmaceutical products, including TransCon hGH or any other product that may be offered by us. In addition, any future regulatory change regarding the healthcare industry or third-party coverage and reimbursement may affect demand for TransCon hGH and any other products that we may develop and could harm our sales and profitability. For example,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addressed a new methodology by which rebates owed by manufacturers under the Medicaid Drug Rebate Program are calculated for drugs that are inhaled, infused, instilled, implanted or injected, established annual fees and taxes on manufacturers of certain branded prescription drugs and medical devices, and created a new Medicare Part D coverage gap discount program, in which manufacturers must agree to offer 50% point-of-sale discounts, which, through subsequent legislative amendments, was increased to 70%, starting in 2019, off negotiated prices of applicable brand drugs to eligible beneficiaries during their coverage gap period as a condition for the manufacturer’s outpatient drugs to be covered under Medicare Part D.</w:t>
      </w:r>
    </w:p>
    <w:p>
      <w:pPr>
        <w:spacing w:after="0" w:line="167" w:lineRule="exact"/>
        <w:rPr>
          <w:sz w:val="20"/>
          <w:szCs w:val="20"/>
          <w:color w:val="auto"/>
        </w:rPr>
      </w:pPr>
    </w:p>
    <w:p>
      <w:pPr>
        <w:ind w:left="140" w:right="40"/>
        <w:spacing w:after="0" w:line="289" w:lineRule="auto"/>
        <w:rPr>
          <w:sz w:val="20"/>
          <w:szCs w:val="20"/>
          <w:color w:val="auto"/>
        </w:rPr>
      </w:pPr>
      <w:r>
        <w:rPr>
          <w:rFonts w:ascii="Arial" w:cs="Arial" w:eastAsia="Arial" w:hAnsi="Arial"/>
          <w:sz w:val="16"/>
          <w:szCs w:val="16"/>
          <w:color w:val="auto"/>
        </w:rPr>
        <w:t>Since its enactment, there have been judicial, executive and Congressional challenges to certain provisions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w:t>
      </w:r>
    </w:p>
    <w:p>
      <w:pPr>
        <w:spacing w:after="0" w:line="165" w:lineRule="exact"/>
        <w:rPr>
          <w:sz w:val="20"/>
          <w:szCs w:val="20"/>
          <w:color w:val="auto"/>
        </w:rPr>
      </w:pPr>
    </w:p>
    <w:p>
      <w:pPr>
        <w:ind w:left="140"/>
        <w:spacing w:after="0" w:line="295"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including reductions in Medicare payments to providers, capped at 2% per fiscal year, which went into effect on April 1, 2013. These reductions, extended by subsequent legislation will stay in effect through 2030, with the exception of a temporary suspension from May 1, 2020 through March 31, 2022, unless additional Congressional action is taken. Further, the American Taxpayer Relief Act of 2012 reduced Medicare payments to several types of providers, including hospitals, and increased the statute of limitations period for the government to recover overpayments to providers from three to five years.</w:t>
      </w:r>
    </w:p>
    <w:p>
      <w:pPr>
        <w:spacing w:after="0" w:line="161" w:lineRule="exact"/>
        <w:rPr>
          <w:sz w:val="20"/>
          <w:szCs w:val="20"/>
          <w:color w:val="auto"/>
        </w:rPr>
      </w:pPr>
    </w:p>
    <w:p>
      <w:pPr>
        <w:ind w:left="140" w:right="60"/>
        <w:spacing w:after="0" w:line="292" w:lineRule="auto"/>
        <w:rPr>
          <w:sz w:val="20"/>
          <w:szCs w:val="20"/>
          <w:color w:val="auto"/>
        </w:rPr>
      </w:pPr>
      <w:r>
        <w:rPr>
          <w:rFonts w:ascii="Arial" w:cs="Arial" w:eastAsia="Arial" w:hAnsi="Arial"/>
          <w:sz w:val="16"/>
          <w:szCs w:val="16"/>
          <w:color w:val="auto"/>
        </w:rPr>
        <w:t>Recently, there has also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passing legislation and implementing regulations designed to control pharmaceutical product pricing, including through constraints on reimbursement, imposition of mandatory discounts, discounts, restrictions on access to certain products, transparency measures, and programs for importation from other countries or bulk purchasing.</w:t>
      </w:r>
    </w:p>
    <w:p>
      <w:pPr>
        <w:spacing w:after="0" w:line="164" w:lineRule="exact"/>
        <w:rPr>
          <w:sz w:val="20"/>
          <w:szCs w:val="20"/>
          <w:color w:val="auto"/>
        </w:rPr>
      </w:pPr>
    </w:p>
    <w:p>
      <w:pPr>
        <w:ind w:left="140" w:right="40"/>
        <w:spacing w:after="0" w:line="253" w:lineRule="auto"/>
        <w:rPr>
          <w:sz w:val="20"/>
          <w:szCs w:val="20"/>
          <w:color w:val="auto"/>
        </w:rPr>
      </w:pPr>
      <w:r>
        <w:rPr>
          <w:rFonts w:ascii="Arial" w:cs="Arial" w:eastAsia="Arial" w:hAnsi="Arial"/>
          <w:sz w:val="18"/>
          <w:szCs w:val="18"/>
          <w:color w:val="auto"/>
        </w:rPr>
        <w:t>We expect that additional U.S. local and national healthcare reform measures will be adopted within and outside the United States in the future, any of which could limit the amounts that governments will pay for healthcare products and services, which could result in reduced demand for TransCon hGH or our other product candidates or additional pricing pressures. The continuing efforts of the U.S. government, insurance companies, managed care organizations and other payors of healthcare services to contain or reduce costs of healthcare may adversely affect the demand for any drug products for which we may obtain regulatory approval, including TransCon hGH,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95" w:lineRule="exact"/>
        <w:rPr>
          <w:sz w:val="20"/>
          <w:szCs w:val="20"/>
          <w:color w:val="auto"/>
        </w:rPr>
      </w:pPr>
    </w:p>
    <w:p>
      <w:pPr>
        <w:ind w:left="140" w:right="440"/>
        <w:spacing w:after="0" w:line="278" w:lineRule="auto"/>
        <w:rPr>
          <w:sz w:val="20"/>
          <w:szCs w:val="20"/>
          <w:color w:val="auto"/>
        </w:rPr>
      </w:pPr>
      <w:r>
        <w:rPr>
          <w:rFonts w:ascii="Arial" w:cs="Arial" w:eastAsia="Arial" w:hAnsi="Arial"/>
          <w:sz w:val="17"/>
          <w:szCs w:val="17"/>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85"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253" w:lineRule="auto"/>
        <w:rPr>
          <w:sz w:val="20"/>
          <w:szCs w:val="20"/>
          <w:color w:val="auto"/>
        </w:rPr>
      </w:pPr>
      <w:r>
        <w:rPr>
          <w:rFonts w:ascii="Arial" w:cs="Arial" w:eastAsia="Arial" w:hAnsi="Arial"/>
          <w:sz w:val="18"/>
          <w:szCs w:val="18"/>
          <w:color w:val="auto"/>
        </w:rPr>
        <w:t>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95" w:lineRule="exact"/>
        <w:rPr>
          <w:sz w:val="20"/>
          <w:szCs w:val="20"/>
          <w:color w:val="auto"/>
        </w:rPr>
      </w:pPr>
    </w:p>
    <w:p>
      <w:pPr>
        <w:ind w:left="140" w:right="120"/>
        <w:spacing w:after="0" w:line="289" w:lineRule="auto"/>
        <w:rPr>
          <w:sz w:val="20"/>
          <w:szCs w:val="20"/>
          <w:color w:val="auto"/>
        </w:rPr>
      </w:pPr>
      <w:r>
        <w:rPr>
          <w:rFonts w:ascii="Arial" w:cs="Arial" w:eastAsia="Arial" w:hAnsi="Arial"/>
          <w:sz w:val="16"/>
          <w:szCs w:val="16"/>
          <w:color w:val="auto"/>
        </w:rPr>
        <w:t>In December 2021, Regulation No 2021/2282 on Health Technology Assessment (“HTA”) amending Directive 2011/24/EU, was adopted. This regulation which entered into force in January 2022 intends to boost cooperation among EU member states in assessing health technologies, including new medicinal products,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0" w:lineRule="exact"/>
        <w:rPr>
          <w:sz w:val="20"/>
          <w:szCs w:val="20"/>
          <w:color w:val="auto"/>
        </w:rPr>
      </w:pPr>
    </w:p>
    <w:p>
      <w:pPr>
        <w:ind w:left="140" w:right="200"/>
        <w:spacing w:after="0" w:line="275" w:lineRule="auto"/>
        <w:rPr>
          <w:sz w:val="20"/>
          <w:szCs w:val="20"/>
          <w:color w:val="auto"/>
        </w:rPr>
      </w:pPr>
      <w:r>
        <w:rPr>
          <w:rFonts w:ascii="Arial" w:cs="Arial" w:eastAsia="Arial" w:hAnsi="Arial"/>
          <w:sz w:val="18"/>
          <w:szCs w:val="18"/>
          <w:b w:val="1"/>
          <w:bCs w:val="1"/>
          <w:i w:val="1"/>
          <w:iCs w:val="1"/>
          <w:color w:val="auto"/>
        </w:rPr>
        <w:t>If our intellectual property related to TransCon hGH or our other product candidates is not adequate, we may not be able to compete effectively in our market.</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success depends in part on our ability to:</w:t>
      </w:r>
    </w:p>
    <w:p>
      <w:pPr>
        <w:spacing w:after="0" w:line="129" w:lineRule="exact"/>
        <w:rPr>
          <w:sz w:val="20"/>
          <w:szCs w:val="20"/>
          <w:color w:val="auto"/>
        </w:rPr>
      </w:pPr>
    </w:p>
    <w:p>
      <w:pPr>
        <w:ind w:left="1100" w:hanging="426"/>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protect our trade secrets;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apply for, obtain, maintain and enforce patents;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operate without infringing upon the proprietary rights of others.</w:t>
      </w:r>
    </w:p>
    <w:p>
      <w:pPr>
        <w:spacing w:after="0" w:line="223" w:lineRule="exact"/>
        <w:rPr>
          <w:sz w:val="20"/>
          <w:szCs w:val="20"/>
          <w:color w:val="auto"/>
        </w:rPr>
      </w:pPr>
    </w:p>
    <w:p>
      <w:pPr>
        <w:ind w:left="140" w:right="20"/>
        <w:spacing w:after="0" w:line="295" w:lineRule="auto"/>
        <w:rPr>
          <w:sz w:val="20"/>
          <w:szCs w:val="20"/>
          <w:color w:val="auto"/>
        </w:rPr>
      </w:pPr>
      <w:r>
        <w:rPr>
          <w:rFonts w:ascii="Arial" w:cs="Arial" w:eastAsia="Arial" w:hAnsi="Arial"/>
          <w:sz w:val="16"/>
          <w:szCs w:val="16"/>
          <w:color w:val="auto"/>
        </w:rPr>
        <w:t>We will be able to protect our proprietary technologies from unauthorized use by third-parties only to the extent that such proprietary rights are covered by valid and enforceable patents or are effectively maintained as trade secrets. Any non-confidential disclosure to or misappropriation by third-parties of our confidential or proprietary information could enable competitors to quickly duplicate or surpass our technological achievements, thus eroding our competitive position in our market. Where we elect to pursue patent protection on our proprietary technologies, we file, prosecute and maintain international and other national patent applications covering such technologies, including in the United States, Europe, China, and other jurisdictions.</w:t>
      </w:r>
    </w:p>
    <w:p>
      <w:pPr>
        <w:spacing w:after="0" w:line="161" w:lineRule="exact"/>
        <w:rPr>
          <w:sz w:val="20"/>
          <w:szCs w:val="20"/>
          <w:color w:val="auto"/>
        </w:rPr>
      </w:pPr>
    </w:p>
    <w:p>
      <w:pPr>
        <w:ind w:left="140" w:right="160"/>
        <w:spacing w:after="0" w:line="274" w:lineRule="auto"/>
        <w:rPr>
          <w:sz w:val="20"/>
          <w:szCs w:val="20"/>
          <w:color w:val="auto"/>
        </w:rPr>
      </w:pPr>
      <w:r>
        <w:rPr>
          <w:rFonts w:ascii="Arial" w:cs="Arial" w:eastAsia="Arial" w:hAnsi="Arial"/>
          <w:sz w:val="17"/>
          <w:szCs w:val="17"/>
          <w:color w:val="auto"/>
        </w:rPr>
        <w:t>As of December 31, 2021, 30 patents have been issued to us in the United States, 17 of which are directed to our TransCon technologies and seven of which are directed to TransCon hGH. In addition, as of December 31, 2021, we have over 190 issued patents in jurisdictions outside of the United States, at least 100 of which are directed to our TransCon technologies, and 54 of which are directed to TransCon hGH and/or our other product candidates. For additional information, see “Item 4 B. Information on the Company – Business Overview – Intellectual Property.” We are not aware of any challenge to our issued patents, in the United States, Europe or in any other jurisdiction.</w:t>
      </w:r>
    </w:p>
    <w:p>
      <w:pPr>
        <w:spacing w:after="0" w:line="176"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although we are unaware of any such defects. If we or our current licensors or licensees, or any future licensors or licensees, fail to establish, maintain or protect such patents and other intellectual property rights, including due to the impact of the COVID-19 pandemic on our or our licensors’ business operations, such rights may be reduced or eliminated.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third-parties, which may harm our business.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85"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83"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highly uncertain. The patent applications that we own or license may fail to result in issued patents in the United States or in other countries. Even if patents do issue on such patent applications, third-parties may challenge the validity, enforceability or scope thereof, which may result in such patents being narrowed, invalidated or held unenforceable. For example, U.S. patents can be challenged by any person before the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and in the United States, Europe and other jurisdictions third-parties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third-party may develop a competitive product that provides therapeutic benefits similar to TransCon hGH or one or more of our other product candidates but that has a different composition that falls outside the scope of our patent protection. If the breadth or strength of protection provided by the patents and patent applications we hold or pursue with respect to TransCon hGH or our other product candidates is successfully challenged, then our ability to commercialize TransCon hGH or such other product candidates could be negatively affected, and we may face unexpected competition that could harm our business. Further, patents have a limited lifespan and patent terms may be inadequate to protect our competitive position on our product candidates for an adequate amount of time. In the United States, if all maintenance fees are paid timely, the natural expiration of a patent is generally 20 years after its first effective filing date excluding U.S. provisional patent applications. Given the amount of time required for the development, testing and regulatory review of new product candidates, patents protecting such candidates might expire before or shortly after such product candidates are commercialized. Although various extensions may be available, the life of a patent, and the protection it affords, is limited. If we encounter delays in our clinical trials, the period of time during which we could market TransCon hGH or our other product candidates under patent protection would be reduced. If we do not have sufficient patent life to protect our products, our business and results of operations will be adversely affected.</w:t>
      </w:r>
    </w:p>
    <w:p>
      <w:pPr>
        <w:spacing w:after="0" w:line="181" w:lineRule="exact"/>
        <w:rPr>
          <w:sz w:val="20"/>
          <w:szCs w:val="20"/>
          <w:color w:val="auto"/>
        </w:rPr>
      </w:pPr>
    </w:p>
    <w:p>
      <w:pPr>
        <w:ind w:left="140" w:right="280"/>
        <w:spacing w:after="0" w:line="275"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77" w:lineRule="exact"/>
        <w:rPr>
          <w:sz w:val="20"/>
          <w:szCs w:val="20"/>
          <w:color w:val="auto"/>
        </w:rPr>
      </w:pPr>
    </w:p>
    <w:p>
      <w:pPr>
        <w:ind w:left="1100" w:right="220" w:hanging="426"/>
        <w:spacing w:after="0" w:line="275"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29" w:lineRule="exact"/>
        <w:rPr>
          <w:rFonts w:ascii="Arial" w:cs="Arial" w:eastAsia="Arial" w:hAnsi="Arial"/>
          <w:sz w:val="18"/>
          <w:szCs w:val="18"/>
          <w:color w:val="auto"/>
        </w:rPr>
      </w:pPr>
    </w:p>
    <w:p>
      <w:pPr>
        <w:ind w:left="1100" w:right="340" w:hanging="426"/>
        <w:spacing w:after="0" w:line="275"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encompass commercially viable products, may not provide us with any competitive advantages or may be challenged by third-parties;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or</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3" w:lineRule="exact"/>
        <w:rPr>
          <w:sz w:val="20"/>
          <w:szCs w:val="20"/>
          <w:color w:val="auto"/>
        </w:rPr>
      </w:pPr>
    </w:p>
    <w:p>
      <w:pPr>
        <w:ind w:left="140" w:right="100"/>
        <w:spacing w:after="0" w:line="274" w:lineRule="auto"/>
        <w:rPr>
          <w:sz w:val="20"/>
          <w:szCs w:val="20"/>
          <w:color w:val="auto"/>
        </w:rPr>
      </w:pPr>
      <w:r>
        <w:rPr>
          <w:rFonts w:ascii="Arial" w:cs="Arial" w:eastAsia="Arial" w:hAnsi="Arial"/>
          <w:sz w:val="17"/>
          <w:szCs w:val="17"/>
          <w:color w:val="auto"/>
        </w:rPr>
        <w:t>If we or our current licensors or licensees, or any future licensors or licensees, fail to prosecute, maintain and enforce patent protection for TransCon hGH or our other product candidates, our ability to develop and commercialize TransCon hGH or our other product candidates could be harmed and we might not be able to prevent competitors from making, using and selling competing products. This failure to properly protect the intellectual property rights relating to TransCon hGH or our other product candidates could harm our business, financial condition and operating results. Moreover, our competitors may independently develop equivalent knowledge, methods and know-how.</w:t>
      </w:r>
    </w:p>
    <w:p>
      <w:pPr>
        <w:spacing w:after="0" w:line="176" w:lineRule="exact"/>
        <w:rPr>
          <w:sz w:val="20"/>
          <w:szCs w:val="20"/>
          <w:color w:val="auto"/>
        </w:rPr>
      </w:pPr>
    </w:p>
    <w:p>
      <w:pPr>
        <w:ind w:left="140" w:right="40"/>
        <w:spacing w:after="0" w:line="285"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were to initiate legal proceedings against a third-party to enforce a patent covering TransCon hGH or another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TransCon hGH or one of our other product candidates, we would lose at least part, and perhaps all, of the patent protection on TransCon hGH or such other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5"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00"/>
        <w:spacing w:after="0" w:line="340" w:lineRule="auto"/>
        <w:rPr>
          <w:sz w:val="20"/>
          <w:szCs w:val="20"/>
          <w:color w:val="auto"/>
        </w:rPr>
      </w:pPr>
      <w:r>
        <w:rPr>
          <w:rFonts w:ascii="Arial" w:cs="Arial" w:eastAsia="Arial" w:hAnsi="Arial"/>
          <w:sz w:val="16"/>
          <w:szCs w:val="16"/>
          <w:b w:val="1"/>
          <w:bCs w:val="1"/>
          <w:i w:val="1"/>
          <w:iCs w:val="1"/>
          <w:color w:val="auto"/>
        </w:rPr>
        <w:t>We license intellectual property rights from third-parties. Such licenses may be subject to early termination if we fail to comply with our obligations in our licenses with third-parties, which could result in the loss of rights or technology that are material to our business.</w:t>
      </w:r>
    </w:p>
    <w:p>
      <w:pPr>
        <w:spacing w:after="0" w:line="17" w:lineRule="exact"/>
        <w:rPr>
          <w:sz w:val="20"/>
          <w:szCs w:val="20"/>
          <w:color w:val="auto"/>
        </w:rPr>
      </w:pPr>
    </w:p>
    <w:p>
      <w:pPr>
        <w:ind w:left="140"/>
        <w:spacing w:after="0" w:line="288" w:lineRule="auto"/>
        <w:rPr>
          <w:sz w:val="20"/>
          <w:szCs w:val="20"/>
          <w:color w:val="auto"/>
        </w:rPr>
      </w:pPr>
      <w:r>
        <w:rPr>
          <w:rFonts w:ascii="Arial" w:cs="Arial" w:eastAsia="Arial" w:hAnsi="Arial"/>
          <w:sz w:val="16"/>
          <w:szCs w:val="16"/>
          <w:color w:val="auto"/>
        </w:rPr>
        <w:t>We are or may become a party to licenses that give us rights to third-party intellectual property or technology that is necessary or useful for our business, and we may enter into additional licenses in the future. Under these license agreements, we are or may become obligated to pay the licensor fees, which may include annual license fees, milestone payments, royalties, a percentage of revenues associated with the licensed technology and a percentage of sublicensing revenue. These fees may be significant, which could make it difficult for us to achieve or maintain profitability. In addition, under certain of such agreements, we are or may become required to diligently pursue the development of products using the licensed technology. If we fail to comply with these obligations, including due to the impact of the COVID-19 pandemic on our business operations or our use of the intellectual property licensed to us in an unauthorized manner, and fail to cure our breach within a specified period of time, the licensor may have the right to terminate the applicable license, in which event we could lose valuable rights and technology that are material to our business, harming our ability to develop, manufacture and/or commercialize our platform, TransCon hGH or our other product candidates.</w:t>
      </w:r>
    </w:p>
    <w:p>
      <w:pPr>
        <w:spacing w:after="0" w:line="165"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In addition, the agreements under which we license intellectual property or technology to or from third-parties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88"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The failure to obtain or in-license any compositions, methods of use, processes or other third-party intellectual property rights at a reasonable cost or on reasonable terms, could harm our business. If we fail to obtain licenses to necessary third-party intellectual property rights, we may need to cease use of the compositions or methods covered by such third-party intellectual property rights. Furthermore, we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86" w:lineRule="exact"/>
        <w:rPr>
          <w:sz w:val="20"/>
          <w:szCs w:val="20"/>
          <w:color w:val="auto"/>
        </w:rPr>
      </w:pPr>
    </w:p>
    <w:p>
      <w:pPr>
        <w:ind w:left="140" w:right="640"/>
        <w:spacing w:after="0" w:line="275" w:lineRule="auto"/>
        <w:rPr>
          <w:sz w:val="20"/>
          <w:szCs w:val="20"/>
          <w:color w:val="auto"/>
        </w:rPr>
      </w:pPr>
      <w:r>
        <w:rPr>
          <w:rFonts w:ascii="Arial" w:cs="Arial" w:eastAsia="Arial" w:hAnsi="Arial"/>
          <w:sz w:val="18"/>
          <w:szCs w:val="18"/>
          <w:b w:val="1"/>
          <w:bCs w:val="1"/>
          <w:i w:val="1"/>
          <w:iCs w:val="1"/>
          <w:color w:val="auto"/>
        </w:rPr>
        <w:t>If we are unable to prevent disclosure of our trade secrets or other confidential information to third-parties, our competitive position may be impaired.</w:t>
      </w:r>
    </w:p>
    <w:p>
      <w:pPr>
        <w:spacing w:after="0" w:line="64" w:lineRule="exact"/>
        <w:rPr>
          <w:sz w:val="20"/>
          <w:szCs w:val="20"/>
          <w:color w:val="auto"/>
        </w:rPr>
      </w:pPr>
    </w:p>
    <w:p>
      <w:pPr>
        <w:ind w:left="140" w:right="80"/>
        <w:spacing w:after="0" w:line="285" w:lineRule="auto"/>
        <w:rPr>
          <w:sz w:val="20"/>
          <w:szCs w:val="20"/>
          <w:color w:val="auto"/>
        </w:rPr>
      </w:pPr>
      <w:r>
        <w:rPr>
          <w:rFonts w:ascii="Arial" w:cs="Arial" w:eastAsia="Arial" w:hAnsi="Arial"/>
          <w:sz w:val="16"/>
          <w:szCs w:val="16"/>
          <w:color w:val="auto"/>
        </w:rPr>
        <w:t>In addition to patents, we rely on trade secrets and proprietary know-how. We seek protection, in part, through confidentiality and proprietary information clauses in agreements with our collaboration partners, employees, consultants, outside scientific collaboration partners and sponsored researchers and other advisors. Although we generally require all of our employees, consultants, advisors and any third-parties who have access to our proprietary know-how, information or technology to assign or grant similar rights to their inventions to us, and endeavor to execute confidentiality agreements with all such parties, we cannot be certain that we have executed such agreements with all parties who may have contributed to our intellectual property or who had access to our proprietary information, nor can we be certain that our agreements with such parties will not be breached. These agreements may not effectively prevent disclosure of confidential and proprietary information and may not provide an adequate remedy in the event of unauthorized use or disclosure of confidential and proprietary information. We cannot guarantee that our trade secrets and other confidential proprietary information will not be publicly disclosed or that competitors will not otherwise gain access to our trade secrets or independently develop substantially equivalent information and techniques. Costly and time-consuming litigation could be necessary to enforce and determine the scope of our proprietary rights, and failure to obtain or maintain trade secret protection could adversely affect our competitive business position.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The failure to obtain or maintain trade secret protection could adversely affect our competitive business position.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85"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80"/>
        <w:spacing w:after="0" w:line="275" w:lineRule="auto"/>
        <w:rPr>
          <w:sz w:val="20"/>
          <w:szCs w:val="20"/>
          <w:color w:val="auto"/>
        </w:rPr>
      </w:pPr>
      <w:r>
        <w:rPr>
          <w:rFonts w:ascii="Arial" w:cs="Arial" w:eastAsia="Arial" w:hAnsi="Arial"/>
          <w:sz w:val="18"/>
          <w:szCs w:val="18"/>
          <w:b w:val="1"/>
          <w:bCs w:val="1"/>
          <w:i w:val="1"/>
          <w:iCs w:val="1"/>
          <w:color w:val="auto"/>
        </w:rPr>
        <w:t>If we are sued for allegedly infringing intellectual property rights of third parties, it will be costly and time consuming, and an unfavorable outcome in such litigation could harm our business.</w:t>
      </w:r>
    </w:p>
    <w:p>
      <w:pPr>
        <w:spacing w:after="0" w:line="64" w:lineRule="exact"/>
        <w:rPr>
          <w:sz w:val="20"/>
          <w:szCs w:val="20"/>
          <w:color w:val="auto"/>
        </w:rPr>
      </w:pPr>
    </w:p>
    <w:p>
      <w:pPr>
        <w:ind w:left="140"/>
        <w:spacing w:after="0" w:line="266" w:lineRule="auto"/>
        <w:rPr>
          <w:sz w:val="20"/>
          <w:szCs w:val="20"/>
          <w:color w:val="auto"/>
        </w:rPr>
      </w:pPr>
      <w:r>
        <w:rPr>
          <w:rFonts w:ascii="Arial" w:cs="Arial" w:eastAsia="Arial" w:hAnsi="Arial"/>
          <w:sz w:val="17"/>
          <w:szCs w:val="17"/>
          <w:color w:val="auto"/>
        </w:rPr>
        <w:t>Our commercial success depends significantly on our ability to operate without infringing, violating or misappropriating the patents and other proprietary rights of third-parties. Our own technologies may infringe, violate or misappropriate the patents or other proprietary rights of third-parties, or we may be subject to third-party claims of such infringement. Numerous U.S. and foreign issued patents and pending patent applications owned by third-parties exist in the fields in which we are developing TransCon hGH and our other product candidates. For example, we are aware of several issued patents related to auto-injection devices that may be relevant to our auto-injection device under development with Phillips-Medisize A/S (formerly Medicom Innovation Partner A/S); however, we believe that these (i) are invalid, and/or (ii) do not and will not cover our product or device. Additionally, we are aware of patents owned by a competitor that are related to CNP variants. Although we believe that these patents are not infringed by us and/or are invalid, we could be wrong in our assessment. We cannot be certain that TransCon hGH or our other product candidates will not infringe these or other existing or future patents.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Additionally,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TransCon hGH or our other product candidates or our TransCon technologies. We may not be aware of patents that have already issued that a third-party might assert are infringed by TransCon hGH or our other product candidates. It is also possible that patents of which we are aware, but which we do not believe are relevant to TransCon hGH or our other product candidates, could nevertheless be found to be infringed by TransCon hGH or our other product candidates. Moreover, we may face patent infringement claims from non-practicing entities that have no relevant product revenue and against whom our own patent portfolio may thus have no deterrent effect.</w:t>
      </w:r>
    </w:p>
    <w:p>
      <w:pPr>
        <w:spacing w:after="0" w:line="190" w:lineRule="exact"/>
        <w:rPr>
          <w:sz w:val="20"/>
          <w:szCs w:val="20"/>
          <w:color w:val="auto"/>
        </w:rPr>
      </w:pPr>
    </w:p>
    <w:p>
      <w:pPr>
        <w:ind w:left="140" w:right="160"/>
        <w:spacing w:after="0" w:line="256" w:lineRule="auto"/>
        <w:rPr>
          <w:sz w:val="20"/>
          <w:szCs w:val="20"/>
          <w:color w:val="auto"/>
        </w:rPr>
      </w:pPr>
      <w:r>
        <w:rPr>
          <w:rFonts w:ascii="Arial" w:cs="Arial" w:eastAsia="Arial" w:hAnsi="Arial"/>
          <w:sz w:val="18"/>
          <w:szCs w:val="18"/>
          <w:color w:val="auto"/>
        </w:rPr>
        <w:t>In addition, we may face costly and time-consuming intellectual property litigation with the NDA holders, BLA holders and Orange Book patentees of the products in respect of which we seek to obtain FDA approval. Companies that produce branded pharmaceutical products for which there are listed patents in the FDA’s Orange Book routinely bring patent infringement litigation against applicants seeking FDA approval to manufacture and market branded and/or generic forms of their products. Accordingly, we may face patent litigation as a result of our submission of NDA and BLA applications to the FDA or as a result of submitting an MAA with the EMA.</w:t>
      </w:r>
    </w:p>
    <w:p>
      <w:pPr>
        <w:spacing w:after="0" w:line="188" w:lineRule="exact"/>
        <w:rPr>
          <w:sz w:val="20"/>
          <w:szCs w:val="20"/>
          <w:color w:val="auto"/>
        </w:rPr>
      </w:pPr>
    </w:p>
    <w:p>
      <w:pPr>
        <w:ind w:left="140" w:right="60"/>
        <w:spacing w:after="0" w:line="286" w:lineRule="auto"/>
        <w:rPr>
          <w:sz w:val="20"/>
          <w:szCs w:val="20"/>
          <w:color w:val="auto"/>
        </w:rPr>
      </w:pPr>
      <w:r>
        <w:rPr>
          <w:rFonts w:ascii="Arial" w:cs="Arial" w:eastAsia="Arial" w:hAnsi="Arial"/>
          <w:sz w:val="16"/>
          <w:szCs w:val="16"/>
          <w:color w:val="auto"/>
        </w:rPr>
        <w:t>Intellectual property litigation involves many risks and uncertainties, and there is no assurance that we will prevail in any lawsuit brought against us. Third-parties making claims against us for infringement, violation or misappropriation of their intellectual property rights may seek and obtain injunctive or other equitable relief, which could effectively block our ability to further develop and commercialize TransCon hGH and our other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third-parties and we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may be restricted or prevented from manufacturing and selling products employing our technologies. These adverse results, if they occur, could adversely affect our business, results of operations and prospects, and the value of our shares or ADSs.</w:t>
      </w:r>
    </w:p>
    <w:p>
      <w:pPr>
        <w:spacing w:after="0" w:line="279"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4" w:lineRule="exact"/>
        <w:rPr>
          <w:sz w:val="20"/>
          <w:szCs w:val="20"/>
          <w:color w:val="auto"/>
        </w:rPr>
      </w:pPr>
    </w:p>
    <w:p>
      <w:pPr>
        <w:ind w:left="140" w:right="60"/>
        <w:spacing w:after="0" w:line="278" w:lineRule="auto"/>
        <w:rPr>
          <w:sz w:val="20"/>
          <w:szCs w:val="20"/>
          <w:color w:val="auto"/>
        </w:rPr>
      </w:pPr>
      <w:r>
        <w:rPr>
          <w:rFonts w:ascii="Arial" w:cs="Arial" w:eastAsia="Arial" w:hAnsi="Arial"/>
          <w:sz w:val="17"/>
          <w:szCs w:val="17"/>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Litigation may be necessary to:</w:t>
      </w:r>
    </w:p>
    <w:p>
      <w:pPr>
        <w:spacing w:after="0" w:line="129" w:lineRule="exact"/>
        <w:rPr>
          <w:sz w:val="20"/>
          <w:szCs w:val="20"/>
          <w:color w:val="auto"/>
        </w:rPr>
      </w:pPr>
    </w:p>
    <w:p>
      <w:pPr>
        <w:ind w:left="1100" w:hanging="426"/>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protect and enforce our patents and any future patents issuing on our patent applications;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enforce or clarify the terms of the licenses we have granted or may be granted in the future;</w:t>
      </w:r>
    </w:p>
    <w:p>
      <w:pPr>
        <w:spacing w:after="0" w:line="129" w:lineRule="exact"/>
        <w:rPr>
          <w:rFonts w:ascii="Arial" w:cs="Arial" w:eastAsia="Arial" w:hAnsi="Arial"/>
          <w:sz w:val="18"/>
          <w:szCs w:val="18"/>
          <w:color w:val="auto"/>
        </w:rPr>
      </w:pPr>
    </w:p>
    <w:p>
      <w:pPr>
        <w:ind w:left="5540" w:right="400" w:hanging="4866"/>
        <w:spacing w:after="0" w:line="447" w:lineRule="auto"/>
        <w:tabs>
          <w:tab w:leader="none" w:pos="11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protect and enforce trade secrets, know-how and other proprietary rights that we own or have licensed, or may license in the future; or 41</w:t>
      </w:r>
    </w:p>
    <w:p>
      <w:pPr>
        <w:sectPr>
          <w:pgSz w:w="11900" w:h="16838" w:orient="portrait"/>
          <w:cols w:equalWidth="0" w:num="1">
            <w:col w:w="11120"/>
          </w:cols>
          <w:pgMar w:left="320" w:top="485"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hanging="426"/>
        <w:spacing w:after="0"/>
        <w:tabs>
          <w:tab w:leader="none" w:pos="11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determine the enforceability, scope and validity of the proprietary rights of third-parties and defend against alleged patent infringement.</w:t>
      </w:r>
    </w:p>
    <w:p>
      <w:pPr>
        <w:spacing w:after="0" w:line="246" w:lineRule="exact"/>
        <w:rPr>
          <w:sz w:val="20"/>
          <w:szCs w:val="20"/>
          <w:color w:val="auto"/>
        </w:rPr>
      </w:pPr>
    </w:p>
    <w:p>
      <w:pPr>
        <w:ind w:left="140" w:right="40"/>
        <w:spacing w:after="0" w:line="286" w:lineRule="auto"/>
        <w:rPr>
          <w:sz w:val="20"/>
          <w:szCs w:val="20"/>
          <w:color w:val="auto"/>
        </w:rPr>
      </w:pPr>
      <w:r>
        <w:rPr>
          <w:rFonts w:ascii="Arial" w:cs="Arial" w:eastAsia="Arial" w:hAnsi="Arial"/>
          <w:sz w:val="16"/>
          <w:szCs w:val="16"/>
          <w:color w:val="auto"/>
        </w:rPr>
        <w:t>Competitors may infringe our intellectual property. As a result, we may be required to file infringement claims to stop third-party infringement or unauthorized use. This can be expensive, particularly for a company of our size, and time-consuming. We may not have sufficient financial or other resources to adequately conduct such litigation or proceedings and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TransCon hGH or our other product candidates or to prevent others from marketing similar products.</w:t>
      </w:r>
    </w:p>
    <w:p>
      <w:pPr>
        <w:spacing w:after="0" w:line="171" w:lineRule="exact"/>
        <w:rPr>
          <w:sz w:val="20"/>
          <w:szCs w:val="20"/>
          <w:color w:val="auto"/>
        </w:rPr>
      </w:pPr>
    </w:p>
    <w:p>
      <w:pPr>
        <w:ind w:left="140" w:right="40"/>
        <w:spacing w:after="0" w:line="254" w:lineRule="auto"/>
        <w:rPr>
          <w:sz w:val="20"/>
          <w:szCs w:val="20"/>
          <w:color w:val="auto"/>
        </w:rPr>
      </w:pPr>
      <w:r>
        <w:rPr>
          <w:rFonts w:ascii="Arial" w:cs="Arial" w:eastAsia="Arial" w:hAnsi="Arial"/>
          <w:sz w:val="18"/>
          <w:szCs w:val="18"/>
          <w:color w:val="auto"/>
        </w:rPr>
        <w:t>Interference, derivation or other proceedings brought at the USPTO, may be necessary to determine the priority or patentability of inventions with respect to our patent applications or those of our licensors or potential collaboration partners. Litigation or USPTO proceedings brought by us may fail or may be invoked against us by third-parties. Even if we are successful, domestic or foreign litigation or USPTO or foreign patent office proceedings may result in substantial costs and distraction to our management and scientific personnel. We may not be able, alone or with our licensors or potential collaboration partners, to prevent misappropriation of our proprietary rights, particularly in countries where the laws may not protect such rights as fully as in the United States.</w:t>
      </w:r>
    </w:p>
    <w:p>
      <w:pPr>
        <w:spacing w:after="0" w:line="192"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these kind of proceedings, there could be public announcements of the results of hearings, motions or other interim proceedings or developments or public access to related documents. If investors perceive these results to be negative, the market price for the ADSs could be significantly harmed.</w:t>
      </w:r>
    </w:p>
    <w:p>
      <w:pPr>
        <w:spacing w:after="0" w:line="295" w:lineRule="exact"/>
        <w:rPr>
          <w:sz w:val="20"/>
          <w:szCs w:val="20"/>
          <w:color w:val="auto"/>
        </w:rPr>
      </w:pPr>
    </w:p>
    <w:p>
      <w:pPr>
        <w:ind w:left="140" w:right="20"/>
        <w:spacing w:after="0" w:line="27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4" w:lineRule="exact"/>
        <w:rPr>
          <w:sz w:val="20"/>
          <w:szCs w:val="20"/>
          <w:color w:val="auto"/>
        </w:rPr>
      </w:pPr>
    </w:p>
    <w:p>
      <w:pPr>
        <w:ind w:left="140" w:right="20"/>
        <w:spacing w:after="0" w:line="269"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Leahy-Smith Act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1" w:lineRule="exact"/>
        <w:rPr>
          <w:sz w:val="20"/>
          <w:szCs w:val="20"/>
          <w:color w:val="auto"/>
        </w:rPr>
      </w:pPr>
    </w:p>
    <w:p>
      <w:pPr>
        <w:ind w:left="140" w:right="20"/>
        <w:spacing w:after="0" w:line="272"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technologies or our ability to enforce our proprietary technologies.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Certain of our employees and patents are subject to German law.</w:t>
      </w:r>
    </w:p>
    <w:p>
      <w:pPr>
        <w:spacing w:after="0" w:line="116" w:lineRule="exact"/>
        <w:rPr>
          <w:sz w:val="20"/>
          <w:szCs w:val="20"/>
          <w:color w:val="auto"/>
        </w:rPr>
      </w:pPr>
    </w:p>
    <w:p>
      <w:pPr>
        <w:ind w:left="140" w:right="20"/>
        <w:spacing w:after="0" w:line="254" w:lineRule="auto"/>
        <w:rPr>
          <w:sz w:val="20"/>
          <w:szCs w:val="20"/>
          <w:color w:val="auto"/>
        </w:rPr>
      </w:pPr>
      <w:r>
        <w:rPr>
          <w:rFonts w:ascii="Arial" w:cs="Arial" w:eastAsia="Arial" w:hAnsi="Arial"/>
          <w:sz w:val="18"/>
          <w:szCs w:val="18"/>
          <w:color w:val="auto"/>
        </w:rPr>
        <w:t>As of December 31, 2021, 105 of our employees work in Germany and are subject to German employment law. Ideas, developments, discoveries and inventions made by such employees are generally subject to the provisions of the German Act on Employees’ Inventions, which regulates the ownership of, and compensation for, inventions made by employees. Under this act, we face the risk that we may be required to pay additional compensation for assigned patent rights and disputes can occur between us and our employees or ex-employees pertaining to alleged non-adherence to the provisions of this act that may be costly to defend and consume our management’s time and efforts whether we prevail or fail in such dispute. In addition, under the German Act on Employees’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85"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40"/>
        <w:spacing w:after="0" w:line="254" w:lineRule="auto"/>
        <w:rPr>
          <w:sz w:val="20"/>
          <w:szCs w:val="20"/>
          <w:color w:val="auto"/>
        </w:rPr>
      </w:pPr>
      <w:r>
        <w:rPr>
          <w:rFonts w:ascii="Arial" w:cs="Arial" w:eastAsia="Arial" w:hAnsi="Arial"/>
          <w:sz w:val="18"/>
          <w:szCs w:val="18"/>
          <w:color w:val="auto"/>
        </w:rPr>
        <w:t>Inventions, certain employees may have retained rights to patents they invented or co-invented before October 2009. Although substantially all of these employees have assigned their interest in these patents to us, to the extent permitted by law, there is a risk that the compensation we provided to them may be deemed to be insufficient and we may be required under German law to increase the compensation due to such employees for the use of the patents. In those cases, where employees have not assigned their interests to us, we may need to pay compensation for the use of those patents. If we are required to pay additional compensation or face other disputes under the German Act on Employees’ Inventions, our results of operations could be adversely affected.</w:t>
      </w:r>
    </w:p>
    <w:p>
      <w:pPr>
        <w:spacing w:after="0" w:line="300" w:lineRule="exact"/>
        <w:rPr>
          <w:sz w:val="20"/>
          <w:szCs w:val="20"/>
          <w:color w:val="auto"/>
        </w:rPr>
      </w:pPr>
    </w:p>
    <w:p>
      <w:pPr>
        <w:jc w:val="both"/>
        <w:ind w:left="140" w:right="300"/>
        <w:spacing w:after="0" w:line="262"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left="140" w:right="260"/>
        <w:spacing w:after="0" w:line="254"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Although an inadvertent lapse, including due to the effect of the COVID-19 pandemic on us or our patent maintenance vendors, can in many cases be cured by payment of a late fee or by other means in accordance with the applicable rules, there are situations in which noncompliance with these requirements can result in abandonment or lapse of a patent or patent application, resulting in partial or complete loss of patent rights in the relevant jurisdiction. Losing our patent rights could enable competitors to enter the market earlier than would otherwise have been the case.</w:t>
      </w:r>
    </w:p>
    <w:p>
      <w:pPr>
        <w:spacing w:after="0" w:line="300" w:lineRule="exact"/>
        <w:rPr>
          <w:sz w:val="20"/>
          <w:szCs w:val="20"/>
          <w:color w:val="auto"/>
        </w:rPr>
      </w:pPr>
    </w:p>
    <w:p>
      <w:pPr>
        <w:ind w:left="140" w:right="360"/>
        <w:spacing w:after="0" w:line="275" w:lineRule="auto"/>
        <w:rPr>
          <w:sz w:val="20"/>
          <w:szCs w:val="20"/>
          <w:color w:val="auto"/>
        </w:rPr>
      </w:pPr>
      <w:r>
        <w:rPr>
          <w:rFonts w:ascii="Arial" w:cs="Arial" w:eastAsia="Arial" w:hAnsi="Arial"/>
          <w:sz w:val="18"/>
          <w:szCs w:val="18"/>
          <w:b w:val="1"/>
          <w:bCs w:val="1"/>
          <w:i w:val="1"/>
          <w:iCs w:val="1"/>
          <w:color w:val="auto"/>
        </w:rPr>
        <w:t>Failure to secure trademark registrations for a commercial trade name for TransCon hGH or any of our other product candidates in the United States or elsewhere could adversely affect our business.</w:t>
      </w:r>
    </w:p>
    <w:p>
      <w:pPr>
        <w:spacing w:after="0" w:line="64" w:lineRule="exact"/>
        <w:rPr>
          <w:sz w:val="20"/>
          <w:szCs w:val="20"/>
          <w:color w:val="auto"/>
        </w:rPr>
      </w:pPr>
    </w:p>
    <w:p>
      <w:pPr>
        <w:ind w:left="140"/>
        <w:spacing w:after="0" w:line="285" w:lineRule="auto"/>
        <w:rPr>
          <w:sz w:val="20"/>
          <w:szCs w:val="20"/>
          <w:color w:val="auto"/>
        </w:rPr>
      </w:pPr>
      <w:r>
        <w:rPr>
          <w:rFonts w:ascii="Arial" w:cs="Arial" w:eastAsia="Arial" w:hAnsi="Arial"/>
          <w:sz w:val="16"/>
          <w:szCs w:val="16"/>
          <w:color w:val="auto"/>
        </w:rPr>
        <w:t>We use various trademark rights in our business, including, Ascendis, Ascendis Pharma, TransCon and our U.S. product name SKYTROFA. A trademark application for TransCon hGH has been filed in the European Union and other countries across the globe. However, our current or future trademarks and trade names may be challenged, infringed, circumvented or declared generic or determined to be infringing on other marks, and we may not be able to obtain trademark protection in other territories that we consider of significant importance to us. Furthermore, other than for TransCon hGH and TransCon PTH, we have not yet registered trademarks for a commercial trade name for any other of our product candidates in the United States or elsewhere. 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third-parties can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 advertising and marketing our products under new brands. We may license our trademarks and trade names to third-parties,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73" w:lineRule="exact"/>
        <w:rPr>
          <w:sz w:val="20"/>
          <w:szCs w:val="20"/>
          <w:color w:val="auto"/>
        </w:rPr>
      </w:pPr>
    </w:p>
    <w:p>
      <w:pPr>
        <w:ind w:left="140" w:right="140"/>
        <w:spacing w:after="0" w:line="269" w:lineRule="auto"/>
        <w:rPr>
          <w:sz w:val="20"/>
          <w:szCs w:val="20"/>
          <w:color w:val="auto"/>
        </w:rPr>
      </w:pPr>
      <w:r>
        <w:rPr>
          <w:rFonts w:ascii="Arial" w:cs="Arial" w:eastAsia="Arial" w:hAnsi="Arial"/>
          <w:sz w:val="17"/>
          <w:szCs w:val="17"/>
          <w:color w:val="auto"/>
        </w:rPr>
        <w:t>The FDA has approved the use of SKYTROFA for TransCon hGH in the United States; however, any name we propose to use with TransCon hGH or our other product candidates in the United States or any other country must be approved by the FDA, EMA or any other relevant health authority regardless of whether we have registered it, or applied to register it, as a trademark. For example, the FDA has approved the use of SKYTROFA in the United States. We have applied for the use of SKYTROFA for TransCon hGH in the European Union (EMA), however as of the date of this report, SKYTROFA is not an approved name for TransCon hGH in the European Union. The FDA as well as EMA typically conducts a review of proposed product names, including an evaluation of potential for confusion with other product names. If the FDA, EMA or any other relevant approval authority objects to any of our proposed proprietary product names, we may be required to expend significant additional resources in an effort to identify a suitable substitute name that would qualify under applicable trademark laws, not infringe the existing rights of third-parties and be acceptable to the FDA, EMA or any other relevant approval authority.</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6" w:lineRule="exact"/>
        <w:rPr>
          <w:sz w:val="20"/>
          <w:szCs w:val="20"/>
          <w:color w:val="auto"/>
        </w:rPr>
      </w:pPr>
    </w:p>
    <w:p>
      <w:pPr>
        <w:ind w:left="140" w:right="40"/>
        <w:spacing w:after="0" w:line="287" w:lineRule="auto"/>
        <w:rPr>
          <w:sz w:val="20"/>
          <w:szCs w:val="20"/>
          <w:color w:val="auto"/>
        </w:rPr>
      </w:pPr>
      <w:r>
        <w:rPr>
          <w:rFonts w:ascii="Arial" w:cs="Arial" w:eastAsia="Arial" w:hAnsi="Arial"/>
          <w:sz w:val="16"/>
          <w:szCs w:val="16"/>
          <w:color w:val="auto"/>
        </w:rPr>
        <w:t>Patents are of national or regional effect, and filing, prosecuting and defending patents on TransCon hGH and our other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For example, patents with claims directed to dry pharmaceutical formulations of TransCon hGH have issued in the United States, Europe, and other jurisdictions, but related claims were rejected in China. An initial appeal upheld the rejection. We intend to appeal this decision and vigorously advocate for the patentability of these claims. However, we may be unsuccessful, and our patent protection for TransCon hGH may expire sooner in China than in other jurisdictions. Many companies have encountered significant problems in protecting and defending intellectual property rights in certain foreign jurisdictions. The legal systems of some countries, including India, China and certain developing countries, do not favor the enforcement of patents and other intellectual property rights.</w:t>
      </w:r>
    </w:p>
    <w:p>
      <w:pPr>
        <w:sectPr>
          <w:pgSz w:w="11900" w:h="16838" w:orient="portrait"/>
          <w:cols w:equalWidth="0" w:num="1">
            <w:col w:w="11100"/>
          </w:cols>
          <w:pgMar w:left="320" w:top="485" w:right="479" w:bottom="1440" w:gutter="0" w:footer="0" w:header="0"/>
        </w:sectPr>
      </w:pP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00"/>
          </w:cols>
          <w:pgMar w:left="320" w:top="485" w:right="47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80"/>
        <w:spacing w:after="0" w:line="253" w:lineRule="auto"/>
        <w:rPr>
          <w:sz w:val="20"/>
          <w:szCs w:val="20"/>
          <w:color w:val="auto"/>
        </w:rPr>
      </w:pPr>
      <w:r>
        <w:rPr>
          <w:rFonts w:ascii="Arial" w:cs="Arial" w:eastAsia="Arial" w:hAnsi="Arial"/>
          <w:sz w:val="18"/>
          <w:szCs w:val="18"/>
          <w:color w:val="auto"/>
        </w:rPr>
        <w:t>This could make it difficult for us to stop the infringement of our patents or the misappropriation of our other intellectual property rights in such countries. For example, many foreign countries have compulsory licensing laws under which a patent owner must grant licenses to third-parties. Consequently, we may not be able to prevent third-parties from practicing our inventions in certain countries outside the United States and many countries in Europe.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95"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94" w:lineRule="exact"/>
        <w:rPr>
          <w:sz w:val="20"/>
          <w:szCs w:val="20"/>
          <w:color w:val="auto"/>
        </w:rPr>
      </w:pPr>
    </w:p>
    <w:p>
      <w:pPr>
        <w:ind w:left="140" w:right="400"/>
        <w:spacing w:after="0" w:line="27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third-party, or claiming ownership of what we regard as our own intellectual property.</w:t>
      </w:r>
    </w:p>
    <w:p>
      <w:pPr>
        <w:spacing w:after="0" w:line="64" w:lineRule="exact"/>
        <w:rPr>
          <w:sz w:val="20"/>
          <w:szCs w:val="20"/>
          <w:color w:val="auto"/>
        </w:rPr>
      </w:pPr>
    </w:p>
    <w:p>
      <w:pPr>
        <w:ind w:left="140"/>
        <w:spacing w:after="0" w:line="269" w:lineRule="auto"/>
        <w:rPr>
          <w:sz w:val="20"/>
          <w:szCs w:val="20"/>
          <w:color w:val="auto"/>
        </w:rPr>
      </w:pPr>
      <w:r>
        <w:rPr>
          <w:rFonts w:ascii="Arial" w:cs="Arial" w:eastAsia="Arial" w:hAnsi="Arial"/>
          <w:sz w:val="17"/>
          <w:szCs w:val="17"/>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have wrongfully hired an employee from a competitor or that we or these employees, consultants and contractors have used or disclosed such third-party intellectual property, including know-how, trade secrets or other proprietary information. Litigation may be necessary to defend against these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81" w:lineRule="exact"/>
        <w:rPr>
          <w:sz w:val="20"/>
          <w:szCs w:val="20"/>
          <w:color w:val="auto"/>
        </w:rPr>
      </w:pPr>
    </w:p>
    <w:p>
      <w:pPr>
        <w:ind w:left="140" w:right="180"/>
        <w:spacing w:after="0" w:line="254"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30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6"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We may be subject to claims that former employees, collaborators, or other third-parties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third-parties involved in developing TransCon hGH or our other product candidates or as a result of questions regarding co-ownership of potential joint inventions. For example, we may have inventorship disputes arise from conflicting obligations of consultants or others who are involved in developing TransCon hGH or our other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1"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We or our licensors may have relied on third-party consultants or collaborators or on funds from third-parties, such as national governments, such that we or our licensors are not the sole and exclusive owners of the patents we in-licensed. If other third-parties have ownership rights or other rights to our patents, including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85"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Relating to Our Ordinary Shares and ADSs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The price of the ADSs may be volatile and the holders of the ADSs may not be able to resell ADSs at or above the price they paid.</w:t>
      </w:r>
    </w:p>
    <w:p>
      <w:pPr>
        <w:spacing w:after="0" w:line="127" w:lineRule="exact"/>
        <w:rPr>
          <w:sz w:val="20"/>
          <w:szCs w:val="20"/>
          <w:color w:val="auto"/>
        </w:rPr>
      </w:pPr>
    </w:p>
    <w:p>
      <w:pPr>
        <w:ind w:left="140"/>
        <w:spacing w:after="0" w:line="275" w:lineRule="auto"/>
        <w:rPr>
          <w:sz w:val="20"/>
          <w:szCs w:val="20"/>
          <w:color w:val="auto"/>
        </w:rPr>
      </w:pPr>
      <w:r>
        <w:rPr>
          <w:rFonts w:ascii="Arial" w:cs="Arial" w:eastAsia="Arial" w:hAnsi="Arial"/>
          <w:sz w:val="18"/>
          <w:szCs w:val="18"/>
          <w:color w:val="auto"/>
        </w:rPr>
        <w:t>The trading price of the ADSs has been and could continue to be highly volatile and could be subject to wide fluctuations in response to various factors, some of which are beyond our control. These factors include:</w:t>
      </w:r>
    </w:p>
    <w:p>
      <w:pPr>
        <w:spacing w:after="0" w:line="77" w:lineRule="exact"/>
        <w:rPr>
          <w:sz w:val="20"/>
          <w:szCs w:val="20"/>
          <w:color w:val="auto"/>
        </w:rPr>
      </w:pPr>
    </w:p>
    <w:p>
      <w:pPr>
        <w:ind w:left="1100" w:right="1160" w:hanging="426"/>
        <w:spacing w:after="0" w:line="275"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commercialize or obtain regulatory approval for TransCon hGH or our other product candidates, or delays in commercializing or obtaining regulatory approval;</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TransCon hGH or our other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on our business, operating results, prospects and financial condition of the worldwide COVID-19 pandemic;</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apply our TransCon technologies to therapeutic areas other than endocrinology, including the therapeutic area of oncology;</w:t>
      </w:r>
    </w:p>
    <w:p>
      <w:pPr>
        <w:spacing w:after="0" w:line="152" w:lineRule="exact"/>
        <w:rPr>
          <w:rFonts w:ascii="Arial" w:cs="Arial" w:eastAsia="Arial" w:hAnsi="Arial"/>
          <w:sz w:val="16"/>
          <w:szCs w:val="16"/>
          <w:color w:val="auto"/>
        </w:rPr>
      </w:pPr>
    </w:p>
    <w:p>
      <w:pPr>
        <w:ind w:left="1100" w:right="420" w:hanging="426"/>
        <w:spacing w:after="0" w:line="275"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regulatory approval or a complete response letter to our product candidates, or specific label indications or patient populations for use, or changes or delays in the regulatory review process;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relating to current or future collaborations or joint ventures;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regarding the parent drugs that we use in developing our product candidates;</w:t>
      </w:r>
    </w:p>
    <w:p>
      <w:pPr>
        <w:spacing w:after="0" w:line="129" w:lineRule="exact"/>
        <w:rPr>
          <w:rFonts w:ascii="Arial" w:cs="Arial" w:eastAsia="Arial" w:hAnsi="Arial"/>
          <w:sz w:val="18"/>
          <w:szCs w:val="18"/>
          <w:color w:val="auto"/>
        </w:rPr>
      </w:pPr>
    </w:p>
    <w:p>
      <w:pPr>
        <w:ind w:left="1100" w:right="480" w:hanging="426"/>
        <w:spacing w:after="0" w:line="275"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actions taken by regulatory authorities with respect to our clinical trials, manufacturing supply chain or sales and marketing activities;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TransCon hGH or our other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adverse changes to our relationship with any manufacturers or suppliers;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our efforts to acquire, license or discover additional products or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29" w:lineRule="exact"/>
        <w:rPr>
          <w:rFonts w:ascii="Arial" w:cs="Arial" w:eastAsia="Arial" w:hAnsi="Arial"/>
          <w:sz w:val="18"/>
          <w:szCs w:val="18"/>
          <w:color w:val="auto"/>
        </w:rPr>
      </w:pPr>
    </w:p>
    <w:p>
      <w:pPr>
        <w:ind w:left="1100" w:right="260" w:hanging="426"/>
        <w:spacing w:after="0" w:line="275"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EMA, FDA or other similar regulatory actions affecting us or our industry or other healthcare reform measures in the European Union, United States or in other markets;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trading volume of the ADSs;</w:t>
      </w:r>
    </w:p>
    <w:p>
      <w:pPr>
        <w:spacing w:after="0" w:line="129" w:lineRule="exact"/>
        <w:rPr>
          <w:rFonts w:ascii="Arial" w:cs="Arial" w:eastAsia="Arial" w:hAnsi="Arial"/>
          <w:sz w:val="18"/>
          <w:szCs w:val="18"/>
          <w:color w:val="auto"/>
        </w:rPr>
      </w:pPr>
    </w:p>
    <w:p>
      <w:pPr>
        <w:ind w:left="1100" w:right="640" w:hanging="426"/>
        <w:spacing w:after="0" w:line="275"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or purchases of ordinary shares and/or ADSs by us, our senior management and board members, holders of the ADSs or our shareholders in the future;</w:t>
      </w:r>
    </w:p>
    <w:p>
      <w:pPr>
        <w:spacing w:after="0" w:line="77" w:lineRule="exact"/>
        <w:rPr>
          <w:rFonts w:ascii="Arial" w:cs="Arial" w:eastAsia="Arial" w:hAnsi="Arial"/>
          <w:sz w:val="18"/>
          <w:szCs w:val="18"/>
          <w:color w:val="auto"/>
        </w:rPr>
      </w:pPr>
    </w:p>
    <w:p>
      <w:pPr>
        <w:ind w:left="1100" w:right="700" w:hanging="426"/>
        <w:spacing w:after="0" w:line="340" w:lineRule="auto"/>
        <w:tabs>
          <w:tab w:leader="none" w:pos="11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general economic and market conditions and overall fluctuations in the United States and international equity markets, including deteriorating market conditions due to investor concerns regarding inflation and hostilities between Russia and Ukraine; and</w:t>
      </w:r>
    </w:p>
    <w:p>
      <w:pPr>
        <w:spacing w:after="0" w:line="30" w:lineRule="exact"/>
        <w:rPr>
          <w:rFonts w:ascii="Arial" w:cs="Arial" w:eastAsia="Arial" w:hAnsi="Arial"/>
          <w:sz w:val="16"/>
          <w:szCs w:val="16"/>
          <w:color w:val="auto"/>
        </w:rPr>
      </w:pPr>
    </w:p>
    <w:p>
      <w:pPr>
        <w:ind w:left="1100" w:hanging="426"/>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223" w:lineRule="exact"/>
        <w:rPr>
          <w:sz w:val="20"/>
          <w:szCs w:val="20"/>
          <w:color w:val="auto"/>
        </w:rPr>
      </w:pPr>
    </w:p>
    <w:p>
      <w:pPr>
        <w:ind w:left="140"/>
        <w:spacing w:after="0" w:line="292"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ADSs. In the past, when the market price of a stock has been volatile, holders of that stock have sometimes instituted securities class action litigation against the issuer. If any of the holders of ordinary shares or ADSs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sectPr>
          <w:pgSz w:w="11900" w:h="16838" w:orient="portrait"/>
          <w:cols w:equalWidth="0" w:num="1">
            <w:col w:w="11040"/>
          </w:cols>
          <w:pgMar w:left="320" w:top="485" w:right="539" w:bottom="1440" w:gutter="0" w:footer="0" w:header="0"/>
        </w:sectPr>
      </w:pP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040"/>
          </w:cols>
          <w:pgMar w:left="320" w:top="485" w:right="5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ADS holders do not directly hold our ordinary shares and do not have the rights of a holder of our ordinary shares.</w:t>
      </w:r>
    </w:p>
    <w:p>
      <w:pPr>
        <w:spacing w:after="0" w:line="116"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color w:val="auto"/>
        </w:rPr>
        <w:t>ADS holders are not treated as our shareholders and do not have the rights of a holder of our ordinary shares. Danish law governs shareholder rights. Our depositary, Bank of New York Mellon, is the holder of the ordinary shares underlying our ADSs. The deposit agreement among us, the depositary, and all other persons directly and indirectly holding ADSs, sets out ADS holder rights as well as the rights and obligations of the depositary. In addition, our depositary charges certain fees to holders of our ADSs.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ADS holders may not be able to exercise their right to vote the ordinary shares underlying their ADSs.</w:t>
      </w:r>
    </w:p>
    <w:p>
      <w:pPr>
        <w:spacing w:after="0" w:line="116" w:lineRule="exact"/>
        <w:rPr>
          <w:sz w:val="20"/>
          <w:szCs w:val="20"/>
          <w:color w:val="auto"/>
        </w:rPr>
      </w:pPr>
    </w:p>
    <w:p>
      <w:pPr>
        <w:ind w:left="140"/>
        <w:spacing w:after="0" w:line="285" w:lineRule="auto"/>
        <w:rPr>
          <w:sz w:val="20"/>
          <w:szCs w:val="20"/>
          <w:color w:val="auto"/>
        </w:rPr>
      </w:pPr>
      <w:r>
        <w:rPr>
          <w:rFonts w:ascii="Arial" w:cs="Arial" w:eastAsia="Arial" w:hAnsi="Arial"/>
          <w:sz w:val="16"/>
          <w:szCs w:val="16"/>
          <w:color w:val="auto"/>
        </w:rPr>
        <w:t>Holders of ADSs may exercise voting rights with respect to the ordinary shares represented by the ADSs only in accordance with the provisions of the deposit agreement and not as a direct shareholder in the Company.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w:t>
      </w:r>
    </w:p>
    <w:p>
      <w:pPr>
        <w:spacing w:after="0" w:line="2" w:lineRule="exact"/>
        <w:rPr>
          <w:sz w:val="20"/>
          <w:szCs w:val="20"/>
          <w:color w:val="auto"/>
        </w:rPr>
      </w:pPr>
    </w:p>
    <w:p>
      <w:pPr>
        <w:ind w:left="140" w:hanging="5"/>
        <w:spacing w:after="0" w:line="254" w:lineRule="auto"/>
        <w:tabs>
          <w:tab w:leader="none" w:pos="3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notice of the meeting or solicitation of consent or proxy sent by us and (2) a statement as to the manner in which instructions may be given by the holders. However, we may not request the depositary to distribute this information which could effectively limit the ability of ADS holders to direct voting of the ordinary shares underlying their ADSs.</w:t>
      </w:r>
    </w:p>
    <w:p>
      <w:pPr>
        <w:spacing w:after="0" w:line="189"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color w:val="auto"/>
        </w:rPr>
        <w:t>ADS holders may instruct the depositary of their ADSs to vote the ordinary shares underlying their ADSs. Otherwise, ADS holders are not able to exercise their right to vote, unless they withdraw the ordinary shares underlying the ADSs they hold. However, they may not know about the meeting far enough in advance to withdraw those ordinary shares. If we ask for instructions from ADS holders, the depositary, upon timely notice from us, will notify the ADS holders of the upcoming vote and arrange to deliver our voting materials to the ADS holders. We cannot guarantee that ADS holders will receive the voting materials in time to ensure that such holders can instruct the depositary to vote the ordinary shares underlying their ADSs or to withdraw the ordinary shares underlying their ADSs so that they can vote such shares directly. If the depositary does not receive timely voting instructions from an ADS holder, the depositary may give a proxy to a person designated by us to vote the ordinary shares underlying ADSs. In addition, the depositary and its agents are not responsible for failing to carry out voting instructions or for the manner of carrying out voting instructions. This means that ADS holders may not be able to exercise any right to vote, and there may be nothing an ADS holder can do if the ordinary shares underlying their ADSs are not voted as they requested.</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An ADS holder may be subject to limitations on the transfer of their ADSs and the withdrawal of the underlying ordinary shares.</w:t>
      </w:r>
    </w:p>
    <w:p>
      <w:pPr>
        <w:spacing w:after="0" w:line="116" w:lineRule="exact"/>
        <w:rPr>
          <w:sz w:val="20"/>
          <w:szCs w:val="20"/>
          <w:color w:val="auto"/>
        </w:rPr>
      </w:pPr>
    </w:p>
    <w:p>
      <w:pPr>
        <w:ind w:left="140" w:right="100"/>
        <w:spacing w:after="0" w:line="287" w:lineRule="auto"/>
        <w:rPr>
          <w:sz w:val="20"/>
          <w:szCs w:val="20"/>
          <w:color w:val="auto"/>
        </w:rPr>
      </w:pPr>
      <w:r>
        <w:rPr>
          <w:rFonts w:ascii="Arial" w:cs="Arial" w:eastAsia="Arial" w:hAnsi="Arial"/>
          <w:sz w:val="16"/>
          <w:szCs w:val="16"/>
          <w:color w:val="auto"/>
        </w:rPr>
        <w:t>ADSs, which may be evidenced by American Depositary Receipts, or ADRs,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an ADS holders’ right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an ADS holder may not be able to cancel their ADS and withdraw the underlying ordinary shares when such holder owes money for fees, taxes and similar charges and when it is necessary to prohibit withdrawals to comply with any laws or governmental regulations that apply to ADSs or to the withdrawal of ordinary shares or other deposited securities.</w:t>
      </w:r>
    </w:p>
    <w:p>
      <w:pPr>
        <w:spacing w:after="0" w:line="275" w:lineRule="exact"/>
        <w:rPr>
          <w:sz w:val="20"/>
          <w:szCs w:val="20"/>
          <w:color w:val="auto"/>
        </w:rPr>
      </w:pPr>
    </w:p>
    <w:p>
      <w:pPr>
        <w:ind w:left="140" w:right="240"/>
        <w:spacing w:after="0" w:line="275" w:lineRule="auto"/>
        <w:rPr>
          <w:sz w:val="20"/>
          <w:szCs w:val="20"/>
          <w:color w:val="auto"/>
        </w:rPr>
      </w:pPr>
      <w:r>
        <w:rPr>
          <w:rFonts w:ascii="Arial" w:cs="Arial" w:eastAsia="Arial" w:hAnsi="Arial"/>
          <w:sz w:val="18"/>
          <w:szCs w:val="18"/>
          <w:b w:val="1"/>
          <w:bCs w:val="1"/>
          <w:i w:val="1"/>
          <w:iCs w:val="1"/>
          <w:color w:val="auto"/>
        </w:rPr>
        <w:t>If we issue shares or ADSs in future financings, shareholders or holders of ADSs may experience immediate dilution and, as a result, the price of our ADSs may decline.</w:t>
      </w:r>
    </w:p>
    <w:p>
      <w:pPr>
        <w:spacing w:after="0" w:line="64"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We may from time to time issue additional shares or ADS at a discount from the trading price of our ADSs. As a result, our shareholders and holders of ADSs would experience immediate dilution upon the issuance of ADSs at such discount. In addition, as opportunities present themselves, we may enter into financing or similar arrangements in the future, including the issuance of debt securities, preference shares, ADSs or ordinary shares. If we issue shares or securities convertible into shares of our share capital, our ordinary shareholders and holders of ADSs would experience additional dilution and, as a result, the price of our ADSs may decline.</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Sales of a substantial number of our ordinary shares or ADSs in the public market could cause the price of the ADSs to fall.</w:t>
      </w:r>
    </w:p>
    <w:p>
      <w:pPr>
        <w:spacing w:after="0" w:line="116" w:lineRule="exact"/>
        <w:rPr>
          <w:sz w:val="20"/>
          <w:szCs w:val="20"/>
          <w:color w:val="auto"/>
        </w:rPr>
      </w:pPr>
    </w:p>
    <w:p>
      <w:pPr>
        <w:ind w:left="140" w:right="20"/>
        <w:spacing w:after="0" w:line="254" w:lineRule="auto"/>
        <w:rPr>
          <w:sz w:val="20"/>
          <w:szCs w:val="20"/>
          <w:color w:val="auto"/>
        </w:rPr>
      </w:pPr>
      <w:r>
        <w:rPr>
          <w:rFonts w:ascii="Arial" w:cs="Arial" w:eastAsia="Arial" w:hAnsi="Arial"/>
          <w:sz w:val="18"/>
          <w:szCs w:val="18"/>
          <w:color w:val="auto"/>
        </w:rPr>
        <w:t>If our existing shareholders or holders of ADSs sell, or indicate an intention to sell, substantial amounts of our ordinary shares or ADSs representing our ordinary shares in the public market, the trading price of our ADSs could decline. If our outstanding warrants are exercised or ADS subject to restricted stock units vest, additional ordinary shares or ADSs may become eligible for sale in the public market to the extent permitted by the provisions of various vesting schedules and Rule 144 and Rule 701 under the Securities Act. If these additional ordinary shares or ADSs are sold, or if it is perceived that they will be sold, in the public market, the trading price of the ADSs could decline. Any sales of securities by these security holders could have a negative effect on the trading price of the ADSs.</w:t>
      </w:r>
    </w:p>
    <w:p>
      <w:pPr>
        <w:sectPr>
          <w:pgSz w:w="11900" w:h="16838" w:orient="portrait"/>
          <w:cols w:equalWidth="0" w:num="1">
            <w:col w:w="11100"/>
          </w:cols>
          <w:pgMar w:left="320" w:top="485" w:right="479" w:bottom="1440" w:gutter="0" w:footer="0" w:header="0"/>
        </w:sectPr>
      </w:pP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00"/>
          </w:cols>
          <w:pgMar w:left="320" w:top="485" w:right="47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40"/>
        <w:spacing w:after="0" w:line="275" w:lineRule="auto"/>
        <w:rPr>
          <w:sz w:val="20"/>
          <w:szCs w:val="20"/>
          <w:color w:val="auto"/>
        </w:rPr>
      </w:pPr>
      <w:r>
        <w:rPr>
          <w:rFonts w:ascii="Arial" w:cs="Arial" w:eastAsia="Arial" w:hAnsi="Arial"/>
          <w:sz w:val="18"/>
          <w:szCs w:val="18"/>
          <w:b w:val="1"/>
          <w:bCs w:val="1"/>
          <w:i w:val="1"/>
          <w:iCs w:val="1"/>
          <w:color w:val="auto"/>
        </w:rPr>
        <w:t>Our principal shareholders and senior management own a significant percentage of our shares and are able to exert significant control over matters subject to shareholder approval.</w:t>
      </w:r>
    </w:p>
    <w:p>
      <w:pPr>
        <w:spacing w:after="0" w:line="64"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As of February 1, 2022, our senior management, board members, holders of 5% or more of our share capital and their respective affiliates beneficially own approximately 70.6% of our outstanding voting securities. See “Item 7 A. Major Shareholders” for information relating to the determination of the number of shares beneficially owned by an entity or a person. As a result, these security holders have the ability either alone or voting together as a group to determine and/or significantly influence the outcome of matters submitted to our shareholders for approval, including the election and removal of board members, payment of dividends, amendments to our articles of association, including changes to our share capital or any mergers, demergers, liquidations and similar transactions. This may prevent or discourage unsolicited acquisition proposals or offers for our ordinary shares or ADSs that our shareholders or ADS holders may feel are in their best interest as a shareholder or holder of ADSs. In addition, this group of shareholders may have the ability to control our management and affairs. Such control and concentration of ownership may affect the market price of the ADSs and may discourage certain types of transactions, including those involving actual or potential change of control of us (whether through merger, consolidation, take-over or other business combination), which might otherwise have a positive effect on the market price of the ADSs.</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The rights of our shareholders may be different from the rights of shareholders in companies governed by the laws of U.S. jurisdictions.</w:t>
      </w:r>
    </w:p>
    <w:p>
      <w:pPr>
        <w:spacing w:after="0" w:line="139"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Our corporate affairs are governed by our articles of association and by the laws governing companies incorporated in Denmark, including the Danish Companies Act. The rights of shareholders and the responsibilities of members of our board of directors may be different from the rights and obligations of shareholders in companies governed by the laws of U.S. jurisdictions. In the performance of its duties, our board of directors is required by Danish law to consider the interests of our company, its shareholders and its creditors. It is possible that some of these parties will have interests that are different from, or in addition to, the interests of our shareholders.</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16" w:lineRule="exact"/>
        <w:rPr>
          <w:sz w:val="20"/>
          <w:szCs w:val="20"/>
          <w:color w:val="auto"/>
        </w:rPr>
      </w:pPr>
    </w:p>
    <w:p>
      <w:pPr>
        <w:jc w:val="both"/>
        <w:ind w:left="140" w:right="160"/>
        <w:spacing w:after="0" w:line="258" w:lineRule="auto"/>
        <w:rPr>
          <w:sz w:val="20"/>
          <w:szCs w:val="20"/>
          <w:color w:val="auto"/>
        </w:rPr>
      </w:pPr>
      <w:r>
        <w:rPr>
          <w:rFonts w:ascii="Arial" w:cs="Arial" w:eastAsia="Arial" w:hAnsi="Arial"/>
          <w:sz w:val="18"/>
          <w:szCs w:val="18"/>
          <w:color w:val="auto"/>
        </w:rPr>
        <w:t>We are incorporated under the laws of Denmark. Substantially all of our assets are located outside the United States. A significant portion of our board members and employees reside outside the United States. As a result, it may not be possible for investors to effect service of process within the United States upon such persons or to enforce against them or us in U.S. courts, including judgements predicated upon the civil liability provisions of the U.S. securities laws of the United States.</w:t>
      </w:r>
    </w:p>
    <w:p>
      <w:pPr>
        <w:spacing w:after="0" w:line="186" w:lineRule="exact"/>
        <w:rPr>
          <w:sz w:val="20"/>
          <w:szCs w:val="20"/>
          <w:color w:val="auto"/>
        </w:rPr>
      </w:pPr>
    </w:p>
    <w:p>
      <w:pPr>
        <w:ind w:left="140" w:right="20"/>
        <w:spacing w:after="0" w:line="268" w:lineRule="auto"/>
        <w:rPr>
          <w:sz w:val="20"/>
          <w:szCs w:val="20"/>
          <w:color w:val="auto"/>
        </w:rPr>
      </w:pPr>
      <w:r>
        <w:rPr>
          <w:rFonts w:ascii="Arial" w:cs="Arial" w:eastAsia="Arial" w:hAnsi="Arial"/>
          <w:sz w:val="17"/>
          <w:szCs w:val="17"/>
          <w:color w:val="auto"/>
        </w:rPr>
        <w:t>The United States and Denmark currently do not have a treaty providing for the reciprocal recognition and enforcement of judgements, other than arbitration awards, in civil and commercial matters. Consequently, a final judgement for payment given by a court in the United States, whether or not predicated solely upon U.S. securities laws, would not automatically be recognized or enforceable in Denmark. To obtain a judgement which is enforceable in Denmark, the party in whose favor a final and conclusive judgement of the U.S. court has been rendered will be required to file its claim with a court of competent jurisdiction in Denmark. Such party may submit to the Danish court the final judgement rendered by the U.S. court. If and to the extent that the Danish court finds that the jurisdiction of the U.S. court has been based on grounds which are internationally acceptable and that proper legal procedures have been observed, the Danish court should, in principle, give binding effect to the judgement of the U.S. court, unless such judgement contravenes principles of public policy of Denmark. Danish courts are likely to deny the recognition and enforcement of punitive damages or other awards. Moreover, a Danish court may reduce the amount of damages granted by a U.S. court and recognize damages only to the extent that they are necessary to compensate for actual losses or damages. Enforcement and recognition of judgements of U.S. courts in Denmark are solely governed by the provisions of the Danish Administration of Justice Act.</w:t>
      </w:r>
    </w:p>
    <w:p>
      <w:pPr>
        <w:spacing w:after="0" w:line="182" w:lineRule="exact"/>
        <w:rPr>
          <w:sz w:val="20"/>
          <w:szCs w:val="20"/>
          <w:color w:val="auto"/>
        </w:rPr>
      </w:pPr>
    </w:p>
    <w:p>
      <w:pPr>
        <w:ind w:left="140" w:right="320"/>
        <w:spacing w:after="0" w:line="310" w:lineRule="auto"/>
        <w:rPr>
          <w:sz w:val="20"/>
          <w:szCs w:val="20"/>
          <w:color w:val="auto"/>
        </w:rPr>
      </w:pPr>
      <w:r>
        <w:rPr>
          <w:rFonts w:ascii="Arial" w:cs="Arial" w:eastAsia="Arial" w:hAnsi="Arial"/>
          <w:sz w:val="16"/>
          <w:szCs w:val="16"/>
          <w:color w:val="auto"/>
        </w:rPr>
        <w:t>Based on the lack of a treaty as described above, U.S. investors may not be able to enforce against us or members of our board of directors, our executive board, our senior management or certain experts named herein who are residents of Denmark or countries other than the United States any judgements obtained in U.S. courts in civil and commercial matters, including judgements under the U.S. federal securities laws.</w:t>
      </w:r>
    </w:p>
    <w:p>
      <w:pPr>
        <w:spacing w:after="0" w:line="256" w:lineRule="exact"/>
        <w:rPr>
          <w:sz w:val="20"/>
          <w:szCs w:val="20"/>
          <w:color w:val="auto"/>
        </w:rPr>
      </w:pPr>
    </w:p>
    <w:p>
      <w:pPr>
        <w:ind w:left="140" w:right="340"/>
        <w:spacing w:after="0" w:line="275" w:lineRule="auto"/>
        <w:rPr>
          <w:sz w:val="20"/>
          <w:szCs w:val="20"/>
          <w:color w:val="auto"/>
        </w:rPr>
      </w:pPr>
      <w:r>
        <w:rPr>
          <w:rFonts w:ascii="Arial" w:cs="Arial" w:eastAsia="Arial" w:hAnsi="Arial"/>
          <w:sz w:val="18"/>
          <w:szCs w:val="18"/>
          <w:b w:val="1"/>
          <w:bCs w:val="1"/>
          <w:i w:val="1"/>
          <w:iCs w:val="1"/>
          <w:color w:val="auto"/>
        </w:rPr>
        <w:t>As a foreign private issuer, we are not subject to U.S. proxy rules and are not subject to certain Exchange Act reporting obligations that, to some extent, are more lenient and less frequent than those of a U.S. domestic public company.</w:t>
      </w:r>
    </w:p>
    <w:p>
      <w:pPr>
        <w:spacing w:after="0" w:line="64" w:lineRule="exact"/>
        <w:rPr>
          <w:sz w:val="20"/>
          <w:szCs w:val="20"/>
          <w:color w:val="auto"/>
        </w:rPr>
      </w:pPr>
    </w:p>
    <w:p>
      <w:pPr>
        <w:ind w:left="140" w:right="260"/>
        <w:spacing w:after="0" w:line="287"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and although we are subject to Danish laws and regulations with regard to such matters and intend to furnish quarterly financial information to the SEC, we are exempt from certain provisions of the Exchange Act that are applicable to U.S. domestic public companies, including</w:t>
      </w:r>
    </w:p>
    <w:p>
      <w:pPr>
        <w:ind w:left="5540" w:right="4880" w:hanging="5405"/>
        <w:spacing w:after="0" w:line="514" w:lineRule="auto"/>
        <w:tabs>
          <w:tab w:leader="none" w:pos="3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sections of the Exchange Act regulating the solicitation of proxies, consents or 47</w:t>
      </w:r>
    </w:p>
    <w:p>
      <w:pPr>
        <w:sectPr>
          <w:pgSz w:w="11900" w:h="16838" w:orient="portrait"/>
          <w:cols w:equalWidth="0" w:num="1">
            <w:col w:w="11120"/>
          </w:cols>
          <w:pgMar w:left="320" w:top="485"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40"/>
        <w:spacing w:after="0" w:line="289" w:lineRule="auto"/>
        <w:rPr>
          <w:sz w:val="20"/>
          <w:szCs w:val="20"/>
          <w:color w:val="auto"/>
        </w:rPr>
      </w:pPr>
      <w:r>
        <w:rPr>
          <w:rFonts w:ascii="Arial" w:cs="Arial" w:eastAsia="Arial" w:hAnsi="Arial"/>
          <w:sz w:val="16"/>
          <w:szCs w:val="16"/>
          <w:color w:val="auto"/>
        </w:rPr>
        <w:t>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large accelerated filers are required to file their annual report on Form 10-K within 60 days after the end of each fiscal year. Foreign private issuers are also exempt from the Regulation Fair Disclosure, aimed at preventing issuers from making selective disclosures of material information. As a result of the above, our shareholders and the holders of our ADS may not have the same protections afforded to shareholders of companies that are not foreign private issuers.</w:t>
      </w:r>
    </w:p>
    <w:p>
      <w:pPr>
        <w:spacing w:after="0" w:line="272" w:lineRule="exact"/>
        <w:rPr>
          <w:sz w:val="20"/>
          <w:szCs w:val="20"/>
          <w:color w:val="auto"/>
        </w:rPr>
      </w:pPr>
    </w:p>
    <w:p>
      <w:pPr>
        <w:ind w:left="140" w:right="100"/>
        <w:spacing w:after="0" w:line="275" w:lineRule="auto"/>
        <w:rPr>
          <w:sz w:val="20"/>
          <w:szCs w:val="20"/>
          <w:color w:val="auto"/>
        </w:rPr>
      </w:pPr>
      <w:r>
        <w:rPr>
          <w:rFonts w:ascii="Arial" w:cs="Arial" w:eastAsia="Arial" w:hAnsi="Arial"/>
          <w:sz w:val="18"/>
          <w:szCs w:val="18"/>
          <w:b w:val="1"/>
          <w:bCs w:val="1"/>
          <w:i w:val="1"/>
          <w:iCs w:val="1"/>
          <w:color w:val="auto"/>
        </w:rPr>
        <w:t>Our status as a “foreign private issuer” allows us to adopt International Financial Reporting Standards (“IFRS”) accounting principles, which are different than accounting principles under U.S. Generally Accepted Accounting Principles (“U.S. GAAP”).</w:t>
      </w:r>
    </w:p>
    <w:p>
      <w:pPr>
        <w:spacing w:after="0" w:line="64" w:lineRule="exact"/>
        <w:rPr>
          <w:sz w:val="20"/>
          <w:szCs w:val="20"/>
          <w:color w:val="auto"/>
        </w:rPr>
      </w:pPr>
    </w:p>
    <w:p>
      <w:pPr>
        <w:ind w:left="140" w:right="40"/>
        <w:spacing w:after="0" w:line="253" w:lineRule="auto"/>
        <w:rPr>
          <w:sz w:val="20"/>
          <w:szCs w:val="20"/>
          <w:color w:val="auto"/>
        </w:rPr>
      </w:pPr>
      <w:r>
        <w:rPr>
          <w:rFonts w:ascii="Arial" w:cs="Arial" w:eastAsia="Arial" w:hAnsi="Arial"/>
          <w:sz w:val="18"/>
          <w:szCs w:val="18"/>
          <w:color w:val="auto"/>
        </w:rPr>
        <w:t>We have adopted and presented our consolidated financial statements in accordance with IFRS as issued by the International Accounting Standards Board and as adopted by the European Union. IFRS is an internationally recognized body of accounting principles that are used by many companies outside of the United States to prepare their financial statements; and the SEC permits foreign private issuers such as our company to prepare and file their financial statements in accordance with IFRS rather than U.S. GAAP. IFRS accounting principles are different from those of U.S. GAAP, and SEC rules do not require us to provide a reconciliation of IFRS accounting principles to those of U.S. GAAP. Investors who are not familiar with IFRS may misunderstand certain information presented in our consolidated financial statements. Accordingly, we suggest that readers of our consolidated financial statements familiarize themselves with the provisions of IFRS accounting principles to better understand the differences between these two sets of principles.</w:t>
      </w:r>
    </w:p>
    <w:p>
      <w:pPr>
        <w:spacing w:after="0" w:line="299" w:lineRule="exact"/>
        <w:rPr>
          <w:sz w:val="20"/>
          <w:szCs w:val="20"/>
          <w:color w:val="auto"/>
        </w:rPr>
      </w:pPr>
    </w:p>
    <w:p>
      <w:pPr>
        <w:ind w:left="140" w:right="520"/>
        <w:spacing w:after="0" w:line="306" w:lineRule="auto"/>
        <w:rPr>
          <w:sz w:val="20"/>
          <w:szCs w:val="20"/>
          <w:color w:val="auto"/>
        </w:rPr>
      </w:pPr>
      <w:r>
        <w:rPr>
          <w:rFonts w:ascii="Arial" w:cs="Arial" w:eastAsia="Arial" w:hAnsi="Arial"/>
          <w:sz w:val="17"/>
          <w:szCs w:val="17"/>
          <w:b w:val="1"/>
          <w:bCs w:val="1"/>
          <w:i w:val="1"/>
          <w:iCs w:val="1"/>
          <w:color w:val="auto"/>
        </w:rPr>
        <w:t>As a foreign private issuer and as permitted by the listing requirements of The Nasdaq Global Select Market, we rely on certain home country governance practices rather than the corporate governance requirements of The Nasdaq Global Select Market.</w:t>
      </w:r>
    </w:p>
    <w:p>
      <w:pPr>
        <w:spacing w:after="0" w:line="40" w:lineRule="exact"/>
        <w:rPr>
          <w:sz w:val="20"/>
          <w:szCs w:val="20"/>
          <w:color w:val="auto"/>
        </w:rPr>
      </w:pPr>
    </w:p>
    <w:p>
      <w:pPr>
        <w:ind w:left="140"/>
        <w:spacing w:after="0" w:line="285" w:lineRule="auto"/>
        <w:rPr>
          <w:sz w:val="20"/>
          <w:szCs w:val="20"/>
          <w:color w:val="auto"/>
        </w:rPr>
      </w:pPr>
      <w:r>
        <w:rPr>
          <w:rFonts w:ascii="Arial" w:cs="Arial" w:eastAsia="Arial" w:hAnsi="Arial"/>
          <w:sz w:val="16"/>
          <w:szCs w:val="16"/>
          <w:color w:val="auto"/>
        </w:rPr>
        <w:t>As a foreign private issuer, in accordance with the listing requirements of The Nasdaq Global Select Market, we rely on home country governance requirements and certain exemptions thereunder rather than relying on the corporate governance requirements of The Nasdaq Global Select Market. For instance, the Listing Rules for The Nasdaq Stock Market, or The Nasdaq Listing Rules, for domestic U.S. issuers require listed companies to have, among other things, a majority of their board members be independent, and to have independent director oversight of executive compensation, nomination of board members and corporate governance matters. As a foreign private issuer, however, while we intend to comply with these requirements, we are permitted to follow home country practice in lieu of the above requirements. Danish law does not require that a majority of our board consist of independent directors or the implementation of a remuneration committee or nominating and corporate governance committee, and our board may thus in the future not include, or include fewer, independent directors than would be required if we were subject to The Nasdaq Listing Rules, or they may decide that it is in our interest not to have a remuneration committee or nominating and corporate governance committee, or have such committees governed by practices that would not comply with The Nasdaq Listing Rules. Since a majority of our board of directors may not consist of independent directors, if we decide to rely on the foreign private issuer exemption to The Nasdaq Listing Rules, our board’s approach may, therefore, be different from that of a board with a majority of independent directors, and as a result, the management oversight of our company could, in the future, be more limited than if we were subject to The Nasdaq Listing Rules. We intend to follow home country practice with regard to, among other things, quorum requirements generally applicable to general meetings of shareholders.</w:t>
      </w:r>
    </w:p>
    <w:p>
      <w:pPr>
        <w:spacing w:after="0" w:line="170" w:lineRule="exact"/>
        <w:rPr>
          <w:sz w:val="20"/>
          <w:szCs w:val="20"/>
          <w:color w:val="auto"/>
        </w:rPr>
      </w:pPr>
    </w:p>
    <w:p>
      <w:pPr>
        <w:ind w:left="140" w:right="200"/>
        <w:spacing w:after="0" w:line="253" w:lineRule="auto"/>
        <w:rPr>
          <w:sz w:val="20"/>
          <w:szCs w:val="20"/>
          <w:color w:val="auto"/>
        </w:rPr>
      </w:pPr>
      <w:r>
        <w:rPr>
          <w:rFonts w:ascii="Arial" w:cs="Arial" w:eastAsia="Arial" w:hAnsi="Arial"/>
          <w:sz w:val="18"/>
          <w:szCs w:val="18"/>
          <w:color w:val="auto"/>
        </w:rPr>
        <w:t>Furthermore, Danish law does not have a regulatory regime for the solicitation of proxies and the solicitation of proxies is not a generally accepted business practice in Denmark, thus our practice varies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To this extent, our practice varies from the requirements of Nasdaq Rule 5635, which generally requires an issuer to obtain shareholder approval for the issuance of securities in connection with such events. Accordingly, our shareholders and holders of our ADS may not have the same protections afforded to shareholders of companies that are subject to these Nasdaq requirements.</w:t>
      </w:r>
    </w:p>
    <w:p>
      <w:pPr>
        <w:spacing w:after="0" w:line="299" w:lineRule="exact"/>
        <w:rPr>
          <w:sz w:val="20"/>
          <w:szCs w:val="20"/>
          <w:color w:val="auto"/>
        </w:rPr>
      </w:pPr>
    </w:p>
    <w:p>
      <w:pPr>
        <w:ind w:left="140" w:right="100"/>
        <w:spacing w:after="0" w:line="275"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4" w:lineRule="exact"/>
        <w:rPr>
          <w:sz w:val="20"/>
          <w:szCs w:val="20"/>
          <w:color w:val="auto"/>
        </w:rPr>
      </w:pPr>
    </w:p>
    <w:p>
      <w:pPr>
        <w:ind w:left="140" w:right="100"/>
        <w:spacing w:after="0" w:line="254" w:lineRule="auto"/>
        <w:rPr>
          <w:sz w:val="20"/>
          <w:szCs w:val="20"/>
          <w:color w:val="auto"/>
        </w:rPr>
      </w:pPr>
      <w:r>
        <w:rPr>
          <w:rFonts w:ascii="Arial" w:cs="Arial" w:eastAsia="Arial" w:hAnsi="Arial"/>
          <w:sz w:val="18"/>
          <w:szCs w:val="18"/>
          <w:color w:val="auto"/>
        </w:rPr>
        <w:t>We qualify as a foreign private issuer and therefore we are not required to comply with all of the periodic disclosure and current reporting requirements of the Exchange Act applicable to U.S. domestic issuers. We may no longer be a foreign private issuer as of June 30, 2022, which would require us to comply with all of the periodic disclosure and current reporting requirements of the Exchange Act applicable to U.S. domestic issuers as of January 1, 2023. To maintain our current status as a foreign private issuer, either (a) a majority of our ordinary shares or ADSs must be either directly or indirectly owned of record by non-residents of the United States or (b) (i) a majority of our executive officers or directors may not be U.S. citizens or residents, (ii) more than 50% of our</w:t>
      </w:r>
    </w:p>
    <w:p>
      <w:pPr>
        <w:sectPr>
          <w:pgSz w:w="11900" w:h="16838" w:orient="portrait"/>
          <w:cols w:equalWidth="0" w:num="1">
            <w:col w:w="11100"/>
          </w:cols>
          <w:pgMar w:left="320" w:top="485" w:right="479" w:bottom="1440" w:gutter="0" w:footer="0" w:header="0"/>
        </w:sectPr>
      </w:pP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00"/>
          </w:cols>
          <w:pgMar w:left="320" w:top="485" w:right="47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assets cannot be located in the United States and (iii) our business must not be administered principally inside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 and members of our senior management.</w:t>
      </w:r>
    </w:p>
    <w:p>
      <w:pPr>
        <w:spacing w:after="0" w:line="275" w:lineRule="exact"/>
        <w:rPr>
          <w:sz w:val="20"/>
          <w:szCs w:val="20"/>
          <w:color w:val="auto"/>
        </w:rPr>
      </w:pPr>
    </w:p>
    <w:p>
      <w:pPr>
        <w:ind w:left="140" w:right="460"/>
        <w:spacing w:after="0" w:line="340" w:lineRule="auto"/>
        <w:rPr>
          <w:sz w:val="20"/>
          <w:szCs w:val="20"/>
          <w:color w:val="auto"/>
        </w:rPr>
      </w:pPr>
      <w:r>
        <w:rPr>
          <w:rFonts w:ascii="Arial" w:cs="Arial" w:eastAsia="Arial" w:hAnsi="Arial"/>
          <w:sz w:val="16"/>
          <w:szCs w:val="16"/>
          <w:b w:val="1"/>
          <w:bCs w:val="1"/>
          <w:i w:val="1"/>
          <w:iCs w:val="1"/>
          <w:color w:val="auto"/>
        </w:rPr>
        <w:t>We do not currently intend to pay dividends on our ordinary shares or ADSs, and, consequently, our shareholders’ and ADS holders’ ability to achieve a return on their investment will depend on appreciation in the price of the ADSs or our ordinary shares.</w:t>
      </w:r>
    </w:p>
    <w:p>
      <w:pPr>
        <w:spacing w:after="0" w:line="17"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We do not currently intend to pay any cash dividends on our ordinary shares for the foreseeable future. We currently intend to invest our future earnings, if any, to fund our growth. Therefore, our shareholders and ADS holders are not likely to receive any dividends on their investment for the foreseeable future. Because we do not intend to pay dividends, our shareholders’ and ADS holders’ ability to receive a return on their investment will depend on any future appreciation in the market value of our ADSs. There is no guarantee that our ordinary shares or ADSs will appreciate or even maintain the price at which our holders have acquired them.</w:t>
      </w:r>
    </w:p>
    <w:p>
      <w:pPr>
        <w:spacing w:after="0" w:line="295" w:lineRule="exact"/>
        <w:rPr>
          <w:sz w:val="20"/>
          <w:szCs w:val="20"/>
          <w:color w:val="auto"/>
        </w:rPr>
      </w:pPr>
    </w:p>
    <w:p>
      <w:pPr>
        <w:ind w:left="140" w:right="460"/>
        <w:spacing w:after="0" w:line="262" w:lineRule="auto"/>
        <w:rPr>
          <w:sz w:val="20"/>
          <w:szCs w:val="20"/>
          <w:color w:val="auto"/>
        </w:rPr>
      </w:pPr>
      <w:r>
        <w:rPr>
          <w:rFonts w:ascii="Arial" w:cs="Arial" w:eastAsia="Arial" w:hAnsi="Arial"/>
          <w:sz w:val="18"/>
          <w:szCs w:val="18"/>
          <w:b w:val="1"/>
          <w:bCs w:val="1"/>
          <w:i w:val="1"/>
          <w:iCs w:val="1"/>
          <w:color w:val="auto"/>
        </w:rPr>
        <w:t>Investors should be aware that the rights provided to our shareholders and holders of ADSs under Danish corporate law and our articles of association differ in certain respects from the rights that would typically be provided to a shareholder of a U.S. company under applicable U.S. federal and state laws.</w:t>
      </w:r>
    </w:p>
    <w:p>
      <w:pPr>
        <w:spacing w:after="0" w:line="75" w:lineRule="exact"/>
        <w:rPr>
          <w:sz w:val="20"/>
          <w:szCs w:val="20"/>
          <w:color w:val="auto"/>
        </w:rPr>
      </w:pPr>
    </w:p>
    <w:p>
      <w:pPr>
        <w:ind w:left="140"/>
        <w:spacing w:after="0" w:line="284" w:lineRule="auto"/>
        <w:rPr>
          <w:sz w:val="20"/>
          <w:szCs w:val="20"/>
          <w:color w:val="auto"/>
        </w:rPr>
      </w:pPr>
      <w:r>
        <w:rPr>
          <w:rFonts w:ascii="Arial" w:cs="Arial" w:eastAsia="Arial" w:hAnsi="Arial"/>
          <w:sz w:val="16"/>
          <w:szCs w:val="16"/>
          <w:color w:val="auto"/>
        </w:rPr>
        <w:t>Under Danish corporate law, except in certain limited circumstances (which require as a minimum that a proposal for inspection has been supported by a minimum of 25% of the shareholders voting and being present at a general meeting), our shareholders may not ask for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to enforce a right of our company, in case we fail to enforce such right ourselves, other than in certain cases of board member or management liability under limited circumstances. In addition, a majority of our shareholders may release a board member or manager from any claim of liability we may have, including if such board member or manager has acted in bad faith or has breached his or her duty of loyalty and only if a minority of at least 10% of the shareholders represented at the relevant general meeting have opposed the decision, may a shareholder bring a derivative action on behalf of our company. In contrast, most U.S. federal and state laws prohibit a company or its shareholders from releasing a board member from liability altogether if such board member has acted in bad faith or has breached such board member’s duty of loyalty to our company. Additionally, distribution of dividends from Danish companies to foreign companies and individuals can be eligible for non-refundable withholding tax, and not all receiving countries allow for deduction. Also, the rights as a creditor may not be as strong under Danish insolvency law, as under U.S. law or other insolvency law, and consequently creditors may recover less in the event our company is subject to insolvency compared to a similar case including a U.S. debtor. In addition, the use of the tax asset consisting of the accumulated tax deficit requires that we are able to generate positive taxable income and can be restricted by future amendments to Danish tax law. Further, repurchases of ordinary shares or ADSs by Ascendis Pharma A/S may have adverse tax consequences to the Company or shareholders under applicable Danish law. Finally, Danish corporate law may not provide appraisal rights in the case of a business combination equivalent to those generally afforded a shareholder of a U.S. company under applicable U.S. laws. As a result of these differences between Danish corporate law and our articles of association, on the one hand, and U.S. federal and state laws, on the other hand, in certain instances, shareholders and ADS holders could receive less protection as an equity holder of our company than they would as a shareholder of a U.S. company.</w:t>
      </w:r>
    </w:p>
    <w:p>
      <w:pPr>
        <w:spacing w:after="0" w:line="200" w:lineRule="exact"/>
        <w:rPr>
          <w:sz w:val="20"/>
          <w:szCs w:val="20"/>
          <w:color w:val="auto"/>
        </w:rPr>
      </w:pPr>
    </w:p>
    <w:p>
      <w:pPr>
        <w:spacing w:after="0" w:line="291" w:lineRule="exact"/>
        <w:rPr>
          <w:sz w:val="20"/>
          <w:szCs w:val="20"/>
          <w:color w:val="auto"/>
        </w:rPr>
      </w:pPr>
    </w:p>
    <w:p>
      <w:pPr>
        <w:ind w:left="140" w:right="380"/>
        <w:spacing w:after="0" w:line="275" w:lineRule="auto"/>
        <w:rPr>
          <w:sz w:val="20"/>
          <w:szCs w:val="20"/>
          <w:color w:val="auto"/>
        </w:rPr>
      </w:pPr>
      <w:r>
        <w:rPr>
          <w:rFonts w:ascii="Arial" w:cs="Arial" w:eastAsia="Arial" w:hAnsi="Arial"/>
          <w:sz w:val="18"/>
          <w:szCs w:val="18"/>
          <w:b w:val="1"/>
          <w:bCs w:val="1"/>
          <w:i w:val="1"/>
          <w:iCs w:val="1"/>
          <w:color w:val="auto"/>
        </w:rPr>
        <w:t>Holders of our ordinary shares or ADSs may not be able to exercise their pre-emptive subscription rights and may suffer dilution of their equity holding in the event of future issuances of our shares.</w:t>
      </w:r>
    </w:p>
    <w:p>
      <w:pPr>
        <w:spacing w:after="0" w:line="64" w:lineRule="exact"/>
        <w:rPr>
          <w:sz w:val="20"/>
          <w:szCs w:val="20"/>
          <w:color w:val="auto"/>
        </w:rPr>
      </w:pPr>
    </w:p>
    <w:p>
      <w:pPr>
        <w:ind w:left="140"/>
        <w:spacing w:after="0" w:line="288" w:lineRule="auto"/>
        <w:rPr>
          <w:sz w:val="20"/>
          <w:szCs w:val="20"/>
          <w:color w:val="auto"/>
        </w:rPr>
      </w:pPr>
      <w:r>
        <w:rPr>
          <w:rFonts w:ascii="Arial" w:cs="Arial" w:eastAsia="Arial" w:hAnsi="Arial"/>
          <w:sz w:val="16"/>
          <w:szCs w:val="16"/>
          <w:color w:val="auto"/>
        </w:rPr>
        <w:t>Under the Danish Companies Act, our shareholders benefit from a pre-emptive subscription right on the issuance of ordinary shares for cash consideration only and not in the event of issuance of shares against non-cash contribution or debt conversion. Even the shareholders’ pre-emptive subscription rights in the event of issuances of shares against cash payment may be disapplied by a resolution of the shareholders at a general meeting of our shareholders and/or the shares or ADSs may be issued on the basis of an authorization granted to the board of directors pursuant to which the board may disapply the shareholders’ pre-emptive subscription rights. Such shares or ADSs may be issued above, or at market value as well as by way of incorporation of available reserves (including premium). In addition, a shareholder may not be able to exercise the shareholder’s pre-emptive right on a timely basis or at all, unless the shareholder complies with the Danish Companies Act and applicable laws in the jurisdiction in which the shareholder is resident. Furthermore, the use of pre-emptive subscription rights in relation to future capital increases in our company can be restricted for U.S. residents according to U.S. securities law. As a result, the shareholding or holding of ADSs of such shareholders or ADS</w:t>
      </w:r>
    </w:p>
    <w:p>
      <w:pPr>
        <w:sectPr>
          <w:pgSz w:w="11900" w:h="16838" w:orient="portrait"/>
          <w:cols w:equalWidth="0" w:num="1">
            <w:col w:w="11100"/>
          </w:cols>
          <w:pgMar w:left="320" w:top="485" w:right="479" w:bottom="1440" w:gutter="0" w:footer="0" w:header="0"/>
        </w:sectPr>
      </w:pP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00"/>
          </w:cols>
          <w:pgMar w:left="320" w:top="485" w:right="4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holders may be materially diluted in the event shares or ADSs are issued in the future. Shares or ADSs may be issued at a discount to market price in rights offerings provided that the resolution is approved by two-thirds of the votes cast and the share capital represented at the general meeting and in these cases a restriction on the ability to exercise pre-emptive rights may materially dilute the value of the ordinary shares or ADSs held by the shareholder or ADS holder in question. Rights issues may also be carried out by the board of directors according to valid authorizations in our articles of association.</w:t>
      </w:r>
    </w:p>
    <w:p>
      <w:pPr>
        <w:spacing w:after="0" w:line="188" w:lineRule="exact"/>
        <w:rPr>
          <w:sz w:val="20"/>
          <w:szCs w:val="20"/>
          <w:color w:val="auto"/>
        </w:rPr>
      </w:pPr>
    </w:p>
    <w:p>
      <w:pPr>
        <w:ind w:left="140" w:right="60"/>
        <w:spacing w:after="0" w:line="286" w:lineRule="auto"/>
        <w:rPr>
          <w:sz w:val="20"/>
          <w:szCs w:val="20"/>
          <w:color w:val="auto"/>
        </w:rPr>
      </w:pPr>
      <w:r>
        <w:rPr>
          <w:rFonts w:ascii="Arial" w:cs="Arial" w:eastAsia="Arial" w:hAnsi="Arial"/>
          <w:sz w:val="16"/>
          <w:szCs w:val="16"/>
          <w:color w:val="auto"/>
        </w:rPr>
        <w:t>However, our ADS holders in the United States are not entitled to exercise or sell such pre-emptive subscription rights related to the ordinary shares, which they represent unless we register the pre-emptive subscription rights and the securities to which the pre-emptive subscription rights relate under the Securities Act or an exemption from the registration requirements is available. In addition, the deposit agreement provides that the depositary will not make rights available to ADS holders unless the distribution to ADS holders or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our shareholders and ADS holders will receive no value for these rights.</w:t>
      </w:r>
    </w:p>
    <w:p>
      <w:pPr>
        <w:spacing w:after="0" w:line="275" w:lineRule="exact"/>
        <w:rPr>
          <w:sz w:val="20"/>
          <w:szCs w:val="20"/>
          <w:color w:val="auto"/>
        </w:rPr>
      </w:pPr>
    </w:p>
    <w:p>
      <w:pPr>
        <w:ind w:left="140" w:right="180"/>
        <w:spacing w:after="0" w:line="27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ordinary shares or ADSs, the price of the ADSs and trading volume could decline.</w:t>
      </w:r>
    </w:p>
    <w:p>
      <w:pPr>
        <w:spacing w:after="0" w:line="64" w:lineRule="exact"/>
        <w:rPr>
          <w:sz w:val="20"/>
          <w:szCs w:val="20"/>
          <w:color w:val="auto"/>
        </w:rPr>
      </w:pPr>
    </w:p>
    <w:p>
      <w:pPr>
        <w:ind w:left="140" w:right="180"/>
        <w:spacing w:after="0" w:line="274" w:lineRule="auto"/>
        <w:rPr>
          <w:sz w:val="20"/>
          <w:szCs w:val="20"/>
          <w:color w:val="auto"/>
        </w:rPr>
      </w:pPr>
      <w:r>
        <w:rPr>
          <w:rFonts w:ascii="Arial" w:cs="Arial" w:eastAsia="Arial" w:hAnsi="Arial"/>
          <w:sz w:val="17"/>
          <w:szCs w:val="17"/>
          <w:color w:val="auto"/>
        </w:rPr>
        <w:t>The trading market for the ADSs may be influenced by the research and reports that industry or securities analysts publish about us or our business. If any of the analysts who cover us issue an adverse or misleading opinion regarding us, our business model, our intellectual property or performance of the ADSs, or if our commercial sales, clinical trials or operating results fail to meet the expectations of analysts, the price of the ADSs would likely decline. If one or more of these analysts cease coverage of us or fail to publish reports on us regularly, we could lose visibility in the financial markets, which in turn could cause the price of the ADSs or trading volume to decline.</w:t>
      </w:r>
    </w:p>
    <w:p>
      <w:pPr>
        <w:spacing w:after="0" w:line="283" w:lineRule="exact"/>
        <w:rPr>
          <w:sz w:val="20"/>
          <w:szCs w:val="20"/>
          <w:color w:val="auto"/>
        </w:rPr>
      </w:pPr>
    </w:p>
    <w:p>
      <w:pPr>
        <w:ind w:left="140" w:right="420"/>
        <w:spacing w:after="0" w:line="275"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for our current taxable year and future taxable years, which could result in adverse U.S. federal income tax consequences to U.S. investors.</w:t>
      </w:r>
    </w:p>
    <w:p>
      <w:pPr>
        <w:spacing w:after="0" w:line="64" w:lineRule="exact"/>
        <w:rPr>
          <w:sz w:val="20"/>
          <w:szCs w:val="20"/>
          <w:color w:val="auto"/>
        </w:rPr>
      </w:pPr>
    </w:p>
    <w:p>
      <w:pPr>
        <w:ind w:left="140"/>
        <w:spacing w:after="0" w:line="300" w:lineRule="auto"/>
        <w:rPr>
          <w:sz w:val="20"/>
          <w:szCs w:val="20"/>
          <w:color w:val="auto"/>
        </w:rPr>
      </w:pPr>
      <w:r>
        <w:rPr>
          <w:rFonts w:ascii="Arial" w:cs="Arial" w:eastAsia="Arial" w:hAnsi="Arial"/>
          <w:sz w:val="16"/>
          <w:szCs w:val="16"/>
          <w:color w:val="auto"/>
        </w:rPr>
        <w:t>Under the Internal Revenue Code of 1986, as amended, the determination of passive foreign investment company, or PFIC, status is fact-specific, and generally cannot be made until after the close of the taxable year in question. Based on the market price of the ADSs and the value and composition of our income and assets, we do not believe we were a PFIC for U.S. federal income tax purposes for our taxable year ended December 31, 2021. However, the application of the PFIC rules is subject to uncertainty in several respects, and we cannot assure you we will not be a PFIC for any taxable year.</w:t>
      </w:r>
    </w:p>
    <w:p>
      <w:pPr>
        <w:spacing w:after="0" w:line="156" w:lineRule="exact"/>
        <w:rPr>
          <w:sz w:val="20"/>
          <w:szCs w:val="20"/>
          <w:color w:val="auto"/>
        </w:rPr>
      </w:pPr>
    </w:p>
    <w:p>
      <w:pPr>
        <w:ind w:left="140" w:right="20"/>
        <w:spacing w:after="0" w:line="285" w:lineRule="auto"/>
        <w:rPr>
          <w:sz w:val="20"/>
          <w:szCs w:val="20"/>
          <w:color w:val="auto"/>
        </w:rPr>
      </w:pPr>
      <w:r>
        <w:rPr>
          <w:rFonts w:ascii="Arial" w:cs="Arial" w:eastAsia="Arial" w:hAnsi="Arial"/>
          <w:sz w:val="16"/>
          <w:szCs w:val="16"/>
          <w:color w:val="auto"/>
        </w:rPr>
        <w:t>A non-U.S. corporation will be considered a PFIC for any taxable year if either (1) at least 75% of its gross income for such taxable year is passive income or (2) at least 50% of the value of its assets (generally based on an average of the quarterly values of the assets) during such year is attributable to assets that produce or are held for the production of passive income. A separate determination must be made each taxable year as to whether we are a PFIC (after the close of each such taxable year). If we are a PFIC for any taxable year during which a U.S. Holder (as defined in “Taxation—Material U.S. Federal Income Tax Consequences to U.S. Holders”) holds ordinary shares or ADSs, the U.S. Holder may be subject to adverse tax consequences, including (i) the treatment of all or a portion of any gain on disposition as ordinary income, (ii) the application of an interest charge with respect to such gain and certain dividends and (iii) compliance with certain reporting requirements. Although we do not believe we were a PFIC for U.S. federal income tax purposes for our taxable year ended December 31, 2021, the application of the PFIC rules is subject to uncertainty in several respects. Whether we will be a PFIC in any year depends on the composition of our income and assets, and the relative fair market value of our assets from time to time, which we expect may vary substantially over time. In addition, because the value of our assets for purposes of the asset test will generally be determined by reference to the market price of the ADSs, our PFIC status will depend in large part on the market price of the ADSs, which may fluctuate significantly. For these reasons, we cannot assure you we will not be a PFIC for any tax year. Each U.S. Holder is strongly urged to consult its tax advisor regarding these issues. See “Taxation—Material U.S. Federal Income Tax Consequences to U.S. Holders.”</w:t>
      </w:r>
    </w:p>
    <w:p>
      <w:pPr>
        <w:spacing w:after="0" w:line="281" w:lineRule="exact"/>
        <w:rPr>
          <w:sz w:val="20"/>
          <w:szCs w:val="20"/>
          <w:color w:val="auto"/>
        </w:rPr>
      </w:pPr>
    </w:p>
    <w:p>
      <w:pPr>
        <w:ind w:left="140" w:right="520"/>
        <w:spacing w:after="0" w:line="275"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or ADSs, such holder may be subject to adverse U.S. federal income tax consequences.</w:t>
      </w:r>
    </w:p>
    <w:p>
      <w:pPr>
        <w:spacing w:after="0" w:line="64"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color w:val="auto"/>
        </w:rPr>
        <w:t>If a U.S. Holder (as defined in “Taxation—Material U.S. Federal Income Tax Consequences to U.S. Holders.”) is treated as owning (directly, indirectly or constructively) at least 10% of the value or voting power of our ordinary shares or ADSs, such U.S. Holder will</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5"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85" w:lineRule="auto"/>
        <w:rPr>
          <w:sz w:val="20"/>
          <w:szCs w:val="20"/>
          <w:color w:val="auto"/>
        </w:rPr>
      </w:pPr>
      <w:r>
        <w:rPr>
          <w:rFonts w:ascii="Arial" w:cs="Arial" w:eastAsia="Arial" w:hAnsi="Arial"/>
          <w:sz w:val="16"/>
          <w:szCs w:val="16"/>
          <w:color w:val="auto"/>
        </w:rPr>
        <w:t>be treated as a “United States shareholder” with respect to each “controlled foreign corporation” in our group (if any). Because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from starting with respect to such shareholder’s U.S. federal income tax return for the year for which reporting was due. Further,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should consult their tax advisors regarding the potential application of these rules to their investment in our ordinary shares or ADSs.</w:t>
      </w:r>
    </w:p>
    <w:p>
      <w:pPr>
        <w:spacing w:after="0" w:line="31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29" w:lineRule="exact"/>
        <w:rPr>
          <w:sz w:val="20"/>
          <w:szCs w:val="20"/>
          <w:color w:val="auto"/>
        </w:rPr>
      </w:pPr>
    </w:p>
    <w:p>
      <w:pPr>
        <w:ind w:left="560" w:hanging="425"/>
        <w:spacing w:after="0"/>
        <w:tabs>
          <w:tab w:leader="none" w:pos="5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120" w:lineRule="exact"/>
        <w:rPr>
          <w:sz w:val="20"/>
          <w:szCs w:val="20"/>
          <w:color w:val="auto"/>
        </w:rPr>
      </w:pPr>
    </w:p>
    <w:p>
      <w:pPr>
        <w:ind w:left="140" w:right="120"/>
        <w:spacing w:after="0" w:line="278" w:lineRule="auto"/>
        <w:rPr>
          <w:sz w:val="20"/>
          <w:szCs w:val="20"/>
          <w:color w:val="auto"/>
        </w:rPr>
      </w:pPr>
      <w:r>
        <w:rPr>
          <w:rFonts w:ascii="Arial" w:cs="Arial" w:eastAsia="Arial" w:hAnsi="Arial"/>
          <w:sz w:val="17"/>
          <w:szCs w:val="17"/>
          <w:color w:val="auto"/>
        </w:rPr>
        <w:t>We were organized under the laws of the Kingdom of Denmark in September 2006 as a private limited liability company (</w:t>
      </w:r>
      <w:r>
        <w:rPr>
          <w:rFonts w:ascii="Arial" w:cs="Arial" w:eastAsia="Arial" w:hAnsi="Arial"/>
          <w:sz w:val="17"/>
          <w:szCs w:val="17"/>
          <w:i w:val="1"/>
          <w:iCs w:val="1"/>
          <w:color w:val="auto"/>
        </w:rPr>
        <w:t>Anpartsselskab</w:t>
      </w:r>
      <w:r>
        <w:rPr>
          <w:rFonts w:ascii="Arial" w:cs="Arial" w:eastAsia="Arial" w:hAnsi="Arial"/>
          <w:sz w:val="17"/>
          <w:szCs w:val="17"/>
          <w:color w:val="auto"/>
        </w:rPr>
        <w:t>, or ApS) and then transformed into a public limited liability company (</w:t>
      </w:r>
      <w:r>
        <w:rPr>
          <w:rFonts w:ascii="Arial" w:cs="Arial" w:eastAsia="Arial" w:hAnsi="Arial"/>
          <w:sz w:val="17"/>
          <w:szCs w:val="17"/>
          <w:i w:val="1"/>
          <w:iCs w:val="1"/>
          <w:color w:val="auto"/>
        </w:rPr>
        <w:t>Aktieselskab</w:t>
      </w:r>
      <w:r>
        <w:rPr>
          <w:rFonts w:ascii="Arial" w:cs="Arial" w:eastAsia="Arial" w:hAnsi="Arial"/>
          <w:sz w:val="17"/>
          <w:szCs w:val="17"/>
          <w:color w:val="auto"/>
        </w:rPr>
        <w:t>, or A/S), effective December 17, 2007. In connection with this conversion, our legal name changed from Ascendis Pharma ApS to Ascendis Pharma A/S. We commenced operations in December 2007 in connection with the acquisition of the company that invented our TransCon technologies, Complex Biosystems GmbH.</w:t>
      </w:r>
    </w:p>
    <w:p>
      <w:pPr>
        <w:spacing w:after="0" w:line="170"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Our registered office and principal executive offices are located at Tuborg Boulevard 12, DK-2900 Hellerup, Denmark and our telephone number is +45 70 22 22 44. Our agent for service of process in the United States is Ascendis Pharma, Inc. Our corporate website address is www.ascendispharma.com. The information on, or that can be accessed through, our website is not part of and should not be incorporated by reference into this annual report or any other report we file or furnish to the SEC. We have included our website address as an inactive textual reference only. Our ADSs are traded on The Nasdaq Global Select Market under the symbol “ASND”.</w:t>
      </w:r>
    </w:p>
    <w:p>
      <w:pPr>
        <w:spacing w:after="0" w:line="188" w:lineRule="exact"/>
        <w:rPr>
          <w:sz w:val="20"/>
          <w:szCs w:val="20"/>
          <w:color w:val="auto"/>
        </w:rPr>
      </w:pPr>
    </w:p>
    <w:p>
      <w:pPr>
        <w:ind w:left="140" w:right="60"/>
        <w:spacing w:after="0" w:line="275" w:lineRule="auto"/>
        <w:rPr>
          <w:sz w:val="20"/>
          <w:szCs w:val="20"/>
          <w:color w:val="auto"/>
        </w:rPr>
      </w:pPr>
      <w:r>
        <w:rPr>
          <w:rFonts w:ascii="Arial" w:cs="Arial" w:eastAsia="Arial" w:hAnsi="Arial"/>
          <w:sz w:val="18"/>
          <w:szCs w:val="18"/>
          <w:color w:val="auto"/>
        </w:rPr>
        <w:t>The SEC maintains an internet site at www.sec.gov that contains reports, proxy and information statements, and other information regarding issuers that file electronically with the SEC.</w:t>
      </w:r>
    </w:p>
    <w:p>
      <w:pPr>
        <w:spacing w:after="0" w:line="171" w:lineRule="exact"/>
        <w:rPr>
          <w:sz w:val="20"/>
          <w:szCs w:val="20"/>
          <w:color w:val="auto"/>
        </w:rPr>
      </w:pPr>
    </w:p>
    <w:p>
      <w:pPr>
        <w:ind w:left="140" w:right="660"/>
        <w:spacing w:after="0" w:line="275" w:lineRule="auto"/>
        <w:rPr>
          <w:sz w:val="20"/>
          <w:szCs w:val="20"/>
          <w:color w:val="auto"/>
        </w:rPr>
      </w:pPr>
      <w:r>
        <w:rPr>
          <w:rFonts w:ascii="Arial" w:cs="Arial" w:eastAsia="Arial" w:hAnsi="Arial"/>
          <w:sz w:val="18"/>
          <w:szCs w:val="18"/>
          <w:color w:val="auto"/>
        </w:rPr>
        <w:t>For additional information relating to the development of our company, see “Item 4 B. Information on the Company – Business Overview.” For additional information relating to the Company’s capital expenditures, see “Item 5 A. Operating Results.”</w:t>
      </w:r>
    </w:p>
    <w:p>
      <w:pPr>
        <w:spacing w:after="0" w:line="315" w:lineRule="exact"/>
        <w:rPr>
          <w:sz w:val="20"/>
          <w:szCs w:val="20"/>
          <w:color w:val="auto"/>
        </w:rPr>
      </w:pPr>
    </w:p>
    <w:p>
      <w:pPr>
        <w:ind w:left="140" w:right="9100" w:hanging="5"/>
        <w:spacing w:after="0" w:line="376" w:lineRule="auto"/>
        <w:tabs>
          <w:tab w:leader="none" w:pos="57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Overview</w:t>
      </w:r>
    </w:p>
    <w:p>
      <w:pPr>
        <w:spacing w:after="0" w:line="1" w:lineRule="exact"/>
        <w:rPr>
          <w:sz w:val="20"/>
          <w:szCs w:val="20"/>
          <w:color w:val="auto"/>
        </w:rPr>
      </w:pPr>
    </w:p>
    <w:p>
      <w:pPr>
        <w:ind w:left="140" w:right="60"/>
        <w:spacing w:after="0" w:line="275" w:lineRule="auto"/>
        <w:rPr>
          <w:sz w:val="20"/>
          <w:szCs w:val="20"/>
          <w:color w:val="auto"/>
        </w:rPr>
      </w:pPr>
      <w:r>
        <w:rPr>
          <w:rFonts w:ascii="Arial" w:cs="Arial" w:eastAsia="Arial" w:hAnsi="Arial"/>
          <w:sz w:val="18"/>
          <w:szCs w:val="18"/>
          <w:color w:val="auto"/>
        </w:rPr>
        <w:t>We are applying our innovative TransCon technologies to build a leading, fully integrated, global biopharmaceutical company and develop a pipeline of product candidates with potential best-in-class profiles to address unmet medical needs.</w:t>
      </w:r>
    </w:p>
    <w:p>
      <w:pPr>
        <w:spacing w:after="0" w:line="171" w:lineRule="exact"/>
        <w:rPr>
          <w:sz w:val="20"/>
          <w:szCs w:val="20"/>
          <w:color w:val="auto"/>
        </w:rPr>
      </w:pPr>
    </w:p>
    <w:p>
      <w:pPr>
        <w:ind w:left="140" w:right="20"/>
        <w:spacing w:after="0" w:line="275" w:lineRule="auto"/>
        <w:rPr>
          <w:sz w:val="20"/>
          <w:szCs w:val="20"/>
          <w:color w:val="auto"/>
        </w:rPr>
      </w:pPr>
      <w:r>
        <w:rPr>
          <w:rFonts w:ascii="Arial" w:cs="Arial" w:eastAsia="Arial" w:hAnsi="Arial"/>
          <w:sz w:val="18"/>
          <w:szCs w:val="18"/>
          <w:color w:val="auto"/>
        </w:rPr>
        <w:t>Our product candidates combine our TransCon technologies with clinically validated parent drugs and pathways, with the goal of optimizing therapeutic effect and improving tolerability and convenience.</w:t>
      </w:r>
    </w:p>
    <w:p>
      <w:pPr>
        <w:spacing w:after="0" w:line="171" w:lineRule="exact"/>
        <w:rPr>
          <w:sz w:val="20"/>
          <w:szCs w:val="20"/>
          <w:color w:val="auto"/>
        </w:rPr>
      </w:pPr>
    </w:p>
    <w:p>
      <w:pPr>
        <w:ind w:left="140" w:right="300"/>
        <w:spacing w:after="0" w:line="300" w:lineRule="auto"/>
        <w:rPr>
          <w:sz w:val="20"/>
          <w:szCs w:val="20"/>
          <w:color w:val="auto"/>
        </w:rPr>
      </w:pPr>
      <w:r>
        <w:rPr>
          <w:rFonts w:ascii="Arial" w:cs="Arial" w:eastAsia="Arial" w:hAnsi="Arial"/>
          <w:sz w:val="16"/>
          <w:szCs w:val="16"/>
          <w:color w:val="auto"/>
        </w:rPr>
        <w:t>We have applied these technologies in combination with a clinically validated parent drug or pathway using our algorithm with the goal of creating product candidates with the potential to be best-in-class in endocrinology rare diseases and oncology. In addition, we plan to apply this algorithm for product innovation and selection in new therapeutic areas. We believe our approach to product innovation may reduce the risks associated with traditional drug development, and that our TransCon technologies have been validated by non-clinical and clinical programs completed to date.</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85"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Ascendis Algorithm for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93980</wp:posOffset>
            </wp:positionV>
            <wp:extent cx="4544695" cy="17252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44695" cy="172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0" w:right="140"/>
        <w:spacing w:after="0" w:line="256" w:lineRule="auto"/>
        <w:rPr>
          <w:sz w:val="20"/>
          <w:szCs w:val="20"/>
          <w:color w:val="auto"/>
        </w:rPr>
      </w:pPr>
      <w:r>
        <w:rPr>
          <w:rFonts w:ascii="Arial" w:cs="Arial" w:eastAsia="Arial" w:hAnsi="Arial"/>
          <w:sz w:val="18"/>
          <w:szCs w:val="18"/>
          <w:color w:val="auto"/>
        </w:rPr>
        <w:t>When we apply our TransCon technologies to already approved drug compounds, we may benefit from established clinical safety and efficacy data, which we believe increases the probability of success compared to traditional drug development. As presented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a large potentially addressable market.</w:t>
      </w:r>
    </w:p>
    <w:p>
      <w:pPr>
        <w:spacing w:after="0" w:line="188" w:lineRule="exact"/>
        <w:rPr>
          <w:sz w:val="20"/>
          <w:szCs w:val="20"/>
          <w:color w:val="auto"/>
        </w:rPr>
      </w:pPr>
    </w:p>
    <w:p>
      <w:pPr>
        <w:ind w:left="140"/>
        <w:spacing w:after="0" w:line="275" w:lineRule="auto"/>
        <w:rPr>
          <w:sz w:val="20"/>
          <w:szCs w:val="20"/>
          <w:color w:val="auto"/>
        </w:rPr>
      </w:pPr>
      <w:r>
        <w:rPr>
          <w:rFonts w:ascii="Arial" w:cs="Arial" w:eastAsia="Arial" w:hAnsi="Arial"/>
          <w:sz w:val="18"/>
          <w:szCs w:val="18"/>
          <w:color w:val="auto"/>
        </w:rPr>
        <w:t>We currently have one marketed product and a diversified portfolio of five product candidates in clinical development in the areas of endocrinology rare diseases and oncology. We are also evaluating additional therapeutic areas and indications.</w:t>
      </w:r>
    </w:p>
    <w:p>
      <w:pPr>
        <w:spacing w:after="0" w:line="77" w:lineRule="exact"/>
        <w:rPr>
          <w:sz w:val="20"/>
          <w:szCs w:val="20"/>
          <w:color w:val="auto"/>
        </w:rPr>
      </w:pPr>
    </w:p>
    <w:p>
      <w:pPr>
        <w:ind w:left="1100" w:right="40" w:hanging="426"/>
        <w:spacing w:after="0" w:line="272" w:lineRule="auto"/>
        <w:tabs>
          <w:tab w:leader="none" w:pos="11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First Marketed Product </w:t>
      </w:r>
      <w:r>
        <w:rPr>
          <w:rFonts w:ascii="Arial" w:cs="Arial" w:eastAsia="Arial" w:hAnsi="Arial"/>
          <w:sz w:val="16"/>
          <w:szCs w:val="16"/>
          <w:color w:val="auto"/>
        </w:rPr>
        <w:t>– Our first marketed product is SKYTROFA</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(lonapegsomatropin-tcgd), developed as TransCon Growth</w:t>
      </w:r>
      <w:r>
        <w:rPr>
          <w:rFonts w:ascii="Arial" w:cs="Arial" w:eastAsia="Arial" w:hAnsi="Arial"/>
          <w:sz w:val="16"/>
          <w:szCs w:val="16"/>
          <w:i w:val="1"/>
          <w:iCs w:val="1"/>
          <w:color w:val="auto"/>
        </w:rPr>
        <w:t xml:space="preserve"> </w:t>
      </w:r>
      <w:r>
        <w:rPr>
          <w:rFonts w:ascii="Arial" w:cs="Arial" w:eastAsia="Arial" w:hAnsi="Arial"/>
          <w:sz w:val="16"/>
          <w:szCs w:val="16"/>
          <w:color w:val="auto"/>
        </w:rPr>
        <w:t>Hormone (“TransCon hGH”), which has received regulatory approval in the United States for the treatment of pediatric patients one year and older who weigh at least 11.5 kg and have growth failure due to inadequate secretion of endogenous growth hormone, also known as growth hormone deficiency (“GHD”) and which is now commercially available for prescription in the United States. TransCon hGH is also approved under the name Lonapegsomatropin Ascendis Pharma for the treatment of children and adolescents aged from 3 years up to 18 years due to insufficient endogenous growth hormone secretion in the European Union (“EU”).</w:t>
      </w:r>
    </w:p>
    <w:p>
      <w:pPr>
        <w:spacing w:after="0" w:line="83" w:lineRule="exact"/>
        <w:rPr>
          <w:rFonts w:ascii="Arial" w:cs="Arial" w:eastAsia="Arial" w:hAnsi="Arial"/>
          <w:sz w:val="16"/>
          <w:szCs w:val="16"/>
          <w:color w:val="auto"/>
        </w:rPr>
      </w:pPr>
    </w:p>
    <w:p>
      <w:pPr>
        <w:ind w:left="1100" w:right="140" w:hanging="426"/>
        <w:spacing w:after="0" w:line="256"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Endocrinology Rare Disease Pipeline </w:t>
      </w:r>
      <w:r>
        <w:rPr>
          <w:rFonts w:ascii="Arial" w:cs="Arial" w:eastAsia="Arial" w:hAnsi="Arial"/>
          <w:sz w:val="18"/>
          <w:szCs w:val="18"/>
          <w:color w:val="auto"/>
        </w:rPr>
        <w:t>– We are developing three product candidates in our endocrinology rare disease portfolio spanning</w:t>
      </w:r>
      <w:r>
        <w:rPr>
          <w:rFonts w:ascii="Arial" w:cs="Arial" w:eastAsia="Arial" w:hAnsi="Arial"/>
          <w:sz w:val="18"/>
          <w:szCs w:val="18"/>
          <w:i w:val="1"/>
          <w:iCs w:val="1"/>
          <w:color w:val="auto"/>
        </w:rPr>
        <w:t xml:space="preserve"> </w:t>
      </w:r>
      <w:r>
        <w:rPr>
          <w:rFonts w:ascii="Arial" w:cs="Arial" w:eastAsia="Arial" w:hAnsi="Arial"/>
          <w:sz w:val="18"/>
          <w:szCs w:val="18"/>
          <w:color w:val="auto"/>
        </w:rPr>
        <w:t>seven different clinical programs. These include: TransCon hGH for pediatric GHD in Japan; TransCon hGH for adults with GHD; TransCon PTH for adult hypoparathyroidism; the last classical hormone deficiency for which complete hormone replacement has been elusive; and TransCon CNP for pediatric achondroplasia, the most common form of dwarfism. Our associate VISEN Pharmaceuticals is also developing TransCon hGH in China.</w:t>
      </w:r>
    </w:p>
    <w:p>
      <w:pPr>
        <w:spacing w:after="0" w:line="79" w:lineRule="exact"/>
        <w:rPr>
          <w:rFonts w:ascii="Arial" w:cs="Arial" w:eastAsia="Arial" w:hAnsi="Arial"/>
          <w:sz w:val="18"/>
          <w:szCs w:val="18"/>
          <w:color w:val="auto"/>
        </w:rPr>
      </w:pPr>
    </w:p>
    <w:p>
      <w:pPr>
        <w:ind w:left="1120" w:right="200"/>
        <w:spacing w:after="0" w:line="306" w:lineRule="auto"/>
        <w:rPr>
          <w:rFonts w:ascii="Arial" w:cs="Arial" w:eastAsia="Arial" w:hAnsi="Arial"/>
          <w:sz w:val="18"/>
          <w:szCs w:val="18"/>
          <w:color w:val="auto"/>
        </w:rPr>
      </w:pPr>
      <w:r>
        <w:rPr>
          <w:rFonts w:ascii="Arial" w:cs="Arial" w:eastAsia="Arial" w:hAnsi="Arial"/>
          <w:sz w:val="17"/>
          <w:szCs w:val="17"/>
          <w:color w:val="auto"/>
        </w:rPr>
        <w:t>In addition, we are preparing to initiate new trials in other endocrinology rare disease indications: TransCon hGH for Turner Syndrome; TransCon PTH for pediatric hypoparathyroidism; and TransCon CNP for infants (age 0-2 years) with achondroplasia.</w:t>
      </w:r>
    </w:p>
    <w:p>
      <w:pPr>
        <w:spacing w:after="0" w:line="53" w:lineRule="exact"/>
        <w:rPr>
          <w:rFonts w:ascii="Arial" w:cs="Arial" w:eastAsia="Arial" w:hAnsi="Arial"/>
          <w:sz w:val="18"/>
          <w:szCs w:val="18"/>
          <w:color w:val="auto"/>
        </w:rPr>
      </w:pPr>
    </w:p>
    <w:p>
      <w:pPr>
        <w:ind w:left="1100" w:hanging="426"/>
        <w:spacing w:after="0" w:line="253"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 In oncology, we are leveraging our TransCon technologies in effort to enhance anti-tumor effects of clinically-validated parent</w:t>
      </w:r>
      <w:r>
        <w:rPr>
          <w:rFonts w:ascii="Arial" w:cs="Arial" w:eastAsia="Arial" w:hAnsi="Arial"/>
          <w:sz w:val="18"/>
          <w:szCs w:val="18"/>
          <w:i w:val="1"/>
          <w:iCs w:val="1"/>
          <w:color w:val="auto"/>
        </w:rPr>
        <w:t xml:space="preserve"> </w:t>
      </w:r>
      <w:r>
        <w:rPr>
          <w:rFonts w:ascii="Arial" w:cs="Arial" w:eastAsia="Arial" w:hAnsi="Arial"/>
          <w:sz w:val="18"/>
          <w:szCs w:val="18"/>
          <w:color w:val="auto"/>
        </w:rPr>
        <w:t>drugs and pathways and to provide sustained modulation of tumor microenvironments and activate cytotoxic immune cells. We have initiated clinical development of two product candidates: TransCon TLR7/8 Agonist, an investigational, long-acting prodrug of resiquimod, a small molecule agonist of Toll like receptors (“TLR”) 7 and 8 for intratumoral delivery and TransCon IL-2 ß/g for systemic delivery, which is designed for prolonged exposure to an IL-2 variant that selectively activates the IL-2Rß/g, with minimal binding to IL-2Rα. Our clinical development program for these product candidates also includes evaluation of them as a potential combination therapy.</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85"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TransCon Products and Product Candidates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93980</wp:posOffset>
            </wp:positionV>
            <wp:extent cx="5389880" cy="256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8988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hanging="425"/>
        <w:spacing w:after="0"/>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Developed under the name TransCon hGH and approved under the name Lonapegsomatropin Ascendis Pharma</w:t>
      </w:r>
    </w:p>
    <w:p>
      <w:pPr>
        <w:spacing w:after="0" w:line="129" w:lineRule="exact"/>
        <w:rPr>
          <w:rFonts w:ascii="Arial" w:cs="Arial" w:eastAsia="Arial" w:hAnsi="Arial"/>
          <w:sz w:val="18"/>
          <w:szCs w:val="18"/>
          <w:i w:val="1"/>
          <w:iCs w:val="1"/>
          <w:color w:val="auto"/>
        </w:rPr>
      </w:pPr>
    </w:p>
    <w:p>
      <w:pPr>
        <w:ind w:left="560" w:hanging="425"/>
        <w:spacing w:after="0"/>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In development in Greater China through strategic investment in VISEN Pharmaceuticals (“VISEN”)</w:t>
      </w:r>
    </w:p>
    <w:p>
      <w:pPr>
        <w:spacing w:after="0" w:line="129" w:lineRule="exact"/>
        <w:rPr>
          <w:rFonts w:ascii="Arial" w:cs="Arial" w:eastAsia="Arial" w:hAnsi="Arial"/>
          <w:sz w:val="18"/>
          <w:szCs w:val="18"/>
          <w:i w:val="1"/>
          <w:iCs w:val="1"/>
          <w:color w:val="auto"/>
        </w:rPr>
      </w:pPr>
    </w:p>
    <w:p>
      <w:pPr>
        <w:ind w:left="560" w:hanging="425"/>
        <w:spacing w:after="0"/>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Japanese riGHt Trial</w:t>
      </w:r>
    </w:p>
    <w:p>
      <w:pPr>
        <w:spacing w:after="0" w:line="129" w:lineRule="exact"/>
        <w:rPr>
          <w:rFonts w:ascii="Arial" w:cs="Arial" w:eastAsia="Arial" w:hAnsi="Arial"/>
          <w:sz w:val="18"/>
          <w:szCs w:val="18"/>
          <w:i w:val="1"/>
          <w:iCs w:val="1"/>
          <w:color w:val="auto"/>
        </w:rPr>
      </w:pPr>
    </w:p>
    <w:p>
      <w:pPr>
        <w:ind w:left="560" w:hanging="425"/>
        <w:spacing w:after="0"/>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Global foresiGHt Trial</w:t>
      </w:r>
    </w:p>
    <w:p>
      <w:pPr>
        <w:spacing w:after="0" w:line="129" w:lineRule="exact"/>
        <w:rPr>
          <w:rFonts w:ascii="Arial" w:cs="Arial" w:eastAsia="Arial" w:hAnsi="Arial"/>
          <w:sz w:val="18"/>
          <w:szCs w:val="18"/>
          <w:i w:val="1"/>
          <w:iCs w:val="1"/>
          <w:color w:val="auto"/>
        </w:rPr>
      </w:pPr>
    </w:p>
    <w:p>
      <w:pPr>
        <w:ind w:left="560" w:hanging="425"/>
        <w:spacing w:after="0"/>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North American and European PaTHway Trial</w:t>
      </w:r>
    </w:p>
    <w:p>
      <w:pPr>
        <w:spacing w:after="0" w:line="129" w:lineRule="exact"/>
        <w:rPr>
          <w:rFonts w:ascii="Arial" w:cs="Arial" w:eastAsia="Arial" w:hAnsi="Arial"/>
          <w:sz w:val="18"/>
          <w:szCs w:val="18"/>
          <w:i w:val="1"/>
          <w:iCs w:val="1"/>
          <w:color w:val="auto"/>
        </w:rPr>
      </w:pPr>
    </w:p>
    <w:p>
      <w:pPr>
        <w:ind w:left="560" w:hanging="425"/>
        <w:spacing w:after="0"/>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Japanese PaTHway Japan Trial</w:t>
      </w:r>
    </w:p>
    <w:p>
      <w:pPr>
        <w:spacing w:after="0" w:line="129" w:lineRule="exact"/>
        <w:rPr>
          <w:rFonts w:ascii="Arial" w:cs="Arial" w:eastAsia="Arial" w:hAnsi="Arial"/>
          <w:sz w:val="18"/>
          <w:szCs w:val="18"/>
          <w:i w:val="1"/>
          <w:iCs w:val="1"/>
          <w:color w:val="auto"/>
        </w:rPr>
      </w:pPr>
    </w:p>
    <w:p>
      <w:pPr>
        <w:ind w:left="560" w:hanging="425"/>
        <w:spacing w:after="0"/>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North America, Europe, and Oceania ACcomplisH Trial</w:t>
      </w:r>
    </w:p>
    <w:p>
      <w:pPr>
        <w:spacing w:after="0" w:line="129" w:lineRule="exact"/>
        <w:rPr>
          <w:rFonts w:ascii="Arial" w:cs="Arial" w:eastAsia="Arial" w:hAnsi="Arial"/>
          <w:sz w:val="18"/>
          <w:szCs w:val="18"/>
          <w:i w:val="1"/>
          <w:iCs w:val="1"/>
          <w:color w:val="auto"/>
        </w:rPr>
      </w:pPr>
    </w:p>
    <w:p>
      <w:pPr>
        <w:ind w:left="560" w:hanging="425"/>
        <w:spacing w:after="0"/>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transcendIT-101 Trial</w:t>
      </w:r>
    </w:p>
    <w:p>
      <w:pPr>
        <w:spacing w:after="0" w:line="129" w:lineRule="exact"/>
        <w:rPr>
          <w:rFonts w:ascii="Arial" w:cs="Arial" w:eastAsia="Arial" w:hAnsi="Arial"/>
          <w:sz w:val="18"/>
          <w:szCs w:val="18"/>
          <w:i w:val="1"/>
          <w:iCs w:val="1"/>
          <w:color w:val="auto"/>
        </w:rPr>
      </w:pPr>
    </w:p>
    <w:p>
      <w:pPr>
        <w:ind w:left="560" w:hanging="425"/>
        <w:spacing w:after="0"/>
        <w:tabs>
          <w:tab w:leader="none" w:pos="5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IL-ßelie</w:t>
      </w:r>
      <w:r>
        <w:rPr>
          <w:rFonts w:ascii="Arial" w:cs="Arial" w:eastAsia="Arial" w:hAnsi="Arial"/>
          <w:sz w:val="18"/>
          <w:szCs w:val="18"/>
          <w:color w:val="auto"/>
        </w:rPr>
        <w:t>g</w:t>
      </w:r>
      <w:r>
        <w:rPr>
          <w:rFonts w:ascii="Arial" w:cs="Arial" w:eastAsia="Arial" w:hAnsi="Arial"/>
          <w:sz w:val="18"/>
          <w:szCs w:val="18"/>
          <w:i w:val="1"/>
          <w:iCs w:val="1"/>
          <w:color w:val="auto"/>
        </w:rPr>
        <w:t>e Trial</w:t>
      </w:r>
    </w:p>
    <w:p>
      <w:pPr>
        <w:spacing w:after="0" w:line="223" w:lineRule="exact"/>
        <w:rPr>
          <w:sz w:val="20"/>
          <w:szCs w:val="20"/>
          <w:color w:val="auto"/>
        </w:rPr>
      </w:pPr>
    </w:p>
    <w:p>
      <w:pPr>
        <w:ind w:left="140"/>
        <w:spacing w:after="0" w:line="253" w:lineRule="auto"/>
        <w:rPr>
          <w:sz w:val="20"/>
          <w:szCs w:val="20"/>
          <w:color w:val="auto"/>
        </w:rPr>
      </w:pPr>
      <w:r>
        <w:rPr>
          <w:rFonts w:ascii="Arial" w:cs="Arial" w:eastAsia="Arial" w:hAnsi="Arial"/>
          <w:sz w:val="18"/>
          <w:szCs w:val="18"/>
          <w:color w:val="auto"/>
        </w:rPr>
        <w:t>We maintain an intellectual property portfolio comprising approximately 220 issued patents and approximately 495 patent applications as of December 31, 2021 with claims directed to composition of matter, process, formulation and/or methods-of-use for our product candidates, including a product-specific device and core TransCon technologies. Other than the rights we have granted to VISEN as noted in this report, we hold worldwide rights to our TransCon technologies and owe no third-party royalty or milestone payment obligations with respect to our TransCon technologies, TransCon hGH or any of our other product candidates. While our TransCon prodrugs may incorporate already approved parent drugs, TransCon hGH and each of our other product candidates is a new molecular entity and is therefore eligible to be granted new intellectual property rights, including new composition of matter patents.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Our Strategy</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goal is to achieve sustainable growth through multiple approaches. As outlined in our Vision 3x3*, this includes:</w:t>
      </w:r>
    </w:p>
    <w:p>
      <w:pPr>
        <w:spacing w:after="0" w:line="129" w:lineRule="exact"/>
        <w:rPr>
          <w:sz w:val="20"/>
          <w:szCs w:val="20"/>
          <w:color w:val="auto"/>
        </w:rPr>
      </w:pPr>
    </w:p>
    <w:p>
      <w:pPr>
        <w:ind w:left="1100" w:hanging="426"/>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 regulatory approval for three independent Endocrinology Rare Disease products</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TransCon hGH for pediatric growth hormone deficiency**</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TransCon PTH for adult hypoparathyroidism</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TransCon CNP for achondroplasia</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Grow Endocrinology Rare Disease pipeline through:</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Global clinical reach</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Pursuing 9 total indications, label optimization, and life cycle management</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New endocrinology products</w:t>
      </w:r>
    </w:p>
    <w:p>
      <w:pPr>
        <w:sectPr>
          <w:pgSz w:w="11900" w:h="16838" w:orient="portrait"/>
          <w:cols w:equalWidth="0" w:num="1">
            <w:col w:w="11020"/>
          </w:cols>
          <w:pgMar w:left="320" w:top="485" w:right="559" w:bottom="1440" w:gutter="0" w:footer="0" w:header="0"/>
        </w:sectPr>
      </w:pP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020"/>
          </w:cols>
          <w:pgMar w:left="320" w:top="485" w:right="55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hanging="426"/>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Establish global commercial presence for our Endocrinology Rare Disease area:</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Build integrated commercial organization in North America and select European countries</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Establish global commercial presence through partners with local expertise and infrastructure</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Advance a high-value oncology pipeline with one investigational new drug (“IND”) or similar submission each year</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Create a third independent therapeutic area with a diversified pipeline</w:t>
      </w:r>
    </w:p>
    <w:p>
      <w:pPr>
        <w:spacing w:after="0" w:line="111"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4"/>
          <w:szCs w:val="14"/>
          <w:color w:val="auto"/>
        </w:rPr>
        <w:t>* Vision 3x3 announced January 2019. ** Achieved August 2021.</w:t>
      </w:r>
    </w:p>
    <w:p>
      <w:pPr>
        <w:spacing w:after="0" w:line="99"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color w:val="auto"/>
        </w:rPr>
        <w:t>We believe this approach to creating a portfolio of proprietary and clearly differentiated products and product candidates strongly supports our goal to build a fully integrated global biopharmaceutical company.</w:t>
      </w:r>
    </w:p>
    <w:p>
      <w:pPr>
        <w:spacing w:after="0" w:line="171" w:lineRule="exact"/>
        <w:rPr>
          <w:sz w:val="20"/>
          <w:szCs w:val="20"/>
          <w:color w:val="auto"/>
        </w:rPr>
      </w:pPr>
    </w:p>
    <w:p>
      <w:pPr>
        <w:ind w:left="140" w:right="180"/>
        <w:spacing w:after="0" w:line="254" w:lineRule="auto"/>
        <w:rPr>
          <w:sz w:val="20"/>
          <w:szCs w:val="20"/>
          <w:color w:val="auto"/>
        </w:rPr>
      </w:pPr>
      <w:r>
        <w:rPr>
          <w:rFonts w:ascii="Arial" w:cs="Arial" w:eastAsia="Arial" w:hAnsi="Arial"/>
          <w:sz w:val="18"/>
          <w:szCs w:val="18"/>
          <w:color w:val="auto"/>
        </w:rPr>
        <w:t>Using this approach for our endocrinology rare disease franchise, we have obtained positive clinical data for all three of our TransCon product candidates and have achieved regulatory approvals for TransCon hGH in the United States and European Union for the treatment of certain pediatric patients with GHD. We are working towards regulatory approval of two other candidates in high value indications, and are exploring label expansion opportunities. We expect our near-term therapeutic focus on endocrinology will provide important synergies and a strong foundation for building our commercial infrastructure, including expertise in endocrinology, a concentrated prescriber base, a patient-centric support system, reimbursement and payor expertise and distribution networks.</w:t>
      </w:r>
    </w:p>
    <w:p>
      <w:pPr>
        <w:spacing w:after="0" w:line="192" w:lineRule="exact"/>
        <w:rPr>
          <w:sz w:val="20"/>
          <w:szCs w:val="20"/>
          <w:color w:val="auto"/>
        </w:rPr>
      </w:pPr>
    </w:p>
    <w:p>
      <w:pPr>
        <w:jc w:val="both"/>
        <w:ind w:left="140" w:right="80"/>
        <w:spacing w:after="0" w:line="310" w:lineRule="auto"/>
        <w:rPr>
          <w:sz w:val="20"/>
          <w:szCs w:val="20"/>
          <w:color w:val="auto"/>
        </w:rPr>
      </w:pPr>
      <w:r>
        <w:rPr>
          <w:rFonts w:ascii="Arial" w:cs="Arial" w:eastAsia="Arial" w:hAnsi="Arial"/>
          <w:sz w:val="16"/>
          <w:szCs w:val="16"/>
          <w:color w:val="auto"/>
        </w:rPr>
        <w:t>For the longer term, our aim is to utilize our product innovation algorithm to advance into new therapeutic areas and create sustainable growth through multiple approaches. We have announced oncology as our second therapeutic area of focus and intend to select a third independent therapeutic area as part of our Vision 3x3 strategic roadmap through 2025. We plan to announce our third therapeutic area of focus during the fourth quarter of 2022.</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TransCon Technologies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Overview</w:t>
      </w:r>
    </w:p>
    <w:p>
      <w:pPr>
        <w:spacing w:after="0" w:line="116" w:lineRule="exact"/>
        <w:rPr>
          <w:sz w:val="20"/>
          <w:szCs w:val="20"/>
          <w:color w:val="auto"/>
        </w:rPr>
      </w:pPr>
    </w:p>
    <w:p>
      <w:pPr>
        <w:ind w:left="140" w:right="140"/>
        <w:spacing w:after="0" w:line="256" w:lineRule="auto"/>
        <w:rPr>
          <w:sz w:val="20"/>
          <w:szCs w:val="20"/>
          <w:color w:val="auto"/>
        </w:rPr>
      </w:pPr>
      <w:r>
        <w:rPr>
          <w:rFonts w:ascii="Arial" w:cs="Arial" w:eastAsia="Arial" w:hAnsi="Arial"/>
          <w:sz w:val="18"/>
          <w:szCs w:val="18"/>
          <w:color w:val="auto"/>
        </w:rPr>
        <w:t>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potential safety and efficacy. In addition to retaining the original mode of action of the parent drug and potentially supporting dosing frequency from daily up to six months or more, we believe that predictable release over time can improve treatment efficacy, increase the likelihood of clinical development success, and provide intellectual property benefits.</w:t>
      </w:r>
    </w:p>
    <w:p>
      <w:pPr>
        <w:spacing w:after="0" w:line="188"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TransCon molecules have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Depending upon the type of TransCon carrier we employ, we can design our TransCon prodrugs for sustained localized or systemic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144145</wp:posOffset>
            </wp:positionV>
            <wp:extent cx="5168265" cy="1930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68265" cy="193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320" w:top="485" w:right="5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TransCon Technology Components</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TransCon Carriers</w:t>
      </w:r>
    </w:p>
    <w:p>
      <w:pPr>
        <w:spacing w:after="0" w:line="116" w:lineRule="exact"/>
        <w:rPr>
          <w:sz w:val="20"/>
          <w:szCs w:val="20"/>
          <w:color w:val="auto"/>
        </w:rPr>
      </w:pPr>
    </w:p>
    <w:p>
      <w:pPr>
        <w:ind w:left="580"/>
        <w:spacing w:after="0" w:line="278" w:lineRule="auto"/>
        <w:rPr>
          <w:sz w:val="20"/>
          <w:szCs w:val="20"/>
          <w:color w:val="auto"/>
        </w:rPr>
      </w:pPr>
      <w:r>
        <w:rPr>
          <w:rFonts w:ascii="Arial" w:cs="Arial" w:eastAsia="Arial" w:hAnsi="Arial"/>
          <w:sz w:val="17"/>
          <w:szCs w:val="17"/>
          <w:color w:val="auto"/>
        </w:rPr>
        <w:t>Our TransCon technologies incorporate two carrier platforms that can be used for providing localized or systemic drug exposure. These biocompatible carrier platforms include our TransCon systemic carriers and our TransCon localized carriers, which are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spacing w:after="0" w:line="76" w:lineRule="exact"/>
        <w:rPr>
          <w:sz w:val="20"/>
          <w:szCs w:val="20"/>
          <w:color w:val="auto"/>
        </w:rPr>
      </w:pPr>
    </w:p>
    <w:p>
      <w:pPr>
        <w:ind w:left="1540" w:right="20" w:hanging="315"/>
        <w:spacing w:after="0" w:line="272" w:lineRule="auto"/>
        <w:tabs>
          <w:tab w:leader="none" w:pos="1540" w:val="left"/>
        </w:tabs>
        <w:numPr>
          <w:ilvl w:val="0"/>
          <w:numId w:val="59"/>
        </w:numPr>
        <w:rPr>
          <w:rFonts w:ascii="Arial" w:cs="Arial" w:eastAsia="Arial" w:hAnsi="Arial"/>
          <w:sz w:val="17"/>
          <w:szCs w:val="17"/>
          <w:color w:val="auto"/>
        </w:rPr>
      </w:pPr>
      <w:r>
        <w:rPr>
          <w:rFonts w:ascii="Arial" w:cs="Arial" w:eastAsia="Arial" w:hAnsi="Arial"/>
          <w:sz w:val="17"/>
          <w:szCs w:val="17"/>
          <w:i w:val="1"/>
          <w:iCs w:val="1"/>
          <w:u w:val="single" w:color="auto"/>
          <w:color w:val="auto"/>
        </w:rPr>
        <w:t>Systemic</w:t>
      </w:r>
      <w:r>
        <w:rPr>
          <w:rFonts w:ascii="Arial" w:cs="Arial" w:eastAsia="Arial" w:hAnsi="Arial"/>
          <w:sz w:val="17"/>
          <w:szCs w:val="17"/>
          <w:i w:val="1"/>
          <w:iCs w:val="1"/>
          <w:color w:val="auto"/>
        </w:rPr>
        <w:t xml:space="preserve"> </w:t>
      </w:r>
      <w:r>
        <w:rPr>
          <w:rFonts w:ascii="Arial" w:cs="Arial" w:eastAsia="Arial" w:hAnsi="Arial"/>
          <w:sz w:val="17"/>
          <w:szCs w:val="17"/>
          <w:color w:val="auto"/>
        </w:rPr>
        <w:t>– Our TransCon systemic carriers are used for providing systemic drug exposure and are based on soluble compounds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methoxy polyethylene glycol (“mPEG”), or other natural or synthetic polymers.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62230</wp:posOffset>
            </wp:positionV>
            <wp:extent cx="3971925" cy="17081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71925" cy="170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540" w:right="20" w:hanging="315"/>
        <w:spacing w:after="0" w:line="272" w:lineRule="auto"/>
        <w:tabs>
          <w:tab w:leader="none" w:pos="1540" w:val="left"/>
        </w:tabs>
        <w:numPr>
          <w:ilvl w:val="0"/>
          <w:numId w:val="60"/>
        </w:numPr>
        <w:rPr>
          <w:rFonts w:ascii="Arial" w:cs="Arial" w:eastAsia="Arial" w:hAnsi="Arial"/>
          <w:sz w:val="17"/>
          <w:szCs w:val="17"/>
          <w:color w:val="auto"/>
        </w:rPr>
      </w:pPr>
      <w:r>
        <w:rPr>
          <w:rFonts w:ascii="Arial" w:cs="Arial" w:eastAsia="Arial" w:hAnsi="Arial"/>
          <w:sz w:val="17"/>
          <w:szCs w:val="17"/>
          <w:i w:val="1"/>
          <w:iCs w:val="1"/>
          <w:u w:val="single" w:color="auto"/>
          <w:color w:val="auto"/>
        </w:rPr>
        <w:t>Localized</w:t>
      </w:r>
      <w:r>
        <w:rPr>
          <w:rFonts w:ascii="Arial" w:cs="Arial" w:eastAsia="Arial" w:hAnsi="Arial"/>
          <w:sz w:val="17"/>
          <w:szCs w:val="17"/>
          <w:i w:val="1"/>
          <w:iCs w:val="1"/>
          <w:color w:val="auto"/>
        </w:rPr>
        <w:t xml:space="preserve"> </w:t>
      </w:r>
      <w:r>
        <w:rPr>
          <w:rFonts w:ascii="Arial" w:cs="Arial" w:eastAsia="Arial" w:hAnsi="Arial"/>
          <w:sz w:val="17"/>
          <w:szCs w:val="17"/>
          <w:color w:val="auto"/>
        </w:rPr>
        <w:t>– Our TransCon localized carriers include TransCon hydrogels based on PEG, hyaluronic acid, or other biopolymers.</w:t>
      </w:r>
      <w:r>
        <w:rPr>
          <w:rFonts w:ascii="Arial" w:cs="Arial" w:eastAsia="Arial" w:hAnsi="Arial"/>
          <w:sz w:val="17"/>
          <w:szCs w:val="17"/>
          <w:i w:val="1"/>
          <w:iCs w:val="1"/>
          <w:color w:val="auto"/>
        </w:rPr>
        <w:t xml:space="preserve"> </w:t>
      </w:r>
      <w:r>
        <w:rPr>
          <w:rFonts w:ascii="Arial" w:cs="Arial" w:eastAsia="Arial" w:hAnsi="Arial"/>
          <w:sz w:val="17"/>
          <w:szCs w:val="17"/>
          <w:color w:val="auto"/>
        </w:rPr>
        <w:t>TransCon hydrogel is designed to self-eliminate to soluble, biocompatible molecules after the drug payload has been released. When applied for localized delivery, the TransCon hydrogel enables the release of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62230</wp:posOffset>
            </wp:positionV>
            <wp:extent cx="3963670" cy="1571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63670" cy="157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TransCon Linkers</w:t>
      </w:r>
    </w:p>
    <w:p>
      <w:pPr>
        <w:spacing w:after="0" w:line="116" w:lineRule="exact"/>
        <w:rPr>
          <w:sz w:val="20"/>
          <w:szCs w:val="20"/>
          <w:color w:val="auto"/>
        </w:rPr>
      </w:pPr>
    </w:p>
    <w:p>
      <w:pPr>
        <w:ind w:left="580" w:right="40"/>
        <w:spacing w:after="0" w:line="258" w:lineRule="auto"/>
        <w:rPr>
          <w:sz w:val="20"/>
          <w:szCs w:val="20"/>
          <w:color w:val="auto"/>
        </w:rPr>
      </w:pPr>
      <w:r>
        <w:rPr>
          <w:rFonts w:ascii="Arial" w:cs="Arial" w:eastAsia="Arial" w:hAnsi="Arial"/>
          <w:sz w:val="18"/>
          <w:szCs w:val="18"/>
          <w:color w:val="auto"/>
        </w:rPr>
        <w:t>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customize the potential pharmacokinetic, or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85"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80" w:right="20"/>
        <w:spacing w:after="0" w:line="269" w:lineRule="auto"/>
        <w:rPr>
          <w:sz w:val="20"/>
          <w:szCs w:val="20"/>
          <w:color w:val="auto"/>
        </w:rPr>
      </w:pPr>
      <w:r>
        <w:rPr>
          <w:rFonts w:ascii="Arial" w:cs="Arial" w:eastAsia="Arial" w:hAnsi="Arial"/>
          <w:sz w:val="17"/>
          <w:szCs w:val="17"/>
          <w:color w:val="auto"/>
        </w:rPr>
        <w:t>PK,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Parent Drugs</w:t>
      </w:r>
    </w:p>
    <w:p>
      <w:pPr>
        <w:spacing w:after="0" w:line="116"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color w:val="auto"/>
        </w:rPr>
        <w:t>Our TransCon technologies are applicable across a broad range of therapeutic classes and are currently used to create potentially best-in-class long-acting product candidates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of our TransCon prodrugs. This strategy is designed to reduce risk and increase productivity.</w:t>
      </w:r>
    </w:p>
    <w:p>
      <w:pPr>
        <w:spacing w:after="0" w:line="57" w:lineRule="exact"/>
        <w:rPr>
          <w:sz w:val="20"/>
          <w:szCs w:val="20"/>
          <w:color w:val="auto"/>
        </w:rPr>
      </w:pPr>
    </w:p>
    <w:p>
      <w:pPr>
        <w:ind w:left="580" w:right="260"/>
        <w:spacing w:after="0" w:line="258" w:lineRule="auto"/>
        <w:rPr>
          <w:sz w:val="20"/>
          <w:szCs w:val="20"/>
          <w:color w:val="auto"/>
        </w:rPr>
      </w:pPr>
      <w:r>
        <w:rPr>
          <w:rFonts w:ascii="Arial" w:cs="Arial" w:eastAsia="Arial" w:hAnsi="Arial"/>
          <w:sz w:val="18"/>
          <w:szCs w:val="18"/>
          <w:color w:val="auto"/>
        </w:rPr>
        <w:t>This approach has enabled us to generate a pipeline of product candidates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as compared to development of drug compounds without established biology.</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TransCon Products – Endocrinology Rare Disease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Growth Hormone (hGH)</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Market Opportunity in Recombinant Human Growth Hormone</w:t>
      </w:r>
    </w:p>
    <w:p>
      <w:pPr>
        <w:spacing w:after="0" w:line="116" w:lineRule="exact"/>
        <w:rPr>
          <w:sz w:val="20"/>
          <w:szCs w:val="20"/>
          <w:color w:val="auto"/>
        </w:rPr>
      </w:pPr>
    </w:p>
    <w:p>
      <w:pPr>
        <w:ind w:left="140" w:right="180"/>
        <w:spacing w:after="0" w:line="254" w:lineRule="auto"/>
        <w:rPr>
          <w:sz w:val="20"/>
          <w:szCs w:val="20"/>
          <w:color w:val="auto"/>
        </w:rPr>
      </w:pPr>
      <w:r>
        <w:rPr>
          <w:rFonts w:ascii="Arial" w:cs="Arial" w:eastAsia="Arial" w:hAnsi="Arial"/>
          <w:sz w:val="18"/>
          <w:szCs w:val="18"/>
          <w:color w:val="auto"/>
        </w:rPr>
        <w:t>GHD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The current standard of care for GHD is daily subcutaneous injections of somatropin, a recombinant human growth hormone (hGH). Daily therapy with hGH has been shown to increase growth in children, and improve metabolic effects, including reducing adiposity and improving cardiovascular health in both children and adults. These daily hGH therapies have been shown to be safe and well-tolerated.</w:t>
      </w:r>
    </w:p>
    <w:p>
      <w:pPr>
        <w:spacing w:after="0" w:line="192" w:lineRule="exact"/>
        <w:rPr>
          <w:sz w:val="20"/>
          <w:szCs w:val="20"/>
          <w:color w:val="auto"/>
        </w:rPr>
      </w:pPr>
    </w:p>
    <w:p>
      <w:pPr>
        <w:ind w:left="140" w:right="160"/>
        <w:spacing w:after="0" w:line="285" w:lineRule="auto"/>
        <w:rPr>
          <w:sz w:val="20"/>
          <w:szCs w:val="20"/>
          <w:color w:val="auto"/>
        </w:rPr>
      </w:pPr>
      <w:r>
        <w:rPr>
          <w:rFonts w:ascii="Arial" w:cs="Arial" w:eastAsia="Arial" w:hAnsi="Arial"/>
          <w:sz w:val="17"/>
          <w:szCs w:val="17"/>
          <w:color w:val="auto"/>
        </w:rPr>
        <w:t>In both therapy-compliant children and adults with GHD, daily subcutaneous injections of hGH have resulted in improved body composition parameters, bone density, cardiovascular outcomes and quality of life. Growth hormone-deficient children who are fully adherent with their daily hGH treatment regimen may achieve a height in adulthood that is comparable to that of their family members and national norms.</w:t>
      </w:r>
    </w:p>
    <w:p>
      <w:pPr>
        <w:spacing w:after="0" w:line="165" w:lineRule="exact"/>
        <w:rPr>
          <w:sz w:val="20"/>
          <w:szCs w:val="20"/>
          <w:color w:val="auto"/>
        </w:rPr>
      </w:pPr>
    </w:p>
    <w:p>
      <w:pPr>
        <w:ind w:left="140"/>
        <w:spacing w:after="0" w:line="290" w:lineRule="auto"/>
        <w:rPr>
          <w:sz w:val="20"/>
          <w:szCs w:val="20"/>
          <w:color w:val="auto"/>
        </w:rPr>
      </w:pPr>
      <w:r>
        <w:rPr>
          <w:rFonts w:ascii="Arial" w:cs="Arial" w:eastAsia="Arial" w:hAnsi="Arial"/>
          <w:sz w:val="16"/>
          <w:szCs w:val="16"/>
          <w:color w:val="auto"/>
        </w:rPr>
        <w:t xml:space="preserve">Despite the demonstrated benefits of daily hGH therapy, many GHD patients are not adequately treated and adherence continues to be a challenge as reported in a 2021 paper published by Kaplowitz et al. in the </w:t>
      </w:r>
      <w:r>
        <w:rPr>
          <w:rFonts w:ascii="Arial" w:cs="Arial" w:eastAsia="Arial" w:hAnsi="Arial"/>
          <w:sz w:val="16"/>
          <w:szCs w:val="16"/>
          <w:i w:val="1"/>
          <w:iCs w:val="1"/>
          <w:color w:val="auto"/>
        </w:rPr>
        <w:t>Journal of Managed Care and Specialty Pharmacy.</w:t>
      </w:r>
      <w:r>
        <w:rPr>
          <w:rFonts w:ascii="Arial" w:cs="Arial" w:eastAsia="Arial" w:hAnsi="Arial"/>
          <w:sz w:val="16"/>
          <w:szCs w:val="16"/>
          <w:color w:val="auto"/>
        </w:rPr>
        <w:t xml:space="preserve"> The observational retrospective cohort analysis utilized administrative claims data from two databases on over 20,000 pediatric patients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85"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Reducing injection frequency is associated with better adherence and thus may improve height velocity (“HV”) for pediatric patients experiencing poor adherence with daily hGH injections. As shown in the figure below, for patients missing two or more injections per week, there was a clinically relevant reduction in their change in HV standard deviation score (“HVSDS”) compared to high-compliance patients. A greater HVSDS indicates more rapid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144145</wp:posOffset>
            </wp:positionV>
            <wp:extent cx="4203065" cy="33058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03065" cy="330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0" w:right="420"/>
        <w:spacing w:after="0" w:line="275" w:lineRule="auto"/>
        <w:rPr>
          <w:sz w:val="20"/>
          <w:szCs w:val="20"/>
          <w:color w:val="auto"/>
        </w:rPr>
      </w:pPr>
      <w:r>
        <w:rPr>
          <w:rFonts w:ascii="Arial" w:cs="Arial" w:eastAsia="Arial" w:hAnsi="Arial"/>
          <w:sz w:val="18"/>
          <w:szCs w:val="18"/>
          <w:i w:val="1"/>
          <w:iCs w:val="1"/>
          <w:color w:val="auto"/>
        </w:rPr>
        <w:t>Figure 1. Negative impact of poor compliance on growth response</w:t>
      </w:r>
      <w:r>
        <w:rPr>
          <w:rFonts w:ascii="Arial" w:cs="Arial" w:eastAsia="Arial" w:hAnsi="Arial"/>
          <w:sz w:val="18"/>
          <w:szCs w:val="18"/>
          <w:color w:val="auto"/>
        </w:rPr>
        <w:t>.</w:t>
      </w:r>
      <w:r>
        <w:rPr>
          <w:rFonts w:ascii="Arial" w:cs="Arial" w:eastAsia="Arial" w:hAnsi="Arial"/>
          <w:sz w:val="18"/>
          <w:szCs w:val="18"/>
          <w:i w:val="1"/>
          <w:iCs w:val="1"/>
          <w:color w:val="auto"/>
        </w:rPr>
        <w:t xml:space="preserve"> Patients missing two or more injections per week had a statistically significant reduction in height velocity. (Cutfield et al, 2011)</w:t>
      </w:r>
    </w:p>
    <w:p>
      <w:pPr>
        <w:spacing w:after="0" w:line="171" w:lineRule="exact"/>
        <w:rPr>
          <w:sz w:val="20"/>
          <w:szCs w:val="20"/>
          <w:color w:val="auto"/>
        </w:rPr>
      </w:pPr>
    </w:p>
    <w:p>
      <w:pPr>
        <w:ind w:left="140" w:right="20"/>
        <w:spacing w:after="0" w:line="249" w:lineRule="auto"/>
        <w:rPr>
          <w:sz w:val="20"/>
          <w:szCs w:val="20"/>
          <w:color w:val="auto"/>
        </w:rPr>
      </w:pPr>
      <w:r>
        <w:rPr>
          <w:rFonts w:ascii="Arial" w:cs="Arial" w:eastAsia="Arial" w:hAnsi="Arial"/>
          <w:sz w:val="16"/>
          <w:szCs w:val="16"/>
          <w:color w:val="auto"/>
        </w:rPr>
        <w:t>Since the introduction of hGH in 1981, a number of the world’s largest pharmaceutical companies have developed and now market daily hGH products. All currently marketed daily hGH products in the United States, Norditropin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(Novo Nordisk A/S), Humatrope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(Eli Lilly and Company), Nutropin AQ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(Genentech), Genotropin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(Pfizer Inc.), Saizen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(Merck Serono S.A.), Zomacton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(Ferring Pharmaceuticals, Inc.) and Omnitrope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(Sandoz GmbH), contain unmodified somatropin (hGH) and are administered by subcutaneous injections. The global market for daily hGH products is dominated by Novo Nordisk, Pfizer, Eli Lilly, Sandoz, Merck KGaA and Roche, which together account for most of the global market share.</w:t>
      </w:r>
    </w:p>
    <w:p>
      <w:pPr>
        <w:spacing w:after="0" w:line="194" w:lineRule="exact"/>
        <w:rPr>
          <w:sz w:val="20"/>
          <w:szCs w:val="20"/>
          <w:color w:val="auto"/>
        </w:rPr>
      </w:pPr>
    </w:p>
    <w:p>
      <w:pPr>
        <w:jc w:val="both"/>
        <w:ind w:left="140" w:right="20"/>
        <w:spacing w:after="0" w:line="262" w:lineRule="auto"/>
        <w:rPr>
          <w:sz w:val="20"/>
          <w:szCs w:val="20"/>
          <w:color w:val="auto"/>
        </w:rPr>
      </w:pPr>
      <w:r>
        <w:rPr>
          <w:rFonts w:ascii="Arial" w:cs="Arial" w:eastAsia="Arial" w:hAnsi="Arial"/>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Pediatric indications comprise up to 90% of the total hGH market, of which approximately half is for GHD.</w:t>
      </w:r>
    </w:p>
    <w:p>
      <w:pPr>
        <w:spacing w:after="0" w:line="183" w:lineRule="exact"/>
        <w:rPr>
          <w:sz w:val="20"/>
          <w:szCs w:val="20"/>
          <w:color w:val="auto"/>
        </w:rPr>
      </w:pPr>
    </w:p>
    <w:p>
      <w:pPr>
        <w:ind w:left="140" w:right="640"/>
        <w:spacing w:after="0" w:line="306" w:lineRule="auto"/>
        <w:rPr>
          <w:sz w:val="20"/>
          <w:szCs w:val="20"/>
          <w:color w:val="auto"/>
        </w:rPr>
      </w:pPr>
      <w:r>
        <w:rPr>
          <w:rFonts w:ascii="Arial" w:cs="Arial" w:eastAsia="Arial" w:hAnsi="Arial"/>
          <w:sz w:val="17"/>
          <w:szCs w:val="17"/>
          <w:color w:val="auto"/>
        </w:rPr>
        <w:t>Global annual sales from currently marketed hGH products are currently estimated at approximately $4 billion. We believe a significant market opportunity exists for a long-acting version of hGH with comparable efficacy, safety and tolerability as daily hGH products.</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Competitive Landscape for Long-Acting Growth Hormone Therapies</w:t>
      </w:r>
    </w:p>
    <w:p>
      <w:pPr>
        <w:spacing w:after="0" w:line="116" w:lineRule="exact"/>
        <w:rPr>
          <w:sz w:val="20"/>
          <w:szCs w:val="20"/>
          <w:color w:val="auto"/>
        </w:rPr>
      </w:pPr>
    </w:p>
    <w:p>
      <w:pPr>
        <w:jc w:val="both"/>
        <w:ind w:left="140" w:right="180"/>
        <w:spacing w:after="0" w:line="262" w:lineRule="auto"/>
        <w:rPr>
          <w:sz w:val="20"/>
          <w:szCs w:val="20"/>
          <w:color w:val="auto"/>
        </w:rPr>
      </w:pPr>
      <w:r>
        <w:rPr>
          <w:rFonts w:ascii="Arial" w:cs="Arial" w:eastAsia="Arial" w:hAnsi="Arial"/>
          <w:sz w:val="18"/>
          <w:szCs w:val="18"/>
          <w:color w:val="auto"/>
        </w:rPr>
        <w:t>Since the 1990s, the pharmaceutical industry has employed various approaches to develop long-acting growth hormone products to reduce the patient burden of daily injections and increase patient compliance with the dosing regimen. These approaches generally fall into two categories: unmodified somatropin (hGH) and permanent modification of growth hormone:</w:t>
      </w:r>
    </w:p>
    <w:p>
      <w:pPr>
        <w:spacing w:after="0" w:line="89" w:lineRule="exact"/>
        <w:rPr>
          <w:sz w:val="20"/>
          <w:szCs w:val="20"/>
          <w:color w:val="auto"/>
        </w:rPr>
      </w:pPr>
    </w:p>
    <w:p>
      <w:pPr>
        <w:ind w:left="1100" w:right="40" w:hanging="426"/>
        <w:spacing w:after="0" w:line="237" w:lineRule="auto"/>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Unmodified somatropin (hGH): Two long-acting growth hormone products using encapsulation technologies have previously received regulatory approval in U.S. and Europe and were subsequently discontinued due to commercial challenges. These include Nutropin Depot</w:t>
      </w:r>
      <w:r>
        <w:rPr>
          <w:rFonts w:ascii="Arial" w:cs="Arial" w:eastAsia="Arial" w:hAnsi="Arial"/>
          <w:sz w:val="25"/>
          <w:szCs w:val="25"/>
          <w:color w:val="auto"/>
          <w:vertAlign w:val="superscript"/>
        </w:rPr>
        <w:t>®</w:t>
      </w:r>
      <w:r>
        <w:rPr>
          <w:rFonts w:ascii="Arial" w:cs="Arial" w:eastAsia="Arial" w:hAnsi="Arial"/>
          <w:sz w:val="18"/>
          <w:szCs w:val="18"/>
          <w:color w:val="auto"/>
        </w:rPr>
        <w:t>, formerly marketed by Genentech, and Somatropin Biopartners, developed by LG Life Sciences and Biopartners GmbH. Nutropin Depot was approved in 1999 and later withdrawn; Somatropin Biopartners (LB03002), was approved by the European Medicines Agency (“EMA”), in 2013, and later withdrawn. We believe that the lack of market acceptance is a result of the various safety and tolerability issues that tend to arise with encapsulation technologies.</w:t>
      </w:r>
    </w:p>
    <w:p>
      <w:pPr>
        <w:sectPr>
          <w:pgSz w:w="11900" w:h="16838" w:orient="portrait"/>
          <w:cols w:equalWidth="0" w:num="1">
            <w:col w:w="11060"/>
          </w:cols>
          <w:pgMar w:left="320" w:top="485" w:right="519" w:bottom="1440" w:gutter="0" w:footer="0" w:header="0"/>
        </w:sectPr>
      </w:pP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060"/>
          </w:cols>
          <w:pgMar w:left="320" w:top="485" w:right="51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40" w:hanging="426"/>
        <w:spacing w:after="0" w:line="256" w:lineRule="auto"/>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Permanent modification of growth hormone: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(hGH) and may also negatively impact the drug’s safety.</w:t>
      </w:r>
    </w:p>
    <w:p>
      <w:pPr>
        <w:spacing w:after="0" w:line="188" w:lineRule="exact"/>
        <w:rPr>
          <w:sz w:val="20"/>
          <w:szCs w:val="20"/>
          <w:color w:val="auto"/>
        </w:rPr>
      </w:pPr>
    </w:p>
    <w:p>
      <w:pPr>
        <w:ind w:left="140" w:right="140"/>
        <w:spacing w:after="0" w:line="262" w:lineRule="auto"/>
        <w:rPr>
          <w:sz w:val="20"/>
          <w:szCs w:val="20"/>
          <w:color w:val="auto"/>
        </w:rPr>
      </w:pPr>
      <w:r>
        <w:rPr>
          <w:rFonts w:ascii="Arial" w:cs="Arial" w:eastAsia="Arial" w:hAnsi="Arial"/>
          <w:sz w:val="18"/>
          <w:szCs w:val="18"/>
          <w:color w:val="auto"/>
        </w:rPr>
        <w:t>Novo Nordisk has received regulatory approval in the United States, Japan, and Europe of once-weekly somapacitan for replacement of endogenous growth hormone in adult patients with GHD. Novo Nordisk successfully completed a 52-week Phase 3 trial comparing the efficacy and safety of once-weekly somapacitan with daily somatropin in children with GHD.</w:t>
      </w:r>
    </w:p>
    <w:p>
      <w:pPr>
        <w:spacing w:after="0" w:line="183" w:lineRule="exact"/>
        <w:rPr>
          <w:sz w:val="20"/>
          <w:szCs w:val="20"/>
          <w:color w:val="auto"/>
        </w:rPr>
      </w:pPr>
    </w:p>
    <w:p>
      <w:pPr>
        <w:ind w:left="140" w:right="140"/>
        <w:spacing w:after="0" w:line="262" w:lineRule="auto"/>
        <w:rPr>
          <w:sz w:val="20"/>
          <w:szCs w:val="20"/>
          <w:color w:val="auto"/>
        </w:rPr>
      </w:pPr>
      <w:r>
        <w:rPr>
          <w:rFonts w:ascii="Arial" w:cs="Arial" w:eastAsia="Arial" w:hAnsi="Arial"/>
          <w:sz w:val="18"/>
          <w:szCs w:val="18"/>
          <w:color w:val="auto"/>
        </w:rPr>
        <w:t>Pfizer (in collaboration with OPKO Health Inc.) has received regulatory approval of once-weekly somatrogon in the EU, Canada, Australia, and in Japan for pediatric GHD. In January 2022, Pfizer (in collaboration with OPKO Health) announced the FDA issued a Complete Response Letter for the Biologics License Application (“BLA”) for somatrogon.</w:t>
      </w:r>
    </w:p>
    <w:p>
      <w:pPr>
        <w:spacing w:after="0" w:line="183" w:lineRule="exact"/>
        <w:rPr>
          <w:sz w:val="20"/>
          <w:szCs w:val="20"/>
          <w:color w:val="auto"/>
        </w:rPr>
      </w:pPr>
    </w:p>
    <w:p>
      <w:pPr>
        <w:ind w:left="140" w:right="120"/>
        <w:spacing w:after="0" w:line="258" w:lineRule="auto"/>
        <w:rPr>
          <w:sz w:val="20"/>
          <w:szCs w:val="20"/>
          <w:color w:val="auto"/>
        </w:rPr>
      </w:pPr>
      <w:r>
        <w:rPr>
          <w:rFonts w:ascii="Arial" w:cs="Arial" w:eastAsia="Arial" w:hAnsi="Arial"/>
          <w:sz w:val="18"/>
          <w:szCs w:val="18"/>
          <w:color w:val="auto"/>
        </w:rPr>
        <w:t>A permanently PEGylated long-acting growth hormone developed by GeneScience Pharmaceuticals Co., Ltd. is available in China and the Somatropin Biopartners product (LB03002) is available in Korea. Other experimental growth hormone therapies based on permanent modification are in different stages of clinical development by various companies, including GeneScience Pharmaceuticals Co., Ltd., Genexine Inc., I-MAB, and JCR Pharmaceuticals Co., Ltd.</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Our Solution: TransCon hGH</w:t>
      </w:r>
    </w:p>
    <w:p>
      <w:pPr>
        <w:spacing w:after="0" w:line="116" w:lineRule="exact"/>
        <w:rPr>
          <w:sz w:val="20"/>
          <w:szCs w:val="20"/>
          <w:color w:val="auto"/>
        </w:rPr>
      </w:pPr>
    </w:p>
    <w:p>
      <w:pPr>
        <w:ind w:left="140" w:right="660"/>
        <w:spacing w:after="0" w:line="285" w:lineRule="auto"/>
        <w:rPr>
          <w:sz w:val="20"/>
          <w:szCs w:val="20"/>
          <w:color w:val="auto"/>
        </w:rPr>
      </w:pPr>
      <w:r>
        <w:rPr>
          <w:rFonts w:ascii="Arial" w:cs="Arial" w:eastAsia="Arial" w:hAnsi="Arial"/>
          <w:sz w:val="17"/>
          <w:szCs w:val="17"/>
          <w:color w:val="auto"/>
        </w:rPr>
        <w:t>TransCon hGH is a long-acting prodrug of somatropin (hGH) composed of an unmodified somatropin that is transiently bound to a carrier and proprietary linker. TransCon hGH is designed to maintain the same mode of action as daily therapies by releasing the same recombinant growth hormone molecule, somatropin, as used in extensively proven daily hGH therapy that is the current standard of care.</w:t>
      </w:r>
    </w:p>
    <w:p>
      <w:pPr>
        <w:spacing w:after="0" w:line="164" w:lineRule="exact"/>
        <w:rPr>
          <w:sz w:val="20"/>
          <w:szCs w:val="20"/>
          <w:color w:val="auto"/>
        </w:rPr>
      </w:pPr>
    </w:p>
    <w:p>
      <w:pPr>
        <w:ind w:left="140" w:right="240"/>
        <w:spacing w:after="0" w:line="231" w:lineRule="auto"/>
        <w:rPr>
          <w:sz w:val="20"/>
          <w:szCs w:val="20"/>
          <w:color w:val="auto"/>
        </w:rPr>
      </w:pPr>
      <w:r>
        <w:rPr>
          <w:rFonts w:ascii="Arial" w:cs="Arial" w:eastAsia="Arial" w:hAnsi="Arial"/>
          <w:sz w:val="18"/>
          <w:szCs w:val="18"/>
          <w:color w:val="auto"/>
        </w:rPr>
        <w:t>On August 25, 2021, the FDA approved TransCon hGH, known by its brand name SKYTROFA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(lonapegsomatropin-tcgd), for the treatment of pediatric patients one year and older who weigh at least 11.5 kg and have growth failure due to inadequate secretion of endogenous growth hormone, also known as GHD. Once-weekly SKYTROFA is the first FDA approved product that delivers somatropin, or growth hormone, by sustained release over one week.</w:t>
      </w:r>
    </w:p>
    <w:p>
      <w:pPr>
        <w:spacing w:after="0" w:line="202" w:lineRule="exact"/>
        <w:rPr>
          <w:sz w:val="20"/>
          <w:szCs w:val="20"/>
          <w:color w:val="auto"/>
        </w:rPr>
      </w:pPr>
    </w:p>
    <w:p>
      <w:pPr>
        <w:ind w:left="140"/>
        <w:spacing w:after="0" w:line="251" w:lineRule="auto"/>
        <w:rPr>
          <w:sz w:val="20"/>
          <w:szCs w:val="20"/>
          <w:color w:val="auto"/>
        </w:rPr>
      </w:pPr>
      <w:r>
        <w:rPr>
          <w:rFonts w:ascii="Arial" w:cs="Arial" w:eastAsia="Arial" w:hAnsi="Arial"/>
          <w:sz w:val="17"/>
          <w:szCs w:val="17"/>
          <w:color w:val="auto"/>
        </w:rPr>
        <w:t>The FDA approval of SKYTROFA (lonapegsomatropin-tcgd) was based on results from the Phase 3 heiGHt Trial, a 52-week, global, randomized, open-label, active-controlled, parallel-group trial that compared once-weekly TransCon hGH to daily somatropin (Genotropin</w:t>
      </w:r>
      <w:r>
        <w:rPr>
          <w:rFonts w:ascii="Arial" w:cs="Arial" w:eastAsia="Arial" w:hAnsi="Arial"/>
          <w:sz w:val="24"/>
          <w:szCs w:val="24"/>
          <w:color w:val="auto"/>
          <w:vertAlign w:val="superscript"/>
        </w:rPr>
        <w:t>®</w:t>
      </w:r>
      <w:r>
        <w:rPr>
          <w:rFonts w:ascii="Arial" w:cs="Arial" w:eastAsia="Arial" w:hAnsi="Arial"/>
          <w:sz w:val="17"/>
          <w:szCs w:val="17"/>
          <w:color w:val="auto"/>
        </w:rPr>
        <w:t>) in 161 treatment-naïve children with GHD. The primary endpoint was annualized height velocity (“AHV”) at 52 weeks for weekly SKYTROFA (lonapegsomatropin-tcgd) and daily hGH treatment groups. Other endpoints included adverse events, injection-site reactions, incidence of anti-hGH antibodies, annualized height velocity, change in height standard deviation score (“SDS”), proportion of subjects with IGF-1 SDS (0.0 to +2.0), PK/PD in subjects &lt; 3 years, and preference for and satisfaction with SKYTROFA (lonapegsomatropin-tcgd).</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believe once-weekly SKYTROFA (lonapegsomatropin-tcgd) offers patients benefits compared to daily growth hormone:</w:t>
      </w:r>
    </w:p>
    <w:p>
      <w:pPr>
        <w:spacing w:after="0" w:line="129" w:lineRule="exact"/>
        <w:rPr>
          <w:sz w:val="20"/>
          <w:szCs w:val="20"/>
          <w:color w:val="auto"/>
        </w:rPr>
      </w:pPr>
    </w:p>
    <w:p>
      <w:pPr>
        <w:ind w:left="1100" w:right="360" w:hanging="426"/>
        <w:spacing w:after="0" w:line="275"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national study has shown 66%, or 2/3 of patients miss more than one injection per week. We believe reducing injection frequency is associated with better adherence and thus may improve height velocity.</w:t>
      </w:r>
    </w:p>
    <w:p>
      <w:pPr>
        <w:spacing w:after="0" w:line="77" w:lineRule="exact"/>
        <w:rPr>
          <w:rFonts w:ascii="Arial" w:cs="Arial" w:eastAsia="Arial" w:hAnsi="Arial"/>
          <w:sz w:val="18"/>
          <w:szCs w:val="18"/>
          <w:color w:val="auto"/>
        </w:rPr>
      </w:pPr>
    </w:p>
    <w:p>
      <w:pPr>
        <w:ind w:left="1100" w:right="720" w:hanging="426"/>
        <w:spacing w:after="0" w:line="275"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 Phase 3 clinical study, TransCon hGH demonstrated higher AHV compared to daily somatropin with similar safety profile in treatment-naïve children with GHD.</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a weekly injection, patients switching from daily injections can experience up to 86% fewer injection days per year.</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After first removed from a refrigerator, SKYTROFA (lonapegsomatropin-tcgd) can be stored at room temperature for up to six months.</w:t>
      </w:r>
    </w:p>
    <w:p>
      <w:pPr>
        <w:spacing w:after="0" w:line="246" w:lineRule="exact"/>
        <w:rPr>
          <w:sz w:val="20"/>
          <w:szCs w:val="20"/>
          <w:color w:val="auto"/>
        </w:rPr>
      </w:pPr>
    </w:p>
    <w:p>
      <w:pPr>
        <w:ind w:left="140" w:right="120"/>
        <w:spacing w:after="0" w:line="262" w:lineRule="auto"/>
        <w:rPr>
          <w:sz w:val="20"/>
          <w:szCs w:val="20"/>
          <w:color w:val="auto"/>
        </w:rPr>
      </w:pPr>
      <w:r>
        <w:rPr>
          <w:rFonts w:ascii="Arial" w:cs="Arial" w:eastAsia="Arial" w:hAnsi="Arial"/>
          <w:sz w:val="18"/>
          <w:szCs w:val="18"/>
          <w:color w:val="auto"/>
        </w:rPr>
        <w:t>On January 12, 2022, the European Commission granted marketing authorization for Lonapegsomatropin Ascendis Pharma (developed under the name TransCon hGH) as a once-weekly subcutaneous injection for the treatment of children and adolescents ages 3 to 18 years with growth failure due to insufficient secretion of endogenous growth hormone.</w:t>
      </w:r>
    </w:p>
    <w:p>
      <w:pPr>
        <w:spacing w:after="0" w:line="183" w:lineRule="exact"/>
        <w:rPr>
          <w:sz w:val="20"/>
          <w:szCs w:val="20"/>
          <w:color w:val="auto"/>
        </w:rPr>
      </w:pPr>
    </w:p>
    <w:p>
      <w:pPr>
        <w:ind w:left="140" w:right="80"/>
        <w:spacing w:after="0" w:line="254" w:lineRule="auto"/>
        <w:rPr>
          <w:sz w:val="20"/>
          <w:szCs w:val="20"/>
          <w:color w:val="auto"/>
        </w:rPr>
      </w:pPr>
      <w:r>
        <w:rPr>
          <w:rFonts w:ascii="Arial" w:cs="Arial" w:eastAsia="Arial" w:hAnsi="Arial"/>
          <w:sz w:val="18"/>
          <w:szCs w:val="18"/>
          <w:color w:val="auto"/>
        </w:rPr>
        <w:t>In October 2019, we received Orphan Designation (“OD”) from the European Commission for TransCon hGH for GHD. OD is granted to therapies aimed at the treatment, prevention or diagnosis of a disease that is life-threatening or chronically debilitating, affects no more than five in 10,000 persons in the EU, or the product, without the benefits derived from orphan status, would not generate sufficient return in the EU to justify investment and for which no satisfactory method of diagnosis, prevention, or treatment has been authorized (or if such a method exists, the product would provide significant additional benefit over existing therapies). We received Orphan Drug Designation (“ODD”) from the FDA for TransCon hGH as a treatment for GHD in April 2020.</w:t>
      </w:r>
    </w:p>
    <w:p>
      <w:pPr>
        <w:sectPr>
          <w:pgSz w:w="11900" w:h="16838" w:orient="portrait"/>
          <w:cols w:equalWidth="0" w:num="1">
            <w:col w:w="11100"/>
          </w:cols>
          <w:pgMar w:left="320" w:top="485" w:right="479" w:bottom="1440" w:gutter="0" w:footer="0" w:header="0"/>
        </w:sectPr>
      </w:pP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00"/>
          </w:cols>
          <w:pgMar w:left="320" w:top="485" w:right="47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Clinical Development of TransCon hGH for Patients with Pediatric GHD</w:t>
      </w:r>
    </w:p>
    <w:p>
      <w:pPr>
        <w:spacing w:after="0" w:line="116" w:lineRule="exact"/>
        <w:rPr>
          <w:sz w:val="20"/>
          <w:szCs w:val="20"/>
          <w:color w:val="auto"/>
        </w:rPr>
      </w:pPr>
    </w:p>
    <w:p>
      <w:pPr>
        <w:ind w:left="140" w:right="100"/>
        <w:spacing w:after="0" w:line="258" w:lineRule="auto"/>
        <w:rPr>
          <w:sz w:val="20"/>
          <w:szCs w:val="20"/>
          <w:color w:val="auto"/>
        </w:rPr>
      </w:pPr>
      <w:r>
        <w:rPr>
          <w:rFonts w:ascii="Arial" w:cs="Arial" w:eastAsia="Arial" w:hAnsi="Arial"/>
          <w:sz w:val="18"/>
          <w:szCs w:val="18"/>
          <w:color w:val="auto"/>
        </w:rPr>
        <w:t>We believe our once-weekly TransCon hGH has the same mode of action and distribution into key growth hormone-responsive tissues, such as brain, bone, muscle, liver and fat tissue, as the hGH administered from daily injections and endogenous growth hormone. We use daily growth hormone as an active comparator in our clinical studies, allowing us to directly compare the activity of TransCon hGH to daily growth hormone in an identical clinical setting.</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Results from the Phase 3 heiGHt Trial in Pediatric Subjects with GHD</w:t>
      </w:r>
    </w:p>
    <w:p>
      <w:pPr>
        <w:spacing w:after="0" w:line="116" w:lineRule="exact"/>
        <w:rPr>
          <w:sz w:val="20"/>
          <w:szCs w:val="20"/>
          <w:color w:val="auto"/>
        </w:rPr>
      </w:pPr>
    </w:p>
    <w:p>
      <w:pPr>
        <w:ind w:left="140" w:right="20"/>
        <w:spacing w:after="0" w:line="234" w:lineRule="auto"/>
        <w:rPr>
          <w:sz w:val="20"/>
          <w:szCs w:val="20"/>
          <w:color w:val="auto"/>
        </w:rPr>
      </w:pPr>
      <w:r>
        <w:rPr>
          <w:rFonts w:ascii="Arial" w:cs="Arial" w:eastAsia="Arial" w:hAnsi="Arial"/>
          <w:sz w:val="18"/>
          <w:szCs w:val="18"/>
          <w:color w:val="auto"/>
        </w:rPr>
        <w:t>The heiGHt Trial was a randomized, open-label, active-controlled Phase 3 registrational trial that enrolled 161 children with GHD who had not previously been treated. Subjects received either once-weekly TransCon hGH (0.24 mg/kg/week) or daily injections of Genotropin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at 34 µg/kg/day (0.24 mg/kg/week) with a 2:1 randomization. The primary endpoint was annualized height velocity (“AHV”) at 52 weeks, with a non-inferiority analysis comparing the difference between the two treatment groups, followed by a test of superiority if non-inferiority was met. Two subjects, one from each arm, withdrew from the trial prior to the final visit.</w:t>
      </w:r>
    </w:p>
    <w:p>
      <w:pPr>
        <w:spacing w:after="0" w:line="204" w:lineRule="exact"/>
        <w:rPr>
          <w:sz w:val="20"/>
          <w:szCs w:val="20"/>
          <w:color w:val="auto"/>
        </w:rPr>
      </w:pPr>
    </w:p>
    <w:p>
      <w:pPr>
        <w:ind w:left="140" w:right="60"/>
        <w:spacing w:after="0" w:line="278" w:lineRule="auto"/>
        <w:rPr>
          <w:sz w:val="20"/>
          <w:szCs w:val="20"/>
          <w:color w:val="auto"/>
        </w:rPr>
      </w:pPr>
      <w:r>
        <w:rPr>
          <w:rFonts w:ascii="Arial" w:cs="Arial" w:eastAsia="Arial" w:hAnsi="Arial"/>
          <w:sz w:val="17"/>
          <w:szCs w:val="17"/>
          <w:color w:val="auto"/>
        </w:rPr>
        <w:t>Results showed that once-weekly TransCon hGH was superior to once-daily hGH on the primary endpoint of AHV at 52 weeks. In the primary analysis of the intent-to-treat population using least squared mean (“LS Mean”) results from an ANCOVA model, TransCon hGH was associated with an AHV of 11.2 cm/year compared to 10.3 cm/year for the daily hGH. The treatment difference was 0.86 cm/year with a 95% confidence interval of 0.22 to 1.50 cm/year. The AHV for TransCon hGH was significantly greater than the daily hGH (p=0.0088).</w:t>
      </w:r>
    </w:p>
    <w:p>
      <w:pPr>
        <w:spacing w:after="0" w:line="170" w:lineRule="exact"/>
        <w:rPr>
          <w:sz w:val="20"/>
          <w:szCs w:val="20"/>
          <w:color w:val="auto"/>
        </w:rPr>
      </w:pPr>
    </w:p>
    <w:p>
      <w:pPr>
        <w:ind w:left="140" w:right="260"/>
        <w:spacing w:after="0" w:line="258" w:lineRule="auto"/>
        <w:rPr>
          <w:sz w:val="20"/>
          <w:szCs w:val="20"/>
          <w:color w:val="auto"/>
        </w:rPr>
      </w:pPr>
      <w:r>
        <w:rPr>
          <w:rFonts w:ascii="Arial" w:cs="Arial" w:eastAsia="Arial" w:hAnsi="Arial"/>
          <w:sz w:val="18"/>
          <w:szCs w:val="18"/>
          <w:color w:val="auto"/>
        </w:rPr>
        <w:t>The AHV was greater for TransCon hGH than for the daily hGH at each visit, with the treatment difference reaching statistical significance from and including week 26 onward. The incidence of subjects with AHV &lt; 8 cm/year at 52 weeks, referred to as poor responders was 4% and 11% in the TransCon hGH and daily hGH arms, respectively. All sensitivity analyses completed from the trial support the primary outcome, indicating the robustness of these results.</w:t>
      </w:r>
    </w:p>
    <w:p>
      <w:pPr>
        <w:spacing w:after="0" w:line="186" w:lineRule="exact"/>
        <w:rPr>
          <w:sz w:val="20"/>
          <w:szCs w:val="20"/>
          <w:color w:val="auto"/>
        </w:rPr>
      </w:pPr>
    </w:p>
    <w:p>
      <w:pPr>
        <w:ind w:left="140"/>
        <w:spacing w:after="0" w:line="285" w:lineRule="auto"/>
        <w:rPr>
          <w:sz w:val="20"/>
          <w:szCs w:val="20"/>
          <w:color w:val="auto"/>
        </w:rPr>
      </w:pPr>
      <w:r>
        <w:rPr>
          <w:rFonts w:ascii="Arial" w:cs="Arial" w:eastAsia="Arial" w:hAnsi="Arial"/>
          <w:sz w:val="17"/>
          <w:szCs w:val="17"/>
          <w:color w:val="auto"/>
        </w:rPr>
        <w:t>Results from the trial indicate that TransCon hGH was generally safe and well-tolerated, with adverse events consistent with the type and frequency observed with daily hGH therapy and comparable between arms of the trial. No serious adverse events related to study drug were observed in either arm. No treatment-emergent adverse events leading to discontinuation of study drug were observed in either arm.</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analyses from the heiGHt Trial showed:</w:t>
      </w:r>
    </w:p>
    <w:p>
      <w:pPr>
        <w:spacing w:after="0" w:line="129" w:lineRule="exact"/>
        <w:rPr>
          <w:sz w:val="20"/>
          <w:szCs w:val="20"/>
          <w:color w:val="auto"/>
        </w:rPr>
      </w:pPr>
    </w:p>
    <w:p>
      <w:pPr>
        <w:ind w:left="1100" w:right="240" w:hanging="426"/>
        <w:spacing w:after="0" w:line="340" w:lineRule="auto"/>
        <w:tabs>
          <w:tab w:leader="none" w:pos="11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incidence of treatment emergent anti-hGH neutralizing antibodies detected, and post-baseline low level of low-titer non-neutralizing anti-hGH binding antibodies was similar between the two arms (6 [5.7%] in TransCon hGH vs. 2 [3.6%] in Genotropin arm).</w:t>
      </w:r>
    </w:p>
    <w:p>
      <w:pPr>
        <w:spacing w:after="0" w:line="30" w:lineRule="exact"/>
        <w:rPr>
          <w:rFonts w:ascii="Arial" w:cs="Arial" w:eastAsia="Arial" w:hAnsi="Arial"/>
          <w:sz w:val="16"/>
          <w:szCs w:val="16"/>
          <w:color w:val="auto"/>
        </w:rPr>
      </w:pPr>
    </w:p>
    <w:p>
      <w:pPr>
        <w:ind w:left="1100" w:right="180" w:hanging="426"/>
        <w:spacing w:after="0" w:line="275" w:lineRule="auto"/>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Height SDS at 52 weeks increased over baseline by 1.10 for TransCon hGH and by 0.96 for the daily hGH, with the treatment difference increasing at each visit over 52 weeks.</w:t>
      </w:r>
    </w:p>
    <w:p>
      <w:pPr>
        <w:spacing w:after="0" w:line="77" w:lineRule="exact"/>
        <w:rPr>
          <w:rFonts w:ascii="Arial" w:cs="Arial" w:eastAsia="Arial" w:hAnsi="Arial"/>
          <w:sz w:val="18"/>
          <w:szCs w:val="18"/>
          <w:color w:val="auto"/>
        </w:rPr>
      </w:pPr>
    </w:p>
    <w:p>
      <w:pPr>
        <w:ind w:left="1100" w:right="20" w:hanging="426"/>
        <w:spacing w:after="0" w:line="262" w:lineRule="auto"/>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Body Mass Index (BMI) was in the normal range over 52 weeks in both the TransCon hGH group (with a mean increase in BMI SDS from -0.32 at baseline to -0.03 at week 52) and in the daily hGH group (with a mean BMI SDS decrease from -0.14 at baseline to -0.40 at week 52).</w:t>
      </w:r>
    </w:p>
    <w:p>
      <w:pPr>
        <w:spacing w:after="0" w:line="88" w:lineRule="exact"/>
        <w:rPr>
          <w:rFonts w:ascii="Arial" w:cs="Arial" w:eastAsia="Arial" w:hAnsi="Arial"/>
          <w:sz w:val="18"/>
          <w:szCs w:val="18"/>
          <w:color w:val="auto"/>
        </w:rPr>
      </w:pPr>
    </w:p>
    <w:p>
      <w:pPr>
        <w:ind w:left="1100" w:hanging="426"/>
        <w:spacing w:after="0"/>
        <w:tabs>
          <w:tab w:leader="none" w:pos="11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Mean hemoglobin A1c values were generally stable over the course of the trial and remained within the normal range for both arms.</w:t>
      </w:r>
    </w:p>
    <w:p>
      <w:pPr>
        <w:spacing w:after="0" w:line="140" w:lineRule="exact"/>
        <w:rPr>
          <w:rFonts w:ascii="Arial" w:cs="Arial" w:eastAsia="Arial" w:hAnsi="Arial"/>
          <w:sz w:val="17"/>
          <w:szCs w:val="17"/>
          <w:color w:val="auto"/>
        </w:rPr>
      </w:pPr>
    </w:p>
    <w:p>
      <w:pPr>
        <w:ind w:left="1100" w:right="60" w:hanging="426"/>
        <w:spacing w:after="0" w:line="275" w:lineRule="auto"/>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Model-derived mean average insulin-like growth factor-1 (“IGF-1”) SDS values were 0.72 for TransCon hGH and -0.02 for the daily hGH at week 52.</w:t>
      </w:r>
    </w:p>
    <w:p>
      <w:pPr>
        <w:spacing w:after="0" w:line="77" w:lineRule="exact"/>
        <w:rPr>
          <w:rFonts w:ascii="Arial" w:cs="Arial" w:eastAsia="Arial" w:hAnsi="Arial"/>
          <w:sz w:val="18"/>
          <w:szCs w:val="18"/>
          <w:color w:val="auto"/>
        </w:rPr>
      </w:pPr>
    </w:p>
    <w:p>
      <w:pPr>
        <w:ind w:left="1100" w:right="420" w:hanging="426"/>
        <w:spacing w:after="0" w:line="275" w:lineRule="auto"/>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Adverse events leading to dose reduction (IGF-1 levels or clinical symptoms) occurred twice in the TransCon hGH arm (representing 1.9%) and once in the daily hGH arm (representing 1.8%).</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Observed change in bone age over 52 weeks from baseline was 1.36 years for the TransCon hGH arm and 1.35 years in the daily arm.</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85"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Additional Clinical Trials of TransCon hGH in Pediatric Subjects with GHD</w:t>
      </w:r>
    </w:p>
    <w:p>
      <w:pPr>
        <w:spacing w:after="0" w:line="116"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In our ongoing Phase 3 riGHt Trial we are evaluating TransCon hGH in Japanese subjects for the treatment for pediatric GHD. The primary objective of the riGHt Trial is to evaluate and compare the annualized height velocity of 40 Japanese prepubertal treatment naïve children with GHD treated with weekly TransCon hGH to that of a commercially available daily hGH formulation at 52 weeks.</w:t>
      </w:r>
    </w:p>
    <w:p>
      <w:pPr>
        <w:spacing w:after="0" w:line="183" w:lineRule="exact"/>
        <w:rPr>
          <w:sz w:val="20"/>
          <w:szCs w:val="20"/>
          <w:color w:val="auto"/>
        </w:rPr>
      </w:pPr>
    </w:p>
    <w:p>
      <w:pPr>
        <w:ind w:left="140" w:right="80"/>
        <w:spacing w:after="0" w:line="275" w:lineRule="auto"/>
        <w:rPr>
          <w:sz w:val="20"/>
          <w:szCs w:val="20"/>
          <w:color w:val="auto"/>
        </w:rPr>
      </w:pPr>
      <w:r>
        <w:rPr>
          <w:rFonts w:ascii="Arial" w:cs="Arial" w:eastAsia="Arial" w:hAnsi="Arial"/>
          <w:sz w:val="18"/>
          <w:szCs w:val="18"/>
          <w:color w:val="auto"/>
        </w:rPr>
        <w:t>VISEN is conducting a Phase 3 clinical trial in China evaluating TransCon hGH for the treatment of pediatric GHD. In March 2021, VISEN completed enrollment for the ongoing Phase 3 trial.</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Proprietary Auto-injector</w:t>
      </w:r>
    </w:p>
    <w:p>
      <w:pPr>
        <w:spacing w:after="0" w:line="115" w:lineRule="exact"/>
        <w:rPr>
          <w:sz w:val="20"/>
          <w:szCs w:val="20"/>
          <w:color w:val="auto"/>
        </w:rPr>
      </w:pPr>
    </w:p>
    <w:p>
      <w:pPr>
        <w:ind w:left="140" w:right="100"/>
        <w:spacing w:after="0" w:line="249" w:lineRule="auto"/>
        <w:rPr>
          <w:sz w:val="20"/>
          <w:szCs w:val="20"/>
          <w:color w:val="auto"/>
        </w:rPr>
      </w:pPr>
      <w:r>
        <w:rPr>
          <w:rFonts w:ascii="Arial" w:cs="Arial" w:eastAsia="Arial" w:hAnsi="Arial"/>
          <w:sz w:val="17"/>
          <w:szCs w:val="17"/>
          <w:color w:val="auto"/>
        </w:rPr>
        <w:t>The FDA approval for SKYTROFA includes the SKYTROFA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Auto-Injector and cartridges. The auto-injector provides for room temperature storage, includes an empty-all design and is expected to last for at least four years. With simple operation, the device has a single, low-volume injection for the majority of patients of less than 0.6 mL and requires a small,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149860</wp:posOffset>
            </wp:positionV>
            <wp:extent cx="1725295" cy="289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25295" cy="289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Figure 2. Our state-of-the-art auto-injector is designed to improve treatment compliance for children with GHD.</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Commercialization Strategy</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have developed a multi-faceted commercial organization and strategy to optimize U.S. market adoption of SKYTROFA (lonapegsomatropin-tcgd).</w:t>
      </w:r>
    </w:p>
    <w:p>
      <w:pPr>
        <w:spacing w:after="0" w:line="152" w:lineRule="exact"/>
        <w:rPr>
          <w:sz w:val="20"/>
          <w:szCs w:val="20"/>
          <w:color w:val="auto"/>
        </w:rPr>
      </w:pPr>
    </w:p>
    <w:p>
      <w:pPr>
        <w:ind w:left="1100" w:right="440" w:hanging="426"/>
        <w:spacing w:after="0" w:line="258" w:lineRule="auto"/>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Sales Force: In the United States, growth hormone is prescribed by approximately 8,000 health care providers with the top 1,400 prescribers consisting of pediatric endocrinologists, endocrinologists, pediatricians, nurse practitioners, and physician assistants, accounting for approximately 80% of the prescription volume. Our United States sales organization is focused on these high-volume prescribers.</w:t>
      </w:r>
    </w:p>
    <w:p>
      <w:pPr>
        <w:spacing w:after="0" w:line="91" w:lineRule="exact"/>
        <w:rPr>
          <w:rFonts w:ascii="Arial" w:cs="Arial" w:eastAsia="Arial" w:hAnsi="Arial"/>
          <w:sz w:val="18"/>
          <w:szCs w:val="18"/>
          <w:color w:val="auto"/>
        </w:rPr>
      </w:pPr>
    </w:p>
    <w:p>
      <w:pPr>
        <w:ind w:left="1100" w:right="440" w:hanging="426"/>
        <w:spacing w:after="0" w:line="275" w:lineRule="auto"/>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Medical Affairs: Our Medical Affairs organization is educating stakeholders and broadening SKYTROFA (lonapegsomatropin-tcgd) awareness.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485"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460" w:hanging="426"/>
        <w:spacing w:after="0" w:line="262" w:lineRule="auto"/>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Access: Payor coverage and reimbursement are important factors which can influence market adoption. Recognizing this importance, our Market Access organization has been engaging national and regional payors in an effort to garner reimbursement for SKYTROFA (lonapegsomatropin-tcgd).</w:t>
      </w:r>
    </w:p>
    <w:p>
      <w:pPr>
        <w:spacing w:after="0" w:line="183" w:lineRule="exact"/>
        <w:rPr>
          <w:sz w:val="20"/>
          <w:szCs w:val="20"/>
          <w:color w:val="auto"/>
        </w:rPr>
      </w:pPr>
    </w:p>
    <w:p>
      <w:pPr>
        <w:ind w:left="140" w:right="120"/>
        <w:spacing w:after="0" w:line="262" w:lineRule="auto"/>
        <w:rPr>
          <w:sz w:val="20"/>
          <w:szCs w:val="20"/>
          <w:color w:val="auto"/>
        </w:rPr>
      </w:pPr>
      <w:r>
        <w:rPr>
          <w:rFonts w:ascii="Arial" w:cs="Arial" w:eastAsia="Arial" w:hAnsi="Arial"/>
          <w:sz w:val="18"/>
          <w:szCs w:val="18"/>
          <w:color w:val="auto"/>
        </w:rPr>
        <w:t>As of December 31, 2021, 369 SKYTROFA prescriptions had been written by 139 prescribers. In addition, 42% of the prescribers had written prescriptions for more than one patient. As of February 28, 2022, 708 SKYTROFA prescriptions had been written by 263 prescribers. In addition, 44% of the prescribers had written prescriptions for more than one patient.</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TransCon Product Candidates – Endocrinology Rare Diseases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Growth Hormone (hGH) for Other Indications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Clinical Development in Adults</w:t>
      </w:r>
    </w:p>
    <w:p>
      <w:pPr>
        <w:spacing w:after="0" w:line="116" w:lineRule="exact"/>
        <w:rPr>
          <w:sz w:val="20"/>
          <w:szCs w:val="20"/>
          <w:color w:val="auto"/>
        </w:rPr>
      </w:pPr>
    </w:p>
    <w:p>
      <w:pPr>
        <w:ind w:left="140" w:right="120"/>
        <w:spacing w:after="0" w:line="262" w:lineRule="auto"/>
        <w:rPr>
          <w:sz w:val="20"/>
          <w:szCs w:val="20"/>
          <w:color w:val="auto"/>
        </w:rPr>
      </w:pPr>
      <w:r>
        <w:rPr>
          <w:rFonts w:ascii="Arial" w:cs="Arial" w:eastAsia="Arial" w:hAnsi="Arial"/>
          <w:sz w:val="18"/>
          <w:szCs w:val="18"/>
          <w:color w:val="auto"/>
        </w:rPr>
        <w:t>We have successfully completed a Phase 2, European, multi-center, multiple dose, open-label, active-controlled, trial to examine the safety, tolerability, pharmacokinetics and pharmacodynamics in 37 adult male and female subjects with GHD. We have also completed several Phase 1 trials in healthy adult subjects.</w:t>
      </w:r>
    </w:p>
    <w:p>
      <w:pPr>
        <w:spacing w:after="0" w:line="183"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Following our Phase 2 trial and discussions with the FDA, we submitted an amendment to our IND to initiate the foresiGHt Trial, a global Phase 3 trial with the aim to demonstrate the metabolic benefits of TransCon hGH in adults and with the primary objective to evaluate change in trunk fat percentage. Patients in the trial are randomized in a 1:1:1 ratio into the three arms of the study—treatment with once-weekly TransCon hGH, once-weekly placebo, or daily hGH. The primary endpoint of the trial is a change from baseline in percentage trunk fat at 38 weeks. Following the 38-week main trial period, all patients will be eligible to receive once-weekly TransCon hGH during the 52-week open-label extension. We are targeting completion of enrollment for this Phase 3 trial during the second quarter of 2022. The ongoing conflict in the region surrounding Ukraine and Russia has impacted our ability to continue clinical trial activities in those countries. While this may affect our timelines for the foresiGHt Trial, there is currently no material impact to our business from this situation.</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Future Development Plans</w:t>
      </w:r>
    </w:p>
    <w:p>
      <w:pPr>
        <w:spacing w:after="0" w:line="116" w:lineRule="exact"/>
        <w:rPr>
          <w:sz w:val="20"/>
          <w:szCs w:val="20"/>
          <w:color w:val="auto"/>
        </w:rPr>
      </w:pPr>
    </w:p>
    <w:p>
      <w:pPr>
        <w:ind w:left="140" w:right="20"/>
        <w:spacing w:after="0" w:line="258" w:lineRule="auto"/>
        <w:rPr>
          <w:sz w:val="20"/>
          <w:szCs w:val="20"/>
          <w:color w:val="auto"/>
        </w:rPr>
      </w:pPr>
      <w:r>
        <w:rPr>
          <w:rFonts w:ascii="Arial" w:cs="Arial" w:eastAsia="Arial" w:hAnsi="Arial"/>
          <w:sz w:val="18"/>
          <w:szCs w:val="18"/>
          <w:color w:val="auto"/>
        </w:rPr>
        <w:t>We plan to submit a protocol to FDA in the second quarter of 2022 to evaluate TransCon hGH for Turner Syndrome. We expect to evaluate higher doses of TransCon hGH and daily growth hormone for Turner Syndrome compared to those doses for pediatric or adult GHD. In addition, we are also considering other potential indications for TransCon hGH where a long-acting hGH therapy may offer a best-in-class option for patients with rare growth disorders.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PTH</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Market Opportunity in Hypoparathyroidism</w:t>
      </w:r>
    </w:p>
    <w:p>
      <w:pPr>
        <w:spacing w:after="0" w:line="116" w:lineRule="exact"/>
        <w:rPr>
          <w:sz w:val="20"/>
          <w:szCs w:val="20"/>
          <w:color w:val="auto"/>
        </w:rPr>
      </w:pPr>
    </w:p>
    <w:p>
      <w:pPr>
        <w:ind w:left="140" w:right="60"/>
        <w:spacing w:after="0" w:line="289" w:lineRule="auto"/>
        <w:rPr>
          <w:sz w:val="20"/>
          <w:szCs w:val="20"/>
          <w:color w:val="auto"/>
        </w:rPr>
      </w:pPr>
      <w:r>
        <w:rPr>
          <w:rFonts w:ascii="Arial" w:cs="Arial" w:eastAsia="Arial" w:hAnsi="Arial"/>
          <w:sz w:val="16"/>
          <w:szCs w:val="16"/>
          <w:color w:val="auto"/>
        </w:rPr>
        <w:t>Hypoparathyroidism (“HP”) is a rare endocrine disease characterized by deficient or absent parathyroid hormone, (“PTH”), affecting approximately 400,000 patients in the U.S., Europe, Japan, South Korea and China. The most common cause in approximately 75% of cases is inadvertent removal or damage to the parathyroid tissue during neck surgery. Patients with HP cannot adequately regulate calcium and phosphate metabolism and suffer from low calcium and elevated phosphate levels in the blood. The condition results in a diverse range of physical, cognitive and emotional symptoms, as well as a decrease in quality of life. Short term symptoms include weakness, severe muscle cramps (tetany), abnormal sensations such as tingling, burning and numbness (paresthesia), memory loss, impaired judgement and headache. Over the long term, treatment with the current conventional therapy can increase risk of major complications, such as extraskeletal calcium depositions occurring within the brain, lens of the eye, and kidneys, which can lead to impaired renal function. Patients often experience decreased quality of life.</w:t>
      </w:r>
    </w:p>
    <w:p>
      <w:pPr>
        <w:spacing w:after="0" w:line="165" w:lineRule="exact"/>
        <w:rPr>
          <w:sz w:val="20"/>
          <w:szCs w:val="20"/>
          <w:color w:val="auto"/>
        </w:rPr>
      </w:pPr>
    </w:p>
    <w:p>
      <w:pPr>
        <w:ind w:left="140" w:right="220"/>
        <w:spacing w:after="0" w:line="285" w:lineRule="auto"/>
        <w:rPr>
          <w:sz w:val="20"/>
          <w:szCs w:val="20"/>
          <w:color w:val="auto"/>
        </w:rPr>
      </w:pPr>
      <w:r>
        <w:rPr>
          <w:rFonts w:ascii="Arial" w:cs="Arial" w:eastAsia="Arial" w:hAnsi="Arial"/>
          <w:sz w:val="17"/>
          <w:szCs w:val="17"/>
          <w:color w:val="auto"/>
        </w:rPr>
        <w:t>PTH controls serum calcium via several mechanisms. PTH acts to release calcium from the skeleton by regulating bone turnover, and in the kidney to reabsorb calcium from the urine. In addition, PTH facilitates the conversion of 25 hydroxyvitamin D to the active form, which in turn acts on the intestines to increase calcium absorption. Through these primary pathways, calcium homeostasis is maintained.</w:t>
      </w:r>
    </w:p>
    <w:p>
      <w:pPr>
        <w:spacing w:after="0" w:line="165" w:lineRule="exact"/>
        <w:rPr>
          <w:sz w:val="20"/>
          <w:szCs w:val="20"/>
          <w:color w:val="auto"/>
        </w:rPr>
      </w:pPr>
    </w:p>
    <w:p>
      <w:pPr>
        <w:ind w:left="140" w:right="120"/>
        <w:spacing w:after="0" w:line="274" w:lineRule="auto"/>
        <w:rPr>
          <w:sz w:val="20"/>
          <w:szCs w:val="20"/>
          <w:color w:val="auto"/>
        </w:rPr>
      </w:pPr>
      <w:r>
        <w:rPr>
          <w:rFonts w:ascii="Arial" w:cs="Arial" w:eastAsia="Arial" w:hAnsi="Arial"/>
          <w:sz w:val="17"/>
          <w:szCs w:val="17"/>
          <w:color w:val="auto"/>
        </w:rPr>
        <w:t>Current conventional therapy for HP patients primarily consists of active vitamin D and oral calcium supplementation. However, since PTH is not present at the kidney to facilitate calcium reabsorption from the urine, the goal of conventional therapy is to maintain serum calcium (“sCa”) levels just below or within the lower part of the normal range and thereby limit as much as possible the damage from excess urinary calcium excretion. Nonetheless, conventional therapy frequently leads to significant sCa fluctuations accompanied by symptomatic hyper- or hypocalcemia. In addition, conventional therapy with active vitamin D and calcium have been shown to contribute to the risk of renal disease.</w:t>
      </w:r>
    </w:p>
    <w:p>
      <w:pPr>
        <w:spacing w:after="0" w:line="176" w:lineRule="exact"/>
        <w:rPr>
          <w:sz w:val="20"/>
          <w:szCs w:val="20"/>
          <w:color w:val="auto"/>
        </w:rPr>
      </w:pPr>
    </w:p>
    <w:p>
      <w:pPr>
        <w:ind w:left="140" w:right="220"/>
        <w:spacing w:after="0" w:line="275" w:lineRule="auto"/>
        <w:rPr>
          <w:sz w:val="20"/>
          <w:szCs w:val="20"/>
          <w:color w:val="auto"/>
        </w:rPr>
      </w:pPr>
      <w:r>
        <w:rPr>
          <w:rFonts w:ascii="Arial" w:cs="Arial" w:eastAsia="Arial" w:hAnsi="Arial"/>
          <w:sz w:val="18"/>
          <w:szCs w:val="18"/>
          <w:color w:val="auto"/>
        </w:rPr>
        <w:t>HP also poses a high burden on the healthcare system despite current conventional therapy. For example, one survey of 374 patients showed that 72% experienced more than ten symptoms in the preceding twelve months, with symptoms experienced for a mean of 13</w:t>
      </w:r>
    </w:p>
    <w:p>
      <w:pPr>
        <w:sectPr>
          <w:pgSz w:w="11900" w:h="16838" w:orient="portrait"/>
          <w:cols w:equalWidth="0" w:num="1">
            <w:col w:w="11100"/>
          </w:cols>
          <w:pgMar w:left="320" w:top="485" w:right="479" w:bottom="1440" w:gutter="0" w:footer="0" w:header="0"/>
        </w:sectPr>
      </w:pP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00"/>
          </w:cols>
          <w:pgMar w:left="320" w:top="485" w:right="47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hanging="5"/>
        <w:spacing w:after="0" w:line="278" w:lineRule="auto"/>
        <w:tabs>
          <w:tab w:leader="none" w:pos="2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9 hours a day. Other studies showed that 79% of HP cases require hospitalizations and that patients with the disease results have a four-fold increase in the risk of renal disease compared to healthy controls. Patients often experience decreased quality of life. We conducted a survey of 42 patients which found that 100% of subjects reported negative psychological impacts, interference with daily life and impact on physical functioning from HP, and that 76% were either no longer able to work or experienced interference with work productivity.</w:t>
      </w:r>
    </w:p>
    <w:p>
      <w:pPr>
        <w:spacing w:after="0" w:line="170" w:lineRule="exact"/>
        <w:rPr>
          <w:sz w:val="20"/>
          <w:szCs w:val="20"/>
          <w:color w:val="auto"/>
        </w:rPr>
      </w:pPr>
    </w:p>
    <w:p>
      <w:pPr>
        <w:ind w:left="140" w:right="180"/>
        <w:spacing w:after="0" w:line="271" w:lineRule="auto"/>
        <w:rPr>
          <w:sz w:val="20"/>
          <w:szCs w:val="20"/>
          <w:color w:val="auto"/>
        </w:rPr>
      </w:pPr>
      <w:r>
        <w:rPr>
          <w:rFonts w:ascii="Arial" w:cs="Arial" w:eastAsia="Arial" w:hAnsi="Arial"/>
          <w:sz w:val="17"/>
          <w:szCs w:val="17"/>
          <w:color w:val="auto"/>
        </w:rPr>
        <w:t>An effective PTH replacement therapy that fully addresses the condition is not widely available to patients with HP in the U.S. In 2015, parathyroid hormone (brand name Natpara), was approved for once-daily subcutaneous injection as an adjunct to vitamin D and calcium in patients with hypoparathyroidism. Parathyroid hormone was voluntarily recalled in September 2019 in the U.S. and is now only available to a limited number of patients through a Special Use Program offered by its manufacturer, Shire-NPS Pharmaceuticals Inc., a Takeda company. We are also aware of several academic groups and companies working on making longer-acting agonists of the PTH receptor (“PTH1R”). In addition, other companies and groups are developing or commercializing therapies for hypoparathyroidism, including Chugai Pharmaceutical Co., Ltd., Entera Bio, Extend Biosciences, Massachusetts General Hospital, Amolyt Pharma, Prolynx Inc., and Eli Lilly and Company.</w:t>
      </w:r>
    </w:p>
    <w:p>
      <w:pPr>
        <w:spacing w:after="0" w:line="177" w:lineRule="exact"/>
        <w:rPr>
          <w:sz w:val="20"/>
          <w:szCs w:val="20"/>
          <w:color w:val="auto"/>
        </w:rPr>
      </w:pPr>
    </w:p>
    <w:p>
      <w:pPr>
        <w:ind w:left="140" w:right="280"/>
        <w:spacing w:after="0" w:line="258" w:lineRule="auto"/>
        <w:rPr>
          <w:sz w:val="20"/>
          <w:szCs w:val="20"/>
          <w:color w:val="auto"/>
        </w:rPr>
      </w:pPr>
      <w:r>
        <w:rPr>
          <w:rFonts w:ascii="Arial" w:cs="Arial" w:eastAsia="Arial" w:hAnsi="Arial"/>
          <w:sz w:val="18"/>
          <w:szCs w:val="18"/>
          <w:color w:val="auto"/>
        </w:rPr>
        <w:t>Teriparatide, PTH(1-34), approved since 2002 for the treatment of osteoporosis, has sometimes been used for treatment of hypoparathyroidism using multiple daily injections, despite not being approved for this indication. Clinical research conducted by the National Institutes of Health of subjects receiving continuous exposure to PTH(1-34), administered by an infusion pump, has demonstrated simultaneous normalization of sCa and urinary calcium, as well as normalization of bone turnover.</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Our Solution: TransCon PTH</w:t>
      </w:r>
    </w:p>
    <w:p>
      <w:pPr>
        <w:spacing w:after="0" w:line="116" w:lineRule="exact"/>
        <w:rPr>
          <w:sz w:val="20"/>
          <w:szCs w:val="20"/>
          <w:color w:val="auto"/>
        </w:rPr>
      </w:pPr>
    </w:p>
    <w:p>
      <w:pPr>
        <w:ind w:left="140" w:right="60"/>
        <w:spacing w:after="0" w:line="295" w:lineRule="auto"/>
        <w:rPr>
          <w:sz w:val="20"/>
          <w:szCs w:val="20"/>
          <w:color w:val="auto"/>
        </w:rPr>
      </w:pPr>
      <w:r>
        <w:rPr>
          <w:rFonts w:ascii="Arial" w:cs="Arial" w:eastAsia="Arial" w:hAnsi="Arial"/>
          <w:sz w:val="16"/>
          <w:szCs w:val="16"/>
          <w:color w:val="auto"/>
        </w:rPr>
        <w:t>TransCon PTH is an investigational long-acting prodrug of parathyroid hormone that is designed as a novel replacement therapy for PTH dosed once-daily to achieve and maintain a steady concentration of PTH in the bloodstream within the normal range, at levels similar to those observed in healthy individuals. TransCon PTH is designed to restore physiologic levels of PTH 24 hours per day, thereby more fully addressing all aspects of the disease including normalizing serum and urinary calcium and serum phosphate levels. Pharmacokinetic data from our Phase 1 trial of TransCon PTH in healthy subjects demonstrated a half-life of approximately 60 hours, supporting an infusion-like profile with daily administration.</w:t>
      </w:r>
    </w:p>
    <w:p>
      <w:pPr>
        <w:spacing w:after="0" w:line="161"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With once-daily dosing, we believe this substantial half-life extension of PTH could more closely reflect the physiological levels of PTH observed in healthy individuals thereby maintaining blood calcium levels and normalizing urinary calcium excretion. Pharmacokinetic data from multiple ascending dose cohorts in our Phase 1 trial of TransCon PTH in healthy subjects demonstrated an infusion-like profile of free PTH. By providing steady levels of PTH in the physiological range, we believe TransCon PTH can address the fundamental limitations of short-acting PTH molecules and become a highly differentiated therapy for HP.</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Clinical Development of TransCon PTH for Adult Hypoparathyroidism</w:t>
      </w:r>
    </w:p>
    <w:p>
      <w:pPr>
        <w:spacing w:after="0" w:line="116" w:lineRule="exact"/>
        <w:rPr>
          <w:sz w:val="20"/>
          <w:szCs w:val="20"/>
          <w:color w:val="auto"/>
        </w:rPr>
      </w:pPr>
    </w:p>
    <w:p>
      <w:pPr>
        <w:ind w:left="140" w:right="20"/>
        <w:spacing w:after="0" w:line="295" w:lineRule="auto"/>
        <w:rPr>
          <w:sz w:val="20"/>
          <w:szCs w:val="20"/>
          <w:color w:val="auto"/>
        </w:rPr>
      </w:pPr>
      <w:r>
        <w:rPr>
          <w:rFonts w:ascii="Arial" w:cs="Arial" w:eastAsia="Arial" w:hAnsi="Arial"/>
          <w:sz w:val="16"/>
          <w:szCs w:val="16"/>
          <w:color w:val="auto"/>
        </w:rPr>
        <w:t>Our ongoing Phase 2 PaTH Forward Trial evaluated the safety, tolerability and efficacy of three fixed doses (15, 18, or 21 µg per day) of TransCon PTH compared to placebo over a four-week double-blinded period administered by a ready-to-use prefilled pen device. Following the fixed-dose, double-blind portion, subjects in PaTH Forward entered into a long-term open-label extension (“OLE”) which is evaluating a range of doses intended to cover the range of individual requirements for hormone replacements. The goal of PaTH Forward is to evaluate TransCon PTH control of serum and urinary calcium, identify a starting dose for a pivotal Phase 3 trial, and establish a titration regimen for complete withdrawal of conventional therapy.</w:t>
      </w:r>
    </w:p>
    <w:p>
      <w:pPr>
        <w:spacing w:after="0" w:line="161" w:lineRule="exact"/>
        <w:rPr>
          <w:sz w:val="20"/>
          <w:szCs w:val="20"/>
          <w:color w:val="auto"/>
        </w:rPr>
      </w:pPr>
    </w:p>
    <w:p>
      <w:pPr>
        <w:ind w:left="140"/>
        <w:spacing w:after="0" w:line="292" w:lineRule="auto"/>
        <w:rPr>
          <w:sz w:val="20"/>
          <w:szCs w:val="20"/>
          <w:color w:val="auto"/>
        </w:rPr>
      </w:pPr>
      <w:r>
        <w:rPr>
          <w:rFonts w:ascii="Arial" w:cs="Arial" w:eastAsia="Arial" w:hAnsi="Arial"/>
          <w:sz w:val="16"/>
          <w:szCs w:val="16"/>
          <w:color w:val="auto"/>
        </w:rPr>
        <w:t>In April 2020, we announced top-line data from the four-week fixed dose, double-blinded portion of PaTH Forward, a global Phase 2 trial evaluating the safety, tolerability and efficacy of TransCon PTH in adult subjects with hypoparathyroidism. A total of 59 subjects were randomized in a blinded manner to receive fixed doses of TransCon PTH at 15, 18 or 21 µg/day or placebo for four weeks using a ready-to-use prefilled pen injector planned for commercial presentation. All doses of TransCon PTH were well-tolerated, and no serious or severe treatment-related adverse events (“TEAEs”), were observed at any point. No treatment-emergent adverse events led to discontinuation of study drug, and the overall incidence of TEAEs was comparable between TransCon PTH and placebo. Additionally, there were no drop-outs during the four-week fixed dose period.</w:t>
      </w:r>
    </w:p>
    <w:p>
      <w:pPr>
        <w:spacing w:after="0" w:line="164" w:lineRule="exact"/>
        <w:rPr>
          <w:sz w:val="20"/>
          <w:szCs w:val="20"/>
          <w:color w:val="auto"/>
        </w:rPr>
      </w:pPr>
    </w:p>
    <w:p>
      <w:pPr>
        <w:ind w:left="140" w:right="280"/>
        <w:spacing w:after="0" w:line="275" w:lineRule="auto"/>
        <w:rPr>
          <w:sz w:val="20"/>
          <w:szCs w:val="20"/>
          <w:color w:val="auto"/>
        </w:rPr>
      </w:pPr>
      <w:r>
        <w:rPr>
          <w:rFonts w:ascii="Arial" w:cs="Arial" w:eastAsia="Arial" w:hAnsi="Arial"/>
          <w:sz w:val="18"/>
          <w:szCs w:val="18"/>
          <w:color w:val="auto"/>
        </w:rPr>
        <w:t>In November 2021, we announced week 84 top-line data from the Phase 2 PaTH Forward Trial. Preliminary week 84 results from the PaTH Forward OLE demonstrated:</w:t>
      </w:r>
    </w:p>
    <w:p>
      <w:pPr>
        <w:spacing w:after="0" w:line="77" w:lineRule="exact"/>
        <w:rPr>
          <w:sz w:val="20"/>
          <w:szCs w:val="20"/>
          <w:color w:val="auto"/>
        </w:rPr>
      </w:pPr>
    </w:p>
    <w:p>
      <w:pPr>
        <w:ind w:left="1100" w:hanging="426"/>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Mean serum calcium levels remained stable and in the normal range.</w:t>
      </w:r>
    </w:p>
    <w:p>
      <w:pPr>
        <w:spacing w:after="0" w:line="129" w:lineRule="exact"/>
        <w:rPr>
          <w:rFonts w:ascii="Arial" w:cs="Arial" w:eastAsia="Arial" w:hAnsi="Arial"/>
          <w:sz w:val="18"/>
          <w:szCs w:val="18"/>
          <w:color w:val="auto"/>
        </w:rPr>
      </w:pPr>
    </w:p>
    <w:p>
      <w:pPr>
        <w:ind w:left="1100" w:right="480" w:hanging="426"/>
        <w:spacing w:after="0" w:line="275" w:lineRule="auto"/>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study subjects discontinued active vitamin D supplements in the earliest weeks of the trial and have remained off it since then. In addition, 93% of subjects were taking calcium supplements &lt; 600 mg per day.</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Mean urinary calcium excretion remained stable and in the normal range.</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85"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560" w:hanging="426"/>
        <w:spacing w:after="0" w:line="275"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TransCon PTH was well-tolerated at all doses administered. No treatment-related serious or severe adverse events occurred, and no treatment-emergent adverse events (“TEAEs”) led to discontinuation of study drug.</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Injections were well-tolerated using pen injector planned for commercial presentation.</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At week-58, quality-of-life and bone mineral density data were collected. The data demonstrated:</w:t>
      </w:r>
    </w:p>
    <w:p>
      <w:pPr>
        <w:spacing w:after="0" w:line="129" w:lineRule="exact"/>
        <w:rPr>
          <w:sz w:val="20"/>
          <w:szCs w:val="20"/>
          <w:color w:val="auto"/>
        </w:rPr>
      </w:pPr>
    </w:p>
    <w:p>
      <w:pPr>
        <w:ind w:left="1100" w:right="200" w:hanging="426"/>
        <w:spacing w:after="0" w:line="275"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mean summary and subdomain SF-36 Health Survey scores continued normalization between week 26 and week 58 despite all mean scores starting below norms at baseline.</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Bone mineral density Z-scores trended towards normalization and stabilization over 58 weeks in PaTH Forward.</w:t>
      </w:r>
    </w:p>
    <w:p>
      <w:pPr>
        <w:spacing w:after="0" w:line="223" w:lineRule="exact"/>
        <w:rPr>
          <w:sz w:val="20"/>
          <w:szCs w:val="20"/>
          <w:color w:val="auto"/>
        </w:rPr>
      </w:pPr>
    </w:p>
    <w:p>
      <w:pPr>
        <w:ind w:left="140" w:right="120"/>
        <w:spacing w:after="0" w:line="262" w:lineRule="auto"/>
        <w:rPr>
          <w:sz w:val="20"/>
          <w:szCs w:val="20"/>
          <w:color w:val="auto"/>
        </w:rPr>
      </w:pPr>
      <w:r>
        <w:rPr>
          <w:rFonts w:ascii="Arial" w:cs="Arial" w:eastAsia="Arial" w:hAnsi="Arial"/>
          <w:sz w:val="18"/>
          <w:szCs w:val="18"/>
          <w:color w:val="auto"/>
        </w:rPr>
        <w:t>As of February 22, 2022, 57 out of the 59 patients continued in the open-label extension portion of the trial, where they receive a customized maintenance dose of TransCon PTH (6 to 30 µg per day). In addition, all 57 subjects have exceeded two years of follow-up in the PaTH Forward Trial. Two patients withdrew from the trial for reasons unrelated to safety or efficacy of the study drug.</w:t>
      </w:r>
    </w:p>
    <w:p>
      <w:pPr>
        <w:spacing w:after="0" w:line="183" w:lineRule="exact"/>
        <w:rPr>
          <w:sz w:val="20"/>
          <w:szCs w:val="20"/>
          <w:color w:val="auto"/>
        </w:rPr>
      </w:pPr>
    </w:p>
    <w:p>
      <w:pPr>
        <w:ind w:left="140" w:right="100"/>
        <w:spacing w:after="0" w:line="256" w:lineRule="auto"/>
        <w:rPr>
          <w:sz w:val="20"/>
          <w:szCs w:val="20"/>
          <w:color w:val="auto"/>
        </w:rPr>
      </w:pPr>
      <w:r>
        <w:rPr>
          <w:rFonts w:ascii="Arial" w:cs="Arial" w:eastAsia="Arial" w:hAnsi="Arial"/>
          <w:sz w:val="18"/>
          <w:szCs w:val="18"/>
          <w:color w:val="auto"/>
        </w:rPr>
        <w:t>In September 2020, we submitted an amendment to our IND to initiate PaTHway, our global Phase 3 clinical trial evaluating the safety, tolerability and efficacy of TransCon PTH in adults with HP following discussions with FDA and European regulatory authorities. In July 2021, target enrollment in PaTHway was achieved with top-line results expected in the first quarter of 2022. We plan to submit an NDA to FDA on TransCon PTH for Adult Hypoparathyroidism in the third quarter of 2022. In addition, we plan to submit a Marketing Authorization Application (“MAA”) to EMA in the fourth quarter of 2022.</w:t>
      </w:r>
    </w:p>
    <w:p>
      <w:pPr>
        <w:spacing w:after="0" w:line="188" w:lineRule="exact"/>
        <w:rPr>
          <w:sz w:val="20"/>
          <w:szCs w:val="20"/>
          <w:color w:val="auto"/>
        </w:rPr>
      </w:pPr>
    </w:p>
    <w:p>
      <w:pPr>
        <w:ind w:left="140"/>
        <w:spacing w:after="0" w:line="278" w:lineRule="auto"/>
        <w:rPr>
          <w:sz w:val="20"/>
          <w:szCs w:val="20"/>
          <w:color w:val="auto"/>
        </w:rPr>
      </w:pPr>
      <w:r>
        <w:rPr>
          <w:rFonts w:ascii="Arial" w:cs="Arial" w:eastAsia="Arial" w:hAnsi="Arial"/>
          <w:sz w:val="17"/>
          <w:szCs w:val="17"/>
          <w:color w:val="auto"/>
        </w:rPr>
        <w:t>In the second quarter of 2021, we submitted a Clinical Trial Notification (“CTN”) to the MHLW for PaTHway Japan Trial, a Phase 3 trial to evaluate the safety, tolerability, and efficacy of TransCon PTH. In July 2021, the Japanese Pharmaceuticals and Medical Devices Agency accepted the CTN for the PaTHway Japan Trial, a single-arm, Phase 3 trial of TransCon PTH in a minimum of 12 Japanese subjects with HP. Subjects will start with an 18 µg dose of TransCon PTH and be followed over a 26-week period during which they will be titrated to an optimal dose.</w:t>
      </w:r>
    </w:p>
    <w:p>
      <w:pPr>
        <w:spacing w:after="0" w:line="170" w:lineRule="exact"/>
        <w:rPr>
          <w:sz w:val="20"/>
          <w:szCs w:val="20"/>
          <w:color w:val="auto"/>
        </w:rPr>
      </w:pPr>
    </w:p>
    <w:p>
      <w:pPr>
        <w:jc w:val="both"/>
        <w:ind w:left="140"/>
        <w:spacing w:after="0" w:line="262" w:lineRule="auto"/>
        <w:rPr>
          <w:sz w:val="20"/>
          <w:szCs w:val="20"/>
          <w:color w:val="auto"/>
        </w:rPr>
      </w:pPr>
      <w:r>
        <w:rPr>
          <w:rFonts w:ascii="Arial" w:cs="Arial" w:eastAsia="Arial" w:hAnsi="Arial"/>
          <w:sz w:val="18"/>
          <w:szCs w:val="18"/>
          <w:color w:val="auto"/>
        </w:rPr>
        <w:t>In June 2018, we were granted ODD by the FDA, for TransCon PTH for the treatment of for hypoparathyroidism. In October 2020, we were granted OD by the European Commission for TransCon PTH for the treatment of hypoparathyroidism. In July 2021, MHLW granted ODD to TransCon PTH for the treatment of hypoparathyroidism.</w:t>
      </w:r>
    </w:p>
    <w:p>
      <w:pPr>
        <w:spacing w:after="0" w:line="183" w:lineRule="exact"/>
        <w:rPr>
          <w:sz w:val="20"/>
          <w:szCs w:val="20"/>
          <w:color w:val="auto"/>
        </w:rPr>
      </w:pPr>
    </w:p>
    <w:p>
      <w:pPr>
        <w:ind w:left="140" w:right="60"/>
        <w:spacing w:after="0" w:line="295" w:lineRule="auto"/>
        <w:rPr>
          <w:sz w:val="20"/>
          <w:szCs w:val="20"/>
          <w:color w:val="auto"/>
        </w:rPr>
      </w:pPr>
      <w:r>
        <w:rPr>
          <w:rFonts w:ascii="Arial" w:cs="Arial" w:eastAsia="Arial" w:hAnsi="Arial"/>
          <w:sz w:val="16"/>
          <w:szCs w:val="16"/>
          <w:color w:val="auto"/>
        </w:rPr>
        <w:t>Previously, in May 2018, we completed a Phase 1 trial to evaluate the safety tolerability, pharmacodynamics and pharmacokinetics of TransCon PTH in healthy adults. Primary objectives of the trial included assessing the safety and tolerability of single and ten multiple daily doses of TransCon PTH in healthy adults. Secondary objectives of this trial included evaluation of pharmacodynamics, including serum calcium, down regulation of endogenous PTH(1-84), and bone markers; pharmacokinetics following single and multiple daily doses of TransCon PTH; assessment of whether TransCon PTH treatment affects fractional excretion of urinary calcium; and, incidence of anti-PTH and anti-PEG antibodies.</w:t>
      </w:r>
    </w:p>
    <w:p>
      <w:pPr>
        <w:spacing w:after="0" w:line="161" w:lineRule="exact"/>
        <w:rPr>
          <w:sz w:val="20"/>
          <w:szCs w:val="20"/>
          <w:color w:val="auto"/>
        </w:rPr>
      </w:pPr>
    </w:p>
    <w:p>
      <w:pPr>
        <w:ind w:left="140" w:right="120"/>
        <w:spacing w:after="0" w:line="278" w:lineRule="auto"/>
        <w:rPr>
          <w:sz w:val="20"/>
          <w:szCs w:val="20"/>
          <w:color w:val="auto"/>
        </w:rPr>
      </w:pPr>
      <w:r>
        <w:rPr>
          <w:rFonts w:ascii="Arial" w:cs="Arial" w:eastAsia="Arial" w:hAnsi="Arial"/>
          <w:sz w:val="17"/>
          <w:szCs w:val="17"/>
          <w:color w:val="auto"/>
        </w:rPr>
        <w:t>Results of the trial showed that TransCon PTH led to sustained and dose-dependent elevations of serum calcium with low inter-subject variability. This dose-dependent response and low inter-subject variability suggests the ability to titrate and individualize dosing in patients. Following ten repeated doses, free PTH exhibited a flat, infusion-like profile. TransCon PTH was also observed to have the expected effects on renal calcium reabsorption as evaluated by on fractional excretion of calcium, and also down regulation of endogenous PTH(1-84) secretion.</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CNP</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Market Opportunity in Achondroplasia</w:t>
      </w:r>
    </w:p>
    <w:p>
      <w:pPr>
        <w:spacing w:after="0" w:line="116"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color w:val="auto"/>
        </w:rPr>
        <w:t>Achondroplasia is the most common form of dwarfism, occurring in about one in 10,000 to 30,000 newborns or approximately 250,000 worldwide. Achondroplasia results in severe skeletal complications and comorbidities, including spinal stenosis due to premature fusion of the foramen magnum, sleep apnea, and chronic ear infections. Patients often face multiple surgeries to alleviate its many complications. There are currently no FDA-approved pharmacological treatments for achondroplasia.</w:t>
      </w:r>
    </w:p>
    <w:p>
      <w:pPr>
        <w:spacing w:after="0" w:line="186" w:lineRule="exact"/>
        <w:rPr>
          <w:sz w:val="20"/>
          <w:szCs w:val="20"/>
          <w:color w:val="auto"/>
        </w:rPr>
      </w:pPr>
    </w:p>
    <w:p>
      <w:pPr>
        <w:ind w:left="140" w:right="100"/>
        <w:spacing w:after="0" w:line="310" w:lineRule="auto"/>
        <w:rPr>
          <w:sz w:val="20"/>
          <w:szCs w:val="20"/>
          <w:color w:val="auto"/>
        </w:rPr>
      </w:pPr>
      <w:r>
        <w:rPr>
          <w:rFonts w:ascii="Arial" w:cs="Arial" w:eastAsia="Arial" w:hAnsi="Arial"/>
          <w:sz w:val="16"/>
          <w:szCs w:val="16"/>
          <w:color w:val="auto"/>
        </w:rPr>
        <w:t>Achondroplasia is caused by an autosomal dominant activating mutation in fibroblast growth factor receptor 3 (“FGFR3”) that leads to an imbalance in the effects of the FGFR3 and C-type natriuretic peptide (CNP) signaling pathways. In achondroplasia, mutations in FGFR3 result in constitutive activation, suppressing the proliferation and differentiation of chondrocytes resulting in improper cartilage to bone conversion in the growth plate.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85"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300"/>
        <w:spacing w:after="0" w:line="262" w:lineRule="auto"/>
        <w:rPr>
          <w:sz w:val="20"/>
          <w:szCs w:val="20"/>
          <w:color w:val="auto"/>
        </w:rPr>
      </w:pPr>
      <w:r>
        <w:rPr>
          <w:rFonts w:ascii="Arial" w:cs="Arial" w:eastAsia="Arial" w:hAnsi="Arial"/>
          <w:sz w:val="18"/>
          <w:szCs w:val="18"/>
          <w:color w:val="auto"/>
        </w:rPr>
        <w:t>Preclinical and clinical data show that the CNP pathway stimulates growth and increased CNP helps to counteract the effects of the FGFR3 mutation downstream. Administration of a CNP analog to children with achondroplasia and in animal models of achondroplasia has been found to stimulate growth.</w:t>
      </w:r>
    </w:p>
    <w:p>
      <w:pPr>
        <w:spacing w:after="0" w:line="183" w:lineRule="exact"/>
        <w:rPr>
          <w:sz w:val="20"/>
          <w:szCs w:val="20"/>
          <w:color w:val="auto"/>
        </w:rPr>
      </w:pPr>
    </w:p>
    <w:p>
      <w:pPr>
        <w:ind w:left="140" w:right="180"/>
        <w:spacing w:after="0" w:line="340" w:lineRule="auto"/>
        <w:rPr>
          <w:sz w:val="20"/>
          <w:szCs w:val="20"/>
          <w:color w:val="auto"/>
        </w:rPr>
      </w:pPr>
      <w:r>
        <w:rPr>
          <w:rFonts w:ascii="Arial" w:cs="Arial" w:eastAsia="Arial" w:hAnsi="Arial"/>
          <w:sz w:val="16"/>
          <w:szCs w:val="16"/>
          <w:color w:val="auto"/>
        </w:rPr>
        <w:t>BioMarin Pharmaceutical, Inc. is developing vosoritide (which was approved by the FDA in November 2021) for the treatment of achondroplasia, and other companies that are developing therapies for achondroplasia include Pfizer, QED Therapeutics and BioClin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105410</wp:posOffset>
            </wp:positionV>
            <wp:extent cx="5168265" cy="2212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6826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Figure 3. The role of a defect in the FGFR3 signaling pathway in the development of achondroplasia is well understood.</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Our Solution: TransCon CNP</w:t>
      </w:r>
    </w:p>
    <w:p>
      <w:pPr>
        <w:spacing w:after="0" w:line="116" w:lineRule="exact"/>
        <w:rPr>
          <w:sz w:val="20"/>
          <w:szCs w:val="20"/>
          <w:color w:val="auto"/>
        </w:rPr>
      </w:pPr>
    </w:p>
    <w:p>
      <w:pPr>
        <w:ind w:left="140" w:right="80"/>
        <w:spacing w:after="0" w:line="261" w:lineRule="auto"/>
        <w:rPr>
          <w:sz w:val="20"/>
          <w:szCs w:val="20"/>
          <w:color w:val="auto"/>
        </w:rPr>
      </w:pPr>
      <w:r>
        <w:rPr>
          <w:rFonts w:ascii="Arial" w:cs="Arial" w:eastAsia="Arial" w:hAnsi="Arial"/>
          <w:sz w:val="16"/>
          <w:szCs w:val="16"/>
          <w:color w:val="auto"/>
        </w:rPr>
        <w:t>TransCon CNP is an investigational long-acting prodrug of C-type natriuretic peptide designed to provide continuous CNP exposure at therapeutic levels with a well-tolerated and convenient once-weekly dose. It is being developed for the treatment of children with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We believe TransCon CNP offers advantages over shorter-acting CNP and CNP analogs in development that result in high C</w:t>
      </w:r>
      <w:r>
        <w:rPr>
          <w:rFonts w:ascii="Arial" w:cs="Arial" w:eastAsia="Arial" w:hAnsi="Arial"/>
          <w:sz w:val="22"/>
          <w:szCs w:val="22"/>
          <w:color w:val="auto"/>
          <w:vertAlign w:val="subscript"/>
        </w:rPr>
        <w:t>max</w:t>
      </w:r>
      <w:r>
        <w:rPr>
          <w:rFonts w:ascii="Arial" w:cs="Arial" w:eastAsia="Arial" w:hAnsi="Arial"/>
          <w:sz w:val="16"/>
          <w:szCs w:val="16"/>
          <w:color w:val="auto"/>
        </w:rPr>
        <w:t xml:space="preserve"> levels which may cause adverse cardiovascular events. In addition, we expect a more constant CNP exposure at lower C</w:t>
      </w:r>
      <w:r>
        <w:rPr>
          <w:rFonts w:ascii="Arial" w:cs="Arial" w:eastAsia="Arial" w:hAnsi="Arial"/>
          <w:sz w:val="22"/>
          <w:szCs w:val="22"/>
          <w:color w:val="auto"/>
          <w:vertAlign w:val="subscript"/>
        </w:rPr>
        <w:t>max</w:t>
      </w:r>
      <w:r>
        <w:rPr>
          <w:rFonts w:ascii="Arial" w:cs="Arial" w:eastAsia="Arial" w:hAnsi="Arial"/>
          <w:sz w:val="16"/>
          <w:szCs w:val="16"/>
          <w:color w:val="auto"/>
        </w:rPr>
        <w:t xml:space="preserve"> to correlate with better therapeutic outcomes.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Clinical Development of TransCon CNP for Achondroplasia</w:t>
      </w:r>
    </w:p>
    <w:p>
      <w:pPr>
        <w:spacing w:after="0" w:line="116" w:lineRule="exact"/>
        <w:rPr>
          <w:sz w:val="20"/>
          <w:szCs w:val="20"/>
          <w:color w:val="auto"/>
        </w:rPr>
      </w:pPr>
    </w:p>
    <w:p>
      <w:pPr>
        <w:ind w:left="140" w:right="480"/>
        <w:spacing w:after="0" w:line="275" w:lineRule="auto"/>
        <w:rPr>
          <w:sz w:val="20"/>
          <w:szCs w:val="20"/>
          <w:color w:val="auto"/>
        </w:rPr>
      </w:pPr>
      <w:r>
        <w:rPr>
          <w:rFonts w:ascii="Arial" w:cs="Arial" w:eastAsia="Arial" w:hAnsi="Arial"/>
          <w:sz w:val="18"/>
          <w:szCs w:val="18"/>
          <w:color w:val="auto"/>
        </w:rPr>
        <w:t>TransCon CNP is currently being evaluated in a global Phase 2 trial, known as the ACcomplisH Trial, which is designed to evaluate the safety and efficacy of TransCon CNP in children (ages two to ten years) with achondroplasia.</w:t>
      </w:r>
    </w:p>
    <w:p>
      <w:pPr>
        <w:spacing w:after="0" w:line="171" w:lineRule="exact"/>
        <w:rPr>
          <w:sz w:val="20"/>
          <w:szCs w:val="20"/>
          <w:color w:val="auto"/>
        </w:rPr>
      </w:pPr>
    </w:p>
    <w:p>
      <w:pPr>
        <w:ind w:left="140" w:right="40"/>
        <w:spacing w:after="0" w:line="254" w:lineRule="auto"/>
        <w:rPr>
          <w:sz w:val="20"/>
          <w:szCs w:val="20"/>
          <w:color w:val="auto"/>
        </w:rPr>
      </w:pPr>
      <w:r>
        <w:rPr>
          <w:rFonts w:ascii="Arial" w:cs="Arial" w:eastAsia="Arial" w:hAnsi="Arial"/>
          <w:sz w:val="18"/>
          <w:szCs w:val="18"/>
          <w:color w:val="auto"/>
        </w:rPr>
        <w:t>Results from our Phase 1 trial of TransCon CNP in healthy adult subjects supported our target product profile for TransCon CNP. In this Phase 1, double-blind, randomized, placebo-controlled trial, 45 healthy adult subjects were enrolled. Five doses of TransCon CNP were tested sequentially, beginning with the lowest dose: 3, 10, 25, 75 and 150 µg/kilogram. Up to ten subjects in each dose cohort were randomized to receive TransCon CNP or placebo in a 4:1 ratio. After each cohort completed dosing, a Data Safety Monitoring Board reviewed the blinded data to approve escalation to the next higher dose. The primary endpoint was frequency of adverse events after administration of TransCon CNP. Secondary endpoints included additional safety parameters, tolerability and pharmacokinetics.</w:t>
      </w:r>
    </w:p>
    <w:p>
      <w:pPr>
        <w:spacing w:after="0" w:line="192"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The results showed TransCon CNP provided continuous exposure to CNP with a pharmacokinetic profile designed to provide efficacy with once-weekly dosing. No serious adverse events were reported in the trial and TransCon CNP was generally well tolerated at doses up to 150 µg/kilogram. Mean orthostatic changes in vital signs appeared unrelated to TransCon CNP exposure and were consistent between placebo and TransCon CNP cohorts. Mean resting blood pressure and heart rate were unchanged from pre-dose at all time points, in all cohorts. Injections were well tolerated in all dose cohorts. No anti-CNP antibodies were detected in any subjects.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5"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204470</wp:posOffset>
            </wp:positionV>
            <wp:extent cx="5168265" cy="23749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68265"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0" w:hanging="425"/>
        <w:spacing w:after="0"/>
        <w:tabs>
          <w:tab w:leader="none" w:pos="560"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color w:val="auto"/>
        </w:rPr>
        <w:t>CNP measured as CNP-38.</w:t>
      </w:r>
    </w:p>
    <w:p>
      <w:pPr>
        <w:spacing w:after="0" w:line="308"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Figure 4. Pharmacokinetic results for TransCon CNP 10, 25, 75 and 150 µg/kg administered as a once-weekly subcutaneous injection are presented.</w:t>
      </w:r>
    </w:p>
    <w:p>
      <w:pPr>
        <w:spacing w:after="0" w:line="246" w:lineRule="exact"/>
        <w:rPr>
          <w:sz w:val="20"/>
          <w:szCs w:val="20"/>
          <w:color w:val="auto"/>
        </w:rPr>
      </w:pPr>
    </w:p>
    <w:p>
      <w:pPr>
        <w:ind w:left="140" w:right="220"/>
        <w:spacing w:after="0" w:line="292" w:lineRule="auto"/>
        <w:rPr>
          <w:sz w:val="20"/>
          <w:szCs w:val="20"/>
          <w:color w:val="auto"/>
        </w:rPr>
      </w:pPr>
      <w:r>
        <w:rPr>
          <w:rFonts w:ascii="Arial" w:cs="Arial" w:eastAsia="Arial" w:hAnsi="Arial"/>
          <w:sz w:val="16"/>
          <w:szCs w:val="16"/>
          <w:color w:val="auto"/>
        </w:rPr>
        <w:t>Following completion of the Phase 1 trial, and a successful submission of an IND in July 2019, we initiated the Phase 2 ACcomplisH Trial, a randomized, double-blind, placebo-controlled, sequential rising dose trial to evaluate the safety and efficacy of TransCon CNP in approximately 60 children with achondroplasia (ages two to ten years). Subjects are randomized to receive either TransCon CNP or placebo in a 3:1 ratio. The primary efficacy endpoint is annualized height velocity at twelve months. Key secondary and additional endpoints include body proportionality and change in BMI, both evaluated after twelve months of weekly TransCon CNP treatment, and patient reported outcome measures. In December 2021, we announced that enrollment in ACcomplisH Trial was completed and we anticipate top-line results from the Phase 3 trial in the fourth quarter of 2022.</w:t>
      </w:r>
    </w:p>
    <w:p>
      <w:pPr>
        <w:spacing w:after="0" w:line="164" w:lineRule="exact"/>
        <w:rPr>
          <w:sz w:val="20"/>
          <w:szCs w:val="20"/>
          <w:color w:val="auto"/>
        </w:rPr>
      </w:pPr>
    </w:p>
    <w:p>
      <w:pPr>
        <w:ind w:left="140"/>
        <w:spacing w:after="0" w:line="275" w:lineRule="auto"/>
        <w:rPr>
          <w:sz w:val="20"/>
          <w:szCs w:val="20"/>
          <w:color w:val="auto"/>
        </w:rPr>
      </w:pPr>
      <w:r>
        <w:rPr>
          <w:rFonts w:ascii="Arial" w:cs="Arial" w:eastAsia="Arial" w:hAnsi="Arial"/>
          <w:sz w:val="18"/>
          <w:szCs w:val="18"/>
          <w:color w:val="auto"/>
        </w:rPr>
        <w:t>We plan to submit an IND or equivalent in the second quarter of 2022 for the ACcomplisH Infant Trial which will be designed to evaluate the safety and efficacy of TransCon CNP in children with achondroplasia from infants to age two years.</w:t>
      </w:r>
    </w:p>
    <w:p>
      <w:pPr>
        <w:spacing w:after="0" w:line="171" w:lineRule="exact"/>
        <w:rPr>
          <w:sz w:val="20"/>
          <w:szCs w:val="20"/>
          <w:color w:val="auto"/>
        </w:rPr>
      </w:pPr>
    </w:p>
    <w:p>
      <w:pPr>
        <w:ind w:left="140" w:right="80"/>
        <w:spacing w:after="0" w:line="278" w:lineRule="auto"/>
        <w:rPr>
          <w:sz w:val="20"/>
          <w:szCs w:val="20"/>
          <w:color w:val="auto"/>
        </w:rPr>
      </w:pPr>
      <w:r>
        <w:rPr>
          <w:rFonts w:ascii="Arial" w:cs="Arial" w:eastAsia="Arial" w:hAnsi="Arial"/>
          <w:sz w:val="17"/>
          <w:szCs w:val="17"/>
          <w:color w:val="auto"/>
        </w:rPr>
        <w:t>In collaboration with VISEN, we are sponsoring the ACcomplisH China Trial, a randomized, double-blind, placebo-controlled, Phase 2 dose expansion trial to evaluate the safety and efficacy of TransCon CNP in subjects with achondroplasia. The primary endpoint is to evaluate the safety of treatment and its effect on 12-month annualized height velocity. In January 2021, China’s Center for Drug Evaluation (“CDE”) of National Medical Products Administration approved VISEN’s IND application to conduct the ACcomplisH China Trial.</w:t>
      </w:r>
    </w:p>
    <w:p>
      <w:pPr>
        <w:spacing w:after="0" w:line="170" w:lineRule="exact"/>
        <w:rPr>
          <w:sz w:val="20"/>
          <w:szCs w:val="20"/>
          <w:color w:val="auto"/>
        </w:rPr>
      </w:pPr>
    </w:p>
    <w:p>
      <w:pPr>
        <w:jc w:val="both"/>
        <w:ind w:left="140" w:right="20"/>
        <w:spacing w:after="0" w:line="262" w:lineRule="auto"/>
        <w:rPr>
          <w:sz w:val="20"/>
          <w:szCs w:val="20"/>
          <w:color w:val="auto"/>
        </w:rPr>
      </w:pPr>
      <w:r>
        <w:rPr>
          <w:rFonts w:ascii="Arial" w:cs="Arial" w:eastAsia="Arial" w:hAnsi="Arial"/>
          <w:sz w:val="18"/>
          <w:szCs w:val="18"/>
          <w:color w:val="auto"/>
        </w:rPr>
        <w:t>In parallel, we are conducting the ACHieve Study, a multi-center natural history study designed to gain insight into the experiences of pediatric subjects with achondroplasia. ACHieve will study growth velocity, body proportionality, and comorbidities over time of children with achondroplasia up to eight years old. No study medication will be administered.</w:t>
      </w:r>
    </w:p>
    <w:p>
      <w:pPr>
        <w:spacing w:after="0" w:line="183" w:lineRule="exact"/>
        <w:rPr>
          <w:sz w:val="20"/>
          <w:szCs w:val="20"/>
          <w:color w:val="auto"/>
        </w:rPr>
      </w:pPr>
    </w:p>
    <w:p>
      <w:pPr>
        <w:ind w:left="140" w:right="240"/>
        <w:spacing w:after="0" w:line="275" w:lineRule="auto"/>
        <w:rPr>
          <w:sz w:val="20"/>
          <w:szCs w:val="20"/>
          <w:color w:val="auto"/>
        </w:rPr>
      </w:pPr>
      <w:r>
        <w:rPr>
          <w:rFonts w:ascii="Arial" w:cs="Arial" w:eastAsia="Arial" w:hAnsi="Arial"/>
          <w:sz w:val="18"/>
          <w:szCs w:val="18"/>
          <w:color w:val="auto"/>
        </w:rPr>
        <w:t>In February 2019, we were granted ODD by the FDA for TransCon CNP for the treatment of achondroplasia. In July 2020, we received OD from the European Commission for TransCon CNP for the treatment of achondroplasia.</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TransCon Product Candidates—Oncology</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Market Opportunity in Oncology</w:t>
      </w:r>
    </w:p>
    <w:p>
      <w:pPr>
        <w:spacing w:after="0" w:line="116" w:lineRule="exact"/>
        <w:rPr>
          <w:sz w:val="20"/>
          <w:szCs w:val="20"/>
          <w:color w:val="auto"/>
        </w:rPr>
      </w:pPr>
    </w:p>
    <w:p>
      <w:pPr>
        <w:ind w:left="140" w:right="260"/>
        <w:spacing w:after="0" w:line="274" w:lineRule="auto"/>
        <w:rPr>
          <w:sz w:val="20"/>
          <w:szCs w:val="20"/>
          <w:color w:val="auto"/>
        </w:rPr>
      </w:pPr>
      <w:r>
        <w:rPr>
          <w:rFonts w:ascii="Arial" w:cs="Arial" w:eastAsia="Arial" w:hAnsi="Arial"/>
          <w:sz w:val="17"/>
          <w:szCs w:val="17"/>
          <w:color w:val="auto"/>
        </w:rPr>
        <w:t>Efficacy of many cancer treatments remains suboptimal and the incidence of cancer continues to rise.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 Supported by these and other advancements, oncology is now the largest therapy class in terms of revenue in pharmaceutical industry, with worldwide prescription drug and over-the-counter sales of $124 billion in 2018 and projected growth to $237 billion in 2024.</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85"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Despite recent advances, a high need for new treatment options remains for patients who do not respond or respond inadequately to current therapies. In addition to insufficient efficacy, many current treatments are limited by toxicities that result in dose reductions, treatment discontinuations, or long-term health risks to patients. We believe that one approach to improving efficacy while limited adverse events is to create long-acting product candidates, allowing for more consistent circulating drug levels and potentially avoiding high peak concentrations that often associate with toxicity. Another approach is to target the drug activity into tumors via intratumoral injection, aiming for high activity in the tumor microenvironment while limiting systemic adverse events. While one intratumoral treatment has been approved for the local treatment of recurrent melanoma, the overall success of intratumoral treatments has been limited to date. This is likely at least partly due to the short intratumoral retention of injected molecules, and, hence, the need for frequent, impractical dosing schedules.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Our Solution: TransCon Technologies for Oncology</w:t>
      </w:r>
    </w:p>
    <w:p>
      <w:pPr>
        <w:spacing w:after="0" w:line="116"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color w:val="auto"/>
        </w:rPr>
        <w:t>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w:t>
      </w:r>
    </w:p>
    <w:p>
      <w:pPr>
        <w:spacing w:after="0" w:line="186" w:lineRule="exact"/>
        <w:rPr>
          <w:sz w:val="20"/>
          <w:szCs w:val="20"/>
          <w:color w:val="auto"/>
        </w:rPr>
      </w:pPr>
    </w:p>
    <w:p>
      <w:pPr>
        <w:ind w:left="140" w:right="80"/>
        <w:spacing w:after="0" w:line="340" w:lineRule="auto"/>
        <w:rPr>
          <w:sz w:val="20"/>
          <w:szCs w:val="20"/>
          <w:color w:val="auto"/>
        </w:rPr>
      </w:pPr>
      <w:r>
        <w:rPr>
          <w:rFonts w:ascii="Arial" w:cs="Arial" w:eastAsia="Arial" w:hAnsi="Arial"/>
          <w:sz w:val="16"/>
          <w:szCs w:val="16"/>
          <w:color w:val="auto"/>
        </w:rPr>
        <w:t>We believe TransCon technologies may have the potential to increase the efficacy of small molecules, peptides and proteins without increasing toxicity, which could offer the potential to treat more patients with new combination and multi-agent regiments than would not otherwise be feasible.</w:t>
      </w:r>
    </w:p>
    <w:p>
      <w:pPr>
        <w:spacing w:after="0" w:line="124"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We are currently investigating two clinical-stage product candidates designed to activate the patients’ own immune system to eradicate malignant cells. We believe our approach, if successfully developed, has the potential to optimize the efficacy of systemically administered, clinically validated therapies while limiting adverse effects.</w:t>
      </w:r>
    </w:p>
    <w:p>
      <w:pPr>
        <w:spacing w:after="0" w:line="183"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Similarly, with the potential to achieve sustained local release at predictable levels, we believe TransCon product candidates may allow for improved efficacy and reduced dosing frequency of intratumorally administered therapies, potentially enabling treatments of multiple tumor types, including those that cannot be easily accessed for frequent injection.</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Development of TransCon Product Candidates in Oncology</w:t>
      </w:r>
    </w:p>
    <w:p>
      <w:pPr>
        <w:spacing w:after="0" w:line="116" w:lineRule="exact"/>
        <w:rPr>
          <w:sz w:val="20"/>
          <w:szCs w:val="20"/>
          <w:color w:val="auto"/>
        </w:rPr>
      </w:pPr>
    </w:p>
    <w:p>
      <w:pPr>
        <w:ind w:left="140" w:right="420"/>
        <w:spacing w:after="0" w:line="258" w:lineRule="auto"/>
        <w:rPr>
          <w:sz w:val="20"/>
          <w:szCs w:val="20"/>
          <w:color w:val="auto"/>
        </w:rPr>
      </w:pPr>
      <w:r>
        <w:rPr>
          <w:rFonts w:ascii="Arial" w:cs="Arial" w:eastAsia="Arial" w:hAnsi="Arial"/>
          <w:sz w:val="18"/>
          <w:szCs w:val="18"/>
          <w:color w:val="auto"/>
        </w:rPr>
        <w:t>Our TransCon product candidates in oncology are designed to provide sustained systemic or intratumoral administration, which we believe could provide potent and durable anti-tumor efficacy. Our nonclinical studies have showed sustained activation of cytotoxic immune cells that resulted in robust anti-tumor responses by TransCon product candidates using infrequent administration. Two of our oncology product candidates, TransCon TLR7/8 Agonist and TransCon IL-2 ß/g, are now in clinical development.</w:t>
      </w:r>
    </w:p>
    <w:p>
      <w:pPr>
        <w:spacing w:after="0" w:line="92" w:lineRule="exact"/>
        <w:rPr>
          <w:sz w:val="20"/>
          <w:szCs w:val="20"/>
          <w:color w:val="auto"/>
        </w:rPr>
      </w:pPr>
    </w:p>
    <w:p>
      <w:pPr>
        <w:ind w:left="1100" w:right="20" w:hanging="426"/>
        <w:spacing w:after="0" w:line="274" w:lineRule="auto"/>
        <w:tabs>
          <w:tab w:leader="none" w:pos="11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TransCon TLR7/8 Agonist is an investigational long-acting prodrug, designed for sustained release of resiquimod, a small molecule agonist of Toll-like receptors (“TLR”) 7 and 8. It is designed to provide sustained and potent activation of the innate immune system in the tumor and tumor draining lymph node and to have a low risk of systemic toxicity for weeks or months following a single intratumoral injection. Enrollment continues in the Phase 1/2 transcendIT-101 Trial for which we submitted an IND in 2020, with top-line data expected from monotherapy and checkpoint combination dose escalation in the third quarter of 2022.</w:t>
      </w:r>
    </w:p>
    <w:p>
      <w:pPr>
        <w:spacing w:after="0" w:line="81" w:lineRule="exact"/>
        <w:rPr>
          <w:rFonts w:ascii="Arial" w:cs="Arial" w:eastAsia="Arial" w:hAnsi="Arial"/>
          <w:sz w:val="17"/>
          <w:szCs w:val="17"/>
          <w:color w:val="auto"/>
        </w:rPr>
      </w:pPr>
    </w:p>
    <w:p>
      <w:pPr>
        <w:ind w:left="1100" w:hanging="426"/>
        <w:spacing w:after="0" w:line="300" w:lineRule="auto"/>
        <w:tabs>
          <w:tab w:leader="none" w:pos="11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TransCon IL-2 b/g is an investigational long-acting prodrug designed to improve cancer immunotherapy through sustained release of an IL-2 variant that selectively activates the IL-2Rb/g, with minimal binding to IL-2Rα. The Phase 1/2 IL-beliege Trial evaluating TransCon IL-2 b/g monotherapy in patients with advanced cancer is enrolling. We also aim to dose the first patient in checkpoint combination dose-escalation arm of the IL-beliege Trial in the second quarter of 2022, and we expect top-line monotherapy data in the fourth quarter of 2022.</w:t>
      </w:r>
    </w:p>
    <w:p>
      <w:pPr>
        <w:spacing w:after="0" w:line="62" w:lineRule="exact"/>
        <w:rPr>
          <w:rFonts w:ascii="Arial" w:cs="Arial" w:eastAsia="Arial" w:hAnsi="Arial"/>
          <w:sz w:val="16"/>
          <w:szCs w:val="16"/>
          <w:color w:val="auto"/>
        </w:rPr>
      </w:pPr>
    </w:p>
    <w:p>
      <w:pPr>
        <w:ind w:left="1100" w:right="140" w:hanging="426"/>
        <w:spacing w:after="0" w:line="262" w:lineRule="auto"/>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believe that a combination TransCon TLR7/8 Agonist and TransCon IL-2 b/g may have the potential to produce greater anti-tumor activity than either candidate alone. During the fourth quarter of 2022, the Company plans to submit an IND or similar for Phase 2 cohort expansion for combination therapy with TransCon TLR7/8 Agonist and TransCon IL-2 b/g.</w:t>
      </w:r>
    </w:p>
    <w:p>
      <w:pPr>
        <w:spacing w:after="0" w:line="183" w:lineRule="exact"/>
        <w:rPr>
          <w:sz w:val="20"/>
          <w:szCs w:val="20"/>
          <w:color w:val="auto"/>
        </w:rPr>
      </w:pPr>
    </w:p>
    <w:p>
      <w:pPr>
        <w:ind w:left="140" w:right="20"/>
        <w:spacing w:after="0" w:line="310" w:lineRule="auto"/>
        <w:rPr>
          <w:sz w:val="20"/>
          <w:szCs w:val="20"/>
          <w:color w:val="auto"/>
        </w:rPr>
      </w:pPr>
      <w:r>
        <w:rPr>
          <w:rFonts w:ascii="Arial" w:cs="Arial" w:eastAsia="Arial" w:hAnsi="Arial"/>
          <w:sz w:val="16"/>
          <w:szCs w:val="16"/>
          <w:color w:val="auto"/>
        </w:rPr>
        <w:t>We are evaluating additional TransCon product candidates in nonclinical research studies with potential to enhance anti-tumor immune responses for the treatment of multiple tumor types. We are exploring product candidates using both systemic and intratumoral administration as monotherapies and as components of combination regimens. We believe these programs have the potential to make a positive impact to the lives of many patients with cancer.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85"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Strategic Collaborations</w:t>
      </w:r>
    </w:p>
    <w:p>
      <w:pPr>
        <w:spacing w:after="0" w:line="120"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color w:val="auto"/>
        </w:rPr>
        <w:t>We also engage in strategic collaborations to further leverage our TransCon technologies in certain geographies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w:t>
      </w:r>
    </w:p>
    <w:p>
      <w:pPr>
        <w:spacing w:after="0" w:line="186" w:lineRule="exact"/>
        <w:rPr>
          <w:sz w:val="20"/>
          <w:szCs w:val="20"/>
          <w:color w:val="auto"/>
        </w:rPr>
      </w:pPr>
    </w:p>
    <w:p>
      <w:pPr>
        <w:ind w:left="140" w:right="500"/>
        <w:spacing w:after="0" w:line="275" w:lineRule="auto"/>
        <w:rPr>
          <w:sz w:val="20"/>
          <w:szCs w:val="20"/>
          <w:color w:val="auto"/>
        </w:rPr>
      </w:pPr>
      <w:r>
        <w:rPr>
          <w:rFonts w:ascii="Arial" w:cs="Arial" w:eastAsia="Arial" w:hAnsi="Arial"/>
          <w:sz w:val="18"/>
          <w:szCs w:val="18"/>
          <w:color w:val="auto"/>
        </w:rPr>
        <w:t>In addition, we may choose to pursue a collaboration to develop and market our internal, wholly owned product candidates in geographic markets outside our core focus areas of the United States and Europe.</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Strategic Investment</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VISEN Pharmaceuticals</w:t>
      </w:r>
    </w:p>
    <w:p>
      <w:pPr>
        <w:spacing w:after="0" w:line="116"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In November 2018, we announced the formation of VISEN Pharmaceuticals, or VISEN, a company established to develop and commercialize our endocrinology rare disease therapies in the People’s Republic of China, Hong Kong, Macau, and Taiwan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 Following the Series B financing, we retain 43.93% of VISEN’s issued and outstanding shares. In October 2019, VISEN received approval of a clinical trial application for TransCon hGH from the Center for Drug Evaluation in China and initiated a Phase 3 trial in pediatric growth hormone deficiency. In January 2021, China’s CDE approved VISEN’s application to conduct the ACcomplisH China Trial, a randomized, double-blind, placebo-controlled, Phase 2 dose expansion trial to evaluate the safety and efficacy of TransCon CNP in subjects with ACH.</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Market Opportunity in China</w:t>
      </w:r>
    </w:p>
    <w:p>
      <w:pPr>
        <w:spacing w:after="0" w:line="116" w:lineRule="exact"/>
        <w:rPr>
          <w:sz w:val="20"/>
          <w:szCs w:val="20"/>
          <w:color w:val="auto"/>
        </w:rPr>
      </w:pPr>
    </w:p>
    <w:p>
      <w:pPr>
        <w:ind w:left="140" w:right="80"/>
        <w:spacing w:after="0" w:line="274" w:lineRule="auto"/>
        <w:rPr>
          <w:sz w:val="20"/>
          <w:szCs w:val="20"/>
          <w:color w:val="auto"/>
        </w:rPr>
      </w:pPr>
      <w:r>
        <w:rPr>
          <w:rFonts w:ascii="Arial" w:cs="Arial" w:eastAsia="Arial" w:hAnsi="Arial"/>
          <w:sz w:val="17"/>
          <w:szCs w:val="17"/>
          <w:color w:val="auto"/>
        </w:rPr>
        <w:t>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w:t>
      </w:r>
    </w:p>
    <w:p>
      <w:pPr>
        <w:spacing w:after="0" w:line="176"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color w:val="auto"/>
        </w:rPr>
        <w:t>We believe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Rights Agreements</w:t>
      </w:r>
    </w:p>
    <w:p>
      <w:pPr>
        <w:spacing w:after="0" w:line="116" w:lineRule="exact"/>
        <w:rPr>
          <w:sz w:val="20"/>
          <w:szCs w:val="20"/>
          <w:color w:val="auto"/>
        </w:rPr>
      </w:pPr>
    </w:p>
    <w:p>
      <w:pPr>
        <w:ind w:left="140" w:right="100"/>
        <w:spacing w:after="0" w:line="258" w:lineRule="auto"/>
        <w:rPr>
          <w:sz w:val="20"/>
          <w:szCs w:val="20"/>
          <w:color w:val="auto"/>
        </w:rPr>
      </w:pPr>
      <w:r>
        <w:rPr>
          <w:rFonts w:ascii="Arial" w:cs="Arial" w:eastAsia="Arial" w:hAnsi="Arial"/>
          <w:sz w:val="18"/>
          <w:szCs w:val="18"/>
          <w:color w:val="auto"/>
        </w:rPr>
        <w:t>Under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186" w:lineRule="exact"/>
        <w:rPr>
          <w:sz w:val="20"/>
          <w:szCs w:val="20"/>
          <w:color w:val="auto"/>
        </w:rPr>
      </w:pPr>
    </w:p>
    <w:p>
      <w:pPr>
        <w:ind w:left="140" w:right="120"/>
        <w:spacing w:after="0" w:line="258" w:lineRule="auto"/>
        <w:rPr>
          <w:sz w:val="20"/>
          <w:szCs w:val="20"/>
          <w:color w:val="auto"/>
        </w:rPr>
      </w:pPr>
      <w:r>
        <w:rPr>
          <w:rFonts w:ascii="Arial" w:cs="Arial" w:eastAsia="Arial" w:hAnsi="Arial"/>
          <w:sz w:val="18"/>
          <w:szCs w:val="18"/>
          <w:color w:val="auto"/>
        </w:rPr>
        <w:t>We will provide product supply to VISEN for use in conducting clinical trials in Greater China pursuant to separate clinical supply agreements entered into concurrently with the Rights Agreements in accordance with the terms and conditions set forth therein. Additionally, we and VISEN will negotiate in good faith the terms and conditions governing commercial supply of licensed product to VISEN on the terms and conditions set forth in the Rights Agreements.</w:t>
      </w:r>
    </w:p>
    <w:p>
      <w:pPr>
        <w:spacing w:after="0" w:line="186" w:lineRule="exact"/>
        <w:rPr>
          <w:sz w:val="20"/>
          <w:szCs w:val="20"/>
          <w:color w:val="auto"/>
        </w:rPr>
      </w:pPr>
    </w:p>
    <w:p>
      <w:pPr>
        <w:ind w:left="140" w:right="260"/>
        <w:spacing w:after="0" w:line="274" w:lineRule="auto"/>
        <w:rPr>
          <w:sz w:val="20"/>
          <w:szCs w:val="20"/>
          <w:color w:val="auto"/>
        </w:rPr>
      </w:pPr>
      <w:r>
        <w:rPr>
          <w:rFonts w:ascii="Arial" w:cs="Arial" w:eastAsia="Arial" w:hAnsi="Arial"/>
          <w:sz w:val="17"/>
          <w:szCs w:val="17"/>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its endocrinology products in Greater China.</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85"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40"/>
        <w:spacing w:after="0" w:line="278" w:lineRule="auto"/>
        <w:rPr>
          <w:sz w:val="20"/>
          <w:szCs w:val="20"/>
          <w:color w:val="auto"/>
        </w:rPr>
      </w:pPr>
      <w:r>
        <w:rPr>
          <w:rFonts w:ascii="Arial" w:cs="Arial" w:eastAsia="Arial" w:hAnsi="Arial"/>
          <w:sz w:val="17"/>
          <w:szCs w:val="17"/>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Amended and Restated Shareholders Agreement</w:t>
      </w:r>
    </w:p>
    <w:p>
      <w:pPr>
        <w:spacing w:after="0" w:line="116" w:lineRule="exact"/>
        <w:rPr>
          <w:sz w:val="20"/>
          <w:szCs w:val="20"/>
          <w:color w:val="auto"/>
        </w:rPr>
      </w:pPr>
    </w:p>
    <w:p>
      <w:pPr>
        <w:ind w:left="140" w:right="160"/>
        <w:spacing w:after="0" w:line="283" w:lineRule="auto"/>
        <w:rPr>
          <w:sz w:val="20"/>
          <w:szCs w:val="20"/>
          <w:color w:val="auto"/>
        </w:rPr>
      </w:pPr>
      <w:r>
        <w:rPr>
          <w:rFonts w:ascii="Arial" w:cs="Arial" w:eastAsia="Arial" w:hAnsi="Arial"/>
          <w:sz w:val="16"/>
          <w:szCs w:val="16"/>
          <w:color w:val="auto"/>
        </w:rPr>
        <w:t>In connection with the Company’s investment in VISEN, on January 8, 2021, the Company entered into an Amended and Restated Shareholders Agreement (the “Amended Shareholders Agreement”), amending and restating the Shareholders Agreement dated November 7, 2018, between the Company and the parties set forth therein (the “Shareholders Agreement”). In addition to rights previously granted under the Shareholders Agreement, under the Amended Shareholders Agreement, the Company has the right to designate two individuals for election to the board of directors of VISEN, which individuals are initially Jan Møller Mikkelsen and Michael Wolff Jensen. In addition, VISEN has agreed that certain specified events (including certain liquidation events) shall require the approval of (i) shareholders of VISEN holding at least 50% of VISEN’s Series B preferred shares,</w:t>
      </w:r>
    </w:p>
    <w:p>
      <w:pPr>
        <w:spacing w:after="0" w:line="4" w:lineRule="exact"/>
        <w:rPr>
          <w:sz w:val="20"/>
          <w:szCs w:val="20"/>
          <w:color w:val="auto"/>
        </w:rPr>
      </w:pPr>
    </w:p>
    <w:p>
      <w:pPr>
        <w:ind w:left="140" w:right="40" w:hanging="5"/>
        <w:spacing w:after="0" w:line="254" w:lineRule="auto"/>
        <w:tabs>
          <w:tab w:leader="none" w:pos="4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shareholders of VISEN holding at least 60% of VISEN’s Series A preferred shares and/or (iii) certain members of VISEN’s board of directors. The Amended Shareholders Agreement can be terminated by written agreement among the holders of at least 60% of VISEN’s Series A preferred shares and at least 50% of VISEN’s Series B preferred shares.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Manufacturing</w:t>
      </w:r>
    </w:p>
    <w:p>
      <w:pPr>
        <w:spacing w:after="0" w:line="120" w:lineRule="exact"/>
        <w:rPr>
          <w:sz w:val="20"/>
          <w:szCs w:val="20"/>
          <w:color w:val="auto"/>
        </w:rPr>
      </w:pPr>
    </w:p>
    <w:p>
      <w:pPr>
        <w:ind w:left="140" w:right="60"/>
        <w:spacing w:after="0" w:line="288" w:lineRule="auto"/>
        <w:rPr>
          <w:sz w:val="20"/>
          <w:szCs w:val="20"/>
          <w:color w:val="auto"/>
        </w:rPr>
      </w:pPr>
      <w:r>
        <w:rPr>
          <w:rFonts w:ascii="Arial" w:cs="Arial" w:eastAsia="Arial" w:hAnsi="Arial"/>
          <w:sz w:val="16"/>
          <w:szCs w:val="16"/>
          <w:color w:val="auto"/>
        </w:rPr>
        <w:t>As we do not maintain the capability to manufacture finished drug products, we utilize contract manufacturers to manufacture finished drug product of our proprietary TransCon product candidates intended for clinical or commercial use. We source starting materials for our manufacturing activities from one or more suppliers. For the starting materials necessary for our proprietary TransCon product candidate development, we have agreements for the supply of such starting materials with drug manufacturers or suppliers that we believe have sufficient capacity to meet our demands. However, from time to time, we source critical raw materials and services from one or a limited number of suppliers and there is a risk that if such supply or services were interrupted, it would materially harm our business. In addition, we typically order raw materials and services on a purchase order basis and do not enter into long-term dedicated capacity or minimum supply arrangements. We utilize the services of contract manufacturers to manufacture drug substance required for later phases of clinical development and eventual commercialization for us under all applicable laws and regulations and are subject to long term forecasting obligations and certain minimum purchase requirements for all parts of the commercial supply chain.</w:t>
      </w:r>
    </w:p>
    <w:p>
      <w:pPr>
        <w:spacing w:after="0" w:line="165" w:lineRule="exact"/>
        <w:rPr>
          <w:sz w:val="20"/>
          <w:szCs w:val="20"/>
          <w:color w:val="auto"/>
        </w:rPr>
      </w:pPr>
    </w:p>
    <w:p>
      <w:pPr>
        <w:ind w:left="140" w:right="380"/>
        <w:spacing w:after="0" w:line="310" w:lineRule="auto"/>
        <w:rPr>
          <w:sz w:val="20"/>
          <w:szCs w:val="20"/>
          <w:color w:val="auto"/>
        </w:rPr>
      </w:pPr>
      <w:r>
        <w:rPr>
          <w:rFonts w:ascii="Arial" w:cs="Arial" w:eastAsia="Arial" w:hAnsi="Arial"/>
          <w:sz w:val="16"/>
          <w:szCs w:val="16"/>
          <w:color w:val="auto"/>
        </w:rPr>
        <w:t>We have analytical and process development capabilities in our own facility. We generally perform analytical and process development for our proprietary TransCon product candidates internally and manufacture internally our TransCon product candidates necessary to conduct the non-GLP preclinical studies thereof. However, we occasionally outsource the manufacture of research and development-stage TransCon product candidates.</w:t>
      </w:r>
    </w:p>
    <w:p>
      <w:pPr>
        <w:spacing w:after="0" w:line="148" w:lineRule="exact"/>
        <w:rPr>
          <w:sz w:val="20"/>
          <w:szCs w:val="20"/>
          <w:color w:val="auto"/>
        </w:rPr>
      </w:pPr>
    </w:p>
    <w:p>
      <w:pPr>
        <w:ind w:left="140" w:right="360"/>
        <w:spacing w:after="0" w:line="285" w:lineRule="auto"/>
        <w:rPr>
          <w:sz w:val="20"/>
          <w:szCs w:val="20"/>
          <w:color w:val="auto"/>
        </w:rPr>
      </w:pPr>
      <w:r>
        <w:rPr>
          <w:rFonts w:ascii="Arial" w:cs="Arial" w:eastAsia="Arial" w:hAnsi="Arial"/>
          <w:sz w:val="17"/>
          <w:szCs w:val="17"/>
          <w:color w:val="auto"/>
        </w:rPr>
        <w:t>We do not have, and we do not currently plan to acquire or develop, the facilities or capabilities to manufacture bulk drug substance or filled drug product for use in human clinical trials. We rely on third-party manufacturers to produce the bulk drug substances required for our clinical trials and expect to continue to rely on third-parties to manufacture and test clinical trial drug supplies for the foreseeable future.</w:t>
      </w:r>
    </w:p>
    <w:p>
      <w:pPr>
        <w:spacing w:after="0" w:line="165"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Our contract suppliers manufacture drug substance and finished drug product for our TransCon product candidates for clinical trial use in effort to comply with cGMP and applicable local regulations. cGMP and similar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be in compliance with cGMP requirements, and for device and device components, the Quality System Regulation (“QSR”) requirements, before any product is approved. Our third-party manufacturers may also be subject to periodic inspections of facilities by the FDA, the EU member states competent authorities, and other authorities, including reviews of procedures and operations used in the testing and manufacture of our products to assess our compliance with applicable regulations.</w:t>
      </w:r>
    </w:p>
    <w:p>
      <w:pPr>
        <w:spacing w:after="0" w:line="178" w:lineRule="exact"/>
        <w:rPr>
          <w:sz w:val="20"/>
          <w:szCs w:val="20"/>
          <w:color w:val="auto"/>
        </w:rPr>
      </w:pPr>
    </w:p>
    <w:p>
      <w:pPr>
        <w:ind w:left="140" w:right="120"/>
        <w:spacing w:after="0" w:line="285" w:lineRule="auto"/>
        <w:rPr>
          <w:sz w:val="20"/>
          <w:szCs w:val="20"/>
          <w:color w:val="auto"/>
        </w:rPr>
      </w:pPr>
      <w:r>
        <w:rPr>
          <w:rFonts w:ascii="Arial" w:cs="Arial" w:eastAsia="Arial" w:hAnsi="Arial"/>
          <w:sz w:val="17"/>
          <w:szCs w:val="17"/>
          <w:color w:val="auto"/>
        </w:rPr>
        <w:t>We also contract with additional third-parties for the filling, labeling, packaging, testing, storage and distribution of our TransCon product candidates. We employ personnel with the significant scientific, technical, production, quality and project management experience required to oversee our network of third-party suppliers and to manage manufacturing, quality data and information for regulatory compliance purposes.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85"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NOF Manufacturing and Supply Agreement Related to TransCon hGH</w:t>
      </w:r>
    </w:p>
    <w:p>
      <w:pPr>
        <w:spacing w:after="0" w:line="116" w:lineRule="exact"/>
        <w:rPr>
          <w:sz w:val="20"/>
          <w:szCs w:val="20"/>
          <w:color w:val="auto"/>
        </w:rPr>
      </w:pPr>
    </w:p>
    <w:p>
      <w:pPr>
        <w:ind w:left="140" w:right="180"/>
        <w:spacing w:after="0" w:line="262" w:lineRule="auto"/>
        <w:rPr>
          <w:sz w:val="20"/>
          <w:szCs w:val="20"/>
          <w:color w:val="auto"/>
        </w:rPr>
      </w:pPr>
      <w:r>
        <w:rPr>
          <w:rFonts w:ascii="Arial" w:cs="Arial" w:eastAsia="Arial" w:hAnsi="Arial"/>
          <w:sz w:val="18"/>
          <w:szCs w:val="18"/>
          <w:color w:val="auto"/>
        </w:rPr>
        <w:t>On December 21, 2017, we entered into a multi-year Manufacturing and Supply Agreement (the “NOF Agreement”) with NOF Corporation (“NOF”). Under the NOF Agreement, NOF has agreed to manufacture and supply the mPEG Linker (the “NOF Product”) for our TransCon hGH product candidate. We have agreed to purchase certain quantities of NOF Product.</w:t>
      </w:r>
    </w:p>
    <w:p>
      <w:pPr>
        <w:spacing w:after="0" w:line="183" w:lineRule="exact"/>
        <w:rPr>
          <w:sz w:val="20"/>
          <w:szCs w:val="20"/>
          <w:color w:val="auto"/>
        </w:rPr>
      </w:pPr>
    </w:p>
    <w:p>
      <w:pPr>
        <w:ind w:left="140" w:right="100"/>
        <w:spacing w:after="0" w:line="270" w:lineRule="auto"/>
        <w:rPr>
          <w:sz w:val="20"/>
          <w:szCs w:val="20"/>
          <w:color w:val="auto"/>
        </w:rPr>
      </w:pPr>
      <w:r>
        <w:rPr>
          <w:rFonts w:ascii="Arial" w:cs="Arial" w:eastAsia="Arial" w:hAnsi="Arial"/>
          <w:sz w:val="17"/>
          <w:szCs w:val="17"/>
          <w:color w:val="auto"/>
        </w:rPr>
        <w:t>The NOF Agreement is effective as of December 21, 2017. The initial term of the NOF Agreement terminates on December 31, 2025 unless earlier terminated. After the expiration of the initial term of the NOF Agreement, the NOF Agreement continues until it is terminated. The NOF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Agreement with one year written notice, or (iv) by mutual agreement of the parties. In addition, the NOF Agreement may be terminated by us in the event of a change of 50% or more of the direct or indirect ownership of NOF or manufacturing facilities relevant to the NOF Agreement, if such ownership goes to a third-party materially involved in the treatment of growth related disorders in humans. The NOF Agreement may also be terminated by either party for a continuing event of force majeure.</w:t>
      </w:r>
    </w:p>
    <w:p>
      <w:pPr>
        <w:spacing w:after="0" w:line="178" w:lineRule="exact"/>
        <w:rPr>
          <w:sz w:val="20"/>
          <w:szCs w:val="20"/>
          <w:color w:val="auto"/>
        </w:rPr>
      </w:pPr>
    </w:p>
    <w:p>
      <w:pPr>
        <w:ind w:left="140" w:right="260"/>
        <w:spacing w:after="0" w:line="262" w:lineRule="auto"/>
        <w:rPr>
          <w:sz w:val="20"/>
          <w:szCs w:val="20"/>
          <w:color w:val="auto"/>
        </w:rPr>
      </w:pPr>
      <w:r>
        <w:rPr>
          <w:rFonts w:ascii="Arial" w:cs="Arial" w:eastAsia="Arial" w:hAnsi="Arial"/>
          <w:sz w:val="18"/>
          <w:szCs w:val="18"/>
          <w:color w:val="auto"/>
        </w:rPr>
        <w:t>The NOF Agreement contains, among other provisions customary representations and warranties by us and NOF, grants certain limited license rights related to either party’s intellectual property in connection with the manufacturing and supply of NOF Product, provides for certain indemnification rights in favor of both parties and customary confidentiality provisions.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NOF Manufacturing and Supply Agreement Related to TransCon PTH</w:t>
      </w:r>
    </w:p>
    <w:p>
      <w:pPr>
        <w:spacing w:after="0" w:line="116" w:lineRule="exact"/>
        <w:rPr>
          <w:sz w:val="20"/>
          <w:szCs w:val="20"/>
          <w:color w:val="auto"/>
        </w:rPr>
      </w:pPr>
    </w:p>
    <w:p>
      <w:pPr>
        <w:ind w:left="140" w:right="80"/>
        <w:spacing w:after="0" w:line="256" w:lineRule="auto"/>
        <w:rPr>
          <w:sz w:val="20"/>
          <w:szCs w:val="20"/>
          <w:color w:val="auto"/>
        </w:rPr>
      </w:pPr>
      <w:r>
        <w:rPr>
          <w:rFonts w:ascii="Arial" w:cs="Arial" w:eastAsia="Arial" w:hAnsi="Arial"/>
          <w:sz w:val="18"/>
          <w:szCs w:val="18"/>
          <w:color w:val="auto"/>
        </w:rPr>
        <w:t>On August 31, 2020, we entered into a multi-year Manufacturing and Supply Agreement (the “NOF PTH Agreement”) with NOF. Under the NOF PTH Agreement, NOF has agreed to manufacture and supply the PEG maleimide (the “NOF Product”) for our TransCon PTH product candidate. We have agreed to purchase certain quantities of NOF Product. We may purchase NOF Product from other manufacturers and are not obligated to purchase NOF Product from NOF, other than certain quantities that have been forecasted by us in accordance with a mandatory rolling forecast that we must deliver to NOF from time to time.</w:t>
      </w:r>
    </w:p>
    <w:p>
      <w:pPr>
        <w:spacing w:after="0" w:line="188" w:lineRule="exact"/>
        <w:rPr>
          <w:sz w:val="20"/>
          <w:szCs w:val="20"/>
          <w:color w:val="auto"/>
        </w:rPr>
      </w:pPr>
    </w:p>
    <w:p>
      <w:pPr>
        <w:ind w:left="140" w:right="60"/>
        <w:spacing w:after="0" w:line="268" w:lineRule="auto"/>
        <w:rPr>
          <w:sz w:val="20"/>
          <w:szCs w:val="20"/>
          <w:color w:val="auto"/>
        </w:rPr>
      </w:pPr>
      <w:r>
        <w:rPr>
          <w:rFonts w:ascii="Arial" w:cs="Arial" w:eastAsia="Arial" w:hAnsi="Arial"/>
          <w:sz w:val="17"/>
          <w:szCs w:val="17"/>
          <w:color w:val="auto"/>
        </w:rPr>
        <w:t>The NOF PTH Agreement is effective as of August 31, 2020. The initial term of the NOF PTH Agreement terminates on December 31, 2027 unless earlier terminated. After the expiration of the initial term of the NOF PTH Agreement, the NOF PTH Agreement continues until it is terminated. The NOF PTH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PTH Agreement with advance written notice, (iv) by NOF after the initial term of the NOF PTH Agreement with advance written notice, (v) by mutual agreement of the parties, or (vi) by us in the event of a change of fifty percent or more of the direct or indirect ownership of NOF or manufacturing facilities relevant to the NOF PTH Agreement, if such ownership goes to any of a pre-defined list of third parties. In addition the NOF PTH Agreement may be terminated by NOF in the event of a change of fifty percent or more of the direct or indirect ownership of Ascendis, if such ownership goes to any of a pre-defined list of third parties. The NOF PTH Agreement may also be terminated by either party for a continuing event of force majeure.</w:t>
      </w:r>
    </w:p>
    <w:p>
      <w:pPr>
        <w:spacing w:after="0" w:line="185" w:lineRule="exact"/>
        <w:rPr>
          <w:sz w:val="20"/>
          <w:szCs w:val="20"/>
          <w:color w:val="auto"/>
        </w:rPr>
      </w:pPr>
    </w:p>
    <w:p>
      <w:pPr>
        <w:ind w:left="140" w:right="100"/>
        <w:spacing w:after="0" w:line="262" w:lineRule="auto"/>
        <w:rPr>
          <w:sz w:val="20"/>
          <w:szCs w:val="20"/>
          <w:color w:val="auto"/>
        </w:rPr>
      </w:pPr>
      <w:r>
        <w:rPr>
          <w:rFonts w:ascii="Arial" w:cs="Arial" w:eastAsia="Arial" w:hAnsi="Arial"/>
          <w:sz w:val="18"/>
          <w:szCs w:val="18"/>
          <w:color w:val="auto"/>
        </w:rPr>
        <w:t>The NOF PTH Agreement contains, among other provisions, customary representations and warranties by us and NOF, grants of certain limited license rights related to either party’s intellectual property in connection with the manufacturing and supply of NOF Product, certain indemnification rights in favor of both parties and customary confidentiality provisions.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Carbogen Manufacturing and Supply Agreement Related to TransCon hGH</w:t>
      </w:r>
    </w:p>
    <w:p>
      <w:pPr>
        <w:spacing w:after="0" w:line="116"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On October 26, 2018, we entered into a multi-year Manufacturing and Supply Agreement (the “Carbogen Agreement”) with Carbogen Amcis AG (“Carbogen”). Under the Carbogen Agreement, Carbogen has agreed to manufacture and supply the C13 Linker (the “Carbogen Product”) for our TransCon hGH product candidate. We may purchase C13 Linker from other manufacturers and are not obligated to purchase Carbogen Product from Carbogen, other than certain quantities that have been forecasted by us in accordance with a mandatory rolling forecast that we must deliver to Carbogen from time to time.</w:t>
      </w:r>
    </w:p>
    <w:p>
      <w:pPr>
        <w:spacing w:after="0" w:line="188" w:lineRule="exact"/>
        <w:rPr>
          <w:sz w:val="20"/>
          <w:szCs w:val="20"/>
          <w:color w:val="auto"/>
        </w:rPr>
      </w:pPr>
    </w:p>
    <w:p>
      <w:pPr>
        <w:ind w:left="140" w:right="160"/>
        <w:spacing w:after="0" w:line="254" w:lineRule="auto"/>
        <w:rPr>
          <w:sz w:val="20"/>
          <w:szCs w:val="20"/>
          <w:color w:val="auto"/>
        </w:rPr>
      </w:pPr>
      <w:r>
        <w:rPr>
          <w:rFonts w:ascii="Arial" w:cs="Arial" w:eastAsia="Arial" w:hAnsi="Arial"/>
          <w:sz w:val="18"/>
          <w:szCs w:val="18"/>
          <w:color w:val="auto"/>
        </w:rPr>
        <w:t>The Carbogen Agreement is effective as of October 26, 2018. The initial term of the Carbogen Agreement expires five years after the first commercial launch of our TransCon hGH product candidate (the “Carbogen Initial Term”) unless earlier terminated. After the expiration of the Carbogen Initial Term of the Carbogen Agreement, the Carbogen Agreement continues until it is terminated. The Carbogen Agreement may be terminated (i) by either party for the other party’s assignment of the Carbogen Agreement for the benefit of creditors, insolvency, bankruptcy, dissolution, or taking of any action under an act for relief from creditors, (ii) by either party for the other party’s uncured material breach, (iii) by us after the Carbogen Initial Term of the Carbogen Agreement with one year written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85"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60"/>
        <w:spacing w:after="0" w:line="258" w:lineRule="auto"/>
        <w:rPr>
          <w:sz w:val="20"/>
          <w:szCs w:val="20"/>
          <w:color w:val="auto"/>
        </w:rPr>
      </w:pPr>
      <w:r>
        <w:rPr>
          <w:rFonts w:ascii="Arial" w:cs="Arial" w:eastAsia="Arial" w:hAnsi="Arial"/>
          <w:sz w:val="18"/>
          <w:szCs w:val="18"/>
          <w:color w:val="auto"/>
        </w:rPr>
        <w:t>notice, (iv) by Carbogen after the Carbogen Initial Term of the Carbogen Agreement with four years written notice or (v) by mutual agreement of the parties. In addition, the Carbogen Agreement may be terminated by us in the event of a change of 50% or more of the direct or indirect ownership of Carbogen, if such ownership goes to a third-party materially involved in the treatment of growth-related disorders in humans. The Carbogen Agreement may also be terminated by either party for a continuing event of force majeure.</w:t>
      </w:r>
    </w:p>
    <w:p>
      <w:pPr>
        <w:spacing w:after="0" w:line="186" w:lineRule="exact"/>
        <w:rPr>
          <w:sz w:val="20"/>
          <w:szCs w:val="20"/>
          <w:color w:val="auto"/>
        </w:rPr>
      </w:pPr>
    </w:p>
    <w:p>
      <w:pPr>
        <w:jc w:val="both"/>
        <w:ind w:left="140" w:right="640"/>
        <w:spacing w:after="0" w:line="262" w:lineRule="auto"/>
        <w:rPr>
          <w:sz w:val="20"/>
          <w:szCs w:val="20"/>
          <w:color w:val="auto"/>
        </w:rPr>
      </w:pPr>
      <w:r>
        <w:rPr>
          <w:rFonts w:ascii="Arial" w:cs="Arial" w:eastAsia="Arial" w:hAnsi="Arial"/>
          <w:sz w:val="18"/>
          <w:szCs w:val="18"/>
          <w:color w:val="auto"/>
        </w:rPr>
        <w:t>The Carbogen Agreement contains, among other provisions, certain representations and warranties by us and Carbogen, grants certain rights to intellectual property relating to, or inventions made in connection with, the manufacturing and supply of Carbogen Product, provides for certain indemnification rights in favor of both parties and includes confidentiality provisions.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Carbogen Manufacturing and Supply Agreement Related to TransCon PTH</w:t>
      </w:r>
    </w:p>
    <w:p>
      <w:pPr>
        <w:spacing w:after="0" w:line="116" w:lineRule="exact"/>
        <w:rPr>
          <w:sz w:val="20"/>
          <w:szCs w:val="20"/>
          <w:color w:val="auto"/>
        </w:rPr>
      </w:pPr>
    </w:p>
    <w:p>
      <w:pPr>
        <w:ind w:left="140" w:right="80"/>
        <w:spacing w:after="0" w:line="256" w:lineRule="auto"/>
        <w:rPr>
          <w:sz w:val="20"/>
          <w:szCs w:val="20"/>
          <w:color w:val="auto"/>
        </w:rPr>
      </w:pPr>
      <w:r>
        <w:rPr>
          <w:rFonts w:ascii="Arial" w:cs="Arial" w:eastAsia="Arial" w:hAnsi="Arial"/>
          <w:sz w:val="18"/>
          <w:szCs w:val="18"/>
          <w:color w:val="auto"/>
        </w:rPr>
        <w:t>On May 27, 2021, we entered into a multi-year Manufacturing and Supply Agreement (the “Carbogen PTH Agreement”) with Carbogen Amcis AG (“Carbogen”). Under the Carbogen PTH Agreement, Carbogen has agreed to manufacture and supply PTH Linker (the “Carbogen PTH Product”) for our TransCon PTH product candidate. We may purchase Carbogen PTH Product from other manufacturers and are not obligated to purchase Carbogen PTH Product from Carbogen, other than certain quantities that have been forecasted by us in accordance with a mandatory rolling forecast that we must deliver to Carbogen from time to time.</w:t>
      </w:r>
    </w:p>
    <w:p>
      <w:pPr>
        <w:spacing w:after="0" w:line="188" w:lineRule="exact"/>
        <w:rPr>
          <w:sz w:val="20"/>
          <w:szCs w:val="20"/>
          <w:color w:val="auto"/>
        </w:rPr>
      </w:pPr>
    </w:p>
    <w:p>
      <w:pPr>
        <w:ind w:left="140" w:right="80"/>
        <w:spacing w:after="0" w:line="287" w:lineRule="auto"/>
        <w:rPr>
          <w:sz w:val="20"/>
          <w:szCs w:val="20"/>
          <w:color w:val="auto"/>
        </w:rPr>
      </w:pPr>
      <w:r>
        <w:rPr>
          <w:rFonts w:ascii="Arial" w:cs="Arial" w:eastAsia="Arial" w:hAnsi="Arial"/>
          <w:sz w:val="16"/>
          <w:szCs w:val="16"/>
          <w:color w:val="auto"/>
        </w:rPr>
        <w:t>The Carbogen PTH Agreement is effective as of May 27, 2021. The initial term of the Carbogen PTH Agreement expires five years after the first commercial launch of our TransCon PTH product candidate (the “Carbogen PTH Initial Term”) unless earlier terminated. After the expiration of the Carbogen PTH Initial Term of the Carbogen PTH Agreement, the Carbogen PTH Agreement continues until it is terminated. The Carbogen PTH Agreement may be terminated (i) by either party for the other party’s assignment of the Carbogen PTH Agreement for the benefit of creditors, insolvency, bankruptcy, dissolution, or taking of any action under an act for relief from creditors, (ii) by either party for the other party’s uncured material breach, (iii) by us after the Carbogen PTH Initial Term with one year written notice, (iv) by Carbogen after the Carbogen PTH Initial Term of the Carbogen PTH Agreement with four years written notice (subject to Carbogen’s obligation to actively assist in technology transfer to an alternate supplier) or (v) by mutual agreement of the parties. In addition, the Carbogen PTH Agreement may be terminated by us in the event of a change of fifty percent or more of the direct or indirect ownership of Carbogen, if such ownership goes to a third-party materially involved in the treatment of growth-related disorders in humans. The Carbogen PTH Agreement may also be terminated by either party for a continuing event of force majeure.</w:t>
      </w:r>
    </w:p>
    <w:p>
      <w:pPr>
        <w:spacing w:after="0" w:line="167"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The Carbogen PTH Agreement contains, among other provisions, certain representations and warranties by us and Carbogen, grants of certain rights to intellectual property relating to, or inventions made in connection with, the manufacturing and supply of Carbogen PTH Product, certain indemnification rights in favor of both parties and confidentiality provisions.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Philips Medisize (formerly B&amp;O Medicom and Medicom Innovation Partner)</w:t>
      </w:r>
    </w:p>
    <w:p>
      <w:pPr>
        <w:spacing w:after="0" w:line="116" w:lineRule="exact"/>
        <w:rPr>
          <w:sz w:val="20"/>
          <w:szCs w:val="20"/>
          <w:color w:val="auto"/>
        </w:rPr>
      </w:pPr>
    </w:p>
    <w:p>
      <w:pPr>
        <w:ind w:left="140" w:right="220"/>
        <w:spacing w:after="0" w:line="278" w:lineRule="auto"/>
        <w:rPr>
          <w:sz w:val="20"/>
          <w:szCs w:val="20"/>
          <w:color w:val="auto"/>
        </w:rPr>
      </w:pPr>
      <w:r>
        <w:rPr>
          <w:rFonts w:ascii="Arial" w:cs="Arial" w:eastAsia="Arial" w:hAnsi="Arial"/>
          <w:sz w:val="17"/>
          <w:szCs w:val="17"/>
          <w:color w:val="auto"/>
        </w:rPr>
        <w:t>On January 12, 2017, we entered into a multi-year Manufacturing and Supply Agreement (the “Medicom Agreement”) with Medicom Innovation Partner (“Medicom”). Under the Medicom Agreement, Medicom has agreed to exclusively manufacture and supply the auto injector injection device (the “Medicom Product”) for our TransCon hGH product candidate. We are obligated to purchase certain quantities that have been forecasted by us in accordance with a mandatory rolling forecast that we must deliver to Medicom from time to time.</w:t>
      </w:r>
    </w:p>
    <w:p>
      <w:pPr>
        <w:spacing w:after="0" w:line="170"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color w:val="auto"/>
        </w:rPr>
        <w:t>The Medicom Agreement is effective as of January 12, 2017. The term of the Medicom Agreement terminates on June 30, 2025 (“Initial Term”) unless earlier terminated or unless extended unilaterally by us, with notice of extension to be given no later than June 30, 2024, by five years until June 30, 2030 (“Extended Term”) after which date it shall continue indefinitely unless terminated. The Medicom Agreement may be terminated (i) by either party for the other party’s bankruptcy or insolvency-related events, (ii) by either party for the other party’s uncured material breach, (iii) by us by not extending the Initial Term into the Extended Term, (iv) by Medicom after the Extended Term of the Medicom Agreement with two year’s advance written notice or by us after the Extended Term of the Medicom Agreement with one year’s advance notice, or (v) by Medicom if we purchase less than an agreed volume of the Medicom Product (provided that we may avoid such termination by paying Medicom’s lost profits up to such agreed minimum volume). In addition, the Medicom Agreement may be terminated by us in the event of a change of control of Medicom, if such control goes to a third-party materially involved in the treatment of certain defined endocrinology diseases in humans. In all events of termination Medicom is obligated to support a tech transfer of manufacture of Medicom Product to an alternate supplier.</w:t>
      </w:r>
    </w:p>
    <w:p>
      <w:pPr>
        <w:spacing w:after="0" w:line="185" w:lineRule="exact"/>
        <w:rPr>
          <w:sz w:val="20"/>
          <w:szCs w:val="20"/>
          <w:color w:val="auto"/>
        </w:rPr>
      </w:pPr>
    </w:p>
    <w:p>
      <w:pPr>
        <w:ind w:left="140" w:right="300"/>
        <w:spacing w:after="0" w:line="262" w:lineRule="auto"/>
        <w:rPr>
          <w:sz w:val="20"/>
          <w:szCs w:val="20"/>
          <w:color w:val="auto"/>
        </w:rPr>
      </w:pPr>
      <w:r>
        <w:rPr>
          <w:rFonts w:ascii="Arial" w:cs="Arial" w:eastAsia="Arial" w:hAnsi="Arial"/>
          <w:sz w:val="18"/>
          <w:szCs w:val="18"/>
          <w:color w:val="auto"/>
        </w:rPr>
        <w:t>The Medicom Agreement contains, among other provisions certain representations and warranties by us and Medicom, grants certain limited license rights related to either party’s intellectual property in connection with the manufacturing and supply of Medicom Product, provides for certain indemnification rights in favor of both parties and includes confidentiality provisions.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85"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Vetter Pharma International GmbH</w:t>
      </w:r>
    </w:p>
    <w:p>
      <w:pPr>
        <w:spacing w:after="0" w:line="116" w:lineRule="exact"/>
        <w:rPr>
          <w:sz w:val="20"/>
          <w:szCs w:val="20"/>
          <w:color w:val="auto"/>
        </w:rPr>
      </w:pPr>
    </w:p>
    <w:p>
      <w:pPr>
        <w:jc w:val="both"/>
        <w:ind w:left="140" w:right="200"/>
        <w:spacing w:after="0" w:line="258" w:lineRule="auto"/>
        <w:rPr>
          <w:sz w:val="20"/>
          <w:szCs w:val="20"/>
          <w:color w:val="auto"/>
        </w:rPr>
      </w:pPr>
      <w:r>
        <w:rPr>
          <w:rFonts w:ascii="Arial" w:cs="Arial" w:eastAsia="Arial" w:hAnsi="Arial"/>
          <w:sz w:val="18"/>
          <w:szCs w:val="18"/>
          <w:color w:val="auto"/>
        </w:rPr>
        <w:t>On December 14, 2018, we entered into a multi-year Supply Agreement (the “Vetter Agreement”) with Vetter Pharma International (“Vetter”). Under the Vetter Agreement, Vetter has agreed to manufacture and fill-and-finish drug product in dual-chamber cartridges (the “Ascendis Product”) for our TransCon hGH product candidate. Vetter has agreed to supply in accordance with a long-term forecast in addition to a rolling forecast with a binding part that we must deliver to Vetter from time to time.</w:t>
      </w:r>
    </w:p>
    <w:p>
      <w:pPr>
        <w:spacing w:after="0" w:line="186" w:lineRule="exact"/>
        <w:rPr>
          <w:sz w:val="20"/>
          <w:szCs w:val="20"/>
          <w:color w:val="auto"/>
        </w:rPr>
      </w:pPr>
    </w:p>
    <w:p>
      <w:pPr>
        <w:ind w:left="140"/>
        <w:spacing w:after="0" w:line="295" w:lineRule="auto"/>
        <w:rPr>
          <w:sz w:val="20"/>
          <w:szCs w:val="20"/>
          <w:color w:val="auto"/>
        </w:rPr>
      </w:pPr>
      <w:r>
        <w:rPr>
          <w:rFonts w:ascii="Arial" w:cs="Arial" w:eastAsia="Arial" w:hAnsi="Arial"/>
          <w:sz w:val="16"/>
          <w:szCs w:val="16"/>
          <w:color w:val="auto"/>
        </w:rPr>
        <w:t>The Vetter Agreement is effective as of January 1, 2019. The term of the Vetter Agreement expires on the five-year anniversary of the date of first regulatory approval of the TransCon hGH product (the “Initial Term”) after which term it shall be automatically renewed for subsequent two-year terms unless terminated. The Vetter Agreement may be terminated (i) by either party for the other party’s uncured material breach, including certain enumerated events constituting material breach such as bankruptcy or insolvency-related events, (ii) by us with two years’ notice, with effect no earlier than two years after expiry of the Initial Term or (iii) by either party if the other party is taken over by our or a Vetter competitor, as applicable.</w:t>
      </w:r>
    </w:p>
    <w:p>
      <w:pPr>
        <w:spacing w:after="0" w:line="161" w:lineRule="exact"/>
        <w:rPr>
          <w:sz w:val="20"/>
          <w:szCs w:val="20"/>
          <w:color w:val="auto"/>
        </w:rPr>
      </w:pPr>
    </w:p>
    <w:p>
      <w:pPr>
        <w:jc w:val="both"/>
        <w:ind w:left="140" w:right="100"/>
        <w:spacing w:after="0" w:line="262" w:lineRule="auto"/>
        <w:rPr>
          <w:sz w:val="20"/>
          <w:szCs w:val="20"/>
          <w:color w:val="auto"/>
        </w:rPr>
      </w:pPr>
      <w:r>
        <w:rPr>
          <w:rFonts w:ascii="Arial" w:cs="Arial" w:eastAsia="Arial" w:hAnsi="Arial"/>
          <w:sz w:val="18"/>
          <w:szCs w:val="18"/>
          <w:color w:val="auto"/>
        </w:rPr>
        <w:t>The Vetter Agreement contains, among other provisions, certain representations and warranties by us and Vetter, grants certain limited license rights in connection with Vetter’s manufacturing and supply, and our sale, distribution and other use, of Ascendis Product, provides for certain indemnification rights in favor of both parties and includes confidentiality provisions.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Fujifilm Commercial Supply Agreement</w:t>
      </w:r>
    </w:p>
    <w:p>
      <w:pPr>
        <w:spacing w:after="0" w:line="116" w:lineRule="exact"/>
        <w:rPr>
          <w:sz w:val="20"/>
          <w:szCs w:val="20"/>
          <w:color w:val="auto"/>
        </w:rPr>
      </w:pPr>
    </w:p>
    <w:p>
      <w:pPr>
        <w:ind w:left="140" w:right="100"/>
        <w:spacing w:after="0" w:line="278" w:lineRule="auto"/>
        <w:rPr>
          <w:sz w:val="20"/>
          <w:szCs w:val="20"/>
          <w:color w:val="auto"/>
        </w:rPr>
      </w:pPr>
      <w:r>
        <w:rPr>
          <w:rFonts w:ascii="Arial" w:cs="Arial" w:eastAsia="Arial" w:hAnsi="Arial"/>
          <w:sz w:val="17"/>
          <w:szCs w:val="17"/>
          <w:color w:val="auto"/>
        </w:rPr>
        <w:t>On January 9, 2019, we entered into a multi-year Commercial Supply Agreement (the “Fujifilm Agreement”) with Fujifilm Diosynth Biotechnologies UK Ltd. (“Fujifilm”). Under the Fujifilm Agreement, Fujifilm has agreed to manufacture and supply TransCon hGH Drug Substance (the “Fujifilm Product”) for our TransCon hGH product candidate. We may purchase TransCon hGH Drug Substance from other manufacturers and are not obligated to purchase Fujifilm Product from Fujifilm, other than a total of six batches each year in 2020 and 2021.</w:t>
      </w:r>
    </w:p>
    <w:p>
      <w:pPr>
        <w:spacing w:after="0" w:line="170" w:lineRule="exact"/>
        <w:rPr>
          <w:sz w:val="20"/>
          <w:szCs w:val="20"/>
          <w:color w:val="auto"/>
        </w:rPr>
      </w:pPr>
    </w:p>
    <w:p>
      <w:pPr>
        <w:ind w:left="140" w:right="20"/>
        <w:spacing w:after="0" w:line="269" w:lineRule="auto"/>
        <w:rPr>
          <w:sz w:val="20"/>
          <w:szCs w:val="20"/>
          <w:color w:val="auto"/>
        </w:rPr>
      </w:pPr>
      <w:r>
        <w:rPr>
          <w:rFonts w:ascii="Arial" w:cs="Arial" w:eastAsia="Arial" w:hAnsi="Arial"/>
          <w:sz w:val="17"/>
          <w:szCs w:val="17"/>
          <w:color w:val="auto"/>
        </w:rPr>
        <w:t>The Fujifilm Agreement is effective as of January 9, 2019. The initial term of the Fujifilm Agreement expires on December 31 in the year of the five-year anniversary of the first commercial sale of our TransCon hGH product candidate (the “Fujifilm Initial Term”) unless earlier terminated. After the expiration of the Fujifilm Initial Term of the Fujifilm Agreement, the Fujifilm Agreement continues until it is terminated. The Fujifilm Agreement may be terminated (i) by either party for the other party’s bankruptcy or insolvency-related events, (ii) by either party for the other party’s uncured material breach or material breach that is not capable of remedy, (iii) by us after the Fujifilm Initial Term of the Fujifilm Agreement with two years written notice, or (iv) by Fujifilm after the Fujifilm Initial Term of the Fujifilm Agreement with five years written notice. We are entitled to terminate the Fujifilm Agreement with regards to the manufacture of recombinant hGH after one year following launch with two years written notice. In addition, the Fujifilm Agreement may be terminated by us in the event of a change in control of Fujifilm, where the new controlling entity is our competitor. The Fujifilm Agreement may also be terminated by either party for a continuing event of force majeure.</w:t>
      </w:r>
    </w:p>
    <w:p>
      <w:pPr>
        <w:spacing w:after="0" w:line="181"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The Fujifilm Agreement contains, among other provisions, certain warranties by us and Fujifilm, grants certain limited license rights related to either party’s intellectual property in connection with the manufacturing and supply of Fujifilm Product, provides for certain indemnification rights in favor of both parties and includes confidentiality provisions.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Lonza Tech Transfer and Manufacturing Agreement</w:t>
      </w:r>
    </w:p>
    <w:p>
      <w:pPr>
        <w:spacing w:after="0" w:line="116" w:lineRule="exact"/>
        <w:rPr>
          <w:sz w:val="20"/>
          <w:szCs w:val="20"/>
          <w:color w:val="auto"/>
        </w:rPr>
      </w:pPr>
    </w:p>
    <w:p>
      <w:pPr>
        <w:ind w:left="140" w:right="20"/>
        <w:spacing w:after="0" w:line="258" w:lineRule="auto"/>
        <w:rPr>
          <w:sz w:val="20"/>
          <w:szCs w:val="20"/>
          <w:color w:val="auto"/>
        </w:rPr>
      </w:pPr>
      <w:r>
        <w:rPr>
          <w:rFonts w:ascii="Arial" w:cs="Arial" w:eastAsia="Arial" w:hAnsi="Arial"/>
          <w:sz w:val="18"/>
          <w:szCs w:val="18"/>
          <w:color w:val="auto"/>
        </w:rPr>
        <w:t>On December 12, 2019, we entered into a multi-year commercial supply agreement (the “Lonza Agreement”) with Lonza Ltd (“Lonza”). Under the Lonza Agreement, Lonza has agreed to manufacture and supply drug substance for our TransCon hGH product candidate (the “TransCon hGH Drug Substance”). Starting in 2023, we are obligated to purchase a certain minimum annual quantity of TransCon hGH Drug Substance from Lonza. We may also purchase TransCon hGH Drug Substance from other manufacturers.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Lonza Agreement secures us a certain capacity of TransCon hGH Drug Substance per year.</w:t>
      </w:r>
    </w:p>
    <w:p>
      <w:pPr>
        <w:spacing w:after="0" w:line="223" w:lineRule="exact"/>
        <w:rPr>
          <w:sz w:val="20"/>
          <w:szCs w:val="20"/>
          <w:color w:val="auto"/>
        </w:rPr>
      </w:pPr>
    </w:p>
    <w:p>
      <w:pPr>
        <w:ind w:left="140" w:right="100"/>
        <w:spacing w:after="0" w:line="271" w:lineRule="auto"/>
        <w:rPr>
          <w:sz w:val="20"/>
          <w:szCs w:val="20"/>
          <w:color w:val="auto"/>
        </w:rPr>
      </w:pPr>
      <w:r>
        <w:rPr>
          <w:rFonts w:ascii="Arial" w:cs="Arial" w:eastAsia="Arial" w:hAnsi="Arial"/>
          <w:sz w:val="17"/>
          <w:szCs w:val="17"/>
          <w:color w:val="auto"/>
        </w:rPr>
        <w:t>The Lonza Agreement is effective as of December 12, 2019. The initial term of the Lonza Agreement expires seven years after first approval of a drug product manufactured using the TransCon hGH Drug Substance (the “Lonza Initial Term”) unless earlier terminated. During the first five years of the Lonza Initial Term, we may decide, in our sole discretion, to extend the term of the Lonza Agreement by two years. The Lonza Agreement may be terminated (i) by either party for the other party’s bankruptcy or insolvency-related events, (ii) by either party for the other party’s uncured material breach, (iii) by either party for a continuing event of force majeure, (iv) by either party upon written notice after a specified time period in the event of our change of control, and (v) by either party in the event of the occurrence of certain conditions related to the manufacturing of the TransCon hGH Drug Substance as more fully described in the Lonza Agreement.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85"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The Lonza Agreement contains, among other provisions, certain warranties by us and Lonza, grants certain limited license rights related to either party’s intellectual property in connection with the manufacturing and supply of TransCon hGH Drug Substance, provides for certain indemnification rights in favour of both parties and includes confidentiality provisions.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Sharp Corporation Packaging and Supply Agreement</w:t>
      </w:r>
    </w:p>
    <w:p>
      <w:pPr>
        <w:spacing w:after="0" w:line="116" w:lineRule="exact"/>
        <w:rPr>
          <w:sz w:val="20"/>
          <w:szCs w:val="20"/>
          <w:color w:val="auto"/>
        </w:rPr>
      </w:pPr>
    </w:p>
    <w:p>
      <w:pPr>
        <w:ind w:left="140" w:right="140"/>
        <w:spacing w:after="0" w:line="256" w:lineRule="auto"/>
        <w:rPr>
          <w:sz w:val="20"/>
          <w:szCs w:val="20"/>
          <w:color w:val="auto"/>
        </w:rPr>
      </w:pPr>
      <w:r>
        <w:rPr>
          <w:rFonts w:ascii="Arial" w:cs="Arial" w:eastAsia="Arial" w:hAnsi="Arial"/>
          <w:sz w:val="18"/>
          <w:szCs w:val="18"/>
          <w:color w:val="auto"/>
        </w:rPr>
        <w:t>On December 1, 2019 we entered into a multi-year packaging agreement (the “Sharp Agreement”) with Sharp Corporation (“Sharp”). Under the Sharp Agreement, Sharp will package, assemble, and label TransCon hGH for commercial use in certain territories, including the United States and the European Union. We are non-exclusive to Sharp and may engage other manufacturers to package, assemble, and label TransCon hGH but we are obligated to meet certain minimum spend requirements for TransCon hGH during the first 12-month period after first shipment of TransCon hGH for commercial sale after regulatory approval thereof.</w:t>
      </w:r>
    </w:p>
    <w:p>
      <w:pPr>
        <w:spacing w:after="0" w:line="188" w:lineRule="exact"/>
        <w:rPr>
          <w:sz w:val="20"/>
          <w:szCs w:val="20"/>
          <w:color w:val="auto"/>
        </w:rPr>
      </w:pPr>
    </w:p>
    <w:p>
      <w:pPr>
        <w:ind w:left="140" w:right="380"/>
        <w:spacing w:after="0" w:line="256" w:lineRule="auto"/>
        <w:rPr>
          <w:sz w:val="20"/>
          <w:szCs w:val="20"/>
          <w:color w:val="auto"/>
        </w:rPr>
      </w:pPr>
      <w:r>
        <w:rPr>
          <w:rFonts w:ascii="Arial" w:cs="Arial" w:eastAsia="Arial" w:hAnsi="Arial"/>
          <w:sz w:val="18"/>
          <w:szCs w:val="18"/>
          <w:color w:val="auto"/>
        </w:rPr>
        <w:t>The Sharp Agreement is effective as of December 1, 2019. The initial term of the Sharp Agreement expires on December 31, 2025 and will be automatically extended for additional two-year periods unless earlier terminated. The Sharp Agreement may be terminated (i) by either party upon mutual consent, (ii) by either party for the other party’s uncured material breach, (iii) by either party for the other party’s bankruptcy or insolvency-related events, (iv) by either party for a continuing event of force majeure, (v) by either party after the initial term of the Sharp Agreement has been completed.</w:t>
      </w:r>
    </w:p>
    <w:p>
      <w:pPr>
        <w:spacing w:after="0" w:line="188" w:lineRule="exact"/>
        <w:rPr>
          <w:sz w:val="20"/>
          <w:szCs w:val="20"/>
          <w:color w:val="auto"/>
        </w:rPr>
      </w:pPr>
    </w:p>
    <w:p>
      <w:pPr>
        <w:ind w:left="140" w:right="60"/>
        <w:spacing w:after="0" w:line="275" w:lineRule="auto"/>
        <w:rPr>
          <w:sz w:val="20"/>
          <w:szCs w:val="20"/>
          <w:color w:val="auto"/>
        </w:rPr>
      </w:pPr>
      <w:r>
        <w:rPr>
          <w:rFonts w:ascii="Arial" w:cs="Arial" w:eastAsia="Arial" w:hAnsi="Arial"/>
          <w:sz w:val="18"/>
          <w:szCs w:val="18"/>
          <w:color w:val="auto"/>
        </w:rPr>
        <w:t>The Sharp Agreement contains, among other provisions, certain warranties by Sharp, provides for certain indemnification rights in favor of both parties and includes confidentiality provisions.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Bachem Manufacturing and Supply Agreement</w:t>
      </w:r>
    </w:p>
    <w:p>
      <w:pPr>
        <w:spacing w:after="0" w:line="116" w:lineRule="exact"/>
        <w:rPr>
          <w:sz w:val="20"/>
          <w:szCs w:val="20"/>
          <w:color w:val="auto"/>
        </w:rPr>
      </w:pPr>
    </w:p>
    <w:p>
      <w:pPr>
        <w:ind w:left="140" w:right="60"/>
        <w:spacing w:after="0" w:line="256" w:lineRule="auto"/>
        <w:rPr>
          <w:sz w:val="20"/>
          <w:szCs w:val="20"/>
          <w:color w:val="auto"/>
        </w:rPr>
      </w:pPr>
      <w:r>
        <w:rPr>
          <w:rFonts w:ascii="Arial" w:cs="Arial" w:eastAsia="Arial" w:hAnsi="Arial"/>
          <w:sz w:val="18"/>
          <w:szCs w:val="18"/>
          <w:color w:val="auto"/>
        </w:rPr>
        <w:t>On December 27, 2020, we entered into a multi-year Manufacturing and Supply Agreement (the “Bachem Agreement”) with Bachem AG (“Bachem”). Under the Bachem Agreement, Bachem has agreed to manufacture and supply PTH drug substance (the “Bachem Product”) for our TransCon PTH product candidate. We may purchase Bachem Product from other manufacturers and are not obligated to purchase Bachem Product from Bachem, other than certain quantities that have been forecasted by us in accordance with a mandatory rolling forecast that we must deliver to Bachem from time to time.</w:t>
      </w:r>
    </w:p>
    <w:p>
      <w:pPr>
        <w:spacing w:after="0" w:line="188" w:lineRule="exact"/>
        <w:rPr>
          <w:sz w:val="20"/>
          <w:szCs w:val="20"/>
          <w:color w:val="auto"/>
        </w:rPr>
      </w:pPr>
    </w:p>
    <w:p>
      <w:pPr>
        <w:ind w:left="140" w:right="20"/>
        <w:spacing w:after="0" w:line="289" w:lineRule="auto"/>
        <w:rPr>
          <w:sz w:val="20"/>
          <w:szCs w:val="20"/>
          <w:color w:val="auto"/>
        </w:rPr>
      </w:pPr>
      <w:r>
        <w:rPr>
          <w:rFonts w:ascii="Arial" w:cs="Arial" w:eastAsia="Arial" w:hAnsi="Arial"/>
          <w:sz w:val="16"/>
          <w:szCs w:val="16"/>
          <w:color w:val="auto"/>
        </w:rPr>
        <w:t>The Bachem Agreement is effective as of December 27, 2020. The initial term of the Bachem Agreement expires on December 31, 2027 (the “Bachem Initial Term”) unless earlier terminated. After the expiration of the Bachem Initial Term, provided that market approval is received prior to expiration of the Bachem Initial Term, the Bachem Agreement continues until it is terminated. The Bachem Agreement may be terminated (i) by either party for the other party’s assignment of the Bachem Agreement for the benefit of creditors, insolvency, bankruptcy, dissolution, or taking of any action under an act for relief from creditors, (ii) by either party for the other party’s uncured material breach, (iii) by us after the Bachem Initial Term with two years’ written notice, (iv) by Bachem after the Bachem Initial Term with four years’ written notice or (v) by mutual agreement of the parties. In addition, the Bachem Agreement may be terminated by us prior to expiration of the Bachem Initial Term if Bachem is acquired by a company marketing a competing drug to TransCon PTH. The Bachem Agreement may also be terminated by either party for a continuing event of force majeure.</w:t>
      </w:r>
    </w:p>
    <w:p>
      <w:pPr>
        <w:spacing w:after="0" w:line="165"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The Bachem Agreement contains, among other provisions, certain representations and warranties by us and Bachem, grants of certain rights to intellectual property relating to, or inventions made in connection with, the manufacturing and supply of Bachem Product, certain indemnification rights in favor of both parties and confidentiality provisions.</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Competition</w:t>
      </w:r>
    </w:p>
    <w:p>
      <w:pPr>
        <w:spacing w:after="0" w:line="120" w:lineRule="exact"/>
        <w:rPr>
          <w:sz w:val="20"/>
          <w:szCs w:val="20"/>
          <w:color w:val="auto"/>
        </w:rPr>
      </w:pPr>
    </w:p>
    <w:p>
      <w:pPr>
        <w:ind w:left="140" w:right="20"/>
        <w:spacing w:after="0" w:line="256" w:lineRule="auto"/>
        <w:rPr>
          <w:sz w:val="20"/>
          <w:szCs w:val="20"/>
          <w:color w:val="auto"/>
        </w:rPr>
      </w:pPr>
      <w:r>
        <w:rPr>
          <w:rFonts w:ascii="Arial" w:cs="Arial" w:eastAsia="Arial" w:hAnsi="Arial"/>
          <w:sz w:val="18"/>
          <w:szCs w:val="18"/>
          <w:color w:val="auto"/>
        </w:rPr>
        <w:t>The pharmaceutical industry is very competitive and subject to rapid and significant innovation. Our potential competitors include major multinational pharmaceutical companies, established biotechnology companies, specialty pharmaceutical and generic drug companies, universities, and other research institutions. Many of our competitors have greater resources, as well as larger research and development functions and more experienced marketing and manufacturing organizations. As a result, these companies may obtain regulatory approval more rapidly than we are able to and may be more effective in selling and marketing their products.</w:t>
      </w:r>
    </w:p>
    <w:p>
      <w:pPr>
        <w:spacing w:after="0" w:line="188" w:lineRule="exact"/>
        <w:rPr>
          <w:sz w:val="20"/>
          <w:szCs w:val="20"/>
          <w:color w:val="auto"/>
        </w:rPr>
      </w:pPr>
    </w:p>
    <w:p>
      <w:pPr>
        <w:ind w:left="140" w:right="120"/>
        <w:spacing w:after="0" w:line="295" w:lineRule="auto"/>
        <w:rPr>
          <w:sz w:val="20"/>
          <w:szCs w:val="20"/>
          <w:color w:val="auto"/>
        </w:rPr>
      </w:pPr>
      <w:r>
        <w:rPr>
          <w:rFonts w:ascii="Arial" w:cs="Arial" w:eastAsia="Arial" w:hAnsi="Arial"/>
          <w:sz w:val="16"/>
          <w:szCs w:val="16"/>
          <w:color w:val="auto"/>
        </w:rPr>
        <w:t>Smaller or early-stage companies may also prove to be significant competitors, particularly through collaborative arrangements with large, established companies. Our competitors may succeed in developing, acquiring or licensing technologies and drug products that are superior to, or more effectively marketed than, the product candidates that we are currently developing or that we may develop, which could render our products obsolete and noncompetitive. For additional information regarding the companies that may be competitive with our product candidates currently in development, please see the descriptions of our current product candidates included above under the caption “TransCon Product Candidates.”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85"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295" w:lineRule="auto"/>
        <w:rPr>
          <w:sz w:val="20"/>
          <w:szCs w:val="20"/>
          <w:color w:val="auto"/>
        </w:rPr>
      </w:pPr>
      <w:r>
        <w:rPr>
          <w:rFonts w:ascii="Arial" w:cs="Arial" w:eastAsia="Arial" w:hAnsi="Arial"/>
          <w:sz w:val="16"/>
          <w:szCs w:val="16"/>
          <w:color w:val="auto"/>
        </w:rPr>
        <w:t>In addition, many of our competitors have greater experience than we do in conducting preclinical and clinical trials and obtaining FDA and other regulatory approvals. Accordingly, our competitors may succeed in obtaining FDA or other regulatory approvals for drug candidates more rapidly than we do. Companies that complete clinical trials, obtain required regulatory authority approvals and commence commercial sale of their drugs before their competitors may achieve a significant competitive advantage. Drugs resulting from our research and development efforts or from our joint efforts with collaboration partners therefore may not be commercially competitive with our competitors’ existing products or products under development.</w:t>
      </w:r>
    </w:p>
    <w:p>
      <w:pPr>
        <w:spacing w:after="0" w:line="161" w:lineRule="exact"/>
        <w:rPr>
          <w:sz w:val="20"/>
          <w:szCs w:val="20"/>
          <w:color w:val="auto"/>
        </w:rPr>
      </w:pPr>
    </w:p>
    <w:p>
      <w:pPr>
        <w:ind w:left="140" w:right="60"/>
        <w:spacing w:after="0" w:line="256" w:lineRule="auto"/>
        <w:rPr>
          <w:sz w:val="20"/>
          <w:szCs w:val="20"/>
          <w:color w:val="auto"/>
        </w:rPr>
      </w:pPr>
      <w:r>
        <w:rPr>
          <w:rFonts w:ascii="Arial" w:cs="Arial" w:eastAsia="Arial" w:hAnsi="Arial"/>
          <w:sz w:val="18"/>
          <w:szCs w:val="18"/>
          <w:color w:val="auto"/>
        </w:rPr>
        <w:t>We are aware that other companies are developing or evaluating enhanced drug delivery and sustained release technologies, which may be competitive with our TransCon technologies. In particular, we believe Nektar Therapeutics, OPKO Health, Inc., ProLynx LLC and Serina Therapeutics, Inc. are developing technology platforms in the areas of enhanced drug delivery and reversible linkers that may be competitive with our TransCon technologies. We also expect that technological developments will occur at a rapid rate and that competition is likely to intensify as various enhanced delivery and sustained released technologies may achieve similar advantages.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Intellectual Property</w:t>
      </w:r>
    </w:p>
    <w:p>
      <w:pPr>
        <w:spacing w:after="0" w:line="120" w:lineRule="exact"/>
        <w:rPr>
          <w:sz w:val="20"/>
          <w:szCs w:val="20"/>
          <w:color w:val="auto"/>
        </w:rPr>
      </w:pPr>
    </w:p>
    <w:p>
      <w:pPr>
        <w:ind w:left="140"/>
        <w:spacing w:after="0" w:line="300" w:lineRule="auto"/>
        <w:rPr>
          <w:sz w:val="20"/>
          <w:szCs w:val="20"/>
          <w:color w:val="auto"/>
        </w:rPr>
      </w:pPr>
      <w:r>
        <w:rPr>
          <w:rFonts w:ascii="Arial" w:cs="Arial" w:eastAsia="Arial" w:hAnsi="Arial"/>
          <w:sz w:val="16"/>
          <w:szCs w:val="16"/>
          <w:color w:val="auto"/>
        </w:rPr>
        <w:t xml:space="preserve">We actively seek to protect the intellectual property and proprietary technology that we believe is important to our business, which includes seeking and maintaining patents covering our technology, </w:t>
      </w:r>
      <w:r>
        <w:rPr>
          <w:rFonts w:ascii="Arial" w:cs="Arial" w:eastAsia="Arial" w:hAnsi="Arial"/>
          <w:sz w:val="16"/>
          <w:szCs w:val="16"/>
          <w:i w:val="1"/>
          <w:iCs w:val="1"/>
          <w:color w:val="auto"/>
        </w:rPr>
        <w:t>i.e.</w:t>
      </w:r>
      <w:r>
        <w:rPr>
          <w:rFonts w:ascii="Arial" w:cs="Arial" w:eastAsia="Arial" w:hAnsi="Arial"/>
          <w:sz w:val="16"/>
          <w:szCs w:val="16"/>
          <w:color w:val="auto"/>
        </w:rPr>
        <w:t>, TransCon linkers and carriers, specific lead candidate structures, broad product concepts, proprietary processes and any other inventions that are commercially and/or strategically important to the development of our business. We also rely on trade secrets that may be important to the development of our business and actively seek to protect the confidentiality of such trade secrets.</w:t>
      </w:r>
    </w:p>
    <w:p>
      <w:pPr>
        <w:spacing w:after="0" w:line="156"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color w:val="auto"/>
        </w:rPr>
        <w:t>Our success will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third-parties. For more information, please see “Risk Factors—Risks Related to Our Intellectual Property.”</w:t>
      </w:r>
    </w:p>
    <w:p>
      <w:pPr>
        <w:spacing w:after="0" w:line="186" w:lineRule="exact"/>
        <w:rPr>
          <w:sz w:val="20"/>
          <w:szCs w:val="20"/>
          <w:color w:val="auto"/>
        </w:rPr>
      </w:pPr>
    </w:p>
    <w:p>
      <w:pPr>
        <w:ind w:left="140"/>
        <w:spacing w:after="0" w:line="290" w:lineRule="auto"/>
        <w:rPr>
          <w:sz w:val="20"/>
          <w:szCs w:val="20"/>
          <w:color w:val="auto"/>
        </w:rPr>
      </w:pPr>
      <w:r>
        <w:rPr>
          <w:rFonts w:ascii="Arial" w:cs="Arial" w:eastAsia="Arial" w:hAnsi="Arial"/>
          <w:sz w:val="16"/>
          <w:szCs w:val="16"/>
          <w:color w:val="auto"/>
        </w:rPr>
        <w:t>As of December 31, 2021, we own a total of 84 patent families, of which 14 are currently in their priority year or international phase and we own several granted patents in the United States (30), Europe (24), Australia (33), Canada (21), China (7), Israel (13), Indonesia (2), India (5), Korea (4), Malaysia</w:t>
      </w:r>
    </w:p>
    <w:p>
      <w:pPr>
        <w:ind w:left="140" w:right="100"/>
        <w:spacing w:after="0" w:line="254" w:lineRule="auto"/>
        <w:rPr>
          <w:sz w:val="20"/>
          <w:szCs w:val="20"/>
          <w:color w:val="auto"/>
        </w:rPr>
      </w:pPr>
      <w:r>
        <w:rPr>
          <w:rFonts w:ascii="Arial" w:cs="Arial" w:eastAsia="Arial" w:hAnsi="Arial"/>
          <w:sz w:val="18"/>
          <w:szCs w:val="18"/>
          <w:color w:val="auto"/>
        </w:rPr>
        <w:t>(6), New Zealand (4), Japan (19), Mexico (12), Singapore (7), Russia (11), the United Arab Emirates (1) and South Africa (19) and have approximately 497 pending national/regional applications in a total of 24 jurisdictions (excluding the member states of the European Patent Convention in which our European patents were validated).</w:t>
      </w:r>
    </w:p>
    <w:p>
      <w:pPr>
        <w:spacing w:after="0" w:line="189" w:lineRule="exact"/>
        <w:rPr>
          <w:sz w:val="20"/>
          <w:szCs w:val="20"/>
          <w:color w:val="auto"/>
        </w:rPr>
      </w:pPr>
    </w:p>
    <w:p>
      <w:pPr>
        <w:ind w:left="140" w:right="100"/>
        <w:spacing w:after="0" w:line="275" w:lineRule="auto"/>
        <w:rPr>
          <w:sz w:val="20"/>
          <w:szCs w:val="20"/>
          <w:color w:val="auto"/>
        </w:rPr>
      </w:pPr>
      <w:r>
        <w:rPr>
          <w:rFonts w:ascii="Arial" w:cs="Arial" w:eastAsia="Arial" w:hAnsi="Arial"/>
          <w:sz w:val="18"/>
          <w:szCs w:val="18"/>
          <w:color w:val="auto"/>
        </w:rPr>
        <w:t>So far none of our granted patents has been subject to opposition proceedings, appeals or similar actions aiming at revoking or restricting the scope of a granted patent.</w:t>
      </w:r>
    </w:p>
    <w:p>
      <w:pPr>
        <w:spacing w:after="0" w:line="171"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color w:val="auto"/>
        </w:rPr>
        <w:t>The patent portfolios for the fields containing our most advanced product candidates as of December 31, 2021 are summarized below and the expected expiration dates included in the summary below do not give effect to patent term extensions that may be available.</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hGH</w:t>
      </w:r>
    </w:p>
    <w:p>
      <w:pPr>
        <w:spacing w:after="0" w:line="116" w:lineRule="exact"/>
        <w:rPr>
          <w:sz w:val="20"/>
          <w:szCs w:val="20"/>
          <w:color w:val="auto"/>
        </w:rPr>
      </w:pPr>
    </w:p>
    <w:p>
      <w:pPr>
        <w:ind w:left="140" w:right="120"/>
        <w:spacing w:after="0" w:line="256" w:lineRule="auto"/>
        <w:rPr>
          <w:sz w:val="20"/>
          <w:szCs w:val="20"/>
          <w:color w:val="auto"/>
        </w:rPr>
      </w:pPr>
      <w:r>
        <w:rPr>
          <w:rFonts w:ascii="Arial" w:cs="Arial" w:eastAsia="Arial" w:hAnsi="Arial"/>
          <w:sz w:val="18"/>
          <w:szCs w:val="18"/>
          <w:color w:val="auto"/>
        </w:rPr>
        <w:t>Our patent portfolio related to TransCon hGH includes seven patent families relating to different aspects of TransCon hGH and an additional ten patent families covering various aspects of the auto-injector device for administration of TransCon hGH. The first of these patent families is a composition of matter patent family directed to the particular stoichiometry of TransCon hGH and a related TransCon carrier. As of December 31, 2021, this patent family included patents granted in Europe and the United States. We expect any patents granted in this patent family to expire in October 2024, absent any patent term adjustments or extensions.</w:t>
      </w:r>
    </w:p>
    <w:p>
      <w:pPr>
        <w:spacing w:after="0" w:line="188" w:lineRule="exact"/>
        <w:rPr>
          <w:sz w:val="20"/>
          <w:szCs w:val="20"/>
          <w:color w:val="auto"/>
        </w:rPr>
      </w:pPr>
    </w:p>
    <w:p>
      <w:pPr>
        <w:ind w:left="140" w:right="140"/>
        <w:spacing w:after="0" w:line="258" w:lineRule="auto"/>
        <w:rPr>
          <w:sz w:val="20"/>
          <w:szCs w:val="20"/>
          <w:color w:val="auto"/>
        </w:rPr>
      </w:pPr>
      <w:r>
        <w:rPr>
          <w:rFonts w:ascii="Arial" w:cs="Arial" w:eastAsia="Arial" w:hAnsi="Arial"/>
          <w:sz w:val="18"/>
          <w:szCs w:val="18"/>
          <w:color w:val="auto"/>
        </w:rPr>
        <w:t>The second of these patent families is a composition of matter patent family directed to a TransCon linker used in TransCon hGH. As of December 31, 2021, this patent family included patents granted in the United States, Europe, Australia, Brazil, Canada, Japan and Mexico and included patent applications in Europe and the United States. We expect any patents granted in this patent family to expire in March 2025, absent any patent term adjustments or extensions.</w:t>
      </w:r>
    </w:p>
    <w:p>
      <w:pPr>
        <w:spacing w:after="0" w:line="186" w:lineRule="exact"/>
        <w:rPr>
          <w:sz w:val="20"/>
          <w:szCs w:val="20"/>
          <w:color w:val="auto"/>
        </w:rPr>
      </w:pPr>
    </w:p>
    <w:p>
      <w:pPr>
        <w:ind w:left="140" w:right="260"/>
        <w:spacing w:after="0" w:line="278" w:lineRule="auto"/>
        <w:rPr>
          <w:sz w:val="20"/>
          <w:szCs w:val="20"/>
          <w:color w:val="auto"/>
        </w:rPr>
      </w:pPr>
      <w:r>
        <w:rPr>
          <w:rFonts w:ascii="Arial" w:cs="Arial" w:eastAsia="Arial" w:hAnsi="Arial"/>
          <w:sz w:val="17"/>
          <w:szCs w:val="17"/>
          <w:color w:val="auto"/>
        </w:rPr>
        <w:t>The third of these patent families is a composition of matter patent family directed to a broad class of TransCon hGH lead candidate structures. As of December 31, 2021, this patent family included patents granted in the United States, Europe, Australia, Brazil, Canada, China, Israel, India, Japan, Mexico, Russia and South Africa and included patent applications in Europe, the United States, Brazil, Canada and Russia. We expect any patents granted in this patent family to expire in April 2029, absent any patent term adjustments or extensions.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85"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40"/>
        <w:spacing w:after="0" w:line="258" w:lineRule="auto"/>
        <w:rPr>
          <w:sz w:val="20"/>
          <w:szCs w:val="20"/>
          <w:color w:val="auto"/>
        </w:rPr>
      </w:pPr>
      <w:r>
        <w:rPr>
          <w:rFonts w:ascii="Arial" w:cs="Arial" w:eastAsia="Arial" w:hAnsi="Arial"/>
          <w:sz w:val="18"/>
          <w:szCs w:val="18"/>
          <w:color w:val="auto"/>
        </w:rPr>
        <w:t>The fourth of these patent families is a composition of matter patent family directed to specific dry pharmaceutical compositions comprising TransCon hGH. As of December 31, 2021, this patent family included patents granted in the United States, Europe, Australia, Canada, India, Israel, Mexico, Singapore and South Africa and included patent applications in the United States and Brazil. We expect any patents granted in this patent family to expire in December 2030, absent any patent term adjustments or extensions.</w:t>
      </w:r>
    </w:p>
    <w:p>
      <w:pPr>
        <w:spacing w:after="0" w:line="186" w:lineRule="exact"/>
        <w:rPr>
          <w:sz w:val="20"/>
          <w:szCs w:val="20"/>
          <w:color w:val="auto"/>
        </w:rPr>
      </w:pPr>
    </w:p>
    <w:p>
      <w:pPr>
        <w:ind w:left="140" w:right="20"/>
        <w:spacing w:after="0" w:line="300" w:lineRule="auto"/>
        <w:rPr>
          <w:sz w:val="20"/>
          <w:szCs w:val="20"/>
          <w:color w:val="auto"/>
        </w:rPr>
      </w:pPr>
      <w:r>
        <w:rPr>
          <w:rFonts w:ascii="Arial" w:cs="Arial" w:eastAsia="Arial" w:hAnsi="Arial"/>
          <w:sz w:val="16"/>
          <w:szCs w:val="16"/>
          <w:color w:val="auto"/>
        </w:rPr>
        <w:t>The fifth of these patent families is a composition of matter patent family directed to a broad class of TransCon hGH lead candidate structures. As of December 31, 2021, this patent family included patents granted in the United States, Australia, Europe, Japan, Russia, Singapore and South Africa and patent applications in the United States, Europe, Australia, Brazil, Canada, Israel, Japan, South Korea, Mexico, New Zealand, Russia and Singapore. We expect any patents granted in this patent family to expire in November 2035, absent any patent term adjustments or extensions.</w:t>
      </w:r>
    </w:p>
    <w:p>
      <w:pPr>
        <w:spacing w:after="0" w:line="156" w:lineRule="exact"/>
        <w:rPr>
          <w:sz w:val="20"/>
          <w:szCs w:val="20"/>
          <w:color w:val="auto"/>
        </w:rPr>
      </w:pPr>
    </w:p>
    <w:p>
      <w:pPr>
        <w:ind w:left="140" w:right="140"/>
        <w:spacing w:after="0" w:line="262" w:lineRule="auto"/>
        <w:rPr>
          <w:sz w:val="20"/>
          <w:szCs w:val="20"/>
          <w:color w:val="auto"/>
        </w:rPr>
      </w:pPr>
      <w:r>
        <w:rPr>
          <w:rFonts w:ascii="Arial" w:cs="Arial" w:eastAsia="Arial" w:hAnsi="Arial"/>
          <w:sz w:val="18"/>
          <w:szCs w:val="18"/>
          <w:color w:val="auto"/>
        </w:rPr>
        <w:t>The sixth of these patent families is directed to a particular dosage regimen for long-acting growth hormone formulations. As of December 31, 2021, this patent family included a granted patent in Europe and patent applications in the United States and in Europe. We expect any patents granted in this patent family to expire in November 2035, absent any patent term adjustments or extensions.</w:t>
      </w:r>
    </w:p>
    <w:p>
      <w:pPr>
        <w:spacing w:after="0" w:line="183" w:lineRule="exact"/>
        <w:rPr>
          <w:sz w:val="20"/>
          <w:szCs w:val="20"/>
          <w:color w:val="auto"/>
        </w:rPr>
      </w:pPr>
    </w:p>
    <w:p>
      <w:pPr>
        <w:ind w:left="140" w:right="160"/>
        <w:spacing w:after="0" w:line="285" w:lineRule="auto"/>
        <w:rPr>
          <w:sz w:val="20"/>
          <w:szCs w:val="20"/>
          <w:color w:val="auto"/>
        </w:rPr>
      </w:pPr>
      <w:r>
        <w:rPr>
          <w:rFonts w:ascii="Arial" w:cs="Arial" w:eastAsia="Arial" w:hAnsi="Arial"/>
          <w:sz w:val="17"/>
          <w:szCs w:val="17"/>
          <w:color w:val="auto"/>
        </w:rPr>
        <w:t>The seventh of these patent families is directed to potential superior efficacy achieved with TransCon hGH treatment. As of December 31, 2021, this patent family included patent applications in the United States, Europe, Australia, Canada, China, Israel, Japan, Mexico and Singapore. We expect any patents granted in this family to expire in March 2040, absent any patent term adjustments or extensions.</w:t>
      </w:r>
    </w:p>
    <w:p>
      <w:pPr>
        <w:spacing w:after="0" w:line="165" w:lineRule="exact"/>
        <w:rPr>
          <w:sz w:val="20"/>
          <w:szCs w:val="20"/>
          <w:color w:val="auto"/>
        </w:rPr>
      </w:pPr>
    </w:p>
    <w:p>
      <w:pPr>
        <w:ind w:left="140" w:right="20"/>
        <w:spacing w:after="0" w:line="269" w:lineRule="auto"/>
        <w:rPr>
          <w:sz w:val="20"/>
          <w:szCs w:val="20"/>
          <w:color w:val="auto"/>
        </w:rPr>
      </w:pPr>
      <w:r>
        <w:rPr>
          <w:rFonts w:ascii="Arial" w:cs="Arial" w:eastAsia="Arial" w:hAnsi="Arial"/>
          <w:sz w:val="17"/>
          <w:szCs w:val="17"/>
          <w:color w:val="auto"/>
        </w:rPr>
        <w:t>Seven of the ten patent families covering the auto-injector device with a filing date of December 29, 2016, include patent applications in the United States, Europe, Australia, Canada, Japan and New Zealand and two granted patents in the United States, one granted patent in Europe, seven granted patents in Australia, and three granted patents in Japan as of December 31, 2021. We expect any patents granted from these patent families to expire in December 2036, absent any patent term adjustments or extensions. As of December 31, 2021 the two patent families covering the auto-injector device with a filing date of May 23, 2018 and June 29, 2018, respectively, include patent applications in the United States, Europe, the United Arab Emirates, Australia, Brazil, Canada, China, Indonesia, Israel, India, Japan, South Korea, Mexico, Malaysia, New Zealand, Russia, Singapore and South Africa and one granted patent in South Africa. We expect any patents granted from these patent families to expire in March and June 2038, respectively, absent any patent term adjustments or extensions. The last patent family is currently in its priority year and we expect any patents granted from this patent family to expire in September 2042, absent any patent term adjustments or extensions.</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PTH</w:t>
      </w:r>
    </w:p>
    <w:p>
      <w:pPr>
        <w:spacing w:after="0" w:line="116"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Our patent portfolio related to TransCon PTH includes ten patent families relating to different aspects of TransCon PTH. The first of these patent families is a composition of matter patent family directed to the TransCon linker used in TransCon PTH. As of December 31, 2021, this patent family included granted patents in the United States, Europe, the United Arab Emirates, Australia, Canada, China, Israel, Japan, Mexico, Russia and South Africa and included patent applications in Europe, the United States, Brazil and Russia. We expect any patents granted in this family to expire in January 2029, absent any patent term adjustments or extensions.</w:t>
      </w:r>
    </w:p>
    <w:p>
      <w:pPr>
        <w:spacing w:after="0" w:line="188" w:lineRule="exact"/>
        <w:rPr>
          <w:sz w:val="20"/>
          <w:szCs w:val="20"/>
          <w:color w:val="auto"/>
        </w:rPr>
      </w:pPr>
    </w:p>
    <w:p>
      <w:pPr>
        <w:ind w:left="140" w:right="60"/>
        <w:spacing w:after="0" w:line="300" w:lineRule="auto"/>
        <w:rPr>
          <w:sz w:val="20"/>
          <w:szCs w:val="20"/>
          <w:color w:val="auto"/>
        </w:rPr>
      </w:pPr>
      <w:r>
        <w:rPr>
          <w:rFonts w:ascii="Arial" w:cs="Arial" w:eastAsia="Arial" w:hAnsi="Arial"/>
          <w:sz w:val="16"/>
          <w:szCs w:val="16"/>
          <w:color w:val="auto"/>
        </w:rPr>
        <w:t>The second of these patent families is a composition of matter patent family directed to a broad class of TransCon PTH candidate structures. As of December 31, 2021, this patent family included patent applications in the United States, Europe, Australia, Brazil, Canada, China, Indonesia, Israel, India, Japan, South Korea, Mexico, Malaysia, New Zealand, Russia, Singapore and Thailand and granted patents in Australia, Korea, Russia, and South Africa. We expect any patents granted in this patent family to expire in February 2037, absent any patent term adjustments or extensions.</w:t>
      </w:r>
    </w:p>
    <w:p>
      <w:pPr>
        <w:spacing w:after="0" w:line="156" w:lineRule="exact"/>
        <w:rPr>
          <w:sz w:val="20"/>
          <w:szCs w:val="20"/>
          <w:color w:val="auto"/>
        </w:rPr>
      </w:pPr>
    </w:p>
    <w:p>
      <w:pPr>
        <w:ind w:left="140" w:right="120"/>
        <w:spacing w:after="0" w:line="274" w:lineRule="auto"/>
        <w:rPr>
          <w:sz w:val="20"/>
          <w:szCs w:val="20"/>
          <w:color w:val="auto"/>
        </w:rPr>
      </w:pPr>
      <w:r>
        <w:rPr>
          <w:rFonts w:ascii="Arial" w:cs="Arial" w:eastAsia="Arial" w:hAnsi="Arial"/>
          <w:sz w:val="17"/>
          <w:szCs w:val="17"/>
          <w:color w:val="auto"/>
        </w:rPr>
        <w:t>The third and fourth of these patent families are method of treatment patent families directed to a particular dosage regimen. As of December 31, 2021, one of these patent families includes patent applications in the United States, Europe, Australia, Brazil, Canada, China, Israel, Indonesia, Japan, South Korea, Mexico, Malaysia, New Zealand, Russia, Singapore and Thailand and a granted patent in South Africa. The other one of these patent families includes patent applications in the United States, Europe, Australia, Canada, China and Japan. We expect any patents granted in this patent family to expire in September 2037, absent any patent term adjustments or extensions.</w:t>
      </w:r>
    </w:p>
    <w:p>
      <w:pPr>
        <w:spacing w:after="0" w:line="176" w:lineRule="exact"/>
        <w:rPr>
          <w:sz w:val="20"/>
          <w:szCs w:val="20"/>
          <w:color w:val="auto"/>
        </w:rPr>
      </w:pPr>
    </w:p>
    <w:p>
      <w:pPr>
        <w:jc w:val="both"/>
        <w:ind w:left="140" w:right="120"/>
        <w:spacing w:after="0" w:line="258" w:lineRule="auto"/>
        <w:rPr>
          <w:sz w:val="20"/>
          <w:szCs w:val="20"/>
          <w:color w:val="auto"/>
        </w:rPr>
      </w:pPr>
      <w:r>
        <w:rPr>
          <w:rFonts w:ascii="Arial" w:cs="Arial" w:eastAsia="Arial" w:hAnsi="Arial"/>
          <w:sz w:val="18"/>
          <w:szCs w:val="18"/>
          <w:color w:val="auto"/>
        </w:rPr>
        <w:t>The fifth of these patent families is a composition of matter family directed to PTH compounds exhibiting a beneficial pharmacokinetic profile. As of December 31, 2021, this patent family includes patent applications in the United States, Europe, Australia, Brazil, Canada, China, Israel, Japan, South Korea, Mexico, New Zealand, Russia and Singapore and a granted patent in South Africa. We expect any patents granted in this patent family to expire in September 2037, absent any patent term adjustments or extensions.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85"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color w:val="auto"/>
        </w:rPr>
        <w:t>The sixth patent family relates to a starting dose for treatment with reversible PTH conjugates. As of December 31, 2021, this patent family includes patent applications in the United States, Europe, Australia, Brazil, Canada, China, Indonesia, Israel, Japan, South Korea, Mexico, Malaysia, New Zealand, Russia, Singapore, Thailand and South Africa. We expect any patents granted from this patent family to expire in May 2039, absent any patent term adjustments or extensions.</w:t>
      </w:r>
    </w:p>
    <w:p>
      <w:pPr>
        <w:spacing w:after="0" w:line="186" w:lineRule="exact"/>
        <w:rPr>
          <w:sz w:val="20"/>
          <w:szCs w:val="20"/>
          <w:color w:val="auto"/>
        </w:rPr>
      </w:pPr>
    </w:p>
    <w:p>
      <w:pPr>
        <w:ind w:left="140" w:right="100"/>
        <w:spacing w:after="0" w:line="258" w:lineRule="auto"/>
        <w:rPr>
          <w:sz w:val="20"/>
          <w:szCs w:val="20"/>
          <w:color w:val="auto"/>
        </w:rPr>
      </w:pPr>
      <w:r>
        <w:rPr>
          <w:rFonts w:ascii="Arial" w:cs="Arial" w:eastAsia="Arial" w:hAnsi="Arial"/>
          <w:sz w:val="18"/>
          <w:szCs w:val="18"/>
          <w:color w:val="auto"/>
        </w:rPr>
        <w:t>The seventh patent family relates to a pharmaceutical composition comprising reversible PTH conjugates. As of December 31, 2021, this patent family includes patent applications in the United States, Europe, Australia, Brazil, Canada, China, Indonesia, Israel, India, Japan, South Korea, Mexico, Malaysia, New Zealand, the Philippines, Russia, Singapore, Taiwan, Thailand, Vietnam and South Africa. We expect any patents granted from this patent family to expire in February 2040, absent any patent term adjustments or extensions.</w:t>
      </w:r>
    </w:p>
    <w:p>
      <w:pPr>
        <w:spacing w:after="0" w:line="186" w:lineRule="exact"/>
        <w:rPr>
          <w:sz w:val="20"/>
          <w:szCs w:val="20"/>
          <w:color w:val="auto"/>
        </w:rPr>
      </w:pPr>
    </w:p>
    <w:p>
      <w:pPr>
        <w:ind w:left="140" w:right="320"/>
        <w:spacing w:after="0" w:line="300" w:lineRule="auto"/>
        <w:rPr>
          <w:sz w:val="20"/>
          <w:szCs w:val="20"/>
          <w:color w:val="auto"/>
        </w:rPr>
      </w:pPr>
      <w:r>
        <w:rPr>
          <w:rFonts w:ascii="Arial" w:cs="Arial" w:eastAsia="Arial" w:hAnsi="Arial"/>
          <w:sz w:val="16"/>
          <w:szCs w:val="16"/>
          <w:color w:val="auto"/>
        </w:rPr>
        <w:t>The eighth and ninth patent families relate to a method of titrating hypoparathyroidism patients off of standard of care within four weeks from the beginning of daily treatment with a PTH compound and the treatment of the physical and mental well-being of hypoparathyroidism patients, respectively. As of December 31, 2021, these patent families are both in Patent Cooperation Treaty phase. We expect any patents granted from these patent families to expire in January 2041 and September 2041, respectively, absent any patent term adjustments or extensions.</w:t>
      </w:r>
    </w:p>
    <w:p>
      <w:pPr>
        <w:spacing w:after="0" w:line="156" w:lineRule="exact"/>
        <w:rPr>
          <w:sz w:val="20"/>
          <w:szCs w:val="20"/>
          <w:color w:val="auto"/>
        </w:rPr>
      </w:pPr>
    </w:p>
    <w:p>
      <w:pPr>
        <w:ind w:left="140" w:right="120"/>
        <w:spacing w:after="0" w:line="262" w:lineRule="auto"/>
        <w:rPr>
          <w:sz w:val="20"/>
          <w:szCs w:val="20"/>
          <w:color w:val="auto"/>
        </w:rPr>
      </w:pPr>
      <w:r>
        <w:rPr>
          <w:rFonts w:ascii="Arial" w:cs="Arial" w:eastAsia="Arial" w:hAnsi="Arial"/>
          <w:sz w:val="18"/>
          <w:szCs w:val="18"/>
          <w:color w:val="auto"/>
        </w:rPr>
        <w:t>The tenth patent family relates to a reduction in bone mineral density in patients having increased bone mineral density. As of December 31, 2021, this patent family is in its priority year. We expect any patents granted from this patent family to expire in September 2042, absent any patent term adjustments or extensions.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CNP</w:t>
      </w:r>
    </w:p>
    <w:p>
      <w:pPr>
        <w:spacing w:after="0" w:line="116" w:lineRule="exact"/>
        <w:rPr>
          <w:sz w:val="20"/>
          <w:szCs w:val="20"/>
          <w:color w:val="auto"/>
        </w:rPr>
      </w:pPr>
    </w:p>
    <w:p>
      <w:pPr>
        <w:ind w:left="140" w:right="280"/>
        <w:spacing w:after="0" w:line="278" w:lineRule="auto"/>
        <w:rPr>
          <w:sz w:val="20"/>
          <w:szCs w:val="20"/>
          <w:color w:val="auto"/>
        </w:rPr>
      </w:pPr>
      <w:r>
        <w:rPr>
          <w:rFonts w:ascii="Arial" w:cs="Arial" w:eastAsia="Arial" w:hAnsi="Arial"/>
          <w:sz w:val="17"/>
          <w:szCs w:val="17"/>
          <w:color w:val="auto"/>
        </w:rPr>
        <w:t>Our patent portfolio related to TransCon CNP includes twelve patent families relating to different aspects of TransCon CNP. The first of these patent families is a composition of matter patent family directed to the particular stoichiometry of TransCon CNP and a related TransCon carrier. As of December 31, 2021, this patent family included patents granted in Europe and the United States and a patent application in Europe. We expect any patents granted in this patent family to expire in October 2024, absent any patent term adjustments or extensions.</w:t>
      </w:r>
    </w:p>
    <w:p>
      <w:pPr>
        <w:spacing w:after="0" w:line="170"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The second of these patent families is a composition of matter patent family directed to the TransCon linker used in TransCon CNP. As of December 31, 2021, this patent family included granted patents in the United States, Europe, the United Arab Emirates, Australia, Brazil, Canada, China, Israel, Japan, Mexico and South Africa and included patent applications in Europe, the United States, Brazil, Mexico and Russia. We expect any patents granted in this family to expire in January 2029, absent any patent term adjustments or extensions.</w:t>
      </w:r>
    </w:p>
    <w:p>
      <w:pPr>
        <w:spacing w:after="0" w:line="186" w:lineRule="exact"/>
        <w:rPr>
          <w:sz w:val="20"/>
          <w:szCs w:val="20"/>
          <w:color w:val="auto"/>
        </w:rPr>
      </w:pPr>
    </w:p>
    <w:p>
      <w:pPr>
        <w:ind w:left="140" w:right="100"/>
        <w:spacing w:after="0" w:line="278" w:lineRule="auto"/>
        <w:rPr>
          <w:sz w:val="20"/>
          <w:szCs w:val="20"/>
          <w:color w:val="auto"/>
        </w:rPr>
      </w:pPr>
      <w:r>
        <w:rPr>
          <w:rFonts w:ascii="Arial" w:cs="Arial" w:eastAsia="Arial" w:hAnsi="Arial"/>
          <w:sz w:val="17"/>
          <w:szCs w:val="17"/>
          <w:color w:val="auto"/>
        </w:rPr>
        <w:t>The third of these patent families is a composition of matter patent family directed to a broad class of TransCon CNP candidate structures. As of December 31, 2021, this patent family included patent applications in the United States, Europe, Australia, Brazil, Canada, China, Israel, India, Japan, South Korea, Mexico, Malaysia, New Zealand, Russia, Singapore and Thailand and a granted patent in Israel, Russia, and South Africa. We expect any patents granted in this patent family to expire in January 2036, absent any patent term adjustments or extensions.</w:t>
      </w:r>
    </w:p>
    <w:p>
      <w:pPr>
        <w:spacing w:after="0" w:line="170"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The fourth to the ninth patent families are composition of matter patent families directed various CNP compounds having beneficial properties. As of December 31, 2021, the first one of these six patent families included patent applications in the United States, Europe, Australia, Canada, Japan, Mexico and New Zealand and two granted patents in the United States and one granted patent in Japan and South Africa. As of December 31, 2021, the second one included patent applications in the United States, Europe, Australia, Canada, Japan and New Zealand and a granted patent in South Africa. As of December 31, 2021, the third one included patent applications in the United States, Europe, Australia, Brazil, Canada, China, Indonesia, Israel, India, Japan, South Korea, Mexico, Malaysia, New Zealand and Singapore and a granted patent in South Africa. As of December 31, 2021, the fourth one included patent applications in the United States, Europe, Australia, Canada, Israel and New Zealand. As of December 31, 2021, the fifth one included patent application in the United States, Europe, Australia, Brazil, Canada, China, Israel, South Korea, New Zealand and Singapore. As of December 31, 2021, the sixth one included patent applications in the United States, Europe, Australia, Canada, Israel and New Zealand. We expect any patents granted in these patent families to expire in January 2037, absent any patent term adjustments or extensions.</w:t>
      </w:r>
    </w:p>
    <w:p>
      <w:pPr>
        <w:spacing w:after="0" w:line="167" w:lineRule="exact"/>
        <w:rPr>
          <w:sz w:val="20"/>
          <w:szCs w:val="20"/>
          <w:color w:val="auto"/>
        </w:rPr>
      </w:pPr>
    </w:p>
    <w:p>
      <w:pPr>
        <w:jc w:val="both"/>
        <w:ind w:left="140"/>
        <w:spacing w:after="0" w:line="258" w:lineRule="auto"/>
        <w:rPr>
          <w:sz w:val="20"/>
          <w:szCs w:val="20"/>
          <w:color w:val="auto"/>
        </w:rPr>
      </w:pPr>
      <w:r>
        <w:rPr>
          <w:rFonts w:ascii="Arial" w:cs="Arial" w:eastAsia="Arial" w:hAnsi="Arial"/>
          <w:sz w:val="18"/>
          <w:szCs w:val="18"/>
          <w:color w:val="auto"/>
        </w:rPr>
        <w:t>The tenth patent family covers a combination therapy of TransCon CNP. As of December 31, 2021, this patent family includes patent applications in the United States, Europe, Australia, Brazil, Canada, China, Indonesia, Israel, Japan, South Korea, Mexico, Malaysia, New Zealand, Russia, Singapore and Thailand and a granted patent in Singapore and South Africa. We expect any patents granted from this patent family to expire in September 2037, absent any patent term adjustments or extensions.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85"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60"/>
        <w:spacing w:after="0" w:line="258" w:lineRule="auto"/>
        <w:rPr>
          <w:sz w:val="20"/>
          <w:szCs w:val="20"/>
          <w:color w:val="auto"/>
        </w:rPr>
      </w:pPr>
      <w:r>
        <w:rPr>
          <w:rFonts w:ascii="Arial" w:cs="Arial" w:eastAsia="Arial" w:hAnsi="Arial"/>
          <w:sz w:val="18"/>
          <w:szCs w:val="18"/>
          <w:color w:val="auto"/>
        </w:rPr>
        <w:t>The eleventh patent family relates to a pharmaceutical composition comprising reversible CNP conjugates. As of December 31, 2021, this patent family includes patent applications in the United States, Europe, Australia, Brazil, Canada, China, Indonesia, Israel, India, Japan, South Korea, Mexico, Malaysia, New Zealand, the Philippines, Russia, Singapore, Taiwan, Thailand, Vietnam and South Africa. We expect any patents granted from this patent family to expire in February 2040, absent any patent term adjustments or extensions.</w:t>
      </w:r>
    </w:p>
    <w:p>
      <w:pPr>
        <w:spacing w:after="0" w:line="186" w:lineRule="exact"/>
        <w:rPr>
          <w:sz w:val="20"/>
          <w:szCs w:val="20"/>
          <w:color w:val="auto"/>
        </w:rPr>
      </w:pPr>
    </w:p>
    <w:p>
      <w:pPr>
        <w:ind w:left="140"/>
        <w:spacing w:after="0" w:line="340" w:lineRule="auto"/>
        <w:rPr>
          <w:sz w:val="20"/>
          <w:szCs w:val="20"/>
          <w:color w:val="auto"/>
        </w:rPr>
      </w:pPr>
      <w:r>
        <w:rPr>
          <w:rFonts w:ascii="Arial" w:cs="Arial" w:eastAsia="Arial" w:hAnsi="Arial"/>
          <w:sz w:val="16"/>
          <w:szCs w:val="16"/>
          <w:color w:val="auto"/>
        </w:rPr>
        <w:t>The twelfth patent family relates to a pharmacologically effective dose of TransCon CNP. As of December 31, 2021, this patent family was in its priority year. We expect any patents granted from this patent family to expire in December 2042, absent any patent term adjustments or extensions.</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TLR7/8</w:t>
      </w:r>
    </w:p>
    <w:p>
      <w:pPr>
        <w:spacing w:after="0" w:line="116" w:lineRule="exact"/>
        <w:rPr>
          <w:sz w:val="20"/>
          <w:szCs w:val="20"/>
          <w:color w:val="auto"/>
        </w:rPr>
      </w:pPr>
    </w:p>
    <w:p>
      <w:pPr>
        <w:jc w:val="both"/>
        <w:ind w:left="140" w:right="120"/>
        <w:spacing w:after="0" w:line="258" w:lineRule="auto"/>
        <w:rPr>
          <w:sz w:val="20"/>
          <w:szCs w:val="20"/>
          <w:color w:val="auto"/>
        </w:rPr>
      </w:pPr>
      <w:r>
        <w:rPr>
          <w:rFonts w:ascii="Arial" w:cs="Arial" w:eastAsia="Arial" w:hAnsi="Arial"/>
          <w:sz w:val="18"/>
          <w:szCs w:val="18"/>
          <w:color w:val="auto"/>
        </w:rPr>
        <w:t>As of December 31, 2021, our patent portfolio related to TransCon TLR7/8 includes seven patent families. The first patent family relates to hydrogels, which are first synthesized and subsequently loaded with drug-linker conjugates. As of December 31, 2021, this patent family included granted patents in the United States and in Europe. We expect any patents granted in these patent families to expire in July 2025, absent any patent term adjustments or extensions.</w:t>
      </w:r>
    </w:p>
    <w:p>
      <w:pPr>
        <w:spacing w:after="0" w:line="186" w:lineRule="exact"/>
        <w:rPr>
          <w:sz w:val="20"/>
          <w:szCs w:val="20"/>
          <w:color w:val="auto"/>
        </w:rPr>
      </w:pPr>
    </w:p>
    <w:p>
      <w:pPr>
        <w:ind w:left="140" w:right="220"/>
        <w:spacing w:after="0" w:line="258" w:lineRule="auto"/>
        <w:rPr>
          <w:sz w:val="20"/>
          <w:szCs w:val="20"/>
          <w:color w:val="auto"/>
        </w:rPr>
      </w:pPr>
      <w:r>
        <w:rPr>
          <w:rFonts w:ascii="Arial" w:cs="Arial" w:eastAsia="Arial" w:hAnsi="Arial"/>
          <w:sz w:val="18"/>
          <w:szCs w:val="18"/>
          <w:color w:val="auto"/>
        </w:rPr>
        <w:t>The second patent family relates to a specific class of PEG-based hydrogels. As of December 31, 2021, this patent family included granted patents in Europe, Australia, Brazil, Canada, China, Indonesia, Israel, India, Japan, South Korea, Mexico, Malaysia, New Zealand, Russia, Singapore and South Africa and patent applications in the United States, Europe and Thailand. We expect any patents granted in this patent family to expire in July 2030, absent any patent term adjustments or extensions.</w:t>
      </w:r>
    </w:p>
    <w:p>
      <w:pPr>
        <w:spacing w:after="0" w:line="186" w:lineRule="exact"/>
        <w:rPr>
          <w:sz w:val="20"/>
          <w:szCs w:val="20"/>
          <w:color w:val="auto"/>
        </w:rPr>
      </w:pPr>
    </w:p>
    <w:p>
      <w:pPr>
        <w:ind w:left="140" w:right="60"/>
        <w:spacing w:after="0" w:line="289" w:lineRule="auto"/>
        <w:rPr>
          <w:sz w:val="20"/>
          <w:szCs w:val="20"/>
          <w:color w:val="auto"/>
        </w:rPr>
      </w:pPr>
      <w:r>
        <w:rPr>
          <w:rFonts w:ascii="Arial" w:cs="Arial" w:eastAsia="Arial" w:hAnsi="Arial"/>
          <w:sz w:val="16"/>
          <w:szCs w:val="16"/>
          <w:color w:val="auto"/>
        </w:rPr>
        <w:t>The third patent family relates to a broad class of TransCon TLR7/8 candidate structures. As of December 31, 2021, this patent family included patent applications in the United States, Europe, Argentina, the United Arab Emirates, Australia, Brazil, Canada, China, Eurasia, Egypt, Indonesia, Israel, India, Japan, South Korea, Mexico, Malaysia, New Zealand, the Philippines, Singapore, Taiwan, Thailand, Vietnam and South Africa. The fourth to sixth patent families relate to TransCon TLR7/8 compounds having beneficial properties. As of December 31, 2021, the fourth patent family included patent applications in the United States, Europe, Australia, Canada, Israel and Singapore. The fifth patent included as of December 31, 2021, patent applications in the United States, Europe, Australia, Brazil, Canada, China, Israel, Japan, South Korea, Mexico, Russia, Singapore and South Africa. As of December 31, 2021, the sixth patent family included patent applications in the United States, Europe, Australia, Canada, Israel and Singapore. We expect any patents granted in all four of these patent families to expire in January 2040, absent any patent term adjustments or extensions.</w:t>
      </w:r>
    </w:p>
    <w:p>
      <w:pPr>
        <w:spacing w:after="0" w:line="165" w:lineRule="exact"/>
        <w:rPr>
          <w:sz w:val="20"/>
          <w:szCs w:val="20"/>
          <w:color w:val="auto"/>
        </w:rPr>
      </w:pPr>
    </w:p>
    <w:p>
      <w:pPr>
        <w:ind w:left="140" w:right="120"/>
        <w:spacing w:after="0" w:line="306" w:lineRule="auto"/>
        <w:rPr>
          <w:sz w:val="20"/>
          <w:szCs w:val="20"/>
          <w:color w:val="auto"/>
        </w:rPr>
      </w:pPr>
      <w:r>
        <w:rPr>
          <w:rFonts w:ascii="Arial" w:cs="Arial" w:eastAsia="Arial" w:hAnsi="Arial"/>
          <w:sz w:val="17"/>
          <w:szCs w:val="17"/>
          <w:color w:val="auto"/>
        </w:rPr>
        <w:t>The seventh patent family relates to a pharmaceutical dose of TransCon TLR7/8. As of December 31, 2021, this application was in its priority year. We expect any patents granted from this patent family to expire in December 2042, absent any patent term adjustments or extensions.</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IL-2</w:t>
      </w:r>
    </w:p>
    <w:p>
      <w:pPr>
        <w:spacing w:after="0" w:line="116" w:lineRule="exact"/>
        <w:rPr>
          <w:sz w:val="20"/>
          <w:szCs w:val="20"/>
          <w:color w:val="auto"/>
        </w:rPr>
      </w:pPr>
    </w:p>
    <w:p>
      <w:pPr>
        <w:ind w:left="140" w:right="20"/>
        <w:spacing w:after="0" w:line="278" w:lineRule="auto"/>
        <w:rPr>
          <w:sz w:val="20"/>
          <w:szCs w:val="20"/>
          <w:color w:val="auto"/>
        </w:rPr>
      </w:pPr>
      <w:r>
        <w:rPr>
          <w:rFonts w:ascii="Arial" w:cs="Arial" w:eastAsia="Arial" w:hAnsi="Arial"/>
          <w:sz w:val="17"/>
          <w:szCs w:val="17"/>
          <w:color w:val="auto"/>
        </w:rPr>
        <w:t>As of December 31, 2021, our patent portfolio related to TransCon IL-2 includes three patent families. The first of these patent families is a composition of matter patent family directed to a TransCon linker used in TransCon IL-2. As of December 31, 2021, this patent family included patents granted in the United States, Europe, Australia, Brazil, Canada, Japan and Mexico and included patent applications in Europe and the United States. We expect any patents granted in this patent family to expire in March 2025, absent any patent term adjustments or extensions.</w:t>
      </w:r>
    </w:p>
    <w:p>
      <w:pPr>
        <w:spacing w:after="0" w:line="170" w:lineRule="exact"/>
        <w:rPr>
          <w:sz w:val="20"/>
          <w:szCs w:val="20"/>
          <w:color w:val="auto"/>
        </w:rPr>
      </w:pPr>
    </w:p>
    <w:p>
      <w:pPr>
        <w:ind w:left="140" w:right="40"/>
        <w:spacing w:after="0" w:line="254" w:lineRule="auto"/>
        <w:rPr>
          <w:sz w:val="20"/>
          <w:szCs w:val="20"/>
          <w:color w:val="auto"/>
        </w:rPr>
      </w:pPr>
      <w:r>
        <w:rPr>
          <w:rFonts w:ascii="Arial" w:cs="Arial" w:eastAsia="Arial" w:hAnsi="Arial"/>
          <w:sz w:val="18"/>
          <w:szCs w:val="18"/>
          <w:color w:val="auto"/>
        </w:rPr>
        <w:t>The second and third patent family are composition of matter patent families directed to a broad class of TransCon IL-2 lead candidate structures. As of December 31, 2021, the second patent family included patent applications in the United States, Europe, Australia, Brazil, Canada, China, Indonesia, Israel, India, Japan, South Korea, Mexico, Malaysia, New Zealand, Russia, Singapore, Thailand and South Africa. We expect any patents granted in this patent family to expire in March 2039. As of December 31, 2021, the third patent family included patent applications in Argentina, Taiwan and an international patent application. We expect any patents granted in this patent family to expire in June 2041, absent any patent term adjustments or extensions.</w:t>
      </w:r>
    </w:p>
    <w:p>
      <w:pPr>
        <w:spacing w:after="0" w:line="30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TransCon Technologies</w:t>
      </w:r>
    </w:p>
    <w:p>
      <w:pPr>
        <w:spacing w:after="0" w:line="116" w:lineRule="exact"/>
        <w:rPr>
          <w:sz w:val="20"/>
          <w:szCs w:val="20"/>
          <w:color w:val="auto"/>
        </w:rPr>
      </w:pPr>
    </w:p>
    <w:p>
      <w:pPr>
        <w:ind w:left="140"/>
        <w:spacing w:after="0" w:line="292" w:lineRule="auto"/>
        <w:rPr>
          <w:sz w:val="20"/>
          <w:szCs w:val="20"/>
          <w:color w:val="auto"/>
        </w:rPr>
      </w:pPr>
      <w:r>
        <w:rPr>
          <w:rFonts w:ascii="Arial" w:cs="Arial" w:eastAsia="Arial" w:hAnsi="Arial"/>
          <w:sz w:val="16"/>
          <w:szCs w:val="16"/>
          <w:color w:val="auto"/>
        </w:rPr>
        <w:t>Our patent portfolio also includes patents and patent applications generally relating to our TransCon technologies, including TransCon linkers, TransCon carriers and certain soluble conjugates. We own an aggregate of 15 patent families relating to TransCon linkers, the material components of which are described above. We own an aggregate of 11 patent families relating to TransCon carriers, the material components of which are described above. Finally, we own a composition of matter patent family that is directed to soluble conjugates in which one drug molecule is connected to one TransCon carrier molecule. As of December 31, 2021, this patent family included patents in Europe and the United States and a patent application in Europe. We expect any patents granted in this patent family to expire in October 2024, absent any patent term adjustments or extensions.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85"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Laws and Regulations Regarding Patent Terms</w:t>
      </w:r>
    </w:p>
    <w:p>
      <w:pPr>
        <w:spacing w:after="0" w:line="116" w:lineRule="exact"/>
        <w:rPr>
          <w:sz w:val="20"/>
          <w:szCs w:val="20"/>
          <w:color w:val="auto"/>
        </w:rPr>
      </w:pPr>
    </w:p>
    <w:p>
      <w:pPr>
        <w:ind w:left="140" w:right="40"/>
        <w:spacing w:after="0" w:line="274"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 term may be shortened if a patent is terminally disclaimed over another patent or if there are delays in patent prosecution by the patentee. A patent’s term may be lengthened by a patent term adjustment, which compensates a patentee for administrative delays by the USPTO in granting a patent. The patent term of a European patent is 20 years from its filing date, which, unlike in the United States, is not subject to patent term adjustments.</w:t>
      </w:r>
    </w:p>
    <w:p>
      <w:pPr>
        <w:spacing w:after="0" w:line="176" w:lineRule="exact"/>
        <w:rPr>
          <w:sz w:val="20"/>
          <w:szCs w:val="20"/>
          <w:color w:val="auto"/>
        </w:rPr>
      </w:pPr>
    </w:p>
    <w:p>
      <w:pPr>
        <w:ind w:left="140"/>
        <w:spacing w:after="0" w:line="253" w:lineRule="auto"/>
        <w:rPr>
          <w:sz w:val="20"/>
          <w:szCs w:val="20"/>
          <w:color w:val="auto"/>
        </w:rPr>
      </w:pPr>
      <w:r>
        <w:rPr>
          <w:rFonts w:ascii="Arial" w:cs="Arial" w:eastAsia="Arial" w:hAnsi="Arial"/>
          <w:sz w:val="18"/>
          <w:szCs w:val="18"/>
          <w:color w:val="auto"/>
        </w:rPr>
        <w:t>The term of a patent that covers an FDA-approved drug or biologic may also be eligible for patent term extension, which permits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length of the patent term extension is related to the length of time the drug or biologic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products receive FDA approval, we expect to apply for patent term extensions on patents covering those products. We anticipate that some of our issued patents may be eligible for patent term extensions.</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0"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including any manufacturing changes, safety surveillance, efficacy, quality control, packaging, storage, recordkeeping, labeling, advertising, promotion, distribution, marketing, sale, import, export and the reporting of safety and other post-market information of pharmaceutical and medical device products such as those we are developing. A new drug must be approved by the FDA through the NDA process and a new biologic must be licensed by the FDA through the BLA process before it may be legally marketed in the United States. Our product candidates will be subject to similar requirements in other countries prior to marketing in those countries. The processes for obtaining regulatory approvals in the United States, the European Union and in other foreign countries, along with subsequent compliance with appropriate federal, state, local and foreign statutes and regulations, require the expenditure of substantial time and resources.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6" w:lineRule="exact"/>
        <w:rPr>
          <w:sz w:val="20"/>
          <w:szCs w:val="20"/>
          <w:color w:val="auto"/>
        </w:rPr>
      </w:pPr>
    </w:p>
    <w:p>
      <w:pPr>
        <w:ind w:left="140" w:right="40"/>
        <w:spacing w:after="0" w:line="287" w:lineRule="auto"/>
        <w:rPr>
          <w:sz w:val="20"/>
          <w:szCs w:val="20"/>
          <w:color w:val="auto"/>
        </w:rPr>
      </w:pPr>
      <w:r>
        <w:rPr>
          <w:rFonts w:ascii="Arial" w:cs="Arial" w:eastAsia="Arial" w:hAnsi="Arial"/>
          <w:sz w:val="16"/>
          <w:szCs w:val="16"/>
          <w:color w:val="auto"/>
        </w:rPr>
        <w:t>In the United States, we are subject to extensive regulation by the FDA, which regulates drugs under the Federal Food, Drug, and Cosmetic Act (“FDCA”) and in the case of biologics, also under the Public Health Service Act (“PHSA”) and their implementing regulations, and other federal, state, and local regulatory authorities. The FDCA, PHSA and their implementing regulations set forth, among other things, requirements for the research, testing, development, manufacture, quality control, safety, effectiveness, approval, labeling, storage, record keeping, reporting, distribution, import, export, advertising and promotion of our products.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or BLAs, withdrawal of an approval, imposition of a clinical hold on clinical studies, issuance of warning letters or other notices of violation, product recalls, product seizures, total or partial suspension of production or distribution, injunctions, fines, refusals of government contracts, restitution, disgorgement or civil or criminal penalties.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129" w:lineRule="exact"/>
        <w:rPr>
          <w:sz w:val="20"/>
          <w:szCs w:val="20"/>
          <w:color w:val="auto"/>
        </w:rPr>
      </w:pPr>
    </w:p>
    <w:p>
      <w:pPr>
        <w:ind w:left="1100" w:right="100" w:hanging="426"/>
        <w:spacing w:after="0" w:line="275" w:lineRule="auto"/>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regulations;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29" w:lineRule="exact"/>
        <w:rPr>
          <w:rFonts w:ascii="Arial" w:cs="Arial" w:eastAsia="Arial" w:hAnsi="Arial"/>
          <w:sz w:val="18"/>
          <w:szCs w:val="18"/>
          <w:color w:val="auto"/>
        </w:rPr>
      </w:pPr>
    </w:p>
    <w:p>
      <w:pPr>
        <w:ind w:left="1100" w:right="460" w:hanging="426"/>
        <w:spacing w:after="0" w:line="275" w:lineRule="auto"/>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or biological product for each indication;</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submission to the FDA of an NDA or BLA after completion of all pivotal clinical trials;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85"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280" w:hanging="426"/>
        <w:spacing w:after="0" w:line="258"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or biologic’s identity, strength, quality and purity and of selected clinical investigation sites to assess compliance with GCP; and</w:t>
      </w:r>
    </w:p>
    <w:p>
      <w:pPr>
        <w:spacing w:after="0" w:line="91" w:lineRule="exact"/>
        <w:rPr>
          <w:rFonts w:ascii="Arial" w:cs="Arial" w:eastAsia="Arial" w:hAnsi="Arial"/>
          <w:sz w:val="18"/>
          <w:szCs w:val="18"/>
          <w:color w:val="auto"/>
        </w:rPr>
      </w:pPr>
    </w:p>
    <w:p>
      <w:pPr>
        <w:ind w:left="1100" w:right="420" w:hanging="426"/>
        <w:spacing w:after="0" w:line="275"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FDA review and approval of the NDA or BLA to permit commercial marketing of the product for particular indications for use in the United States.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Nonclinical Studies and Investigational New Drug Applications</w:t>
      </w:r>
    </w:p>
    <w:p>
      <w:pPr>
        <w:spacing w:after="0" w:line="116" w:lineRule="exact"/>
        <w:rPr>
          <w:sz w:val="20"/>
          <w:szCs w:val="20"/>
          <w:color w:val="auto"/>
        </w:rPr>
      </w:pPr>
    </w:p>
    <w:p>
      <w:pPr>
        <w:ind w:left="140"/>
        <w:spacing w:after="0" w:line="288" w:lineRule="auto"/>
        <w:rPr>
          <w:sz w:val="20"/>
          <w:szCs w:val="20"/>
          <w:color w:val="auto"/>
        </w:rPr>
      </w:pPr>
      <w:r>
        <w:rPr>
          <w:rFonts w:ascii="Arial" w:cs="Arial" w:eastAsia="Arial" w:hAnsi="Arial"/>
          <w:sz w:val="16"/>
          <w:szCs w:val="16"/>
          <w:color w:val="auto"/>
        </w:rPr>
        <w:t>Nonclinical studies include laboratory evaluations of product chemistry, toxicity and formulations, as well as animal studies to assess safety and efficacy. An IND is a request for authorization from the FDA to administer an investigational pharmaceutical product to humans. A sponsor must submit the results of the nonclinical tests, together with chemistry, manufacturing &amp; control information, and any available clinical data or literature, to the FDA as part of an IND. Some nonclinical testing may continue after the IND is submitted. An IND automatically becomes effective and a clinical trial proposed in the IND may begin 30 days after the FDA receives the IND, unless during this 30-day waiting period, the FDA raises concerns or questions related to one or more proposed clinical trials and places the clinical trial on a clinical hold. In such a case, the sponsor must resolve any outstanding concerns before the clinical trial can begin. As a result, submission of an IND may not result in the FDA allowing clinical trials to commence. The FDA may impose clinical holds on a product candidate at any time before or during clinical trials due to safety concerns or non-compliance. If the FDA imposes a clinical hold, trials may not recommence without FDA authorization and then only under terms authorized by the FDA.</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6" w:lineRule="exact"/>
        <w:rPr>
          <w:sz w:val="20"/>
          <w:szCs w:val="20"/>
          <w:color w:val="auto"/>
        </w:rPr>
      </w:pPr>
    </w:p>
    <w:p>
      <w:pPr>
        <w:ind w:left="140" w:right="20"/>
        <w:spacing w:after="0" w:line="285" w:lineRule="auto"/>
        <w:rPr>
          <w:sz w:val="20"/>
          <w:szCs w:val="20"/>
          <w:color w:val="auto"/>
        </w:rPr>
      </w:pPr>
      <w:r>
        <w:rPr>
          <w:rFonts w:ascii="Arial" w:cs="Arial" w:eastAsia="Arial" w:hAnsi="Arial"/>
          <w:sz w:val="16"/>
          <w:szCs w:val="16"/>
          <w:color w:val="auto"/>
        </w:rPr>
        <w:t>Clinical trials involve the administration of the investigational pharmaceutical product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An IRB at each institution participating in the clinical trial must review and approve the plan for any clinical trial before it commences at that institution.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Information about certain clinical trials must be submitted within specific timeframes to the National Institutes of Health (“NIH”), for public dissemination on their www.clinicaltrials.gov website.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Human clinical trials are typically conducted in three or four sequential phases, which may overlap or be combined:</w:t>
      </w:r>
    </w:p>
    <w:p>
      <w:pPr>
        <w:spacing w:after="0" w:line="129" w:lineRule="exact"/>
        <w:rPr>
          <w:sz w:val="20"/>
          <w:szCs w:val="20"/>
          <w:color w:val="auto"/>
        </w:rPr>
      </w:pPr>
    </w:p>
    <w:p>
      <w:pPr>
        <w:ind w:left="1100" w:hanging="426"/>
        <w:spacing w:after="0" w:line="340" w:lineRule="auto"/>
        <w:tabs>
          <w:tab w:leader="none" w:pos="11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1: The product candidate is initially introduced into healthy human subjects or patients with the target disease or condition and tested for safety, optimal dosage, absorption, metabolism, distribution, excretion and, if possible, to gain an early indication of its effectiveness.</w:t>
      </w:r>
    </w:p>
    <w:p>
      <w:pPr>
        <w:spacing w:after="0" w:line="30" w:lineRule="exact"/>
        <w:rPr>
          <w:rFonts w:ascii="Arial" w:cs="Arial" w:eastAsia="Arial" w:hAnsi="Arial"/>
          <w:sz w:val="16"/>
          <w:szCs w:val="16"/>
          <w:color w:val="auto"/>
        </w:rPr>
      </w:pPr>
    </w:p>
    <w:p>
      <w:pPr>
        <w:ind w:left="1100" w:right="480" w:hanging="426"/>
        <w:spacing w:after="0" w:line="275" w:lineRule="auto"/>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diseases and to determine optimal dosage.</w:t>
      </w:r>
    </w:p>
    <w:p>
      <w:pPr>
        <w:spacing w:after="0" w:line="77" w:lineRule="exact"/>
        <w:rPr>
          <w:rFonts w:ascii="Arial" w:cs="Arial" w:eastAsia="Arial" w:hAnsi="Arial"/>
          <w:sz w:val="18"/>
          <w:szCs w:val="18"/>
          <w:color w:val="auto"/>
        </w:rPr>
      </w:pPr>
    </w:p>
    <w:p>
      <w:pPr>
        <w:ind w:left="1100" w:right="60" w:hanging="426"/>
        <w:spacing w:after="0" w:line="310" w:lineRule="auto"/>
        <w:tabs>
          <w:tab w:leader="none" w:pos="11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3: The product candidate is administered to an expanded patient population, generally at geographically dispersed clinical trial sites, typically in well-controlled trials, to generate enough data to statistically evaluate the efficacy and safety of the product for approval, to establish the overall risk-benefit profile of the product, and to provide adequate information for the labeling of the product.</w:t>
      </w:r>
    </w:p>
    <w:p>
      <w:pPr>
        <w:spacing w:after="0" w:line="148" w:lineRule="exact"/>
        <w:rPr>
          <w:sz w:val="20"/>
          <w:szCs w:val="20"/>
          <w:color w:val="auto"/>
        </w:rPr>
      </w:pPr>
    </w:p>
    <w:p>
      <w:pPr>
        <w:ind w:left="140" w:right="140"/>
        <w:spacing w:after="0" w:line="258" w:lineRule="auto"/>
        <w:rPr>
          <w:sz w:val="20"/>
          <w:szCs w:val="20"/>
          <w:color w:val="auto"/>
        </w:rPr>
      </w:pPr>
      <w:r>
        <w:rPr>
          <w:rFonts w:ascii="Arial" w:cs="Arial" w:eastAsia="Arial" w:hAnsi="Arial"/>
          <w:sz w:val="18"/>
          <w:szCs w:val="18"/>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 or BLA.</w:t>
      </w:r>
    </w:p>
    <w:p>
      <w:pPr>
        <w:spacing w:after="0" w:line="186" w:lineRule="exact"/>
        <w:rPr>
          <w:sz w:val="20"/>
          <w:szCs w:val="20"/>
          <w:color w:val="auto"/>
        </w:rPr>
      </w:pPr>
    </w:p>
    <w:p>
      <w:pPr>
        <w:ind w:left="140" w:right="60"/>
        <w:spacing w:after="0" w:line="275" w:lineRule="auto"/>
        <w:rPr>
          <w:sz w:val="20"/>
          <w:szCs w:val="20"/>
          <w:color w:val="auto"/>
        </w:rPr>
      </w:pPr>
      <w:r>
        <w:rPr>
          <w:rFonts w:ascii="Arial" w:cs="Arial" w:eastAsia="Arial" w:hAnsi="Arial"/>
          <w:sz w:val="18"/>
          <w:szCs w:val="18"/>
          <w:color w:val="auto"/>
        </w:rPr>
        <w:t>During the development of a new product candidate, sponsors are given opportunities to meet with the FDA at certain points. These points may be prior to submission of an IND, at the end of Phase 2, and before an NDA or BLA is submitted. Meetings at other times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85"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80"/>
        <w:spacing w:after="0" w:line="258" w:lineRule="auto"/>
        <w:rPr>
          <w:sz w:val="20"/>
          <w:szCs w:val="20"/>
          <w:color w:val="auto"/>
        </w:rPr>
      </w:pPr>
      <w:r>
        <w:rPr>
          <w:rFonts w:ascii="Arial" w:cs="Arial" w:eastAsia="Arial" w:hAnsi="Arial"/>
          <w:sz w:val="18"/>
          <w:szCs w:val="18"/>
          <w:color w:val="auto"/>
        </w:rPr>
        <w:t>may be requested. These meetings can provide an opportunity for the sponsor to share information about the data gathered to date, for FDA to provide advice, and for the sponsor and the FDA to reach consensus on the next phase of development. Sponsors typically use the meetings at the end of the Phase 2 trial to discuss Phase 2 clinical results and present plans for the pivotal Phase 3 clinical trial that they believe will support approval of the new product candidate.</w:t>
      </w:r>
    </w:p>
    <w:p>
      <w:pPr>
        <w:spacing w:after="0" w:line="186" w:lineRule="exact"/>
        <w:rPr>
          <w:sz w:val="20"/>
          <w:szCs w:val="20"/>
          <w:color w:val="auto"/>
        </w:rPr>
      </w:pPr>
    </w:p>
    <w:p>
      <w:pPr>
        <w:ind w:left="140" w:right="100"/>
        <w:spacing w:after="0" w:line="287"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While the IND is active and before approval, progress reports summarizing the results of the clinical trials and nonclinical studies performed since the last progress report must be submitted at least annually to the FDA. In addition, written safety reports regarding serious and unexpected suspected adverse events, findings from other studies suggesting a significant risk to humans exposed to the same or similar pharmaceutical products, findings from animal or in vitro testing suggesting a significant risk to humans, and any clinically important increased incidence of a serious suspected adverse reaction compared to that listed in the protocol or investigator brochure must be submitted to the FDA.</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Marketing Approval in the U.S.</w:t>
      </w:r>
    </w:p>
    <w:p>
      <w:pPr>
        <w:spacing w:after="0" w:line="116" w:lineRule="exact"/>
        <w:rPr>
          <w:sz w:val="20"/>
          <w:szCs w:val="20"/>
          <w:color w:val="auto"/>
        </w:rPr>
      </w:pPr>
    </w:p>
    <w:p>
      <w:pPr>
        <w:ind w:left="140"/>
        <w:spacing w:after="0" w:line="253"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or BLA requesting approval or licensure to market the product for one or more indications. In most cases, the submission of an NDA or BLA is subject to a substantial application user fee. Under the Prescription Drug User Fee Act guidelines that are currently in effect, the FDA has a goal of ten months from the date of “filing” of a standard NDA for a new molecular entity or original BLA to review and act on the submission. This review typically takes twelve months from the date the NDA or BLA is submitted to the FDA because the FDA has sixty days from receipt to decide whether an application is accepted for filing, as described below.</w:t>
      </w:r>
    </w:p>
    <w:p>
      <w:pPr>
        <w:spacing w:after="0" w:line="195" w:lineRule="exact"/>
        <w:rPr>
          <w:sz w:val="20"/>
          <w:szCs w:val="20"/>
          <w:color w:val="auto"/>
        </w:rPr>
      </w:pPr>
    </w:p>
    <w:p>
      <w:pPr>
        <w:ind w:left="140" w:right="40"/>
        <w:spacing w:after="0" w:line="289" w:lineRule="auto"/>
        <w:rPr>
          <w:sz w:val="20"/>
          <w:szCs w:val="20"/>
          <w:color w:val="auto"/>
        </w:rPr>
      </w:pPr>
      <w:r>
        <w:rPr>
          <w:rFonts w:ascii="Arial" w:cs="Arial" w:eastAsia="Arial" w:hAnsi="Arial"/>
          <w:sz w:val="16"/>
          <w:szCs w:val="16"/>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The FDA reviews a BLA to determine, among other things whether the product is safe, pure and potent (which are analogous to the NDA safety and effectiveness requirements) and the facility in which it is manufactured, processed, packed or held meets standards designed to assure the product’s continued safety, purity and potency.</w:t>
      </w:r>
    </w:p>
    <w:p>
      <w:pPr>
        <w:spacing w:after="0" w:line="165"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color w:val="auto"/>
        </w:rPr>
        <w:t>The FDA may refer an application for a novel drug or biologic to an advisory committee. An advisory committee is a panel of independent experts, including clinicians and other scientific experts as well as consumer representatives,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6"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requirements.</w:t>
      </w:r>
    </w:p>
    <w:p>
      <w:pPr>
        <w:spacing w:after="0" w:line="186" w:lineRule="exact"/>
        <w:rPr>
          <w:sz w:val="20"/>
          <w:szCs w:val="20"/>
          <w:color w:val="auto"/>
        </w:rPr>
      </w:pPr>
    </w:p>
    <w:p>
      <w:pPr>
        <w:ind w:left="140"/>
        <w:spacing w:after="0" w:line="292" w:lineRule="auto"/>
        <w:rPr>
          <w:sz w:val="20"/>
          <w:szCs w:val="20"/>
          <w:color w:val="auto"/>
        </w:rPr>
      </w:pPr>
      <w:r>
        <w:rPr>
          <w:rFonts w:ascii="Arial" w:cs="Arial" w:eastAsia="Arial" w:hAnsi="Arial"/>
          <w:sz w:val="16"/>
          <w:szCs w:val="16"/>
          <w:color w:val="auto"/>
        </w:rPr>
        <w:t>The FDA generally accepts data from foreign clinical trials in support of an NDA or BLA if the trials were conducted under an IND. If a foreign clinical trial is not conducted under an IND, the FDA nevertheless may accept the data in support of an NDA or BLA if the study was conducted in accordance with GCP requirements and the FDA is able to validate the data through an on-site inspection, if deemed necessary.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64" w:lineRule="exact"/>
        <w:rPr>
          <w:sz w:val="20"/>
          <w:szCs w:val="20"/>
          <w:color w:val="auto"/>
        </w:rPr>
      </w:pPr>
    </w:p>
    <w:p>
      <w:pPr>
        <w:ind w:left="140" w:right="460"/>
        <w:spacing w:after="0" w:line="285" w:lineRule="auto"/>
        <w:rPr>
          <w:sz w:val="20"/>
          <w:szCs w:val="20"/>
          <w:color w:val="auto"/>
        </w:rPr>
      </w:pPr>
      <w:r>
        <w:rPr>
          <w:rFonts w:ascii="Arial" w:cs="Arial" w:eastAsia="Arial" w:hAnsi="Arial"/>
          <w:sz w:val="17"/>
          <w:szCs w:val="17"/>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85"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60"/>
        <w:spacing w:after="0" w:line="292" w:lineRule="auto"/>
        <w:rPr>
          <w:sz w:val="20"/>
          <w:szCs w:val="20"/>
          <w:color w:val="auto"/>
        </w:rPr>
      </w:pPr>
      <w:r>
        <w:rPr>
          <w:rFonts w:ascii="Arial" w:cs="Arial" w:eastAsia="Arial" w:hAnsi="Arial"/>
          <w:sz w:val="16"/>
          <w:szCs w:val="16"/>
          <w:color w:val="auto"/>
        </w:rPr>
        <w:t>application will not be approved in its present form. A Complete Response Letter usually describes the specific deficiencies in the NDA or BLA identified by the FDA and may require additional clinical data, such as an additional clinical trial or other significant and time-consuming requirements. If a Complete Response Letter is issued, the sponsor must resubmit the NDA or BLA, addressing all of the deficiencies identified in the letter, or withdraw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or biologic with specific prescribing information for specific indications.</w:t>
      </w:r>
    </w:p>
    <w:p>
      <w:pPr>
        <w:spacing w:after="0" w:line="164" w:lineRule="exact"/>
        <w:rPr>
          <w:sz w:val="20"/>
          <w:szCs w:val="20"/>
          <w:color w:val="auto"/>
        </w:rPr>
      </w:pPr>
    </w:p>
    <w:p>
      <w:pPr>
        <w:ind w:left="140"/>
        <w:spacing w:after="0" w:line="289"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post-marketing studies and surveillance to further assess and monitor the product’s safety and effectiveness after commercialization, and may limit further marketing of the product based on the results of these post-marketing studies.</w:t>
      </w:r>
    </w:p>
    <w:p>
      <w:pPr>
        <w:spacing w:after="0" w:line="165" w:lineRule="exact"/>
        <w:rPr>
          <w:sz w:val="20"/>
          <w:szCs w:val="20"/>
          <w:color w:val="auto"/>
        </w:rPr>
      </w:pPr>
    </w:p>
    <w:p>
      <w:pPr>
        <w:ind w:left="140" w:right="60"/>
        <w:spacing w:after="0" w:line="269"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116" w:lineRule="exact"/>
        <w:rPr>
          <w:sz w:val="20"/>
          <w:szCs w:val="20"/>
          <w:color w:val="auto"/>
        </w:rPr>
      </w:pPr>
    </w:p>
    <w:p>
      <w:pPr>
        <w:ind w:left="140"/>
        <w:spacing w:after="0" w:line="285" w:lineRule="auto"/>
        <w:rPr>
          <w:sz w:val="20"/>
          <w:szCs w:val="20"/>
          <w:color w:val="auto"/>
        </w:rPr>
      </w:pPr>
      <w:r>
        <w:rPr>
          <w:rFonts w:ascii="Arial" w:cs="Arial" w:eastAsia="Arial" w:hAnsi="Arial"/>
          <w:sz w:val="16"/>
          <w:szCs w:val="16"/>
          <w:color w:val="auto"/>
        </w:rPr>
        <w:t>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component generally would be reviewed and approved pursuant to the drug approval processes set forth in the FDCA or PHSA. In reviewing the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Regulation applicable to medical devices.</w:t>
      </w:r>
    </w:p>
    <w:p>
      <w:pPr>
        <w:spacing w:after="0" w:line="27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6" w:lineRule="exact"/>
        <w:rPr>
          <w:sz w:val="20"/>
          <w:szCs w:val="20"/>
          <w:color w:val="auto"/>
        </w:rPr>
      </w:pPr>
    </w:p>
    <w:p>
      <w:pPr>
        <w:ind w:left="140" w:right="40"/>
        <w:spacing w:after="0" w:line="269"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or BLA is submitted, the product candidate may be eligible for priority review. A Fast Track product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and determines that the schedule is acceptable, and the sponsor pays any required user fees upon submission of the first section of the NDA or BLA.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85"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20"/>
        <w:spacing w:after="0" w:line="292" w:lineRule="auto"/>
        <w:rPr>
          <w:sz w:val="20"/>
          <w:szCs w:val="20"/>
          <w:color w:val="auto"/>
        </w:rPr>
      </w:pPr>
      <w:r>
        <w:rPr>
          <w:rFonts w:ascii="Arial" w:cs="Arial" w:eastAsia="Arial" w:hAnsi="Arial"/>
          <w:sz w:val="16"/>
          <w:szCs w:val="16"/>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4"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w:t>
      </w:r>
    </w:p>
    <w:p>
      <w:pPr>
        <w:spacing w:after="0" w:line="192" w:lineRule="exact"/>
        <w:rPr>
          <w:sz w:val="20"/>
          <w:szCs w:val="20"/>
          <w:color w:val="auto"/>
        </w:rPr>
      </w:pPr>
    </w:p>
    <w:p>
      <w:pPr>
        <w:ind w:left="140"/>
        <w:spacing w:after="0" w:line="288" w:lineRule="auto"/>
        <w:rPr>
          <w:sz w:val="20"/>
          <w:szCs w:val="20"/>
          <w:color w:val="auto"/>
        </w:rPr>
      </w:pPr>
      <w:r>
        <w:rPr>
          <w:rFonts w:ascii="Arial" w:cs="Arial" w:eastAsia="Arial" w:hAnsi="Arial"/>
          <w:sz w:val="16"/>
          <w:szCs w:val="16"/>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65" w:lineRule="exact"/>
        <w:rPr>
          <w:sz w:val="20"/>
          <w:szCs w:val="20"/>
          <w:color w:val="auto"/>
        </w:rPr>
      </w:pPr>
    </w:p>
    <w:p>
      <w:pPr>
        <w:jc w:val="both"/>
        <w:ind w:left="140" w:right="140"/>
        <w:spacing w:after="0" w:line="310" w:lineRule="auto"/>
        <w:rPr>
          <w:sz w:val="20"/>
          <w:szCs w:val="20"/>
          <w:color w:val="auto"/>
        </w:rPr>
      </w:pPr>
      <w:r>
        <w:rPr>
          <w:rFonts w:ascii="Arial" w:cs="Arial" w:eastAsia="Arial" w:hAnsi="Arial"/>
          <w:sz w:val="16"/>
          <w:szCs w:val="16"/>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6" w:lineRule="exact"/>
        <w:rPr>
          <w:sz w:val="20"/>
          <w:szCs w:val="20"/>
          <w:color w:val="auto"/>
        </w:rPr>
      </w:pPr>
    </w:p>
    <w:p>
      <w:pPr>
        <w:ind w:left="140" w:right="60"/>
        <w:spacing w:after="0" w:line="300" w:lineRule="auto"/>
        <w:rPr>
          <w:sz w:val="20"/>
          <w:szCs w:val="20"/>
          <w:color w:val="auto"/>
        </w:rPr>
      </w:pPr>
      <w:r>
        <w:rPr>
          <w:rFonts w:ascii="Arial" w:cs="Arial" w:eastAsia="Arial" w:hAnsi="Arial"/>
          <w:sz w:val="16"/>
          <w:szCs w:val="16"/>
          <w:color w:val="auto"/>
        </w:rPr>
        <w:t>Drugs and biologics manufactured or distributed pursuant to FDA approvals and licenses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many types of changes to the approved product, such as adding new indications, manufacturing changes or other labeling claims are subject to prior FDA review and approval.</w:t>
      </w:r>
    </w:p>
    <w:p>
      <w:pPr>
        <w:spacing w:after="0" w:line="156" w:lineRule="exact"/>
        <w:rPr>
          <w:sz w:val="20"/>
          <w:szCs w:val="20"/>
          <w:color w:val="auto"/>
        </w:rPr>
      </w:pPr>
    </w:p>
    <w:p>
      <w:pPr>
        <w:ind w:left="140"/>
        <w:spacing w:after="0" w:line="285" w:lineRule="auto"/>
        <w:rPr>
          <w:sz w:val="20"/>
          <w:szCs w:val="20"/>
          <w:color w:val="auto"/>
        </w:rPr>
      </w:pPr>
      <w:r>
        <w:rPr>
          <w:rFonts w:ascii="Arial" w:cs="Arial" w:eastAsia="Arial" w:hAnsi="Arial"/>
          <w:sz w:val="17"/>
          <w:szCs w:val="17"/>
          <w:color w:val="auto"/>
        </w:rPr>
        <w:t>There also are continuing, annual program fee requirements for certain approved prescription drug or biologic products. 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65" w:lineRule="exact"/>
        <w:rPr>
          <w:sz w:val="20"/>
          <w:szCs w:val="20"/>
          <w:color w:val="auto"/>
        </w:rPr>
      </w:pPr>
    </w:p>
    <w:p>
      <w:pPr>
        <w:ind w:left="140" w:right="160"/>
        <w:spacing w:after="0" w:line="292" w:lineRule="auto"/>
        <w:rPr>
          <w:sz w:val="20"/>
          <w:szCs w:val="20"/>
          <w:color w:val="auto"/>
        </w:rPr>
      </w:pPr>
      <w:r>
        <w:rPr>
          <w:rFonts w:ascii="Arial" w:cs="Arial" w:eastAsia="Arial" w:hAnsi="Arial"/>
          <w:sz w:val="16"/>
          <w:szCs w:val="16"/>
          <w:color w:val="auto"/>
        </w:rPr>
        <w:t>In addition, drug and biologics manufacturers and other entities involved in the manufacture and distribution of approved drugs and biologics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4" w:lineRule="exact"/>
        <w:rPr>
          <w:sz w:val="20"/>
          <w:szCs w:val="20"/>
          <w:color w:val="auto"/>
        </w:rPr>
      </w:pPr>
    </w:p>
    <w:p>
      <w:pPr>
        <w:ind w:left="140" w:right="740"/>
        <w:spacing w:after="0" w:line="275" w:lineRule="auto"/>
        <w:rPr>
          <w:sz w:val="20"/>
          <w:szCs w:val="20"/>
          <w:color w:val="auto"/>
        </w:rPr>
      </w:pPr>
      <w:r>
        <w:rPr>
          <w:rFonts w:ascii="Arial" w:cs="Arial" w:eastAsia="Arial" w:hAnsi="Arial"/>
          <w:sz w:val="18"/>
          <w:szCs w:val="18"/>
          <w:color w:val="auto"/>
        </w:rPr>
        <w:t>Once an approval is granted, the FDA may withdraw the approval in accordance with the statute and regulations if compliance with regulatory requirements and standards is not maintained or if problems occur after the product reaches the market.</w:t>
      </w:r>
    </w:p>
    <w:p>
      <w:pPr>
        <w:spacing w:after="0" w:line="171" w:lineRule="exact"/>
        <w:rPr>
          <w:sz w:val="20"/>
          <w:szCs w:val="20"/>
          <w:color w:val="auto"/>
        </w:rPr>
      </w:pPr>
    </w:p>
    <w:p>
      <w:pPr>
        <w:jc w:val="both"/>
        <w:ind w:left="140" w:right="20"/>
        <w:spacing w:after="0" w:line="310" w:lineRule="auto"/>
        <w:rPr>
          <w:sz w:val="20"/>
          <w:szCs w:val="20"/>
          <w:color w:val="auto"/>
        </w:rPr>
      </w:pPr>
      <w:r>
        <w:rPr>
          <w:rFonts w:ascii="Arial" w:cs="Arial" w:eastAsia="Arial" w:hAnsi="Arial"/>
          <w:sz w:val="16"/>
          <w:szCs w:val="16"/>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85"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potential consequences include, among other things:</w:t>
      </w:r>
    </w:p>
    <w:p>
      <w:pPr>
        <w:spacing w:after="0" w:line="129" w:lineRule="exact"/>
        <w:rPr>
          <w:sz w:val="20"/>
          <w:szCs w:val="20"/>
          <w:color w:val="auto"/>
        </w:rPr>
      </w:pPr>
    </w:p>
    <w:p>
      <w:pPr>
        <w:ind w:left="1100" w:hanging="426"/>
        <w:spacing w:after="0"/>
        <w:tabs>
          <w:tab w:leader="none" w:pos="11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0" w:lineRule="exact"/>
        <w:rPr>
          <w:rFonts w:ascii="Arial" w:cs="Arial" w:eastAsia="Arial" w:hAnsi="Arial"/>
          <w:sz w:val="17"/>
          <w:szCs w:val="17"/>
          <w:color w:val="auto"/>
        </w:rPr>
      </w:pPr>
    </w:p>
    <w:p>
      <w:pPr>
        <w:ind w:left="1100" w:hanging="426"/>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29" w:lineRule="exact"/>
        <w:rPr>
          <w:rFonts w:ascii="Arial" w:cs="Arial" w:eastAsia="Arial" w:hAnsi="Arial"/>
          <w:sz w:val="18"/>
          <w:szCs w:val="18"/>
          <w:color w:val="auto"/>
        </w:rPr>
      </w:pPr>
    </w:p>
    <w:p>
      <w:pPr>
        <w:ind w:left="1100" w:right="20" w:hanging="426"/>
        <w:spacing w:after="0" w:line="275" w:lineRule="auto"/>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refusal of the FDA to approve pending NDAs or BLAs or supplements to approved NDAs or BLAs, or suspension or revocation of product license approvals;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3" w:lineRule="exact"/>
        <w:rPr>
          <w:sz w:val="20"/>
          <w:szCs w:val="20"/>
          <w:color w:val="auto"/>
        </w:rPr>
      </w:pPr>
    </w:p>
    <w:p>
      <w:pPr>
        <w:ind w:left="140"/>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judgement,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6" w:lineRule="exact"/>
        <w:rPr>
          <w:sz w:val="20"/>
          <w:szCs w:val="20"/>
          <w:color w:val="auto"/>
        </w:rPr>
      </w:pPr>
    </w:p>
    <w:p>
      <w:pPr>
        <w:ind w:left="140" w:right="20"/>
        <w:spacing w:after="0" w:line="253"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in the United States. 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 Orphan drug designation entitles a party to financial incentives such as opportunities for grant funding towards clinical trial costs, tax advantages and user fee waivers.</w:t>
      </w:r>
    </w:p>
    <w:p>
      <w:pPr>
        <w:spacing w:after="0" w:line="192" w:lineRule="exact"/>
        <w:rPr>
          <w:sz w:val="20"/>
          <w:szCs w:val="20"/>
          <w:color w:val="auto"/>
        </w:rPr>
      </w:pPr>
    </w:p>
    <w:p>
      <w:pPr>
        <w:ind w:left="140" w:right="140"/>
        <w:spacing w:after="0" w:line="292"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product for the same disease or condition or the same product for a different disease or condition.</w:t>
      </w:r>
    </w:p>
    <w:p>
      <w:pPr>
        <w:spacing w:after="0" w:line="164" w:lineRule="exact"/>
        <w:rPr>
          <w:sz w:val="20"/>
          <w:szCs w:val="20"/>
          <w:color w:val="auto"/>
        </w:rPr>
      </w:pPr>
    </w:p>
    <w:p>
      <w:pPr>
        <w:ind w:left="140" w:right="140"/>
        <w:spacing w:after="0" w:line="25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6" w:lineRule="exact"/>
        <w:rPr>
          <w:sz w:val="20"/>
          <w:szCs w:val="20"/>
          <w:color w:val="auto"/>
        </w:rPr>
      </w:pPr>
    </w:p>
    <w:p>
      <w:pPr>
        <w:ind w:left="140" w:right="40"/>
        <w:spacing w:after="0" w:line="269" w:lineRule="auto"/>
        <w:rPr>
          <w:sz w:val="20"/>
          <w:szCs w:val="20"/>
          <w:color w:val="auto"/>
        </w:rPr>
      </w:pPr>
      <w:r>
        <w:rPr>
          <w:rFonts w:ascii="Arial" w:cs="Arial" w:eastAsia="Arial" w:hAnsi="Arial"/>
          <w:sz w:val="17"/>
          <w:szCs w:val="17"/>
          <w:color w:val="auto"/>
        </w:rPr>
        <w:t>The ACA includes a subtitle called the Biologics Price Competition and Innovation Act of 2009, or BPCIA, which created an abbreviated approval pathway for biological products that are biosimilar to or interchangeable with an FDA-licensed reference biological product. To date, relatively few biosimilars have been licensed under the BPCIA, although numerous biosimilars have been approved in Europe.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85"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
        <w:spacing w:after="0" w:line="271"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Drug Product Exclusivity</w:t>
      </w:r>
    </w:p>
    <w:p>
      <w:pPr>
        <w:spacing w:after="0" w:line="116" w:lineRule="exact"/>
        <w:rPr>
          <w:sz w:val="20"/>
          <w:szCs w:val="20"/>
          <w:color w:val="auto"/>
        </w:rPr>
      </w:pPr>
    </w:p>
    <w:p>
      <w:pPr>
        <w:ind w:left="140"/>
        <w:spacing w:after="0" w:line="289" w:lineRule="auto"/>
        <w:rPr>
          <w:sz w:val="20"/>
          <w:szCs w:val="20"/>
          <w:color w:val="auto"/>
        </w:rPr>
      </w:pPr>
      <w:r>
        <w:rPr>
          <w:rFonts w:ascii="Arial" w:cs="Arial" w:eastAsia="Arial" w:hAnsi="Arial"/>
          <w:sz w:val="16"/>
          <w:szCs w:val="16"/>
          <w:color w:val="auto"/>
        </w:rPr>
        <w:t>Market exclusivity provisions authorized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5" w:lineRule="exact"/>
        <w:rPr>
          <w:sz w:val="20"/>
          <w:szCs w:val="20"/>
          <w:color w:val="auto"/>
        </w:rPr>
      </w:pPr>
    </w:p>
    <w:p>
      <w:pPr>
        <w:ind w:left="140"/>
        <w:spacing w:after="0" w:line="271"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16" w:lineRule="exact"/>
        <w:rPr>
          <w:sz w:val="20"/>
          <w:szCs w:val="20"/>
          <w:color w:val="auto"/>
        </w:rPr>
      </w:pPr>
    </w:p>
    <w:p>
      <w:pPr>
        <w:ind w:left="140" w:right="60"/>
        <w:spacing w:after="0" w:line="270" w:lineRule="auto"/>
        <w:rPr>
          <w:sz w:val="20"/>
          <w:szCs w:val="20"/>
          <w:color w:val="auto"/>
        </w:rPr>
      </w:pPr>
      <w:r>
        <w:rPr>
          <w:rFonts w:ascii="Arial" w:cs="Arial" w:eastAsia="Arial" w:hAnsi="Arial"/>
          <w:sz w:val="17"/>
          <w:szCs w:val="17"/>
          <w:color w:val="auto"/>
        </w:rPr>
        <w:t>Pediatric exclusivity is a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an NDA or BLA sponsor submits pediatric data that fairly respond to a written request from the FDA for such data. The data does not need to show the product to be effective in the pediatric population studied; rather, if the FDA has requested the study and the clinical study is deemed to fairly respond to the FDA’s request, the additional protection is granted. If reports of FDA-requested pediatric studies are submitted to and accepted by the FDA within the statutory time limits, whatever statutory or regulatory periods of exclusivity or patent protection cover the product are extended by six months for purposes of the FDA approval process. This is not a patent term extension, but it effectively extends existing periods of regulatory exclusivity.</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6" w:lineRule="exact"/>
        <w:rPr>
          <w:sz w:val="20"/>
          <w:szCs w:val="20"/>
          <w:color w:val="auto"/>
        </w:rPr>
      </w:pPr>
    </w:p>
    <w:p>
      <w:pPr>
        <w:ind w:left="140" w:right="140"/>
        <w:spacing w:after="0" w:line="258"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The foreign regulatory approval process includes all of the risks associated with FDA approval set forth above, as well as additional country-specific regulation</w:t>
      </w:r>
    </w:p>
    <w:p>
      <w:pPr>
        <w:spacing w:after="0" w:line="186" w:lineRule="exact"/>
        <w:rPr>
          <w:sz w:val="20"/>
          <w:szCs w:val="20"/>
          <w:color w:val="auto"/>
        </w:rPr>
      </w:pPr>
    </w:p>
    <w:p>
      <w:pPr>
        <w:ind w:left="140" w:right="60"/>
        <w:spacing w:after="0" w:line="274" w:lineRule="auto"/>
        <w:rPr>
          <w:sz w:val="20"/>
          <w:szCs w:val="20"/>
          <w:color w:val="auto"/>
        </w:rPr>
      </w:pPr>
      <w:r>
        <w:rPr>
          <w:rFonts w:ascii="Arial" w:cs="Arial" w:eastAsia="Arial" w:hAnsi="Arial"/>
          <w:sz w:val="17"/>
          <w:szCs w:val="17"/>
          <w:color w:val="auto"/>
        </w:rPr>
        <w:t>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Non-clinical Studies and Clinical Trials</w:t>
      </w:r>
    </w:p>
    <w:p>
      <w:pPr>
        <w:spacing w:after="0" w:line="116" w:lineRule="exact"/>
        <w:rPr>
          <w:sz w:val="20"/>
          <w:szCs w:val="20"/>
          <w:color w:val="auto"/>
        </w:rPr>
      </w:pPr>
    </w:p>
    <w:p>
      <w:pPr>
        <w:ind w:left="140" w:right="40"/>
        <w:spacing w:after="0" w:line="275" w:lineRule="auto"/>
        <w:rPr>
          <w:sz w:val="20"/>
          <w:szCs w:val="20"/>
          <w:color w:val="auto"/>
        </w:rPr>
      </w:pPr>
      <w:r>
        <w:rPr>
          <w:rFonts w:ascii="Arial" w:cs="Arial" w:eastAsia="Arial" w:hAnsi="Arial"/>
          <w:sz w:val="18"/>
          <w:szCs w:val="18"/>
          <w:color w:val="auto"/>
        </w:rPr>
        <w:t>Similarly to the United States, the various phases of non-clinical and clinical research in the European Union, or EU are subject to significant regulatory controls.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85"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80"/>
        <w:spacing w:after="0" w:line="274" w:lineRule="auto"/>
        <w:rPr>
          <w:sz w:val="20"/>
          <w:szCs w:val="20"/>
          <w:color w:val="auto"/>
        </w:rPr>
      </w:pPr>
      <w:r>
        <w:rPr>
          <w:rFonts w:ascii="Arial" w:cs="Arial" w:eastAsia="Arial" w:hAnsi="Arial"/>
          <w:sz w:val="17"/>
          <w:szCs w:val="17"/>
          <w:color w:val="auto"/>
        </w:rPr>
        <w:t>Non-clinical studies are performed to demonstrate the health or environmental safety of new chemical or biological substances. Non-clinical studies must be conducted in compliance with the principles of good laboratory practice, or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76"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Clinical trials of medicinal products in the EU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88" w:lineRule="exact"/>
        <w:rPr>
          <w:sz w:val="20"/>
          <w:szCs w:val="20"/>
          <w:color w:val="auto"/>
        </w:rPr>
      </w:pPr>
    </w:p>
    <w:p>
      <w:pPr>
        <w:ind w:left="140" w:right="140"/>
        <w:spacing w:after="0" w:line="256" w:lineRule="auto"/>
        <w:rPr>
          <w:sz w:val="20"/>
          <w:szCs w:val="20"/>
          <w:color w:val="auto"/>
        </w:rPr>
      </w:pPr>
      <w:r>
        <w:rPr>
          <w:rFonts w:ascii="Arial" w:cs="Arial" w:eastAsia="Arial" w:hAnsi="Arial"/>
          <w:sz w:val="18"/>
          <w:szCs w:val="18"/>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8" w:lineRule="exact"/>
        <w:rPr>
          <w:sz w:val="20"/>
          <w:szCs w:val="20"/>
          <w:color w:val="auto"/>
        </w:rPr>
      </w:pPr>
    </w:p>
    <w:p>
      <w:pPr>
        <w:ind w:left="140" w:right="80"/>
        <w:spacing w:after="0" w:line="269" w:lineRule="auto"/>
        <w:rPr>
          <w:sz w:val="20"/>
          <w:szCs w:val="20"/>
          <w:color w:val="auto"/>
        </w:rPr>
      </w:pPr>
      <w:r>
        <w:rPr>
          <w:rFonts w:ascii="Arial" w:cs="Arial" w:eastAsia="Arial" w:hAnsi="Arial"/>
          <w:sz w:val="17"/>
          <w:szCs w:val="17"/>
          <w:color w:val="auto"/>
        </w:rPr>
        <w:t>While the Clinical Trials Directive required a separate clinical trial application, or CTA, to be submitted in each member state, to both the competent national health authority and an independent ethics committee, much like the FDA and IRB respectively,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1" w:lineRule="exact"/>
        <w:rPr>
          <w:sz w:val="20"/>
          <w:szCs w:val="20"/>
          <w:color w:val="auto"/>
        </w:rPr>
      </w:pPr>
    </w:p>
    <w:p>
      <w:pPr>
        <w:ind w:left="140" w:right="180"/>
        <w:spacing w:after="0" w:line="256" w:lineRule="auto"/>
        <w:rPr>
          <w:sz w:val="20"/>
          <w:szCs w:val="20"/>
          <w:color w:val="auto"/>
        </w:rPr>
      </w:pPr>
      <w:r>
        <w:rPr>
          <w:rFonts w:ascii="Arial" w:cs="Arial" w:eastAsia="Arial" w:hAnsi="Arial"/>
          <w:sz w:val="18"/>
          <w:szCs w:val="18"/>
          <w:color w:val="auto"/>
        </w:rPr>
        <w:t>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w:t>
      </w:r>
    </w:p>
    <w:p>
      <w:pPr>
        <w:spacing w:after="0" w:line="188" w:lineRule="exact"/>
        <w:rPr>
          <w:sz w:val="20"/>
          <w:szCs w:val="20"/>
          <w:color w:val="auto"/>
        </w:rPr>
      </w:pPr>
    </w:p>
    <w:p>
      <w:pPr>
        <w:ind w:left="140" w:right="660"/>
        <w:spacing w:after="0" w:line="275" w:lineRule="auto"/>
        <w:rPr>
          <w:sz w:val="20"/>
          <w:szCs w:val="20"/>
          <w:color w:val="auto"/>
        </w:rPr>
      </w:pPr>
      <w:r>
        <w:rPr>
          <w:rFonts w:ascii="Arial" w:cs="Arial" w:eastAsia="Arial" w:hAnsi="Arial"/>
          <w:sz w:val="18"/>
          <w:szCs w:val="18"/>
          <w:color w:val="auto"/>
        </w:rPr>
        <w:t>Medicines used in clinical trials must be manufactured in accordance with Good Manufacturing Practice, or GMP. Other national and EU-wide regulatory requirements may also apply.</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116" w:lineRule="exact"/>
        <w:rPr>
          <w:sz w:val="20"/>
          <w:szCs w:val="20"/>
          <w:color w:val="auto"/>
        </w:rPr>
      </w:pPr>
    </w:p>
    <w:p>
      <w:pPr>
        <w:ind w:left="140" w:right="60"/>
        <w:spacing w:after="0" w:line="278" w:lineRule="auto"/>
        <w:rPr>
          <w:sz w:val="20"/>
          <w:szCs w:val="20"/>
          <w:color w:val="auto"/>
        </w:rPr>
      </w:pPr>
      <w:r>
        <w:rPr>
          <w:rFonts w:ascii="Arial" w:cs="Arial" w:eastAsia="Arial" w:hAnsi="Arial"/>
          <w:sz w:val="17"/>
          <w:szCs w:val="17"/>
          <w:color w:val="auto"/>
        </w:rPr>
        <w:t>In order to market our future product candidates in the EU and many other foreign jurisdictions, we must obtain separate regulatory approvals. More concretely, in the EU, medicinal product candidates can only be commercialized after obtaining a marketing authorization, or MA. To obtain regulatory approval of a product candidate under EU regulatory systems, we must submit a MA application, or MAA. The process for doing this depends, among other things, on the nature of the medicinal product. There are two types of MAs:</w:t>
      </w:r>
    </w:p>
    <w:p>
      <w:pPr>
        <w:spacing w:after="0" w:line="76" w:lineRule="exact"/>
        <w:rPr>
          <w:sz w:val="20"/>
          <w:szCs w:val="20"/>
          <w:color w:val="auto"/>
        </w:rPr>
      </w:pPr>
    </w:p>
    <w:p>
      <w:pPr>
        <w:ind w:left="1100" w:hanging="426"/>
        <w:spacing w:after="0" w:line="269" w:lineRule="auto"/>
        <w:tabs>
          <w:tab w:leader="none" w:pos="11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“Centralized MAs” are issued by the European Commission through the centralized procedure based on the opinion of the Committee for Medicinal Products for Human Use, or CHMP, of the European Medicines Agency, or EMA, and are valid throughout the EU. The centralized procedure is compulsory for certain types of medicinal products such as (i) medicinal products derived from biotechnological processes, (ii) designated orphan medicinal products, (iii) advanced therapy medicinal products, or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authorized in the EU before May 20, 2004, or that represent a significant therapeutic, scientific or technical innovation, or whose authorization would be in the interest of public health in the EU.</w:t>
      </w:r>
    </w:p>
    <w:p>
      <w:pPr>
        <w:spacing w:after="0" w:line="86" w:lineRule="exact"/>
        <w:rPr>
          <w:rFonts w:ascii="Arial" w:cs="Arial" w:eastAsia="Arial" w:hAnsi="Arial"/>
          <w:sz w:val="17"/>
          <w:szCs w:val="17"/>
          <w:color w:val="auto"/>
        </w:rPr>
      </w:pPr>
    </w:p>
    <w:p>
      <w:pPr>
        <w:jc w:val="both"/>
        <w:ind w:left="1100" w:right="160" w:hanging="426"/>
        <w:spacing w:after="0" w:line="262" w:lineRule="auto"/>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85"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20" w:right="120"/>
        <w:spacing w:after="0" w:line="278" w:lineRule="auto"/>
        <w:rPr>
          <w:sz w:val="20"/>
          <w:szCs w:val="20"/>
          <w:color w:val="auto"/>
        </w:rPr>
      </w:pPr>
      <w:r>
        <w:rPr>
          <w:rFonts w:ascii="Arial" w:cs="Arial" w:eastAsia="Arial" w:hAnsi="Arial"/>
          <w:sz w:val="17"/>
          <w:szCs w:val="17"/>
          <w:color w:val="auto"/>
        </w:rPr>
        <w:t>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Under the centralized procedure the maximum timeframe for the evaluation of an MAA by the EMA is 210 days, excluding clock stops.</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116" w:lineRule="exact"/>
        <w:rPr>
          <w:sz w:val="20"/>
          <w:szCs w:val="20"/>
          <w:color w:val="auto"/>
        </w:rPr>
      </w:pPr>
    </w:p>
    <w:p>
      <w:pPr>
        <w:ind w:left="140"/>
        <w:spacing w:after="0" w:line="288" w:lineRule="auto"/>
        <w:rPr>
          <w:sz w:val="20"/>
          <w:szCs w:val="20"/>
          <w:color w:val="auto"/>
        </w:rPr>
      </w:pPr>
      <w:r>
        <w:rPr>
          <w:rFonts w:ascii="Arial" w:cs="Arial" w:eastAsia="Arial" w:hAnsi="Arial"/>
          <w:sz w:val="16"/>
          <w:szCs w:val="16"/>
          <w:color w:val="auto"/>
        </w:rPr>
        <w:t>In the EU, new products authorized for marketing (</w:t>
      </w:r>
      <w:r>
        <w:rPr>
          <w:rFonts w:ascii="Arial" w:cs="Arial" w:eastAsia="Arial" w:hAnsi="Arial"/>
          <w:sz w:val="16"/>
          <w:szCs w:val="16"/>
          <w:i w:val="1"/>
          <w:iCs w:val="1"/>
          <w:color w:val="auto"/>
        </w:rPr>
        <w:t>i.e.</w:t>
      </w:r>
      <w:r>
        <w:rPr>
          <w:rFonts w:ascii="Arial" w:cs="Arial" w:eastAsia="Arial" w:hAnsi="Arial"/>
          <w:sz w:val="16"/>
          <w:szCs w:val="16"/>
          <w:color w:val="auto"/>
        </w:rPr>
        <w:t>,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Orphan Medicinal Products</w:t>
      </w:r>
    </w:p>
    <w:p>
      <w:pPr>
        <w:spacing w:after="0" w:line="116" w:lineRule="exact"/>
        <w:rPr>
          <w:sz w:val="20"/>
          <w:szCs w:val="20"/>
          <w:color w:val="auto"/>
        </w:rPr>
      </w:pPr>
    </w:p>
    <w:p>
      <w:pPr>
        <w:ind w:left="140" w:right="220"/>
        <w:spacing w:after="0" w:line="287" w:lineRule="auto"/>
        <w:rPr>
          <w:sz w:val="20"/>
          <w:szCs w:val="20"/>
          <w:color w:val="auto"/>
        </w:rPr>
      </w:pPr>
      <w:r>
        <w:rPr>
          <w:rFonts w:ascii="Arial" w:cs="Arial" w:eastAsia="Arial" w:hAnsi="Arial"/>
          <w:sz w:val="16"/>
          <w:szCs w:val="16"/>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w:t>
      </w:r>
    </w:p>
    <w:p>
      <w:pPr>
        <w:jc w:val="both"/>
        <w:ind w:left="140" w:right="180" w:hanging="5"/>
        <w:spacing w:after="0" w:line="276" w:lineRule="auto"/>
        <w:tabs>
          <w:tab w:leader="none" w:pos="394"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72" w:lineRule="exact"/>
        <w:rPr>
          <w:sz w:val="20"/>
          <w:szCs w:val="20"/>
          <w:color w:val="auto"/>
        </w:rPr>
      </w:pPr>
    </w:p>
    <w:p>
      <w:pPr>
        <w:ind w:left="140" w:right="160"/>
        <w:spacing w:after="0" w:line="258" w:lineRule="auto"/>
        <w:rPr>
          <w:sz w:val="20"/>
          <w:szCs w:val="20"/>
          <w:color w:val="auto"/>
        </w:rPr>
      </w:pPr>
      <w:r>
        <w:rPr>
          <w:rFonts w:ascii="Arial" w:cs="Arial" w:eastAsia="Arial" w:hAnsi="Arial"/>
          <w:sz w:val="18"/>
          <w:szCs w:val="18"/>
          <w:color w:val="auto"/>
        </w:rPr>
        <w:t>An EU orphan drug designation entitles a party to incentives such as reduction of fees or fee waivers, protocol assistance, and access to the centralized procedure. Upon grant of a MA, orphan medicinal products are entitled to a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85"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40" w:right="280"/>
        <w:spacing w:after="0" w:line="262" w:lineRule="auto"/>
        <w:rPr>
          <w:sz w:val="20"/>
          <w:szCs w:val="20"/>
          <w:color w:val="auto"/>
        </w:rPr>
      </w:pPr>
      <w:r>
        <w:rPr>
          <w:rFonts w:ascii="Arial" w:cs="Arial" w:eastAsia="Arial" w:hAnsi="Arial"/>
          <w:sz w:val="18"/>
          <w:szCs w:val="18"/>
          <w:color w:val="auto"/>
        </w:rPr>
        <w:t>extended by two years for orphan medicinal products that have also complied with an agreed pediatric investigation plan, or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183" w:lineRule="exact"/>
        <w:rPr>
          <w:sz w:val="20"/>
          <w:szCs w:val="20"/>
          <w:color w:val="auto"/>
        </w:rPr>
      </w:pPr>
    </w:p>
    <w:p>
      <w:pPr>
        <w:ind w:left="140" w:right="60"/>
        <w:spacing w:after="0" w:line="272" w:lineRule="auto"/>
        <w:rPr>
          <w:sz w:val="20"/>
          <w:szCs w:val="20"/>
          <w:color w:val="auto"/>
        </w:rPr>
      </w:pPr>
      <w:r>
        <w:rPr>
          <w:rFonts w:ascii="Arial" w:cs="Arial" w:eastAsia="Arial" w:hAnsi="Arial"/>
          <w:sz w:val="17"/>
          <w:szCs w:val="17"/>
          <w:color w:val="auto"/>
        </w:rPr>
        <w:t>The orphan exclusivity period may be reduced to six years if, at the end of the fifth year, it is established that the product no longer meets the criteria for which it received orphan drug destination, including where it is shown that the product is sufficiently profitable not to justify maintenance of market exclusivity or where the prevalence of the condition has increased above the threshold. Orphan drug designation must be requested before submitting an MAA.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28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Pediatric Development</w:t>
      </w:r>
    </w:p>
    <w:p>
      <w:pPr>
        <w:spacing w:after="0" w:line="116" w:lineRule="exact"/>
        <w:rPr>
          <w:sz w:val="20"/>
          <w:szCs w:val="20"/>
          <w:color w:val="auto"/>
        </w:rPr>
      </w:pPr>
    </w:p>
    <w:p>
      <w:pPr>
        <w:ind w:left="140" w:right="60"/>
        <w:spacing w:after="0" w:line="288" w:lineRule="auto"/>
        <w:rPr>
          <w:sz w:val="20"/>
          <w:szCs w:val="20"/>
          <w:color w:val="auto"/>
        </w:rPr>
      </w:pPr>
      <w:r>
        <w:rPr>
          <w:rFonts w:ascii="Arial" w:cs="Arial" w:eastAsia="Arial" w:hAnsi="Arial"/>
          <w:sz w:val="16"/>
          <w:szCs w:val="16"/>
          <w:color w:val="auto"/>
        </w:rPr>
        <w:t>In the EU, MAAs for new medicinal products have to include the results of studies conducted in the pediatric population, in compliance with a PIP agreed with the EMA’s Pediatric Committee, or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 year extension of the orphan market exclusivity is granted..</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6" w:lineRule="exact"/>
        <w:rPr>
          <w:sz w:val="20"/>
          <w:szCs w:val="20"/>
          <w:color w:val="auto"/>
        </w:rPr>
      </w:pPr>
    </w:p>
    <w:p>
      <w:pPr>
        <w:ind w:left="140" w:right="100"/>
        <w:spacing w:after="0" w:line="300" w:lineRule="auto"/>
        <w:rPr>
          <w:sz w:val="20"/>
          <w:szCs w:val="20"/>
          <w:color w:val="auto"/>
        </w:rPr>
      </w:pPr>
      <w:r>
        <w:rPr>
          <w:rFonts w:ascii="Arial" w:cs="Arial" w:eastAsia="Arial" w:hAnsi="Arial"/>
          <w:sz w:val="16"/>
          <w:szCs w:val="16"/>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56"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color w:val="auto"/>
        </w:rPr>
        <w:t>All new MAA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6" w:lineRule="exact"/>
        <w:rPr>
          <w:sz w:val="20"/>
          <w:szCs w:val="20"/>
          <w:color w:val="auto"/>
        </w:rPr>
      </w:pPr>
    </w:p>
    <w:p>
      <w:pPr>
        <w:ind w:left="140" w:right="20"/>
        <w:spacing w:after="0" w:line="295" w:lineRule="auto"/>
        <w:rPr>
          <w:sz w:val="20"/>
          <w:szCs w:val="20"/>
          <w:color w:val="auto"/>
        </w:rPr>
      </w:pPr>
      <w:r>
        <w:rPr>
          <w:rFonts w:ascii="Arial" w:cs="Arial" w:eastAsia="Arial" w:hAnsi="Arial"/>
          <w:sz w:val="16"/>
          <w:szCs w:val="16"/>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61" w:lineRule="exact"/>
        <w:rPr>
          <w:sz w:val="20"/>
          <w:szCs w:val="20"/>
          <w:color w:val="auto"/>
        </w:rPr>
      </w:pPr>
    </w:p>
    <w:p>
      <w:pPr>
        <w:ind w:left="140" w:right="600"/>
        <w:spacing w:after="0" w:line="275" w:lineRule="auto"/>
        <w:rPr>
          <w:sz w:val="20"/>
          <w:szCs w:val="20"/>
          <w:color w:val="auto"/>
        </w:rPr>
      </w:pPr>
      <w:r>
        <w:rPr>
          <w:rFonts w:ascii="Arial" w:cs="Arial" w:eastAsia="Arial" w:hAnsi="Arial"/>
          <w:sz w:val="18"/>
          <w:szCs w:val="18"/>
          <w:color w:val="auto"/>
        </w:rPr>
        <w:t>The aforementioned EU rules are generally applicable in the European Economic Area, or EEA, which consists of the 27 EU member states plus Norway, Liechtenstein and Iceland.</w:t>
      </w:r>
    </w:p>
    <w:p>
      <w:pPr>
        <w:spacing w:after="0" w:line="171"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85"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16" w:lineRule="exact"/>
        <w:rPr>
          <w:sz w:val="20"/>
          <w:szCs w:val="20"/>
          <w:color w:val="auto"/>
        </w:rPr>
      </w:pPr>
    </w:p>
    <w:p>
      <w:pPr>
        <w:ind w:left="140"/>
        <w:spacing w:after="0" w:line="253" w:lineRule="auto"/>
        <w:rPr>
          <w:sz w:val="20"/>
          <w:szCs w:val="20"/>
          <w:color w:val="auto"/>
        </w:rPr>
      </w:pPr>
      <w:r>
        <w:rPr>
          <w:rFonts w:ascii="Arial" w:cs="Arial" w:eastAsia="Arial" w:hAnsi="Arial"/>
          <w:sz w:val="18"/>
          <w:szCs w:val="18"/>
          <w:color w:val="auto"/>
        </w:rPr>
        <w:t>The United Kingdom, or UK, left the EU on January 31, 2020, following which existing EU medicinal product legislation continued to apply in the UK during the transition period under the terms of the EU-UK Withdrawal Agreement. The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or TCA, and became effective on the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w:t>
      </w:r>
    </w:p>
    <w:p>
      <w:pPr>
        <w:spacing w:after="0" w:line="195" w:lineRule="exact"/>
        <w:rPr>
          <w:sz w:val="20"/>
          <w:szCs w:val="20"/>
          <w:color w:val="auto"/>
        </w:rPr>
      </w:pPr>
    </w:p>
    <w:p>
      <w:pPr>
        <w:ind w:left="140" w:right="240"/>
        <w:spacing w:after="0" w:line="274" w:lineRule="auto"/>
        <w:rPr>
          <w:sz w:val="20"/>
          <w:szCs w:val="20"/>
          <w:color w:val="auto"/>
        </w:rPr>
      </w:pPr>
      <w:r>
        <w:rPr>
          <w:rFonts w:ascii="Arial" w:cs="Arial" w:eastAsia="Arial" w:hAnsi="Arial"/>
          <w:sz w:val="17"/>
          <w:szCs w:val="17"/>
          <w:color w:val="auto"/>
        </w:rPr>
        <w:t>EU laws which have been transposed into UK law through secondary legislation continue to be applicable as “retained EU law”. However, new legislation such as the EU CTR will not be applicable. The UK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76" w:lineRule="exact"/>
        <w:rPr>
          <w:sz w:val="20"/>
          <w:szCs w:val="20"/>
          <w:color w:val="auto"/>
        </w:rPr>
      </w:pPr>
    </w:p>
    <w:p>
      <w:pPr>
        <w:ind w:left="140" w:right="240"/>
        <w:spacing w:after="0" w:line="290" w:lineRule="auto"/>
        <w:rPr>
          <w:sz w:val="20"/>
          <w:szCs w:val="20"/>
          <w:color w:val="auto"/>
        </w:rPr>
      </w:pPr>
      <w:r>
        <w:rPr>
          <w:rFonts w:ascii="Arial" w:cs="Arial" w:eastAsia="Arial" w:hAnsi="Arial"/>
          <w:sz w:val="16"/>
          <w:szCs w:val="16"/>
          <w:color w:val="auto"/>
        </w:rPr>
        <w:t>As of January 1, 2021, the Medicines and Healthcare products Regulatory Agency, or MHRA, is the UK’s standalone medicines and medical devices regulator. As a result of the Northern Ireland protocol, different rules will apply in Northern Ireland than in England, Wales, and Scotland, together, Great Britain, or GB; broadly, Northern Ireland will continue to follow the EU regulatory regime, but its national competent authority will remain the MHRA. The MHRA has published a guidance on how various aspects of the UK regulatory regime for medicines will operate in GB and in Northern Ireland following the expiry of the Brexit transition period on December 31, 2020. The guidance includes clinical trials, importing, exporting, and pharmacovigilance and is relevant to any business involved in the research, development, or commercialization of medicines in the UK. The new guidance was given effect via the Human Medicines Regulations (Amendment etc.) (EU Exit) Regulations 2019, or the “Exit Regulations.</w:t>
      </w:r>
    </w:p>
    <w:p>
      <w:pPr>
        <w:spacing w:after="0" w:line="166" w:lineRule="exact"/>
        <w:rPr>
          <w:sz w:val="20"/>
          <w:szCs w:val="20"/>
          <w:color w:val="auto"/>
        </w:rPr>
      </w:pPr>
    </w:p>
    <w:p>
      <w:pPr>
        <w:ind w:left="140" w:right="60"/>
        <w:spacing w:after="0" w:line="268" w:lineRule="auto"/>
        <w:rPr>
          <w:sz w:val="20"/>
          <w:szCs w:val="20"/>
          <w:color w:val="auto"/>
        </w:rPr>
      </w:pPr>
      <w:r>
        <w:rPr>
          <w:rFonts w:ascii="Arial" w:cs="Arial" w:eastAsia="Arial" w:hAnsi="Arial"/>
          <w:sz w:val="17"/>
          <w:szCs w:val="17"/>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In order to use the centralized procedure to obtain a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The MHRA may rely on a decision taken by the European Commission on the approval of a new (centralized procedure) MA when determining an application for a GB authorization; or use the MHRA’s decentralized or mutual recognition procedures which enable MAs approved in EU member states (or Iceland, Liechtenstein, Norway) to be granted in GB.</w:t>
      </w:r>
    </w:p>
    <w:p>
      <w:pPr>
        <w:spacing w:after="0" w:line="185" w:lineRule="exact"/>
        <w:rPr>
          <w:sz w:val="20"/>
          <w:szCs w:val="20"/>
          <w:color w:val="auto"/>
        </w:rPr>
      </w:pPr>
    </w:p>
    <w:p>
      <w:pPr>
        <w:ind w:left="140" w:right="200"/>
        <w:spacing w:after="0" w:line="258" w:lineRule="auto"/>
        <w:rPr>
          <w:sz w:val="20"/>
          <w:szCs w:val="20"/>
          <w:color w:val="auto"/>
        </w:rPr>
      </w:pPr>
      <w:r>
        <w:rPr>
          <w:rFonts w:ascii="Arial" w:cs="Arial" w:eastAsia="Arial" w:hAnsi="Arial"/>
          <w:sz w:val="18"/>
          <w:szCs w:val="18"/>
          <w:color w:val="auto"/>
        </w:rPr>
        <w:t>There will be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Regulation of Combination Products in the EU</w:t>
      </w:r>
    </w:p>
    <w:p>
      <w:pPr>
        <w:spacing w:after="0" w:line="116"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w:t>
      </w:r>
    </w:p>
    <w:p>
      <w:pPr>
        <w:spacing w:after="0" w:line="183" w:lineRule="exact"/>
        <w:rPr>
          <w:sz w:val="20"/>
          <w:szCs w:val="20"/>
          <w:color w:val="auto"/>
        </w:rPr>
      </w:pPr>
    </w:p>
    <w:p>
      <w:pPr>
        <w:ind w:left="140" w:right="100"/>
        <w:spacing w:after="0" w:line="288" w:lineRule="auto"/>
        <w:rPr>
          <w:sz w:val="20"/>
          <w:szCs w:val="20"/>
          <w:color w:val="auto"/>
        </w:rPr>
      </w:pPr>
      <w:r>
        <w:rPr>
          <w:rFonts w:ascii="Arial" w:cs="Arial" w:eastAsia="Arial" w:hAnsi="Arial"/>
          <w:sz w:val="16"/>
          <w:szCs w:val="16"/>
          <w:color w:val="auto"/>
        </w:rPr>
        <w:t>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Medical Devices Regulation (including the general safety and performance requirements provided in Annex I). MAA must include—where available—the results of the assessment of the conformity of the device part with the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85"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340"/>
        <w:spacing w:after="0" w:line="258" w:lineRule="auto"/>
        <w:rPr>
          <w:sz w:val="20"/>
          <w:szCs w:val="20"/>
          <w:color w:val="auto"/>
        </w:rPr>
      </w:pPr>
      <w:r>
        <w:rPr>
          <w:rFonts w:ascii="Arial" w:cs="Arial" w:eastAsia="Arial" w:hAnsi="Arial"/>
          <w:sz w:val="18"/>
          <w:szCs w:val="18"/>
          <w:color w:val="auto"/>
        </w:rPr>
        <w:t>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spacing w:after="0" w:line="186" w:lineRule="exact"/>
        <w:rPr>
          <w:sz w:val="20"/>
          <w:szCs w:val="20"/>
          <w:color w:val="auto"/>
        </w:rPr>
      </w:pPr>
    </w:p>
    <w:p>
      <w:pPr>
        <w:ind w:left="140" w:right="80"/>
        <w:spacing w:after="0" w:line="256" w:lineRule="auto"/>
        <w:rPr>
          <w:sz w:val="20"/>
          <w:szCs w:val="20"/>
          <w:color w:val="auto"/>
        </w:rPr>
      </w:pPr>
      <w:r>
        <w:rPr>
          <w:rFonts w:ascii="Arial" w:cs="Arial" w:eastAsia="Arial" w:hAnsi="Arial"/>
          <w:sz w:val="18"/>
          <w:szCs w:val="18"/>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w:t>
      </w:r>
    </w:p>
    <w:p>
      <w:pPr>
        <w:spacing w:after="0" w:line="188" w:lineRule="exact"/>
        <w:rPr>
          <w:sz w:val="20"/>
          <w:szCs w:val="20"/>
          <w:color w:val="auto"/>
        </w:rPr>
      </w:pPr>
    </w:p>
    <w:p>
      <w:pPr>
        <w:ind w:left="140" w:right="660"/>
        <w:spacing w:after="0" w:line="340" w:lineRule="auto"/>
        <w:rPr>
          <w:sz w:val="20"/>
          <w:szCs w:val="20"/>
          <w:color w:val="auto"/>
        </w:rPr>
      </w:pPr>
      <w:r>
        <w:rPr>
          <w:rFonts w:ascii="Arial" w:cs="Arial" w:eastAsia="Arial" w:hAnsi="Arial"/>
          <w:sz w:val="16"/>
          <w:szCs w:val="16"/>
          <w:color w:val="auto"/>
        </w:rPr>
        <w:t>The requirements regarding quality documentation for medicinal products when used with a medical device, including single integral products, co-packaged and referenced products, are outlined in the EMA guideline of July 22, 2021, which became applicable as of January 1, 2022.</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aforementioned EU rules are generally applicable in the EEA.</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6" w:lineRule="exact"/>
        <w:rPr>
          <w:sz w:val="20"/>
          <w:szCs w:val="20"/>
          <w:color w:val="auto"/>
        </w:rPr>
      </w:pPr>
    </w:p>
    <w:p>
      <w:pPr>
        <w:ind w:left="140" w:right="320"/>
        <w:spacing w:after="0" w:line="310" w:lineRule="auto"/>
        <w:rPr>
          <w:sz w:val="20"/>
          <w:szCs w:val="20"/>
          <w:color w:val="auto"/>
        </w:rPr>
      </w:pPr>
      <w:r>
        <w:rPr>
          <w:rFonts w:ascii="Arial" w:cs="Arial" w:eastAsia="Arial" w:hAnsi="Arial"/>
          <w:sz w:val="16"/>
          <w:szCs w:val="16"/>
          <w:color w:val="auto"/>
        </w:rPr>
        <w:t>In addition to FDA restrictions on marketing of pharmaceutical products, other U.S. federal, state and foreign healthcare regulatory laws restrict business practices in the biopharmaceutical industry, which include, but are not limited to, state, federal and foreign anti-kickback, false claims, and transparency laws regarding drug pricing and payments or other items of value provided to physicians and other healthcare providers.</w:t>
      </w:r>
    </w:p>
    <w:p>
      <w:pPr>
        <w:spacing w:after="0" w:line="148" w:lineRule="exact"/>
        <w:rPr>
          <w:sz w:val="20"/>
          <w:szCs w:val="20"/>
          <w:color w:val="auto"/>
        </w:rPr>
      </w:pPr>
    </w:p>
    <w:p>
      <w:pPr>
        <w:ind w:left="140" w:right="20"/>
        <w:spacing w:after="0" w:line="285"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strict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in light of the prohibitions in the statute. Several courts have interpreted the statute’s intent requirement to mean that if any one purpose of an arrangement involving remuneration is to induce referrals of federal healthcare covered business, the statute has been violated. In addition, a person or entity does not need to have actual knowledge of the statute or specific intent to violate it to have committed a violation.</w:t>
      </w:r>
    </w:p>
    <w:p>
      <w:pPr>
        <w:spacing w:after="0" w:line="173" w:lineRule="exact"/>
        <w:rPr>
          <w:sz w:val="20"/>
          <w:szCs w:val="20"/>
          <w:color w:val="auto"/>
        </w:rPr>
      </w:pPr>
    </w:p>
    <w:p>
      <w:pPr>
        <w:ind w:left="140"/>
        <w:spacing w:after="0" w:line="253" w:lineRule="auto"/>
        <w:rPr>
          <w:sz w:val="20"/>
          <w:szCs w:val="20"/>
          <w:color w:val="auto"/>
        </w:rPr>
      </w:pPr>
      <w:r>
        <w:rPr>
          <w:rFonts w:ascii="Arial" w:cs="Arial" w:eastAsia="Arial" w:hAnsi="Arial"/>
          <w:sz w:val="18"/>
          <w:szCs w:val="18"/>
          <w:color w:val="auto"/>
        </w:rPr>
        <w:t>The federal civil False Claims Act prohibits any person or entity from, among other things,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 Moreover, a claim including items or services resulting from a violation of the federal Anti-Kickback Statute constitutes a false or fraudulent claim for purposes of the federal civil False Claims Act.</w:t>
      </w:r>
    </w:p>
    <w:p>
      <w:pPr>
        <w:spacing w:after="0" w:line="192" w:lineRule="exact"/>
        <w:rPr>
          <w:sz w:val="20"/>
          <w:szCs w:val="20"/>
          <w:color w:val="auto"/>
        </w:rPr>
      </w:pPr>
    </w:p>
    <w:p>
      <w:pPr>
        <w:ind w:left="140" w:right="200"/>
        <w:spacing w:after="0" w:line="262" w:lineRule="auto"/>
        <w:rPr>
          <w:sz w:val="20"/>
          <w:szCs w:val="20"/>
          <w:color w:val="auto"/>
        </w:rPr>
      </w:pPr>
      <w:r>
        <w:rPr>
          <w:rFonts w:ascii="Arial" w:cs="Arial" w:eastAsia="Arial" w:hAnsi="Arial"/>
          <w:sz w:val="18"/>
          <w:szCs w:val="18"/>
          <w:color w:val="auto"/>
        </w:rPr>
        <w:t>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83" w:lineRule="exact"/>
        <w:rPr>
          <w:sz w:val="20"/>
          <w:szCs w:val="20"/>
          <w:color w:val="auto"/>
        </w:rPr>
      </w:pPr>
    </w:p>
    <w:p>
      <w:pPr>
        <w:ind w:left="140" w:right="280"/>
        <w:spacing w:after="0" w:line="275" w:lineRule="auto"/>
        <w:rPr>
          <w:sz w:val="20"/>
          <w:szCs w:val="20"/>
          <w:color w:val="auto"/>
        </w:rPr>
      </w:pPr>
      <w:r>
        <w:rPr>
          <w:rFonts w:ascii="Arial" w:cs="Arial" w:eastAsia="Arial" w:hAnsi="Arial"/>
          <w:sz w:val="18"/>
          <w:szCs w:val="18"/>
          <w:color w:val="auto"/>
        </w:rPr>
        <w:t>The federal Health Insurance Portability and Accountability Act of 1996, or HIPAA, created new federal criminal statutes that prohibit, among other things, knowingly and willfully executing, or attempting to execute, a scheme to defraud any healthcare benefit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85"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40"/>
        <w:spacing w:after="0" w:line="310" w:lineRule="auto"/>
        <w:rPr>
          <w:sz w:val="20"/>
          <w:szCs w:val="20"/>
          <w:color w:val="auto"/>
        </w:rPr>
      </w:pPr>
      <w:r>
        <w:rPr>
          <w:rFonts w:ascii="Arial" w:cs="Arial" w:eastAsia="Arial" w:hAnsi="Arial"/>
          <w:sz w:val="16"/>
          <w:szCs w:val="16"/>
          <w:color w:val="auto"/>
        </w:rPr>
        <w:t>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As with the Anti-Kickback Statute, a person or entity does not need to have actual knowledge of the statute or specific intent to violate it to have committed a violation.</w:t>
      </w:r>
    </w:p>
    <w:p>
      <w:pPr>
        <w:spacing w:after="0" w:line="148" w:lineRule="exact"/>
        <w:rPr>
          <w:sz w:val="20"/>
          <w:szCs w:val="20"/>
          <w:color w:val="auto"/>
        </w:rPr>
      </w:pPr>
    </w:p>
    <w:p>
      <w:pPr>
        <w:ind w:left="140" w:right="220"/>
        <w:spacing w:after="0" w:line="299"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other healthcare providers. The ACA imposed, among other things, new annual reporting requirements for covered manufacturers for certain payments and “transfers of value” provided to physicians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Covered manufacturers must submit reports by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each subsequent calendar year.</w:t>
      </w:r>
    </w:p>
    <w:p>
      <w:pPr>
        <w:spacing w:after="0" w:line="59" w:lineRule="exact"/>
        <w:rPr>
          <w:sz w:val="20"/>
          <w:szCs w:val="20"/>
          <w:color w:val="auto"/>
        </w:rPr>
      </w:pPr>
    </w:p>
    <w:p>
      <w:pPr>
        <w:ind w:left="140" w:right="40"/>
        <w:spacing w:after="0" w:line="295" w:lineRule="auto"/>
        <w:rPr>
          <w:sz w:val="20"/>
          <w:szCs w:val="20"/>
          <w:color w:val="auto"/>
        </w:rPr>
      </w:pPr>
      <w:r>
        <w:rPr>
          <w:rFonts w:ascii="Arial" w:cs="Arial" w:eastAsia="Arial" w:hAnsi="Arial"/>
          <w:sz w:val="16"/>
          <w:szCs w:val="16"/>
          <w:color w:val="auto"/>
        </w:rPr>
        <w:t>The majority of states also have anti-kickback and other fraud and abuse laws, which establish similar prohibitions and in some cases may apply to items or services reimbursed by any third-party payor, including commercial insurers. Certain states also require implementation of compliance programs and compliance with the pharmaceutical industry’s voluntary compliance guidelines and the relevant compliance guidance promulgated by the federal government, impose restrictions on marketing practices, and/or tracking and reporting of marketing expenditures and pricing information as well as gifts, compensation and other remuneration or items of value provided to physicians and other healthcare professionals and entities.</w:t>
      </w:r>
    </w:p>
    <w:p>
      <w:pPr>
        <w:spacing w:after="0" w:line="161"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Violation of any of such laws or any other governmental regulations that apply to drug manufacturers may result in significant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imprisonment.</w:t>
      </w:r>
    </w:p>
    <w:p>
      <w:pPr>
        <w:spacing w:after="0" w:line="186" w:lineRule="exact"/>
        <w:rPr>
          <w:sz w:val="20"/>
          <w:szCs w:val="20"/>
          <w:color w:val="auto"/>
        </w:rPr>
      </w:pPr>
    </w:p>
    <w:p>
      <w:pPr>
        <w:jc w:val="both"/>
        <w:ind w:left="140" w:right="340"/>
        <w:spacing w:after="0" w:line="310" w:lineRule="auto"/>
        <w:rPr>
          <w:sz w:val="20"/>
          <w:szCs w:val="20"/>
          <w:color w:val="auto"/>
        </w:rPr>
      </w:pPr>
      <w:r>
        <w:rPr>
          <w:rFonts w:ascii="Arial" w:cs="Arial" w:eastAsia="Arial" w:hAnsi="Arial"/>
          <w:sz w:val="16"/>
          <w:szCs w:val="16"/>
          <w:color w:val="auto"/>
        </w:rPr>
        <w:t>To the extent that TransCon hGH or any of our other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6" w:lineRule="exact"/>
        <w:rPr>
          <w:sz w:val="20"/>
          <w:szCs w:val="20"/>
          <w:color w:val="auto"/>
        </w:rPr>
      </w:pPr>
    </w:p>
    <w:p>
      <w:pPr>
        <w:ind w:left="140" w:right="180"/>
        <w:spacing w:after="0" w:line="253" w:lineRule="auto"/>
        <w:rPr>
          <w:sz w:val="20"/>
          <w:szCs w:val="20"/>
          <w:color w:val="auto"/>
        </w:rPr>
      </w:pPr>
      <w:r>
        <w:rPr>
          <w:rFonts w:ascii="Arial" w:cs="Arial" w:eastAsia="Arial" w:hAnsi="Arial"/>
          <w:sz w:val="18"/>
          <w:szCs w:val="18"/>
          <w:color w:val="auto"/>
        </w:rPr>
        <w:t>Significant uncertainty exists as to the coverage and reimbursement status of any drug or medical device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SKYTROFA or any other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95" w:lineRule="exact"/>
        <w:rPr>
          <w:sz w:val="20"/>
          <w:szCs w:val="20"/>
          <w:color w:val="auto"/>
        </w:rPr>
      </w:pPr>
    </w:p>
    <w:p>
      <w:pPr>
        <w:ind w:left="140" w:right="80"/>
        <w:spacing w:after="0" w:line="288" w:lineRule="auto"/>
        <w:rPr>
          <w:sz w:val="20"/>
          <w:szCs w:val="20"/>
          <w:color w:val="auto"/>
        </w:rPr>
      </w:pPr>
      <w:r>
        <w:rPr>
          <w:rFonts w:ascii="Arial" w:cs="Arial" w:eastAsia="Arial" w:hAnsi="Arial"/>
          <w:sz w:val="16"/>
          <w:szCs w:val="16"/>
          <w:color w:val="auto"/>
        </w:rPr>
        <w:t>Third-party payors may limit coverage to specific drug products on an approved list, also known as a formulary, which might not include all of the FDA-approved drugs for a particular indication. A decision by a third-party payor not to cover SKYTROFA or our other product candidates could reduce physician utilization of our products and have a material adverse effect on our sales, results of operations and financial condition. Moreover, a third-party payor’s decision to provide coverage for a drug or medical device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new products can differ significantly from payor to payor. One third-party payor’s decision to cover a particular medical product or service does not ensure that other payors will also provide coverage for the medical product or service or that they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65" w:lineRule="exact"/>
        <w:rPr>
          <w:sz w:val="20"/>
          <w:szCs w:val="20"/>
          <w:color w:val="auto"/>
        </w:rPr>
      </w:pPr>
    </w:p>
    <w:p>
      <w:pPr>
        <w:ind w:left="140" w:right="20"/>
        <w:spacing w:after="0" w:line="269"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examining the medical necessity and reviewing the cost-effectiveness of drugs,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 Many countries outside the U.S., including the EU member states, established complex and lengthy procedures to obtain price approvals, coverage and reimbursement. These procedures vary from country to country but are commonly initiated after grant of the related MA.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85"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6" w:lineRule="exact"/>
        <w:rPr>
          <w:sz w:val="20"/>
          <w:szCs w:val="20"/>
          <w:color w:val="auto"/>
        </w:rPr>
      </w:pPr>
    </w:p>
    <w:p>
      <w:pPr>
        <w:ind w:left="140"/>
        <w:spacing w:after="0" w:line="290"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2010, the ACA and related legislation were enacted, which, among other things, (i) increased the minimum Medicaid rebates owed by most manufacturers under the Medicaid Drug Rebate Program, (ii) addressed a new methodology by which rebates owed by manufacturers under the Medicaid Drug Rebate Program are calculated for drugs that are inhaled, infused, instilled, implanted or injected, (iii) extended the Medicaid Drug Rebate Program to utilization of prescriptions of individuals enrolled in Medicaid managed care plans, (iv) imposed mandatory discounts for certain Medicare Part D beneficiaries, and (v) subjected drug manufacturers to new annual fees based on pharmaceutical companies’ share of sales to federal healthcare programs.</w:t>
      </w:r>
    </w:p>
    <w:p>
      <w:pPr>
        <w:spacing w:after="0" w:line="166" w:lineRule="exact"/>
        <w:rPr>
          <w:sz w:val="20"/>
          <w:szCs w:val="20"/>
          <w:color w:val="auto"/>
        </w:rPr>
      </w:pPr>
    </w:p>
    <w:p>
      <w:pPr>
        <w:ind w:left="140" w:right="100"/>
        <w:spacing w:after="0" w:line="269"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our business.</w:t>
      </w:r>
    </w:p>
    <w:p>
      <w:pPr>
        <w:spacing w:after="0" w:line="181" w:lineRule="exact"/>
        <w:rPr>
          <w:sz w:val="20"/>
          <w:szCs w:val="20"/>
          <w:color w:val="auto"/>
        </w:rPr>
      </w:pPr>
    </w:p>
    <w:p>
      <w:pPr>
        <w:ind w:left="140" w:right="100"/>
        <w:spacing w:after="0" w:line="272" w:lineRule="auto"/>
        <w:rPr>
          <w:sz w:val="20"/>
          <w:szCs w:val="20"/>
          <w:color w:val="auto"/>
        </w:rPr>
      </w:pPr>
      <w:r>
        <w:rPr>
          <w:rFonts w:ascii="Arial" w:cs="Arial" w:eastAsia="Arial" w:hAnsi="Arial"/>
          <w:sz w:val="17"/>
          <w:szCs w:val="17"/>
          <w:color w:val="auto"/>
        </w:rPr>
        <w:t>On August 2, 2011, the Budget Control Act of 2011 created measures for spending reductions by Congress. These measures include reductions in Medicare payments to providers, capped at 2% per fiscal year, which went into effect on April 1, 2013. These reductions, extended by subsequent legislation, will stay in effect through 2030, with the exception of a temporary suspension from May 1, 2020 through March 31, 2022, unless additional Congressional action is taken. On January 2, 2013, the American Taxpayer Relief Act was signed into law, which, among other things, reduced certain Medicare payments to several types of providers, including hospitals. The legislation also increased the statute of limitations period for the government to recover overpayments to providers from three to five years.</w:t>
      </w:r>
    </w:p>
    <w:p>
      <w:pPr>
        <w:spacing w:after="0" w:line="177" w:lineRule="exact"/>
        <w:rPr>
          <w:sz w:val="20"/>
          <w:szCs w:val="20"/>
          <w:color w:val="auto"/>
        </w:rPr>
      </w:pPr>
    </w:p>
    <w:p>
      <w:pPr>
        <w:ind w:left="140" w:right="40"/>
        <w:spacing w:after="0" w:line="295" w:lineRule="auto"/>
        <w:rPr>
          <w:sz w:val="20"/>
          <w:szCs w:val="20"/>
          <w:color w:val="auto"/>
        </w:rPr>
      </w:pPr>
      <w:r>
        <w:rPr>
          <w:rFonts w:ascii="Arial" w:cs="Arial" w:eastAsia="Arial" w:hAnsi="Arial"/>
          <w:sz w:val="16"/>
          <w:szCs w:val="16"/>
          <w:color w:val="auto"/>
        </w:rPr>
        <w:t>Recently there has also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also become increasingly active in passing legislation and implementing regulations designed to control pharmaceutical product pricing, including through constraints on reimbursement, imposition of mandatory discounts, restrictions on access to certain products, transparency measures, and programs for importation from other countries or bulk purchasing.</w:t>
      </w:r>
    </w:p>
    <w:p>
      <w:pPr>
        <w:spacing w:after="0" w:line="161" w:lineRule="exact"/>
        <w:rPr>
          <w:sz w:val="20"/>
          <w:szCs w:val="20"/>
          <w:color w:val="auto"/>
        </w:rPr>
      </w:pPr>
    </w:p>
    <w:p>
      <w:pPr>
        <w:ind w:left="140" w:right="60"/>
        <w:spacing w:after="0" w:line="287" w:lineRule="auto"/>
        <w:rPr>
          <w:sz w:val="20"/>
          <w:szCs w:val="20"/>
          <w:color w:val="auto"/>
        </w:rPr>
      </w:pPr>
      <w:r>
        <w:rPr>
          <w:rFonts w:ascii="Arial" w:cs="Arial" w:eastAsia="Arial" w:hAnsi="Arial"/>
          <w:sz w:val="16"/>
          <w:szCs w:val="16"/>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67" w:lineRule="exact"/>
        <w:rPr>
          <w:sz w:val="20"/>
          <w:szCs w:val="20"/>
          <w:color w:val="auto"/>
        </w:rPr>
      </w:pPr>
    </w:p>
    <w:p>
      <w:pPr>
        <w:ind w:left="140" w:right="260"/>
        <w:spacing w:after="0" w:line="278" w:lineRule="auto"/>
        <w:rPr>
          <w:sz w:val="20"/>
          <w:szCs w:val="20"/>
          <w:color w:val="auto"/>
        </w:rPr>
      </w:pPr>
      <w:r>
        <w:rPr>
          <w:rFonts w:ascii="Arial" w:cs="Arial" w:eastAsia="Arial" w:hAnsi="Arial"/>
          <w:sz w:val="17"/>
          <w:szCs w:val="17"/>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70" w:lineRule="exact"/>
        <w:rPr>
          <w:sz w:val="20"/>
          <w:szCs w:val="20"/>
          <w:color w:val="auto"/>
        </w:rPr>
      </w:pPr>
    </w:p>
    <w:p>
      <w:pPr>
        <w:ind w:left="140" w:right="360"/>
        <w:spacing w:after="0" w:line="275" w:lineRule="auto"/>
        <w:rPr>
          <w:sz w:val="20"/>
          <w:szCs w:val="20"/>
          <w:color w:val="auto"/>
        </w:rPr>
      </w:pPr>
      <w:r>
        <w:rPr>
          <w:rFonts w:ascii="Arial" w:cs="Arial" w:eastAsia="Arial" w:hAnsi="Arial"/>
          <w:sz w:val="18"/>
          <w:szCs w:val="18"/>
          <w:color w:val="auto"/>
        </w:rPr>
        <w:t>Health Technology Assessment, or HTA, of medicinal products in the EU is an essential element of the pricing and reimbursement decision-making process in a number of EU member states. The outcome of HTA has a direct impact on the pricing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85"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40" w:right="200"/>
        <w:spacing w:after="0" w:line="262" w:lineRule="auto"/>
        <w:rPr>
          <w:sz w:val="20"/>
          <w:szCs w:val="20"/>
          <w:color w:val="auto"/>
        </w:rPr>
      </w:pPr>
      <w:r>
        <w:rPr>
          <w:rFonts w:ascii="Arial" w:cs="Arial" w:eastAsia="Arial" w:hAnsi="Arial"/>
          <w:sz w:val="18"/>
          <w:szCs w:val="18"/>
          <w:color w:val="auto"/>
        </w:rPr>
        <w:t>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83" w:lineRule="exact"/>
        <w:rPr>
          <w:sz w:val="20"/>
          <w:szCs w:val="20"/>
          <w:color w:val="auto"/>
        </w:rPr>
      </w:pPr>
    </w:p>
    <w:p>
      <w:pPr>
        <w:ind w:left="140" w:right="60"/>
        <w:spacing w:after="0" w:line="287" w:lineRule="auto"/>
        <w:rPr>
          <w:sz w:val="20"/>
          <w:szCs w:val="20"/>
          <w:color w:val="auto"/>
        </w:rPr>
      </w:pPr>
      <w:r>
        <w:rPr>
          <w:rFonts w:ascii="Arial" w:cs="Arial" w:eastAsia="Arial" w:hAnsi="Arial"/>
          <w:sz w:val="16"/>
          <w:szCs w:val="16"/>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in December, 2021, Regulation No 2021/2282 on HTA, amending Directive 2011/24/EU, was adopted. This regulation which entered into force in January 2022 intends to boost cooperation among EU member states in assessing health technologies, including new medicinal products,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67" w:lineRule="exact"/>
        <w:rPr>
          <w:sz w:val="20"/>
          <w:szCs w:val="20"/>
          <w:color w:val="auto"/>
        </w:rPr>
      </w:pPr>
    </w:p>
    <w:p>
      <w:pPr>
        <w:ind w:left="140" w:right="60"/>
        <w:spacing w:after="0" w:line="258" w:lineRule="auto"/>
        <w:rPr>
          <w:sz w:val="20"/>
          <w:szCs w:val="20"/>
          <w:color w:val="auto"/>
        </w:rPr>
      </w:pPr>
      <w:r>
        <w:rPr>
          <w:rFonts w:ascii="Arial" w:cs="Arial" w:eastAsia="Arial" w:hAnsi="Arial"/>
          <w:sz w:val="18"/>
          <w:szCs w:val="18"/>
          <w:color w:val="auto"/>
        </w:rPr>
        <w:t>In the future, there may continue to be additional proposals relating to the reform of the U.S. healthcare system and international healthcare systems. 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6" w:lineRule="exact"/>
        <w:rPr>
          <w:sz w:val="20"/>
          <w:szCs w:val="20"/>
          <w:color w:val="auto"/>
        </w:rPr>
      </w:pPr>
    </w:p>
    <w:p>
      <w:pPr>
        <w:ind w:left="140" w:right="120"/>
        <w:spacing w:after="0" w:line="274" w:lineRule="auto"/>
        <w:rPr>
          <w:sz w:val="20"/>
          <w:szCs w:val="20"/>
          <w:color w:val="auto"/>
        </w:rPr>
      </w:pPr>
      <w:r>
        <w:rPr>
          <w:rFonts w:ascii="Arial" w:cs="Arial" w:eastAsia="Arial" w:hAnsi="Arial"/>
          <w:sz w:val="17"/>
          <w:szCs w:val="17"/>
          <w:color w:val="auto"/>
        </w:rPr>
        <w:t>Privacy and data security have become significant issues in the United States, Europe and in many other jurisdictions where we may in the future conduct our operations. As we receive, collect, process, use and store personal and confidential data, we are or may become subject to diverse laws and regulations relating to data privacy and security, including, in the United States, HIPAA, and, in the EEA, the GDPR.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320" w:lineRule="exact"/>
        <w:rPr>
          <w:sz w:val="20"/>
          <w:szCs w:val="20"/>
          <w:color w:val="auto"/>
        </w:rPr>
      </w:pPr>
    </w:p>
    <w:p>
      <w:pPr>
        <w:ind w:left="560" w:hanging="425"/>
        <w:spacing w:after="0"/>
        <w:tabs>
          <w:tab w:leader="none" w:pos="5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120" w:lineRule="exact"/>
        <w:rPr>
          <w:sz w:val="20"/>
          <w:szCs w:val="20"/>
          <w:color w:val="auto"/>
        </w:rPr>
      </w:pPr>
    </w:p>
    <w:p>
      <w:pPr>
        <w:ind w:left="140"/>
        <w:spacing w:after="0" w:line="300" w:lineRule="auto"/>
        <w:rPr>
          <w:sz w:val="20"/>
          <w:szCs w:val="20"/>
          <w:color w:val="auto"/>
        </w:rPr>
      </w:pPr>
      <w:r>
        <w:rPr>
          <w:rFonts w:ascii="Arial" w:cs="Arial" w:eastAsia="Arial" w:hAnsi="Arial"/>
          <w:sz w:val="16"/>
          <w:szCs w:val="16"/>
          <w:color w:val="auto"/>
        </w:rPr>
        <w:t>Certain of our operations are conducted through our following wholly-owned subsidiaries: Ascendis Pharma GmbH (Germany), Ascendis Pharma, Inc. (Delaware, United States), Ascendis Pharma Endocrinology, Inc. (Delaware, United States), Ascendis Pharma, Ophthalmology Division A/S (Denmark), Ascendis Pharma, Endocrinology Division A/S (Denmark), Ascendis Pharma Bone Diseases A/S (Denmark), Ascendis Pharma Growth Disorders A/S (Denmark) and Ascendis Pharma Oncology Division A/S (Denmark). These subsidiaries are also set forth in Exhibit 8.1 to this annual report.</w:t>
      </w:r>
    </w:p>
    <w:p>
      <w:pPr>
        <w:spacing w:after="0" w:line="300" w:lineRule="exact"/>
        <w:rPr>
          <w:sz w:val="20"/>
          <w:szCs w:val="20"/>
          <w:color w:val="auto"/>
        </w:rPr>
      </w:pPr>
    </w:p>
    <w:p>
      <w:pPr>
        <w:ind w:left="560" w:hanging="425"/>
        <w:spacing w:after="0"/>
        <w:tabs>
          <w:tab w:leader="none" w:pos="5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0" w:lineRule="exact"/>
        <w:rPr>
          <w:sz w:val="20"/>
          <w:szCs w:val="20"/>
          <w:color w:val="auto"/>
        </w:rPr>
      </w:pPr>
    </w:p>
    <w:p>
      <w:pPr>
        <w:ind w:left="140" w:right="520"/>
        <w:spacing w:after="0" w:line="275" w:lineRule="auto"/>
        <w:rPr>
          <w:sz w:val="20"/>
          <w:szCs w:val="20"/>
          <w:color w:val="auto"/>
        </w:rPr>
      </w:pPr>
      <w:r>
        <w:rPr>
          <w:rFonts w:ascii="Arial" w:cs="Arial" w:eastAsia="Arial" w:hAnsi="Arial"/>
          <w:sz w:val="18"/>
          <w:szCs w:val="18"/>
          <w:color w:val="auto"/>
        </w:rPr>
        <w:t>Our material tangible fixed assets relate to leased facilities, which are recognized and measured as right-of-use assets in the consolidated financial statements. We do not own any of our facilities.</w:t>
      </w:r>
    </w:p>
    <w:p>
      <w:pPr>
        <w:spacing w:after="0" w:line="171" w:lineRule="exact"/>
        <w:rPr>
          <w:sz w:val="20"/>
          <w:szCs w:val="20"/>
          <w:color w:val="auto"/>
        </w:rPr>
      </w:pPr>
    </w:p>
    <w:p>
      <w:pPr>
        <w:ind w:left="140" w:right="100"/>
        <w:spacing w:after="0" w:line="256" w:lineRule="auto"/>
        <w:rPr>
          <w:sz w:val="20"/>
          <w:szCs w:val="20"/>
          <w:color w:val="auto"/>
        </w:rPr>
      </w:pPr>
      <w:r>
        <w:rPr>
          <w:rFonts w:ascii="Arial" w:cs="Arial" w:eastAsia="Arial" w:hAnsi="Arial"/>
          <w:sz w:val="18"/>
          <w:szCs w:val="18"/>
          <w:color w:val="auto"/>
        </w:rPr>
        <w:t>Our corporate headquarter is located in Hellerup, Denmark. In addition, we have offices and research and development facilities in Germany and the United States. We do not own facilities for manufacturing of our products and product candidates for the potential pivotal clinical studies, and/or for commercial manufacturing. Accordingly, we engage with Contract Manufacturing Organizations (“CMOs”) to manufacture clinical trial supply, as well as we enter into long term collaborations with CMOs to establish and maintain commercial-scale manufacturing processes for our product candidates and devices.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specifies our leased facilities and their related activities.</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85"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Option to extend</w:t>
            </w:r>
          </w:p>
        </w:tc>
        <w:tc>
          <w:tcPr>
            <w:tcW w:w="0" w:type="dxa"/>
            <w:vAlign w:val="bottom"/>
          </w:tcPr>
          <w:p>
            <w:pPr>
              <w:spacing w:after="0"/>
              <w:rPr>
                <w:sz w:val="1"/>
                <w:szCs w:val="1"/>
                <w:color w:val="auto"/>
              </w:rPr>
            </w:pPr>
          </w:p>
        </w:tc>
      </w:tr>
      <w:tr>
        <w:trPr>
          <w:trHeight w:val="157"/>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20"/>
              <w:spacing w:after="0" w:line="157" w:lineRule="exact"/>
              <w:rPr>
                <w:sz w:val="20"/>
                <w:szCs w:val="20"/>
                <w:color w:val="auto"/>
              </w:rPr>
            </w:pPr>
            <w:r>
              <w:rPr>
                <w:rFonts w:ascii="Arial" w:cs="Arial" w:eastAsia="Arial" w:hAnsi="Arial"/>
                <w:sz w:val="14"/>
                <w:szCs w:val="14"/>
                <w:b w:val="1"/>
                <w:bCs w:val="1"/>
                <w:color w:val="auto"/>
                <w:w w:val="89"/>
              </w:rPr>
              <w:t>Size (in</w:t>
            </w:r>
          </w:p>
        </w:tc>
        <w:tc>
          <w:tcPr>
            <w:tcW w:w="1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Enforceable</w:t>
            </w:r>
          </w:p>
        </w:tc>
        <w:tc>
          <w:tcPr>
            <w:tcW w:w="180" w:type="dxa"/>
            <w:vAlign w:val="bottom"/>
          </w:tcPr>
          <w:p>
            <w:pPr>
              <w:spacing w:after="0"/>
              <w:rPr>
                <w:sz w:val="13"/>
                <w:szCs w:val="13"/>
                <w:color w:val="auto"/>
              </w:rPr>
            </w:pPr>
          </w:p>
        </w:tc>
        <w:tc>
          <w:tcPr>
            <w:tcW w:w="17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7"/>
              </w:rPr>
              <w:t>the lease beyond</w:t>
            </w: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480" w:type="dxa"/>
            <w:vAlign w:val="bottom"/>
          </w:tcPr>
          <w:p>
            <w:pPr>
              <w:ind w:left="40"/>
              <w:spacing w:after="0" w:line="148" w:lineRule="exact"/>
              <w:rPr>
                <w:sz w:val="20"/>
                <w:szCs w:val="20"/>
                <w:color w:val="auto"/>
              </w:rPr>
            </w:pPr>
            <w:r>
              <w:rPr>
                <w:rFonts w:ascii="Arial" w:cs="Arial" w:eastAsia="Arial" w:hAnsi="Arial"/>
                <w:sz w:val="14"/>
                <w:szCs w:val="14"/>
                <w:b w:val="1"/>
                <w:bCs w:val="1"/>
                <w:color w:val="auto"/>
                <w:w w:val="91"/>
              </w:rPr>
              <w:t>square</w:t>
            </w:r>
          </w:p>
        </w:tc>
        <w:tc>
          <w:tcPr>
            <w:tcW w:w="180" w:type="dxa"/>
            <w:vAlign w:val="bottom"/>
          </w:tcPr>
          <w:p>
            <w:pPr>
              <w:spacing w:after="0"/>
              <w:rPr>
                <w:sz w:val="12"/>
                <w:szCs w:val="12"/>
                <w:color w:val="auto"/>
              </w:rPr>
            </w:pPr>
          </w:p>
        </w:tc>
        <w:tc>
          <w:tcPr>
            <w:tcW w:w="382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Primary usage</w:t>
            </w:r>
          </w:p>
        </w:tc>
        <w:tc>
          <w:tcPr>
            <w:tcW w:w="1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enforceable lease</w:t>
            </w:r>
          </w:p>
        </w:tc>
        <w:tc>
          <w:tcPr>
            <w:tcW w:w="0" w:type="dxa"/>
            <w:vAlign w:val="bottom"/>
          </w:tcPr>
          <w:p>
            <w:pPr>
              <w:spacing w:after="0"/>
              <w:rPr>
                <w:sz w:val="1"/>
                <w:szCs w:val="1"/>
                <w:color w:val="auto"/>
              </w:rPr>
            </w:pPr>
          </w:p>
        </w:tc>
      </w:tr>
      <w:tr>
        <w:trPr>
          <w:trHeight w:val="175"/>
        </w:trPr>
        <w:tc>
          <w:tcPr>
            <w:tcW w:w="3280" w:type="dxa"/>
            <w:vAlign w:val="bottom"/>
            <w:gridSpan w:val="2"/>
            <w:vMerge w:val="continue"/>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meters)</w:t>
            </w:r>
          </w:p>
        </w:tc>
        <w:tc>
          <w:tcPr>
            <w:tcW w:w="180" w:type="dxa"/>
            <w:vAlign w:val="bottom"/>
          </w:tcPr>
          <w:p>
            <w:pPr>
              <w:spacing w:after="0"/>
              <w:rPr>
                <w:sz w:val="15"/>
                <w:szCs w:val="15"/>
                <w:color w:val="auto"/>
              </w:rPr>
            </w:pPr>
          </w:p>
        </w:tc>
        <w:tc>
          <w:tcPr>
            <w:tcW w:w="3820" w:type="dxa"/>
            <w:vAlign w:val="bottom"/>
            <w:gridSpan w:val="2"/>
            <w:vMerge w:val="continue"/>
          </w:tcPr>
          <w:p>
            <w:pPr>
              <w:spacing w:after="0"/>
              <w:rPr>
                <w:sz w:val="15"/>
                <w:szCs w:val="15"/>
                <w:color w:val="auto"/>
              </w:rPr>
            </w:pPr>
          </w:p>
        </w:tc>
        <w:tc>
          <w:tcPr>
            <w:tcW w:w="1300" w:type="dxa"/>
            <w:vAlign w:val="bottom"/>
          </w:tcPr>
          <w:p>
            <w:pPr>
              <w:ind w:left="280"/>
              <w:spacing w:after="0"/>
              <w:rPr>
                <w:sz w:val="20"/>
                <w:szCs w:val="20"/>
                <w:color w:val="auto"/>
              </w:rPr>
            </w:pPr>
            <w:r>
              <w:rPr>
                <w:rFonts w:ascii="Arial" w:cs="Arial" w:eastAsia="Arial" w:hAnsi="Arial"/>
                <w:sz w:val="14"/>
                <w:szCs w:val="14"/>
                <w:b w:val="1"/>
                <w:bCs w:val="1"/>
                <w:color w:val="auto"/>
              </w:rPr>
              <w:t>lease period</w:t>
            </w:r>
          </w:p>
        </w:tc>
        <w:tc>
          <w:tcPr>
            <w:tcW w:w="18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09"/>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Denmark</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gridSpan w:val="2"/>
          </w:tcPr>
          <w:p>
            <w:pPr>
              <w:spacing w:after="0"/>
              <w:rPr>
                <w:sz w:val="20"/>
                <w:szCs w:val="20"/>
                <w:color w:val="auto"/>
              </w:rPr>
            </w:pPr>
            <w:r>
              <w:rPr>
                <w:rFonts w:ascii="Arial" w:cs="Arial" w:eastAsia="Arial" w:hAnsi="Arial"/>
                <w:sz w:val="18"/>
                <w:szCs w:val="18"/>
                <w:color w:val="auto"/>
              </w:rPr>
              <w:t>Tuborg Boulevard, Hellerup</w:t>
            </w:r>
          </w:p>
        </w:tc>
        <w:tc>
          <w:tcPr>
            <w:tcW w:w="480" w:type="dxa"/>
            <w:vAlign w:val="bottom"/>
          </w:tcPr>
          <w:p>
            <w:pPr>
              <w:jc w:val="right"/>
              <w:spacing w:after="0"/>
              <w:rPr>
                <w:sz w:val="20"/>
                <w:szCs w:val="20"/>
                <w:color w:val="auto"/>
              </w:rPr>
            </w:pPr>
            <w:r>
              <w:rPr>
                <w:rFonts w:ascii="Arial" w:cs="Arial" w:eastAsia="Arial" w:hAnsi="Arial"/>
                <w:sz w:val="18"/>
                <w:szCs w:val="18"/>
                <w:color w:val="auto"/>
              </w:rPr>
              <w:t>7,775</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w w:val="99"/>
              </w:rPr>
              <w:t>Corporate headquarter, administration and R&amp;D</w:t>
            </w:r>
          </w:p>
        </w:tc>
        <w:tc>
          <w:tcPr>
            <w:tcW w:w="1300" w:type="dxa"/>
            <w:vAlign w:val="bottom"/>
          </w:tcPr>
          <w:p>
            <w:pPr>
              <w:ind w:left="60"/>
              <w:spacing w:after="0"/>
              <w:rPr>
                <w:sz w:val="20"/>
                <w:szCs w:val="20"/>
                <w:color w:val="auto"/>
              </w:rPr>
            </w:pPr>
            <w:r>
              <w:rPr>
                <w:rFonts w:ascii="Arial" w:cs="Arial" w:eastAsia="Arial" w:hAnsi="Arial"/>
                <w:sz w:val="18"/>
                <w:szCs w:val="18"/>
                <w:color w:val="auto"/>
              </w:rPr>
              <w:t>July, 2029</w:t>
            </w: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Tuborg Boulevard, Hellerup</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Administration</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2038</w:t>
            </w: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5"/>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Germany</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Technologiepark, Heidelberg</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Rolling 24 months</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R&amp;D and laboratory facilities</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January, 2025</w:t>
            </w: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option to extend</w:t>
            </w:r>
          </w:p>
        </w:tc>
        <w:tc>
          <w:tcPr>
            <w:tcW w:w="0" w:type="dxa"/>
            <w:vAlign w:val="bottom"/>
          </w:tcPr>
          <w:p>
            <w:pPr>
              <w:spacing w:after="0"/>
              <w:rPr>
                <w:sz w:val="1"/>
                <w:szCs w:val="1"/>
                <w:color w:val="auto"/>
              </w:rPr>
            </w:pPr>
          </w:p>
        </w:tc>
      </w:tr>
      <w:tr>
        <w:trPr>
          <w:trHeight w:val="215"/>
        </w:trPr>
        <w:tc>
          <w:tcPr>
            <w:tcW w:w="3280" w:type="dxa"/>
            <w:vAlign w:val="bottom"/>
            <w:gridSpan w:val="2"/>
          </w:tcPr>
          <w:p>
            <w:pPr>
              <w:spacing w:after="0"/>
              <w:rPr>
                <w:sz w:val="20"/>
                <w:szCs w:val="20"/>
                <w:color w:val="auto"/>
              </w:rPr>
            </w:pPr>
            <w:r>
              <w:rPr>
                <w:rFonts w:ascii="Arial" w:cs="Arial" w:eastAsia="Arial" w:hAnsi="Arial"/>
                <w:sz w:val="18"/>
                <w:szCs w:val="18"/>
                <w:color w:val="auto"/>
              </w:rPr>
              <w:t>Technologiepark, Heidelberg</w:t>
            </w:r>
          </w:p>
        </w:tc>
        <w:tc>
          <w:tcPr>
            <w:tcW w:w="480" w:type="dxa"/>
            <w:vAlign w:val="bottom"/>
          </w:tcPr>
          <w:p>
            <w:pPr>
              <w:jc w:val="right"/>
              <w:spacing w:after="0"/>
              <w:rPr>
                <w:sz w:val="20"/>
                <w:szCs w:val="20"/>
                <w:color w:val="auto"/>
              </w:rPr>
            </w:pPr>
            <w:r>
              <w:rPr>
                <w:rFonts w:ascii="Arial" w:cs="Arial" w:eastAsia="Arial" w:hAnsi="Arial"/>
                <w:sz w:val="18"/>
                <w:szCs w:val="18"/>
                <w:color w:val="auto"/>
              </w:rPr>
              <w:t>480</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R&amp;D and laboratory facilities</w:t>
            </w:r>
          </w:p>
        </w:tc>
        <w:tc>
          <w:tcPr>
            <w:tcW w:w="1300" w:type="dxa"/>
            <w:vAlign w:val="bottom"/>
          </w:tcPr>
          <w:p>
            <w:pPr>
              <w:ind w:left="60"/>
              <w:spacing w:after="0"/>
              <w:rPr>
                <w:sz w:val="20"/>
                <w:szCs w:val="20"/>
                <w:color w:val="auto"/>
              </w:rPr>
            </w:pPr>
            <w:r>
              <w:rPr>
                <w:rFonts w:ascii="Arial" w:cs="Arial" w:eastAsia="Arial" w:hAnsi="Arial"/>
                <w:sz w:val="18"/>
                <w:szCs w:val="18"/>
                <w:color w:val="auto"/>
                <w:w w:val="91"/>
              </w:rPr>
              <w:t>December, 2024</w:t>
            </w: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Technologiepark, Heidelberg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R&amp;D and laboratory facilities</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October, 2024</w:t>
            </w: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0"/>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Grundbuch von Heidelberg Blatt,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Heidelberg </w:t>
            </w:r>
            <w:r>
              <w:rPr>
                <w:rFonts w:ascii="Arial" w:cs="Arial" w:eastAsia="Arial" w:hAnsi="Arial"/>
                <w:sz w:val="25"/>
                <w:szCs w:val="25"/>
                <w:color w:val="auto"/>
                <w:vertAlign w:val="superscript"/>
              </w:rPr>
              <w:t>(1)</w:t>
            </w:r>
          </w:p>
        </w:tc>
        <w:tc>
          <w:tcPr>
            <w:tcW w:w="480" w:type="dxa"/>
            <w:vAlign w:val="bottom"/>
          </w:tcPr>
          <w:p>
            <w:pPr>
              <w:jc w:val="right"/>
              <w:spacing w:after="0"/>
              <w:rPr>
                <w:sz w:val="20"/>
                <w:szCs w:val="20"/>
                <w:color w:val="auto"/>
              </w:rPr>
            </w:pPr>
            <w:r>
              <w:rPr>
                <w:rFonts w:ascii="Arial" w:cs="Arial" w:eastAsia="Arial" w:hAnsi="Arial"/>
                <w:sz w:val="18"/>
                <w:szCs w:val="18"/>
                <w:color w:val="auto"/>
              </w:rPr>
              <w:t>2,321</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Administration, R&amp;D and laboratory facilities</w:t>
            </w:r>
          </w:p>
        </w:tc>
        <w:tc>
          <w:tcPr>
            <w:tcW w:w="1300" w:type="dxa"/>
            <w:vAlign w:val="bottom"/>
          </w:tcPr>
          <w:p>
            <w:pPr>
              <w:ind w:left="60"/>
              <w:spacing w:after="0"/>
              <w:rPr>
                <w:sz w:val="20"/>
                <w:szCs w:val="20"/>
                <w:color w:val="auto"/>
              </w:rPr>
            </w:pPr>
            <w:r>
              <w:rPr>
                <w:rFonts w:ascii="Arial" w:cs="Arial" w:eastAsia="Arial" w:hAnsi="Arial"/>
                <w:sz w:val="18"/>
                <w:szCs w:val="18"/>
                <w:color w:val="auto"/>
              </w:rPr>
              <w:t>January, 2026</w:t>
            </w: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Kurfürstendamm, Berlin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Clinical operations</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2022</w:t>
            </w: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5"/>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Emerson Street, Palo Alto, California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Administration and clinical operations</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April, 2022</w:t>
            </w: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1"/>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Option to extend for</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Redwood City, California</w:t>
            </w:r>
          </w:p>
        </w:tc>
        <w:tc>
          <w:tcPr>
            <w:tcW w:w="480" w:type="dxa"/>
            <w:vAlign w:val="bottom"/>
          </w:tcPr>
          <w:p>
            <w:pPr>
              <w:jc w:val="right"/>
              <w:spacing w:after="0"/>
              <w:rPr>
                <w:sz w:val="20"/>
                <w:szCs w:val="20"/>
                <w:color w:val="auto"/>
              </w:rPr>
            </w:pPr>
            <w:r>
              <w:rPr>
                <w:rFonts w:ascii="Arial" w:cs="Arial" w:eastAsia="Arial" w:hAnsi="Arial"/>
                <w:sz w:val="18"/>
                <w:szCs w:val="18"/>
                <w:color w:val="auto"/>
              </w:rPr>
              <w:t>3,681</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R&amp;D and laboratory facilities</w:t>
            </w:r>
          </w:p>
        </w:tc>
        <w:tc>
          <w:tcPr>
            <w:tcW w:w="1300" w:type="dxa"/>
            <w:vAlign w:val="bottom"/>
          </w:tcPr>
          <w:p>
            <w:pPr>
              <w:ind w:left="60"/>
              <w:spacing w:after="0"/>
              <w:rPr>
                <w:sz w:val="20"/>
                <w:szCs w:val="20"/>
                <w:color w:val="auto"/>
              </w:rPr>
            </w:pPr>
            <w:r>
              <w:rPr>
                <w:rFonts w:ascii="Arial" w:cs="Arial" w:eastAsia="Arial" w:hAnsi="Arial"/>
                <w:sz w:val="18"/>
                <w:szCs w:val="18"/>
                <w:color w:val="auto"/>
              </w:rPr>
              <w:t>April, 2030</w:t>
            </w: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additional five years</w:t>
            </w:r>
          </w:p>
        </w:tc>
        <w:tc>
          <w:tcPr>
            <w:tcW w:w="0" w:type="dxa"/>
            <w:vAlign w:val="bottom"/>
          </w:tcPr>
          <w:p>
            <w:pPr>
              <w:spacing w:after="0"/>
              <w:rPr>
                <w:sz w:val="1"/>
                <w:szCs w:val="1"/>
                <w:color w:val="auto"/>
              </w:rPr>
            </w:pPr>
          </w:p>
        </w:tc>
      </w:tr>
      <w:tr>
        <w:trPr>
          <w:trHeight w:val="201"/>
        </w:trPr>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Option to extend for up</w:t>
            </w:r>
          </w:p>
        </w:tc>
        <w:tc>
          <w:tcPr>
            <w:tcW w:w="0" w:type="dxa"/>
            <w:vAlign w:val="bottom"/>
          </w:tcPr>
          <w:p>
            <w:pPr>
              <w:spacing w:after="0"/>
              <w:rPr>
                <w:sz w:val="1"/>
                <w:szCs w:val="1"/>
                <w:color w:val="auto"/>
              </w:rPr>
            </w:pPr>
          </w:p>
        </w:tc>
      </w:tr>
      <w:tr>
        <w:trPr>
          <w:trHeight w:val="215"/>
        </w:trPr>
        <w:tc>
          <w:tcPr>
            <w:tcW w:w="3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Page Mill, Palo Alto, California </w:t>
            </w:r>
            <w:r>
              <w:rPr>
                <w:rFonts w:ascii="Arial" w:cs="Arial" w:eastAsia="Arial" w:hAnsi="Arial"/>
                <w:sz w:val="25"/>
                <w:szCs w:val="25"/>
                <w:color w:val="auto"/>
                <w:vertAlign w:val="superscript"/>
              </w:rPr>
              <w:t>(2)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 two periods of five</w:t>
            </w:r>
          </w:p>
        </w:tc>
        <w:tc>
          <w:tcPr>
            <w:tcW w:w="0" w:type="dxa"/>
            <w:vAlign w:val="bottom"/>
          </w:tcPr>
          <w:p>
            <w:pPr>
              <w:spacing w:after="0"/>
              <w:rPr>
                <w:sz w:val="1"/>
                <w:szCs w:val="1"/>
                <w:color w:val="auto"/>
              </w:rPr>
            </w:pPr>
          </w:p>
        </w:tc>
      </w:tr>
      <w:tr>
        <w:trPr>
          <w:trHeight w:val="230"/>
        </w:trPr>
        <w:tc>
          <w:tcPr>
            <w:tcW w:w="32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Administration</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October, 2033</w:t>
            </w:r>
          </w:p>
        </w:tc>
        <w:tc>
          <w:tcPr>
            <w:tcW w:w="1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years each</w:t>
            </w:r>
          </w:p>
        </w:tc>
        <w:tc>
          <w:tcPr>
            <w:tcW w:w="0" w:type="dxa"/>
            <w:vAlign w:val="bottom"/>
          </w:tcPr>
          <w:p>
            <w:pPr>
              <w:spacing w:after="0"/>
              <w:rPr>
                <w:sz w:val="1"/>
                <w:szCs w:val="1"/>
                <w:color w:val="auto"/>
              </w:rPr>
            </w:pPr>
          </w:p>
        </w:tc>
      </w:tr>
      <w:tr>
        <w:trPr>
          <w:trHeight w:val="201"/>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Option to extend for</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West Windsor Township, New Jersey</w:t>
            </w:r>
          </w:p>
        </w:tc>
        <w:tc>
          <w:tcPr>
            <w:tcW w:w="480" w:type="dxa"/>
            <w:vAlign w:val="bottom"/>
          </w:tcPr>
          <w:p>
            <w:pPr>
              <w:jc w:val="right"/>
              <w:spacing w:after="0"/>
              <w:rPr>
                <w:sz w:val="20"/>
                <w:szCs w:val="20"/>
                <w:color w:val="auto"/>
              </w:rPr>
            </w:pPr>
            <w:r>
              <w:rPr>
                <w:rFonts w:ascii="Arial" w:cs="Arial" w:eastAsia="Arial" w:hAnsi="Arial"/>
                <w:sz w:val="18"/>
                <w:szCs w:val="18"/>
                <w:color w:val="auto"/>
              </w:rPr>
              <w:t>1,097</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Selling and administration</w:t>
            </w:r>
          </w:p>
        </w:tc>
        <w:tc>
          <w:tcPr>
            <w:tcW w:w="1300" w:type="dxa"/>
            <w:vAlign w:val="bottom"/>
          </w:tcPr>
          <w:p>
            <w:pPr>
              <w:ind w:left="60"/>
              <w:spacing w:after="0"/>
              <w:rPr>
                <w:sz w:val="20"/>
                <w:szCs w:val="20"/>
                <w:color w:val="auto"/>
              </w:rPr>
            </w:pPr>
            <w:r>
              <w:rPr>
                <w:rFonts w:ascii="Arial" w:cs="Arial" w:eastAsia="Arial" w:hAnsi="Arial"/>
                <w:sz w:val="18"/>
                <w:szCs w:val="18"/>
                <w:color w:val="auto"/>
                <w:w w:val="91"/>
              </w:rPr>
              <w:t>December, 2025</w:t>
            </w: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additional five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85090</wp:posOffset>
            </wp:positionV>
            <wp:extent cx="7600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158" w:lineRule="exact"/>
        <w:rPr>
          <w:sz w:val="20"/>
          <w:szCs w:val="20"/>
          <w:color w:val="auto"/>
        </w:rPr>
      </w:pPr>
    </w:p>
    <w:p>
      <w:pPr>
        <w:ind w:left="560" w:hanging="425"/>
        <w:spacing w:after="0"/>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Our lease in Grundbuch von Heidelberg Blatt was entered in 2021 and commenced in January 2022.</w:t>
      </w:r>
    </w:p>
    <w:p>
      <w:pPr>
        <w:spacing w:after="0" w:line="21" w:lineRule="exact"/>
        <w:rPr>
          <w:rFonts w:ascii="Arial" w:cs="Arial" w:eastAsia="Arial" w:hAnsi="Arial"/>
          <w:sz w:val="16"/>
          <w:szCs w:val="16"/>
          <w:color w:val="auto"/>
        </w:rPr>
      </w:pPr>
    </w:p>
    <w:p>
      <w:pPr>
        <w:ind w:left="560" w:right="320" w:hanging="425"/>
        <w:spacing w:after="0" w:line="286" w:lineRule="auto"/>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Our Page Mill lease commenced in November 2020. After entering the lease, the facilities have undergone significant leasehold improvements. The Page Mill location has been in operation since October 1, 2021.</w:t>
      </w:r>
    </w:p>
    <w:p>
      <w:pPr>
        <w:spacing w:after="0" w:line="172"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color w:val="auto"/>
        </w:rPr>
        <w:t>In February 2022 we entered into a lease for our facility in Germany, comprising 11,390 square meters, with a term of 15 years, expected to commence in 2025, where its main activities will be administration, R&amp;D and laboratory functions.</w:t>
      </w:r>
    </w:p>
    <w:p>
      <w:pPr>
        <w:spacing w:after="0" w:line="171" w:lineRule="exact"/>
        <w:rPr>
          <w:sz w:val="20"/>
          <w:szCs w:val="20"/>
          <w:color w:val="auto"/>
        </w:rPr>
      </w:pPr>
    </w:p>
    <w:p>
      <w:pPr>
        <w:ind w:left="140" w:right="80"/>
        <w:spacing w:after="0" w:line="275" w:lineRule="auto"/>
        <w:rPr>
          <w:sz w:val="20"/>
          <w:szCs w:val="20"/>
          <w:color w:val="auto"/>
        </w:rPr>
      </w:pPr>
      <w:r>
        <w:rPr>
          <w:rFonts w:ascii="Arial" w:cs="Arial" w:eastAsia="Arial" w:hAnsi="Arial"/>
          <w:sz w:val="18"/>
          <w:szCs w:val="18"/>
          <w:color w:val="auto"/>
        </w:rPr>
        <w:t>We believe that our existing facilities are adequate for our near-term needs. We believe that suitable additional or alternative space would be available if required in the future on commercially reasonable terms.</w:t>
      </w:r>
    </w:p>
    <w:p>
      <w:pPr>
        <w:spacing w:after="0" w:line="315"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0" w:lineRule="exact"/>
        <w:rPr>
          <w:sz w:val="20"/>
          <w:szCs w:val="20"/>
          <w:color w:val="auto"/>
        </w:rPr>
      </w:pPr>
    </w:p>
    <w:p>
      <w:pPr>
        <w:ind w:left="140" w:right="80"/>
        <w:spacing w:after="0" w:line="274"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our consolidated financial statements and related notes appearing elsewhere in this annual report. In addition to historical information, this discussion contains forward-looking statements based on our current expectations that involve risks, uncertainties and assumptions. Our actual results may differ materially from those anticipated in these forward-looking statements as a result of various factors, including those set forth in the “Risk Factors” and “Special Note Regarding Forward-Looking Statements” sections and elsewhere in this annual report.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85"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right="9140" w:hanging="5"/>
        <w:spacing w:after="0" w:line="376" w:lineRule="auto"/>
        <w:tabs>
          <w:tab w:leader="none" w:pos="57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a description of business highlights in 2021, please refer to “Item 4B. Business Overview”.</w:t>
      </w:r>
    </w:p>
    <w:p>
      <w:pPr>
        <w:spacing w:after="0" w:line="223"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We had a net loss of €383.6 million for the year ended December 31, 2021 compared to a net loss of €419.0 million for the year ended December 31, 2020, and a net loss of €218.0 million for the year ended December 31, 2019. Our total equity was €883.6 million as of December 31, 2021 compared to €838.7 million as of December 31, 2020.</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Impact from COVID-19 Pandemic</w:t>
      </w:r>
    </w:p>
    <w:p>
      <w:pPr>
        <w:spacing w:after="0" w:line="120"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171"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color w:val="auto"/>
        </w:rPr>
        <w:t>Since COVID-19 started to spread around the world, we have closely monitored the development, and implemented several measures to accommodate impacts on our business, and to ensure the safety of our employees, including:</w:t>
      </w:r>
    </w:p>
    <w:p>
      <w:pPr>
        <w:spacing w:after="0" w:line="77" w:lineRule="exact"/>
        <w:rPr>
          <w:sz w:val="20"/>
          <w:szCs w:val="20"/>
          <w:color w:val="auto"/>
        </w:rPr>
      </w:pPr>
    </w:p>
    <w:p>
      <w:pPr>
        <w:ind w:left="1100" w:hanging="426"/>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Encouraging employees to work remotely, reduce travel activity and minimize face-to-face meetings;</w:t>
      </w:r>
    </w:p>
    <w:p>
      <w:pPr>
        <w:spacing w:after="0" w:line="129" w:lineRule="exact"/>
        <w:rPr>
          <w:rFonts w:ascii="Arial" w:cs="Arial" w:eastAsia="Arial" w:hAnsi="Arial"/>
          <w:sz w:val="18"/>
          <w:szCs w:val="18"/>
          <w:color w:val="auto"/>
        </w:rPr>
      </w:pPr>
    </w:p>
    <w:p>
      <w:pPr>
        <w:ind w:left="1100" w:right="540" w:hanging="426"/>
        <w:spacing w:after="0" w:line="275" w:lineRule="auto"/>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home offices, and ensuring proper and secure IT infrastructure to improve the safety and efficiency of the remote work environment;</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Implementing remote visits for patients enrolled in our clinical trials, including ensuring safe delivery of clinical drugs;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Addressing COVID-19 in relation to logistics and manufacturing at Joint Steering Committees with manufacturing partners.</w:t>
      </w:r>
    </w:p>
    <w:p>
      <w:pPr>
        <w:spacing w:after="0" w:line="223"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While COVID-19 has an impact on how we work and conduct our activities, we have managed to avoid significant disruptions to our operations. Further, while COVID-19 continues to remain in the global society, we will keep working with COVID-19 measures to accommodate business disruptions and to achieve our strategic objectives. As a participant in the global fight against spreading the virus, we will maintain and further develop precautionary measures within our organization, including, according to official recommendations, encouraging our employees to work remotely, reduce travel activity and minimize face-to-face meetings.</w:t>
      </w:r>
    </w:p>
    <w:p>
      <w:pPr>
        <w:spacing w:after="0" w:line="188" w:lineRule="exact"/>
        <w:rPr>
          <w:sz w:val="20"/>
          <w:szCs w:val="20"/>
          <w:color w:val="auto"/>
        </w:rPr>
      </w:pPr>
    </w:p>
    <w:p>
      <w:pPr>
        <w:ind w:left="140" w:right="180"/>
        <w:spacing w:after="0" w:line="262" w:lineRule="auto"/>
        <w:rPr>
          <w:sz w:val="20"/>
          <w:szCs w:val="20"/>
          <w:color w:val="auto"/>
        </w:rPr>
      </w:pPr>
      <w:r>
        <w:rPr>
          <w:rFonts w:ascii="Arial" w:cs="Arial" w:eastAsia="Arial" w:hAnsi="Arial"/>
          <w:sz w:val="18"/>
          <w:szCs w:val="18"/>
          <w:color w:val="auto"/>
        </w:rPr>
        <w:t>In addition, to accommodate efficient procedures for financial reporting, including internal controls, we have, also before the pandemic, structured our work environment to enable our employees to perform their tasks remotely, as appropriate. Accordingly, it has not been necessary to make material changes to our internal control over financial reporting due to the pandemic.</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While COVID-19 has not had a significant impact on our business, COVID-19 presents elevated risks in certain areas, including:</w:t>
      </w:r>
    </w:p>
    <w:p>
      <w:pPr>
        <w:spacing w:after="0" w:line="129" w:lineRule="exact"/>
        <w:rPr>
          <w:sz w:val="20"/>
          <w:szCs w:val="20"/>
          <w:color w:val="auto"/>
        </w:rPr>
      </w:pPr>
    </w:p>
    <w:p>
      <w:pPr>
        <w:ind w:left="1100" w:right="280" w:hanging="426"/>
        <w:spacing w:after="0" w:line="310" w:lineRule="auto"/>
        <w:tabs>
          <w:tab w:leader="none" w:pos="11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conducting our clinical trials, there is a risk that suppliers experience delays in providing necessary equipment, consumables and services, which could cause temporary delays in clinical trial activities. In addition, there is a risk that patients will elect not to enroll in trials to limit their exposure to medical institutions, which could have a negative impact on clinical trial enrollment and timelines;</w:t>
      </w:r>
    </w:p>
    <w:p>
      <w:pPr>
        <w:spacing w:after="0" w:line="53" w:lineRule="exact"/>
        <w:rPr>
          <w:rFonts w:ascii="Arial" w:cs="Arial" w:eastAsia="Arial" w:hAnsi="Arial"/>
          <w:sz w:val="16"/>
          <w:szCs w:val="16"/>
          <w:color w:val="auto"/>
        </w:rPr>
      </w:pPr>
    </w:p>
    <w:p>
      <w:pPr>
        <w:ind w:left="1100" w:right="300" w:hanging="426"/>
        <w:spacing w:after="0" w:line="258" w:lineRule="auto"/>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Global demand for COVID-19 vaccines and treatments could result in contract manufacturers not having sufficient capacity to meet scheduled manufacturing. In addition, sourcing of certain types of raw materials, consumables and equipment could result in scheduled manufacturing being delayed or postponed. We are monitoring the global supply chain and as of the date of this report, we have not experienced material delays due to potential effected supply; and</w:t>
      </w:r>
    </w:p>
    <w:p>
      <w:pPr>
        <w:spacing w:after="0" w:line="91" w:lineRule="exact"/>
        <w:rPr>
          <w:rFonts w:ascii="Arial" w:cs="Arial" w:eastAsia="Arial" w:hAnsi="Arial"/>
          <w:sz w:val="18"/>
          <w:szCs w:val="18"/>
          <w:color w:val="auto"/>
        </w:rPr>
      </w:pPr>
    </w:p>
    <w:p>
      <w:pPr>
        <w:ind w:left="1100" w:right="20" w:hanging="426"/>
        <w:spacing w:after="0" w:line="275" w:lineRule="auto"/>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commercial launch strategy could be negatively impacted by (i) patients not being able to see their physicians, and (ii) our commercial team not being able to meet with physicians.</w:t>
      </w:r>
    </w:p>
    <w:p>
      <w:pPr>
        <w:spacing w:after="0" w:line="171" w:lineRule="exact"/>
        <w:rPr>
          <w:sz w:val="20"/>
          <w:szCs w:val="20"/>
          <w:color w:val="auto"/>
        </w:rPr>
      </w:pPr>
    </w:p>
    <w:p>
      <w:pPr>
        <w:ind w:left="140"/>
        <w:spacing w:after="0" w:line="310" w:lineRule="auto"/>
        <w:rPr>
          <w:sz w:val="20"/>
          <w:szCs w:val="20"/>
          <w:color w:val="auto"/>
        </w:rPr>
      </w:pPr>
      <w:r>
        <w:rPr>
          <w:rFonts w:ascii="Arial" w:cs="Arial" w:eastAsia="Arial" w:hAnsi="Arial"/>
          <w:sz w:val="16"/>
          <w:szCs w:val="16"/>
          <w:color w:val="auto"/>
        </w:rPr>
        <w:t>We monitor the risks from this pandemic closely, and work with relevant stakeholders to avoid and limit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additional description related to COVID-19 related risks, please refer to “Item 3D. Risk Factors”.</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85"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Financial Operations Overview</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and Expenses</w:t>
      </w:r>
    </w:p>
    <w:p>
      <w:pPr>
        <w:spacing w:after="0" w:line="116" w:lineRule="exact"/>
        <w:rPr>
          <w:sz w:val="20"/>
          <w:szCs w:val="20"/>
          <w:color w:val="auto"/>
        </w:rPr>
      </w:pPr>
    </w:p>
    <w:p>
      <w:pPr>
        <w:ind w:left="140" w:right="120"/>
        <w:spacing w:after="0" w:line="262" w:lineRule="auto"/>
        <w:rPr>
          <w:sz w:val="20"/>
          <w:szCs w:val="20"/>
          <w:color w:val="auto"/>
        </w:rPr>
      </w:pPr>
      <w:r>
        <w:rPr>
          <w:rFonts w:ascii="Arial" w:cs="Arial" w:eastAsia="Arial" w:hAnsi="Arial"/>
          <w:sz w:val="18"/>
          <w:szCs w:val="18"/>
          <w:color w:val="auto"/>
        </w:rPr>
        <w:t>To date, we have only generated limited revenue from commercial product sales, in addition to revenue from license fees, the assignment of certain intellectual property rights, research and development services rendered under collaboration agreements, including delivery of clinical supply material, and feasibility studies performed for potential partners.</w:t>
      </w:r>
    </w:p>
    <w:p>
      <w:pPr>
        <w:spacing w:after="0" w:line="183" w:lineRule="exact"/>
        <w:rPr>
          <w:sz w:val="20"/>
          <w:szCs w:val="20"/>
          <w:color w:val="auto"/>
        </w:rPr>
      </w:pPr>
    </w:p>
    <w:p>
      <w:pPr>
        <w:ind w:left="140" w:right="160"/>
        <w:spacing w:after="0" w:line="256" w:lineRule="auto"/>
        <w:rPr>
          <w:sz w:val="20"/>
          <w:szCs w:val="20"/>
          <w:color w:val="auto"/>
        </w:rPr>
      </w:pPr>
      <w:r>
        <w:rPr>
          <w:rFonts w:ascii="Arial" w:cs="Arial" w:eastAsia="Arial" w:hAnsi="Arial"/>
          <w:sz w:val="18"/>
          <w:szCs w:val="18"/>
          <w:color w:val="auto"/>
        </w:rPr>
        <w:t>Historically, we have, and we may in the future, enter into collaboration agreements, where timing of our operating cash flows may vary significantly from the recognition of the related revenue. Depending on the terms and conditions, revenue from up-front or initiation payments may be deferred and recognized as revenue over the period of continued involvement. Milestone payments are usually recognized as revenue only to the extent that it is highly probable that reversal will not occur, which substantially is when the uncertainty associated with the milestone payment is resolved, and we are entitled to the milestone payment.</w:t>
      </w:r>
    </w:p>
    <w:p>
      <w:pPr>
        <w:spacing w:after="0" w:line="188" w:lineRule="exact"/>
        <w:rPr>
          <w:sz w:val="20"/>
          <w:szCs w:val="20"/>
          <w:color w:val="auto"/>
        </w:rPr>
      </w:pPr>
    </w:p>
    <w:p>
      <w:pPr>
        <w:ind w:left="140" w:right="200"/>
        <w:spacing w:after="0" w:line="262" w:lineRule="auto"/>
        <w:rPr>
          <w:sz w:val="20"/>
          <w:szCs w:val="20"/>
          <w:color w:val="auto"/>
        </w:rPr>
      </w:pPr>
      <w:r>
        <w:rPr>
          <w:rFonts w:ascii="Arial" w:cs="Arial" w:eastAsia="Arial" w:hAnsi="Arial"/>
          <w:sz w:val="18"/>
          <w:szCs w:val="18"/>
          <w:color w:val="auto"/>
        </w:rPr>
        <w:t>Revenue from commercial product sales and clinical trial supply is recognized when the customer has obtained control of the goods and it is probable that we will collect the consideration to which we are entitled for transferring the goods. Control is transferred upon delivery. Service fees are recognized when the services have been performed.</w:t>
      </w:r>
    </w:p>
    <w:p>
      <w:pPr>
        <w:spacing w:after="0" w:line="183" w:lineRule="exact"/>
        <w:rPr>
          <w:sz w:val="20"/>
          <w:szCs w:val="20"/>
          <w:color w:val="auto"/>
        </w:rPr>
      </w:pPr>
    </w:p>
    <w:p>
      <w:pPr>
        <w:ind w:left="140" w:right="200"/>
        <w:spacing w:after="0" w:line="258" w:lineRule="auto"/>
        <w:rPr>
          <w:sz w:val="20"/>
          <w:szCs w:val="20"/>
          <w:color w:val="auto"/>
        </w:rPr>
      </w:pPr>
      <w:r>
        <w:rPr>
          <w:rFonts w:ascii="Arial" w:cs="Arial" w:eastAsia="Arial" w:hAnsi="Arial"/>
          <w:sz w:val="18"/>
          <w:szCs w:val="18"/>
          <w:color w:val="auto"/>
        </w:rPr>
        <w:t>Historically, our revenue has varied substantially, and may continue to vary, from quarter-to-quarter and year-to-year, depending upon, among other things, market adoption and pricing of our commercial products, new collaboration arrangements we may enter into and the terms we are able to negotiate with our collaboration partners. We therefore believe that period-to-period comparisons should not be relied upon as indicative of our future revenues.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operating expenses relate to research and development activities and to selling, general and administration activities.</w:t>
      </w:r>
    </w:p>
    <w:p>
      <w:pPr>
        <w:spacing w:after="0" w:line="223" w:lineRule="exact"/>
        <w:rPr>
          <w:sz w:val="20"/>
          <w:szCs w:val="20"/>
          <w:color w:val="auto"/>
        </w:rPr>
      </w:pPr>
    </w:p>
    <w:p>
      <w:pPr>
        <w:ind w:left="140" w:right="240"/>
        <w:spacing w:after="0" w:line="300" w:lineRule="auto"/>
        <w:rPr>
          <w:sz w:val="20"/>
          <w:szCs w:val="20"/>
          <w:color w:val="auto"/>
        </w:rPr>
      </w:pPr>
      <w:r>
        <w:rPr>
          <w:rFonts w:ascii="Arial" w:cs="Arial" w:eastAsia="Arial" w:hAnsi="Arial"/>
          <w:sz w:val="16"/>
          <w:szCs w:val="16"/>
          <w:color w:val="auto"/>
        </w:rPr>
        <w:t>Research and development costs consist primarily of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our intellectual property portfolio, and depreciation of non-current assets used in research and development activities.</w:t>
      </w:r>
    </w:p>
    <w:p>
      <w:pPr>
        <w:spacing w:after="0" w:line="156" w:lineRule="exact"/>
        <w:rPr>
          <w:sz w:val="20"/>
          <w:szCs w:val="20"/>
          <w:color w:val="auto"/>
        </w:rPr>
      </w:pPr>
    </w:p>
    <w:p>
      <w:pPr>
        <w:jc w:val="both"/>
        <w:ind w:left="140" w:right="240"/>
        <w:spacing w:after="0" w:line="262" w:lineRule="auto"/>
        <w:rPr>
          <w:sz w:val="20"/>
          <w:szCs w:val="20"/>
          <w:color w:val="auto"/>
        </w:rPr>
      </w:pPr>
      <w:r>
        <w:rPr>
          <w:rFonts w:ascii="Arial" w:cs="Arial" w:eastAsia="Arial" w:hAnsi="Arial"/>
          <w:sz w:val="18"/>
          <w:szCs w:val="18"/>
          <w:color w:val="auto"/>
        </w:rPr>
        <w:t>Selling, general and administrative expenses comprise salaries and other personnel costs including pension and share-based payment, office supplies, cost of facilities, and depreciation of non-current assets related to selling, general and administrative activities, and pre-commercial and commercial activities.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Assets and Liabilities</w:t>
      </w:r>
    </w:p>
    <w:p>
      <w:pPr>
        <w:spacing w:after="0" w:line="116" w:lineRule="exact"/>
        <w:rPr>
          <w:sz w:val="20"/>
          <w:szCs w:val="20"/>
          <w:color w:val="auto"/>
        </w:rPr>
      </w:pPr>
    </w:p>
    <w:p>
      <w:pPr>
        <w:ind w:left="140"/>
        <w:spacing w:after="0" w:line="256" w:lineRule="auto"/>
        <w:rPr>
          <w:sz w:val="20"/>
          <w:szCs w:val="20"/>
          <w:color w:val="auto"/>
        </w:rPr>
      </w:pPr>
      <w:r>
        <w:rPr>
          <w:rFonts w:ascii="Arial" w:cs="Arial" w:eastAsia="Arial" w:hAnsi="Arial"/>
          <w:sz w:val="17"/>
          <w:szCs w:val="17"/>
          <w:color w:val="auto"/>
        </w:rPr>
        <w:t>Our operating assets and liabilities primarily relate to property, plant and equipment, inventories, prepayments and accruals for development costs, lease liabilities, trade payables, and contract liabilities under one of our license agreements. Property, plant and equipment primarily relate to leased facilities, which are recognized and measured as right-of-use assets in the consolidated financial statements. We have built up inventories to accommodate the commercial launch of SKYTROFA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(lonapegsomatropin-tcgd). In addition to the commercial inventories, manufacturing of pre-launch inventories is initiated for late-stage product candidates and is recognized as inventories. However, since pre-launch inventories are not realizable prior to obtaining marketing approvals, pre-launch inventories are immediately written down to zero, through research and development costs. If the marketing approval is obtained, write-downs of pre-launch inventories will be reversed through research and development costs. We began to ship products to commercial customers in the fourth quarter of 2021 and as a result have recognized trade receivables and provisions related to unsettled sales rebates and product returns.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Capital Structure</w:t>
      </w:r>
    </w:p>
    <w:p>
      <w:pPr>
        <w:spacing w:after="0" w:line="116"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The Company’s capital structure consists only of equity comprising issued capital, reserves and retained earnings/accumulated deficits. We did not have any interest-bearing debt for any of the periods presented in this annual report. As such, finance income and finance expenses consist primarily of interest income, interest expenses recognized for lease liabilities, and realized and unrealized exchange rate gains and losses on cash, cash equivalents, marketable securities, receivables and payables in foreign currencies. Accordingly, as we undertake transactions denominated in foreign currencies, we are exposed to exchange rate fluctuations. We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85"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60"/>
        <w:spacing w:after="0" w:line="262" w:lineRule="auto"/>
        <w:rPr>
          <w:sz w:val="20"/>
          <w:szCs w:val="20"/>
          <w:color w:val="auto"/>
        </w:rPr>
      </w:pPr>
      <w:r>
        <w:rPr>
          <w:rFonts w:ascii="Arial" w:cs="Arial" w:eastAsia="Arial" w:hAnsi="Arial"/>
          <w:sz w:val="18"/>
          <w:szCs w:val="18"/>
          <w:color w:val="auto"/>
        </w:rPr>
        <w:t>manage our exchange rate exposure through maintaining positions in the various currencies used in the operations and managing payments from the most appropriate positions. We are primarily exposed to movements in U.S. Dollars, British Pounds, and Danish Kroner. We do not enter into derivative financial instruments to manage our exposure to exchange rate risks.</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Results of Operations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Comparison of the years ended December 31, 2021, 2020 and 2019:</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640" w:type="dxa"/>
            <w:vAlign w:val="bottom"/>
            <w:gridSpan w:val="12"/>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1"/>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700" w:type="dxa"/>
            <w:vAlign w:val="bottom"/>
            <w:tcBorders>
              <w:top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30"/>
              <w:spacing w:after="0" w:line="141"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10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Cost of sales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4,255</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6,953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Research and development costs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260,904</w:t>
            </w:r>
          </w:p>
        </w:tc>
        <w:tc>
          <w:tcPr>
            <w:tcW w:w="2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191,621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160,180</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76,669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48,473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profit/(loss)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(451,792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(330,620</w:t>
            </w:r>
          </w:p>
        </w:tc>
        <w:tc>
          <w:tcPr>
            <w:tcW w:w="2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(226,719</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profit/(loss) in associate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(9,524)</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Finance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59,718</w:t>
            </w:r>
          </w:p>
        </w:tc>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1,812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17,803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80,842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Profit/(loss) before tax</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(383,944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(419,174</w:t>
            </w:r>
          </w:p>
        </w:tc>
        <w:tc>
          <w:tcPr>
            <w:tcW w:w="2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(218,250</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Tax on profit/(loss) for the year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Net profit/(loss) for the year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(383,577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(418,955</w:t>
            </w:r>
          </w:p>
        </w:tc>
        <w:tc>
          <w:tcPr>
            <w:tcW w:w="2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(218,016</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9"/>
                <w:szCs w:val="19"/>
                <w:color w:val="auto"/>
              </w:rPr>
            </w:pPr>
          </w:p>
        </w:tc>
      </w:tr>
      <w:tr>
        <w:trPr>
          <w:trHeight w:val="545"/>
        </w:trPr>
        <w:tc>
          <w:tcPr>
            <w:tcW w:w="8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3"/>
        </w:trPr>
        <w:tc>
          <w:tcPr>
            <w:tcW w:w="8340" w:type="dxa"/>
            <w:vAlign w:val="bottom"/>
            <w:gridSpan w:val="2"/>
          </w:tcPr>
          <w:p>
            <w:pPr>
              <w:spacing w:after="0"/>
              <w:rPr>
                <w:sz w:val="20"/>
                <w:szCs w:val="20"/>
                <w:color w:val="auto"/>
              </w:rPr>
            </w:pPr>
            <w:r>
              <w:rPr>
                <w:rFonts w:ascii="Arial" w:cs="Arial" w:eastAsia="Arial" w:hAnsi="Arial"/>
                <w:sz w:val="18"/>
                <w:szCs w:val="18"/>
                <w:color w:val="auto"/>
              </w:rPr>
              <w:t>The following table summarizes our revenue for the years ended December 31, 2021, 2020 and 2019:</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0"/>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10"/>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41"/>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14"/>
              <w:spacing w:after="0" w:line="141"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gridSpan w:val="3"/>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0"/>
              <w:spacing w:after="0" w:line="141"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74"/>
              </w:rPr>
              <w:t>(EUR’000)</w:t>
            </w:r>
          </w:p>
        </w:tc>
        <w:tc>
          <w:tcPr>
            <w:tcW w:w="160" w:type="dxa"/>
            <w:vAlign w:val="bottom"/>
          </w:tcPr>
          <w:p>
            <w:pPr>
              <w:spacing w:after="0"/>
              <w:rPr>
                <w:sz w:val="15"/>
                <w:szCs w:val="15"/>
                <w:color w:val="auto"/>
              </w:rPr>
            </w:pPr>
          </w:p>
        </w:tc>
        <w:tc>
          <w:tcPr>
            <w:tcW w:w="540" w:type="dxa"/>
            <w:vAlign w:val="bottom"/>
            <w:tcBorders>
              <w:top w:val="single" w:sz="8" w:color="auto"/>
            </w:tcBorders>
            <w:gridSpan w:val="2"/>
          </w:tcPr>
          <w:p>
            <w:pPr>
              <w:spacing w:after="0"/>
              <w:rPr>
                <w:sz w:val="15"/>
                <w:szCs w:val="15"/>
                <w:color w:val="auto"/>
              </w:rPr>
            </w:pPr>
          </w:p>
        </w:tc>
        <w:tc>
          <w:tcPr>
            <w:tcW w:w="60" w:type="dxa"/>
            <w:vAlign w:val="bottom"/>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Sale of commercial products</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Rendering of services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620" w:type="dxa"/>
            <w:vAlign w:val="bottom"/>
            <w:gridSpan w:val="4"/>
          </w:tcPr>
          <w:p>
            <w:pPr>
              <w:jc w:val="center"/>
              <w:ind w:left="94"/>
              <w:spacing w:after="0"/>
              <w:rPr>
                <w:sz w:val="20"/>
                <w:szCs w:val="20"/>
                <w:color w:val="auto"/>
              </w:rPr>
            </w:pPr>
            <w:r>
              <w:rPr>
                <w:rFonts w:ascii="Arial" w:cs="Arial" w:eastAsia="Arial" w:hAnsi="Arial"/>
                <w:sz w:val="18"/>
                <w:szCs w:val="18"/>
                <w:color w:val="auto"/>
                <w:w w:val="88"/>
              </w:rPr>
              <w:t>2,140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9,919</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Sale of clinical supply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3,719</w:t>
            </w:r>
          </w:p>
        </w:tc>
        <w:tc>
          <w:tcPr>
            <w:tcW w:w="620" w:type="dxa"/>
            <w:vAlign w:val="bottom"/>
            <w:gridSpan w:val="4"/>
            <w:shd w:val="clear" w:color="auto" w:fill="CCEEFF"/>
          </w:tcPr>
          <w:p>
            <w:pPr>
              <w:jc w:val="center"/>
              <w:ind w:left="94"/>
              <w:spacing w:after="0"/>
              <w:rPr>
                <w:sz w:val="20"/>
                <w:szCs w:val="20"/>
                <w:color w:val="auto"/>
              </w:rPr>
            </w:pPr>
            <w:r>
              <w:rPr>
                <w:rFonts w:ascii="Arial" w:cs="Arial" w:eastAsia="Arial" w:hAnsi="Arial"/>
                <w:sz w:val="18"/>
                <w:szCs w:val="18"/>
                <w:color w:val="auto"/>
                <w:w w:val="88"/>
              </w:rPr>
              <w:t>2,206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“Right-to-use” licenses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2,365</w:t>
            </w:r>
          </w:p>
        </w:tc>
        <w:tc>
          <w:tcPr>
            <w:tcW w:w="160" w:type="dxa"/>
            <w:vAlign w:val="bottom"/>
          </w:tcPr>
          <w:p>
            <w:pPr>
              <w:spacing w:after="0"/>
              <w:rPr>
                <w:sz w:val="19"/>
                <w:szCs w:val="19"/>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2,607</w:t>
            </w:r>
          </w:p>
        </w:tc>
        <w:tc>
          <w:tcPr>
            <w:tcW w:w="16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2,652</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7,778</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6,953</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13,375</w:t>
            </w:r>
          </w:p>
        </w:tc>
        <w:tc>
          <w:tcPr>
            <w:tcW w:w="60" w:type="dxa"/>
            <w:vAlign w:val="bottom"/>
            <w:shd w:val="clear" w:color="auto" w:fill="CCEEFF"/>
          </w:tcPr>
          <w:p>
            <w:pPr>
              <w:spacing w:after="0"/>
              <w:rPr>
                <w:sz w:val="18"/>
                <w:szCs w:val="18"/>
                <w:color w:val="auto"/>
              </w:rPr>
            </w:pPr>
          </w:p>
        </w:tc>
      </w:tr>
    </w:tbl>
    <w:p>
      <w:pPr>
        <w:spacing w:after="0" w:line="214" w:lineRule="exact"/>
        <w:rPr>
          <w:sz w:val="20"/>
          <w:szCs w:val="20"/>
          <w:color w:val="auto"/>
        </w:rPr>
      </w:pPr>
    </w:p>
    <w:p>
      <w:pPr>
        <w:ind w:left="140" w:right="80"/>
        <w:spacing w:after="0" w:line="254" w:lineRule="auto"/>
        <w:rPr>
          <w:sz w:val="20"/>
          <w:szCs w:val="20"/>
          <w:color w:val="auto"/>
        </w:rPr>
      </w:pPr>
      <w:r>
        <w:rPr>
          <w:rFonts w:ascii="Arial" w:cs="Arial" w:eastAsia="Arial" w:hAnsi="Arial"/>
          <w:sz w:val="18"/>
          <w:szCs w:val="18"/>
          <w:color w:val="auto"/>
        </w:rPr>
        <w:t>Revenue for the year ended December 31, 2021 was €7.8 million, an increase of €0.8 million, or 12%, compared to €7.0 million for the year ended December 31, 2020, and comprised sale of clinical supplies, rendering of services, and recognition of internal profit deferred from November 2018 when we entered into license agreements with VISEN. In addition, revenue included commercial sale of SKYTROFA (lonapegsomatropin-tcgd) following the U.S. FDA approval on August 25, 2021. We began shipping products to commercial customers in the fourth quarter of 2021. The increase in revenue was primarily attributable to the sale of commercial products, and higher clinical supply sales partly offset by a lower amount of license and service revenue from VISEN.</w:t>
      </w:r>
    </w:p>
    <w:p>
      <w:pPr>
        <w:spacing w:after="0" w:line="192" w:lineRule="exact"/>
        <w:rPr>
          <w:sz w:val="20"/>
          <w:szCs w:val="20"/>
          <w:color w:val="auto"/>
        </w:rPr>
      </w:pPr>
    </w:p>
    <w:p>
      <w:pPr>
        <w:ind w:left="140" w:right="140"/>
        <w:spacing w:after="0" w:line="258" w:lineRule="auto"/>
        <w:rPr>
          <w:sz w:val="20"/>
          <w:szCs w:val="20"/>
          <w:color w:val="auto"/>
        </w:rPr>
      </w:pPr>
      <w:r>
        <w:rPr>
          <w:rFonts w:ascii="Arial" w:cs="Arial" w:eastAsia="Arial" w:hAnsi="Arial"/>
          <w:sz w:val="18"/>
          <w:szCs w:val="18"/>
          <w:color w:val="auto"/>
        </w:rPr>
        <w:t>Revenue for the year ended December 31, 2020 was €7.0 million, a decrease of €6.4 million, or 48%, compared to €13.4 million for the year ended December 31, 2019, and primarily comprised sale of clinical supply, rendering of services, and recognition of internal profit deferred from November 2018 when we entered into the collaboration with VISEN. The decrease was due to a lower amount of license and service revenue, partly offset by sale of clinical supply to VISEN.</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6" w:lineRule="exact"/>
        <w:rPr>
          <w:sz w:val="20"/>
          <w:szCs w:val="20"/>
          <w:color w:val="auto"/>
        </w:rPr>
      </w:pPr>
    </w:p>
    <w:p>
      <w:pPr>
        <w:ind w:left="140" w:right="360"/>
        <w:spacing w:after="0" w:line="262" w:lineRule="auto"/>
        <w:rPr>
          <w:sz w:val="20"/>
          <w:szCs w:val="20"/>
          <w:color w:val="auto"/>
        </w:rPr>
      </w:pPr>
      <w:r>
        <w:rPr>
          <w:rFonts w:ascii="Arial" w:cs="Arial" w:eastAsia="Arial" w:hAnsi="Arial"/>
          <w:sz w:val="18"/>
          <w:szCs w:val="18"/>
          <w:color w:val="auto"/>
        </w:rPr>
        <w:t>Cost of sales was €3.5 million for the year ended December 31, 2021, and comprised cost of commercial products sold and cost of clinical supply delivered to VISEN. As this was the first year of commercial sales of SKYTROFA (lonapegsomatropin-tcgd), no similar costs were reported for the years ended December 31, 2020 and 2019.</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85"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6" w:lineRule="exact"/>
        <w:rPr>
          <w:sz w:val="20"/>
          <w:szCs w:val="20"/>
          <w:color w:val="auto"/>
        </w:rPr>
      </w:pPr>
    </w:p>
    <w:p>
      <w:pPr>
        <w:ind w:left="140" w:right="640"/>
        <w:spacing w:after="0" w:line="275" w:lineRule="auto"/>
        <w:rPr>
          <w:sz w:val="20"/>
          <w:szCs w:val="20"/>
          <w:color w:val="auto"/>
        </w:rPr>
      </w:pPr>
      <w:r>
        <w:rPr>
          <w:rFonts w:ascii="Arial" w:cs="Arial" w:eastAsia="Arial" w:hAnsi="Arial"/>
          <w:sz w:val="18"/>
          <w:szCs w:val="18"/>
          <w:color w:val="auto"/>
        </w:rPr>
        <w:t>Research and development costs were €295.9 million for the year ended December 31, 2021, an increase of €35.0 million, or 13%, compared to €260.9 million for the year ended December 31, 2020.</w:t>
      </w:r>
    </w:p>
    <w:p>
      <w:pPr>
        <w:spacing w:after="0" w:line="171" w:lineRule="exact"/>
        <w:rPr>
          <w:sz w:val="20"/>
          <w:szCs w:val="20"/>
          <w:color w:val="auto"/>
        </w:rPr>
      </w:pPr>
    </w:p>
    <w:p>
      <w:pPr>
        <w:ind w:left="140" w:right="100"/>
        <w:spacing w:after="0" w:line="278" w:lineRule="auto"/>
        <w:rPr>
          <w:sz w:val="20"/>
          <w:szCs w:val="20"/>
          <w:color w:val="auto"/>
        </w:rPr>
      </w:pPr>
      <w:r>
        <w:rPr>
          <w:rFonts w:ascii="Arial" w:cs="Arial" w:eastAsia="Arial" w:hAnsi="Arial"/>
          <w:sz w:val="17"/>
          <w:szCs w:val="17"/>
          <w:color w:val="auto"/>
        </w:rPr>
        <w:t>External development costs related to TransCon hGH decreased by €7.4 million compared to the same period last year, primarily due to a positive impact of €53.7 million from reversal of write-down on pre-launch inventories resulted from the U.S. FDA approval of TransCon hGH, known by its brand name SKYTROFA (lonapegsomatropin-tcgd), on August 25, 2021, partly offset by higher cost of manufacturing of product supply, including the cost of upscaling projects with our contract manufacturers, and cost for ongoing clinical trials.</w:t>
      </w:r>
    </w:p>
    <w:p>
      <w:pPr>
        <w:spacing w:after="0" w:line="170" w:lineRule="exact"/>
        <w:rPr>
          <w:sz w:val="20"/>
          <w:szCs w:val="20"/>
          <w:color w:val="auto"/>
        </w:rPr>
      </w:pPr>
    </w:p>
    <w:p>
      <w:pPr>
        <w:ind w:left="140" w:right="100"/>
        <w:spacing w:after="0" w:line="262" w:lineRule="auto"/>
        <w:rPr>
          <w:sz w:val="20"/>
          <w:szCs w:val="20"/>
          <w:color w:val="auto"/>
        </w:rPr>
      </w:pPr>
      <w:r>
        <w:rPr>
          <w:rFonts w:ascii="Arial" w:cs="Arial" w:eastAsia="Arial" w:hAnsi="Arial"/>
          <w:sz w:val="18"/>
          <w:szCs w:val="18"/>
          <w:color w:val="auto"/>
        </w:rPr>
        <w:t>External development costs related to TransCon PTH increased by €7.9 million, reflecting higher costs for clinical trials and clinical supplies, primarily related to our Phase 2 PaTH Forward and our Phase 3 PaTHway clinical trials, higher costs for manufacturing of validation batches, initial costs of building commercial inventory and device development compared to last year.</w:t>
      </w:r>
    </w:p>
    <w:p>
      <w:pPr>
        <w:spacing w:after="0" w:line="183" w:lineRule="exact"/>
        <w:rPr>
          <w:sz w:val="20"/>
          <w:szCs w:val="20"/>
          <w:color w:val="auto"/>
        </w:rPr>
      </w:pPr>
    </w:p>
    <w:p>
      <w:pPr>
        <w:ind w:left="140" w:right="280"/>
        <w:spacing w:after="0" w:line="275" w:lineRule="auto"/>
        <w:rPr>
          <w:sz w:val="20"/>
          <w:szCs w:val="20"/>
          <w:color w:val="auto"/>
        </w:rPr>
      </w:pPr>
      <w:r>
        <w:rPr>
          <w:rFonts w:ascii="Arial" w:cs="Arial" w:eastAsia="Arial" w:hAnsi="Arial"/>
          <w:sz w:val="18"/>
          <w:szCs w:val="18"/>
          <w:color w:val="auto"/>
        </w:rPr>
        <w:t>External development costs related to TransCon CNP increased by €18.3 million, primarily reflecting an increase in manufacturing costs and clinical trial costs for our Phase 2 ACcomplisH Trial.</w:t>
      </w:r>
    </w:p>
    <w:p>
      <w:pPr>
        <w:spacing w:after="0" w:line="171" w:lineRule="exact"/>
        <w:rPr>
          <w:sz w:val="20"/>
          <w:szCs w:val="20"/>
          <w:color w:val="auto"/>
        </w:rPr>
      </w:pPr>
    </w:p>
    <w:p>
      <w:pPr>
        <w:ind w:left="140" w:right="480"/>
        <w:spacing w:after="0" w:line="262" w:lineRule="auto"/>
        <w:rPr>
          <w:sz w:val="20"/>
          <w:szCs w:val="20"/>
          <w:color w:val="auto"/>
        </w:rPr>
      </w:pPr>
      <w:r>
        <w:rPr>
          <w:rFonts w:ascii="Arial" w:cs="Arial" w:eastAsia="Arial" w:hAnsi="Arial"/>
          <w:sz w:val="18"/>
          <w:szCs w:val="18"/>
          <w:color w:val="auto"/>
        </w:rPr>
        <w:t>External development costs related to our oncology product candidates, primarily TransCon TLR7/8 Agonist and TransCon IL-2 ß/g, increased by €7.8 million, reflecting increases in manufacturing costs, as well as higher costs for preclinical and clinical activities as these product candidates progress through the development stages and into manufacturing and clinical trials.</w:t>
      </w:r>
    </w:p>
    <w:p>
      <w:pPr>
        <w:spacing w:after="0" w:line="183" w:lineRule="exact"/>
        <w:rPr>
          <w:sz w:val="20"/>
          <w:szCs w:val="20"/>
          <w:color w:val="auto"/>
        </w:rPr>
      </w:pPr>
    </w:p>
    <w:p>
      <w:pPr>
        <w:ind w:left="140"/>
        <w:spacing w:after="0" w:line="295" w:lineRule="auto"/>
        <w:rPr>
          <w:sz w:val="20"/>
          <w:szCs w:val="20"/>
          <w:color w:val="auto"/>
        </w:rPr>
      </w:pPr>
      <w:r>
        <w:rPr>
          <w:rFonts w:ascii="Arial" w:cs="Arial" w:eastAsia="Arial" w:hAnsi="Arial"/>
          <w:sz w:val="16"/>
          <w:szCs w:val="16"/>
          <w:color w:val="auto"/>
        </w:rPr>
        <w:t>Other research and development costs increased by €8.4 million, primarily driven by an increase in personnel costs of €10.9 million and non-cash share-based payment of €4.4 million due to a higher number of employees in research and development functions. Facility costs increased by €6.3 million, whereas IT costs decreased by €6.9 million and professional fees decreased by €3.4 million. Other costs allocated to research and development functions decreased by a total of €2.9 million, primarily relating to laboratory operations and supplies. Research and development costs included non-cash share-based payment of €37.4 million for the year ended December 31, 2021, compared to €33.0 million for the year ended December 31, 2020.</w:t>
      </w:r>
    </w:p>
    <w:p>
      <w:pPr>
        <w:spacing w:after="0" w:line="161" w:lineRule="exact"/>
        <w:rPr>
          <w:sz w:val="20"/>
          <w:szCs w:val="20"/>
          <w:color w:val="auto"/>
        </w:rPr>
      </w:pPr>
    </w:p>
    <w:p>
      <w:pPr>
        <w:ind w:left="140" w:right="640"/>
        <w:spacing w:after="0" w:line="275" w:lineRule="auto"/>
        <w:rPr>
          <w:sz w:val="20"/>
          <w:szCs w:val="20"/>
          <w:color w:val="auto"/>
        </w:rPr>
      </w:pPr>
      <w:r>
        <w:rPr>
          <w:rFonts w:ascii="Arial" w:cs="Arial" w:eastAsia="Arial" w:hAnsi="Arial"/>
          <w:sz w:val="18"/>
          <w:szCs w:val="18"/>
          <w:color w:val="auto"/>
        </w:rPr>
        <w:t>Research and development costs were €260.9 million for the year ended December 31, 2020, an increase of €69.3 million, or 36%, compared to €191.6 million for the year ended December 31, 2019.</w:t>
      </w:r>
    </w:p>
    <w:p>
      <w:pPr>
        <w:spacing w:after="0" w:line="171" w:lineRule="exact"/>
        <w:rPr>
          <w:sz w:val="20"/>
          <w:szCs w:val="20"/>
          <w:color w:val="auto"/>
        </w:rPr>
      </w:pPr>
    </w:p>
    <w:p>
      <w:pPr>
        <w:ind w:left="140" w:right="40"/>
        <w:spacing w:after="0" w:line="285" w:lineRule="auto"/>
        <w:rPr>
          <w:sz w:val="20"/>
          <w:szCs w:val="20"/>
          <w:color w:val="auto"/>
        </w:rPr>
      </w:pPr>
      <w:r>
        <w:rPr>
          <w:rFonts w:ascii="Arial" w:cs="Arial" w:eastAsia="Arial" w:hAnsi="Arial"/>
          <w:sz w:val="17"/>
          <w:szCs w:val="17"/>
          <w:color w:val="auto"/>
        </w:rPr>
        <w:t>External development costs related to TransCon hGH (lonapegsomatropin) increased by €2.9 million, primarily driven by increases in clinical trial costs and write-downs on pre-launch inventories related to lonapegsomatropin, as well as costs related to regulatory, statistical and medical activities related to the preparation of the BLA-filing, partly offset by lower costs for manufacturing of validation batches.</w:t>
      </w:r>
    </w:p>
    <w:p>
      <w:pPr>
        <w:spacing w:after="0" w:line="165" w:lineRule="exact"/>
        <w:rPr>
          <w:sz w:val="20"/>
          <w:szCs w:val="20"/>
          <w:color w:val="auto"/>
        </w:rPr>
      </w:pPr>
    </w:p>
    <w:p>
      <w:pPr>
        <w:ind w:left="140" w:right="360"/>
        <w:spacing w:after="0" w:line="340" w:lineRule="auto"/>
        <w:rPr>
          <w:sz w:val="20"/>
          <w:szCs w:val="20"/>
          <w:color w:val="auto"/>
        </w:rPr>
      </w:pPr>
      <w:r>
        <w:rPr>
          <w:rFonts w:ascii="Arial" w:cs="Arial" w:eastAsia="Arial" w:hAnsi="Arial"/>
          <w:sz w:val="16"/>
          <w:szCs w:val="16"/>
          <w:color w:val="auto"/>
        </w:rPr>
        <w:t>External development costs related to TransCon PTH increased by €8.6 million, reflecting increased clinical trial costs related to the progress of our Phase 2 PaTH Forward clinical trial, increased costs of device development, and increased costs of biometric activities compared to last year.</w:t>
      </w:r>
    </w:p>
    <w:p>
      <w:pPr>
        <w:spacing w:after="0" w:line="124" w:lineRule="exact"/>
        <w:rPr>
          <w:sz w:val="20"/>
          <w:szCs w:val="20"/>
          <w:color w:val="auto"/>
        </w:rPr>
      </w:pPr>
    </w:p>
    <w:p>
      <w:pPr>
        <w:ind w:left="140" w:right="40"/>
        <w:spacing w:after="0" w:line="275" w:lineRule="auto"/>
        <w:rPr>
          <w:sz w:val="20"/>
          <w:szCs w:val="20"/>
          <w:color w:val="auto"/>
        </w:rPr>
      </w:pPr>
      <w:r>
        <w:rPr>
          <w:rFonts w:ascii="Arial" w:cs="Arial" w:eastAsia="Arial" w:hAnsi="Arial"/>
          <w:sz w:val="18"/>
          <w:szCs w:val="18"/>
          <w:color w:val="auto"/>
        </w:rPr>
        <w:t>External development costs related to TransCon CNP increased by €5.4 million, primarily reflecting an increase in manufacturing costs and clinical trial costs for our Phase 2 ACcomplisH Trial, partly offset by a decrease in preclinical costs.</w:t>
      </w:r>
    </w:p>
    <w:p>
      <w:pPr>
        <w:spacing w:after="0" w:line="171" w:lineRule="exact"/>
        <w:rPr>
          <w:sz w:val="20"/>
          <w:szCs w:val="20"/>
          <w:color w:val="auto"/>
        </w:rPr>
      </w:pPr>
    </w:p>
    <w:p>
      <w:pPr>
        <w:ind w:left="140" w:right="300"/>
        <w:spacing w:after="0" w:line="262" w:lineRule="auto"/>
        <w:rPr>
          <w:sz w:val="20"/>
          <w:szCs w:val="20"/>
          <w:color w:val="auto"/>
        </w:rPr>
      </w:pPr>
      <w:r>
        <w:rPr>
          <w:rFonts w:ascii="Arial" w:cs="Arial" w:eastAsia="Arial" w:hAnsi="Arial"/>
          <w:sz w:val="18"/>
          <w:szCs w:val="18"/>
          <w:color w:val="auto"/>
        </w:rPr>
        <w:t>External development costs related to our oncology product candidates, primarily TransCon TLR7/8 Agonist and TransCon IL-2 ß/g, increased by €14.1 million, reflecting an increase in manufacturing costs and preclinical costs as these product candidates progress through the early development stages and into manufacturing.</w:t>
      </w:r>
    </w:p>
    <w:p>
      <w:pPr>
        <w:spacing w:after="0" w:line="183" w:lineRule="exact"/>
        <w:rPr>
          <w:sz w:val="20"/>
          <w:szCs w:val="20"/>
          <w:color w:val="auto"/>
        </w:rPr>
      </w:pPr>
    </w:p>
    <w:p>
      <w:pPr>
        <w:jc w:val="both"/>
        <w:ind w:left="140" w:right="420"/>
        <w:spacing w:after="0" w:line="287" w:lineRule="auto"/>
        <w:rPr>
          <w:sz w:val="20"/>
          <w:szCs w:val="20"/>
          <w:color w:val="auto"/>
        </w:rPr>
      </w:pPr>
      <w:r>
        <w:rPr>
          <w:rFonts w:ascii="Arial" w:cs="Arial" w:eastAsia="Arial" w:hAnsi="Arial"/>
          <w:sz w:val="16"/>
          <w:szCs w:val="16"/>
          <w:color w:val="auto"/>
        </w:rPr>
        <w:t>Other research and development costs increased by €38.3 million, primarily driven by an increase in personnel costs of €19.6 million and non-cash share-based payment of €10.6 million due to a higher number of employees in research and development functions, but also reflecting increases of €4.8 million in IT and telecommunication costs and €3.1 million in facility costs and depreciation allocated to research and development functions.</w:t>
      </w:r>
    </w:p>
    <w:p>
      <w:pPr>
        <w:jc w:val="both"/>
        <w:ind w:left="140" w:right="20"/>
        <w:spacing w:after="0" w:line="301" w:lineRule="auto"/>
        <w:rPr>
          <w:sz w:val="20"/>
          <w:szCs w:val="20"/>
          <w:color w:val="auto"/>
        </w:rPr>
      </w:pPr>
      <w:r>
        <w:rPr>
          <w:rFonts w:ascii="Arial" w:cs="Arial" w:eastAsia="Arial" w:hAnsi="Arial"/>
          <w:sz w:val="16"/>
          <w:szCs w:val="16"/>
          <w:color w:val="auto"/>
        </w:rPr>
        <w:t>Other costs, including laboratory operations, supplies and professional fees, increased by net €3.3 million compared to the same period last year. Travel and entertainment costs decreased by €3.1 million, primarily due to the COVID-19 pandemic. Research and development costs included non-cash share-based payment of €33.0 million for the year ended December 31, 2020, compared to €22.4 million for the year ended December 31, 2019.</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85"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Selling, general and administrative expenses were €160.2 million for the year ended December 31, 2021, an increase of €83.5 million, or 109%,</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compared to €76.7 million for the year ended December 31, 2020. The higher expenses were primarily due to an increase in personnel costs of</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€21.2 million and non-cash share-based payment of €9.2 million for additional commercial and administrative personnel, and an increase in IT costs of</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€18.3 million, primarily related to the implementation of a new enterprise resource planning system, as well as increases in commercial expenses of</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€13.9 million, and in professional fees of €9.6 million. Other costs allocated to selling, general and administrative functions increased by a total of</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€11.3 million, primarily reflecting increased insurance costs of €4.6 million, facility costs of €2.7 million, and travel costs of €1.3 million.</w:t>
      </w:r>
    </w:p>
    <w:p>
      <w:pPr>
        <w:spacing w:after="0" w:line="209" w:lineRule="exact"/>
        <w:rPr>
          <w:sz w:val="20"/>
          <w:szCs w:val="20"/>
          <w:color w:val="auto"/>
        </w:rPr>
      </w:pPr>
    </w:p>
    <w:p>
      <w:pPr>
        <w:ind w:left="140" w:right="80"/>
        <w:spacing w:after="0" w:line="275" w:lineRule="auto"/>
        <w:rPr>
          <w:sz w:val="20"/>
          <w:szCs w:val="20"/>
          <w:color w:val="auto"/>
        </w:rPr>
      </w:pPr>
      <w:r>
        <w:rPr>
          <w:rFonts w:ascii="Arial" w:cs="Arial" w:eastAsia="Arial" w:hAnsi="Arial"/>
          <w:sz w:val="18"/>
          <w:szCs w:val="18"/>
          <w:color w:val="auto"/>
        </w:rPr>
        <w:t>Selling, general and administrative expenses included non-cash share-based payment of €29.4 million for the year ended December 31, 2021, compared to €20.2 million for the year ended December 31, 2020.</w:t>
      </w:r>
    </w:p>
    <w:p>
      <w:pPr>
        <w:spacing w:after="0" w:line="171" w:lineRule="exact"/>
        <w:rPr>
          <w:sz w:val="20"/>
          <w:szCs w:val="20"/>
          <w:color w:val="auto"/>
        </w:rPr>
      </w:pPr>
    </w:p>
    <w:p>
      <w:pPr>
        <w:ind w:left="140" w:right="80"/>
        <w:spacing w:after="0" w:line="253" w:lineRule="auto"/>
        <w:rPr>
          <w:sz w:val="20"/>
          <w:szCs w:val="20"/>
          <w:color w:val="auto"/>
        </w:rPr>
      </w:pPr>
      <w:r>
        <w:rPr>
          <w:rFonts w:ascii="Arial" w:cs="Arial" w:eastAsia="Arial" w:hAnsi="Arial"/>
          <w:sz w:val="18"/>
          <w:szCs w:val="18"/>
          <w:color w:val="auto"/>
        </w:rPr>
        <w:t>Selling, general and administrative expenses were €76.7 million for the year ended December 31, 2020, an increase of €28.2 million, or 58%, compared to €48.5 million for the year ended December 31, 2019. The higher expenses were primarily due to an increase in personnel costs of €10.3 million and non-cash share-based payment of €5.0 million for additional commercial and administrative personnel. IT and telecommunication costs increased by €4.8 million and insurance costs increased by €3.3 million. Professional fees, primarily related to building up our commercial capabilities, but also including legal costs and recruitment, increased by €5.6 million. Other costs, including facility costs and depreciation, increased by net €0.6 million, whereas travel and entertainment costs decreased by €1.4 million, primarily due to the COVID-19 pandemic. Selling, general and administrative expenses included non-cash share-based payment of €20.2 million for the year ended December 31, 2020, compared to €15.1 million for the year ended December 31, 2019.</w:t>
      </w:r>
    </w:p>
    <w:p>
      <w:pPr>
        <w:spacing w:after="0" w:line="29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Profit / (Loss) of Associate</w:t>
      </w:r>
    </w:p>
    <w:p>
      <w:pPr>
        <w:spacing w:after="0" w:line="116" w:lineRule="exact"/>
        <w:rPr>
          <w:sz w:val="20"/>
          <w:szCs w:val="20"/>
          <w:color w:val="auto"/>
        </w:rPr>
      </w:pPr>
    </w:p>
    <w:p>
      <w:pPr>
        <w:jc w:val="both"/>
        <w:ind w:left="140" w:right="60"/>
        <w:spacing w:after="0" w:line="310" w:lineRule="auto"/>
        <w:rPr>
          <w:sz w:val="20"/>
          <w:szCs w:val="20"/>
          <w:color w:val="auto"/>
        </w:rPr>
      </w:pPr>
      <w:r>
        <w:rPr>
          <w:rFonts w:ascii="Arial" w:cs="Arial" w:eastAsia="Arial" w:hAnsi="Arial"/>
          <w:sz w:val="16"/>
          <w:szCs w:val="16"/>
          <w:color w:val="auto"/>
        </w:rPr>
        <w:t>Net profit of associate was €12.0 million for the year ended December 31, 2021, compared to a net loss of €9.5 million for the year ended December 31, 2020. For the year ended December 31, 2021, the net profit of associate comprised a non-cash gain of €42.3 million as a result of the Series B financing in VISEN on January 8, 2021, and our share of loss of €30.3 million. The Series B financing did not change our accounting treatment of VISEN.</w:t>
      </w:r>
    </w:p>
    <w:p>
      <w:pPr>
        <w:spacing w:after="0" w:line="148" w:lineRule="exact"/>
        <w:rPr>
          <w:sz w:val="20"/>
          <w:szCs w:val="20"/>
          <w:color w:val="auto"/>
        </w:rPr>
      </w:pPr>
    </w:p>
    <w:p>
      <w:pPr>
        <w:ind w:left="140" w:right="300"/>
        <w:spacing w:after="0" w:line="275" w:lineRule="auto"/>
        <w:rPr>
          <w:sz w:val="20"/>
          <w:szCs w:val="20"/>
          <w:color w:val="auto"/>
        </w:rPr>
      </w:pPr>
      <w:r>
        <w:rPr>
          <w:rFonts w:ascii="Arial" w:cs="Arial" w:eastAsia="Arial" w:hAnsi="Arial"/>
          <w:sz w:val="18"/>
          <w:szCs w:val="18"/>
          <w:color w:val="auto"/>
        </w:rPr>
        <w:t>Net loss in associate was €9.5 million for the year ended December 31, 2020 compared to €8.1 million for the year ended December 31, 2019, which represents the Company’s share of net result in VISEN.</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6" w:lineRule="exact"/>
        <w:rPr>
          <w:sz w:val="20"/>
          <w:szCs w:val="20"/>
          <w:color w:val="auto"/>
        </w:rPr>
      </w:pPr>
    </w:p>
    <w:p>
      <w:pPr>
        <w:ind w:left="140" w:right="60"/>
        <w:spacing w:after="0" w:line="272" w:lineRule="auto"/>
        <w:rPr>
          <w:sz w:val="20"/>
          <w:szCs w:val="20"/>
          <w:color w:val="auto"/>
        </w:rPr>
      </w:pPr>
      <w:r>
        <w:rPr>
          <w:rFonts w:ascii="Arial" w:cs="Arial" w:eastAsia="Arial" w:hAnsi="Arial"/>
          <w:sz w:val="17"/>
          <w:szCs w:val="17"/>
          <w:color w:val="auto"/>
        </w:rPr>
        <w:t>Finance income was €59.7 million for the year ended December 31, 2021, an increase of € 57.9 million compared to €1.8 million for the year ended December 31, 2020. Finance expenses were €3.9 million for the year ended December 31, 2021, a decrease of €76.9 million compared to €80.8 million for the year ended December 31, 2020. As we hold positions of cash and cash equivalents, and marketable securities in U.S. Dollar, we are affected by exchange rate fluctuations when reporting our financial results in Euro. For the year ended December 31, 2021, we recognized net exchange rate gains when reporting our U.S. Dollar positions in Euro, reflecting positive exchange rate fluctuations, compared to net exchange rate losses recognized for the year ended December 31, 2020, reflecting negative exchange rate fluctuations.</w:t>
      </w:r>
    </w:p>
    <w:p>
      <w:pPr>
        <w:spacing w:after="0" w:line="177" w:lineRule="exact"/>
        <w:rPr>
          <w:sz w:val="20"/>
          <w:szCs w:val="20"/>
          <w:color w:val="auto"/>
        </w:rPr>
      </w:pPr>
    </w:p>
    <w:p>
      <w:pPr>
        <w:ind w:left="140" w:right="80"/>
        <w:spacing w:after="0" w:line="283" w:lineRule="auto"/>
        <w:rPr>
          <w:sz w:val="20"/>
          <w:szCs w:val="20"/>
          <w:color w:val="auto"/>
        </w:rPr>
      </w:pPr>
      <w:r>
        <w:rPr>
          <w:rFonts w:ascii="Arial" w:cs="Arial" w:eastAsia="Arial" w:hAnsi="Arial"/>
          <w:sz w:val="16"/>
          <w:szCs w:val="16"/>
          <w:color w:val="auto"/>
        </w:rPr>
        <w:t>Finance income was €1.8 million for the year ended December 31, 2020, a decrease of €16.0 million compared to €17.8 million for the year ended December 31, 2019. Finance expenses were €80.8 million for the year ended December 31, 2020, an increase of €79.6 million compared to €1.2 million for the year ended December 31, 2019. As we hold positions of marketable securities and cash and cash equivalents in U.S. Dollar, we are affected by exchange rate fluctuations when reporting our financial results in Euro. For the year ended December 31, 2020, we recognized an exchange rate loss when reporting our U.S. Dollar positions in Euro, reflecting negative exchange rate fluctuations, whereas we recognized a gain for the year ended December 31, 2019, reflecting positive exchange rate fluctuations, primarily between the U.S. Dollar and Euro. Further, the change reflects a</w:t>
      </w:r>
    </w:p>
    <w:p>
      <w:pPr>
        <w:spacing w:after="0" w:line="4" w:lineRule="exact"/>
        <w:rPr>
          <w:sz w:val="20"/>
          <w:szCs w:val="20"/>
          <w:color w:val="auto"/>
        </w:rPr>
      </w:pPr>
    </w:p>
    <w:p>
      <w:pPr>
        <w:ind w:left="140" w:right="280"/>
        <w:spacing w:after="0" w:line="259" w:lineRule="auto"/>
        <w:rPr>
          <w:sz w:val="20"/>
          <w:szCs w:val="20"/>
          <w:color w:val="auto"/>
        </w:rPr>
      </w:pPr>
      <w:r>
        <w:rPr>
          <w:rFonts w:ascii="Arial" w:cs="Arial" w:eastAsia="Arial" w:hAnsi="Arial"/>
          <w:sz w:val="18"/>
          <w:szCs w:val="18"/>
          <w:color w:val="auto"/>
        </w:rPr>
        <w:t>€8.2 million decrease in interest income due to declining interest rates compared to last year, and a €0.7 million increase in interest expenses on lease liabilities.</w:t>
      </w:r>
    </w:p>
    <w:p>
      <w:pPr>
        <w:spacing w:after="0" w:line="184" w:lineRule="exact"/>
        <w:rPr>
          <w:sz w:val="20"/>
          <w:szCs w:val="20"/>
          <w:color w:val="auto"/>
        </w:rPr>
      </w:pPr>
    </w:p>
    <w:p>
      <w:pPr>
        <w:ind w:left="140"/>
        <w:spacing w:after="0" w:line="275" w:lineRule="auto"/>
        <w:rPr>
          <w:sz w:val="20"/>
          <w:szCs w:val="20"/>
          <w:color w:val="auto"/>
        </w:rPr>
      </w:pPr>
      <w:r>
        <w:rPr>
          <w:rFonts w:ascii="Arial" w:cs="Arial" w:eastAsia="Arial" w:hAnsi="Arial"/>
          <w:sz w:val="18"/>
          <w:szCs w:val="18"/>
          <w:color w:val="auto"/>
        </w:rPr>
        <w:t>We did not have any interest-bearing debt for any of the periods presented. However, we have accrued interest expenses on lease liabilities in accordance with IFRS 16, “Leases”.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Tax on Profit / (Loss) for the Year</w:t>
      </w:r>
    </w:p>
    <w:p>
      <w:pPr>
        <w:spacing w:after="0" w:line="116" w:lineRule="exact"/>
        <w:rPr>
          <w:sz w:val="20"/>
          <w:szCs w:val="20"/>
          <w:color w:val="auto"/>
        </w:rPr>
      </w:pPr>
    </w:p>
    <w:p>
      <w:pPr>
        <w:ind w:left="140" w:right="520"/>
        <w:spacing w:after="0" w:line="300" w:lineRule="auto"/>
        <w:rPr>
          <w:sz w:val="20"/>
          <w:szCs w:val="20"/>
          <w:color w:val="auto"/>
        </w:rPr>
      </w:pPr>
      <w:r>
        <w:rPr>
          <w:rFonts w:ascii="Arial" w:cs="Arial" w:eastAsia="Arial" w:hAnsi="Arial"/>
          <w:sz w:val="16"/>
          <w:szCs w:val="16"/>
          <w:color w:val="auto"/>
        </w:rPr>
        <w:t>Tax for the year ended December 31, 2021 was a net tax credit of €0.4 million compared to a net tax credit of €0.2 million for the year ended December 31, 2020. Under Danish tax legislation, tax losses may be partly refunded by the tax authorities to the extent such tax losses arise from research and development activities. For the year ended December 31, 2021, the jointly taxed Danish entities had a tax loss, and accordingly were entitled to a tax refund of approximately €0.7 million, partly offset by net tax provisions of €0.3 million in our German and U.S. subsidiaries.</w:t>
      </w:r>
    </w:p>
    <w:p>
      <w:pPr>
        <w:sectPr>
          <w:pgSz w:w="11900" w:h="16838" w:orient="portrait"/>
          <w:cols w:equalWidth="0" w:num="1">
            <w:col w:w="11120"/>
          </w:cols>
          <w:pgMar w:left="320" w:top="485" w:right="459" w:bottom="1440" w:gutter="0" w:footer="0" w:header="0"/>
        </w:sectPr>
      </w:pP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20"/>
          </w:cols>
          <w:pgMar w:left="320" w:top="485" w:right="45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Tax for the year ended December 31, 2020 was a net credit of €0.2 million, in line with the net credit of €0.2 million for the year ended December 31, 2019. Under Danish tax legislation, tax losses may be partly refunded by the tax authorities to the extent such tax losses arise from research and development activities. For the year ended December 31, 2020, the jointly taxed Danish entities had a tax loss, and accordingly were entitled to a tax refund of approximately €0.7 million, partly offset by tax provisions of €0.4 million in our German subsidiary and €0.1 million in one of our subsidiaries in the United States.</w:t>
      </w:r>
    </w:p>
    <w:p>
      <w:pPr>
        <w:spacing w:after="0" w:line="188" w:lineRule="exact"/>
        <w:rPr>
          <w:sz w:val="20"/>
          <w:szCs w:val="20"/>
          <w:color w:val="auto"/>
        </w:rPr>
      </w:pPr>
    </w:p>
    <w:p>
      <w:pPr>
        <w:ind w:left="140" w:right="100"/>
        <w:spacing w:after="0" w:line="278" w:lineRule="auto"/>
        <w:rPr>
          <w:sz w:val="20"/>
          <w:szCs w:val="20"/>
          <w:color w:val="auto"/>
        </w:rPr>
      </w:pPr>
      <w:r>
        <w:rPr>
          <w:rFonts w:ascii="Arial" w:cs="Arial" w:eastAsia="Arial" w:hAnsi="Arial"/>
          <w:sz w:val="17"/>
          <w:szCs w:val="17"/>
          <w:color w:val="auto"/>
        </w:rPr>
        <w:t>At December 31, 2021, 2020 and 2019, we had net deferred tax assets of €325.9 million, €235.0 million, and €128.9 million, respectively, which were not recognized in the consolidated statement of financial position due to uncertainties relating to the future utilization. The increase in the unrecognized deferred tax asset can primarily be attributed to an increase in tax losses carried forward. The deferred tax asset can be carried forward without timing limitations. For tax losses carried forward, certain limitations exist for amounts to be utilized each year.</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Critical Accounting Policies, Judgements and Estimates</w:t>
      </w:r>
    </w:p>
    <w:p>
      <w:pPr>
        <w:spacing w:after="0" w:line="120" w:lineRule="exact"/>
        <w:rPr>
          <w:sz w:val="20"/>
          <w:szCs w:val="20"/>
          <w:color w:val="auto"/>
        </w:rPr>
      </w:pPr>
    </w:p>
    <w:p>
      <w:pPr>
        <w:ind w:left="140" w:right="380"/>
        <w:spacing w:after="0" w:line="278" w:lineRule="auto"/>
        <w:rPr>
          <w:sz w:val="20"/>
          <w:szCs w:val="20"/>
          <w:color w:val="auto"/>
        </w:rPr>
      </w:pPr>
      <w:r>
        <w:rPr>
          <w:rFonts w:ascii="Arial" w:cs="Arial" w:eastAsia="Arial" w:hAnsi="Arial"/>
          <w:sz w:val="17"/>
          <w:szCs w:val="17"/>
          <w:color w:val="auto"/>
        </w:rPr>
        <w:t>The consolidated financial statements are prepared in accordance with the International Financial Reporting Standards (“IFRS”), as issued by the International Accounting Standards Board (“IASB”), and as adopted by the European Union (“EU”). A description of critical accounting policies is provided in Note 2 “Summary of Significant Accounting Policies” and Note 3 “Significant Accounting Judgements and Estimates” in the audited consolidated financial statements as of and for the years ended December 31, 2021, 2020 and 2019, of this annual report.</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Critical Accounting Judgements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Critical accounting judgements which have a material impact on the consolidated financial statements are described in the following sections.</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Revenue</w:t>
      </w:r>
    </w:p>
    <w:p>
      <w:pPr>
        <w:spacing w:after="0" w:line="116" w:lineRule="exact"/>
        <w:rPr>
          <w:sz w:val="20"/>
          <w:szCs w:val="20"/>
          <w:color w:val="auto"/>
        </w:rPr>
      </w:pPr>
    </w:p>
    <w:p>
      <w:pPr>
        <w:ind w:left="140" w:right="80"/>
        <w:spacing w:after="0" w:line="275" w:lineRule="auto"/>
        <w:rPr>
          <w:sz w:val="20"/>
          <w:szCs w:val="20"/>
          <w:color w:val="auto"/>
        </w:rPr>
      </w:pPr>
      <w:r>
        <w:rPr>
          <w:rFonts w:ascii="Arial" w:cs="Arial" w:eastAsia="Arial" w:hAnsi="Arial"/>
          <w:sz w:val="18"/>
          <w:szCs w:val="18"/>
          <w:color w:val="auto"/>
        </w:rPr>
        <w:t>Other revenue is primarily generated from collaboration and license agreements, which typically involve multiple promises, and thus require significant judgements by management on certain areas including:</w:t>
      </w:r>
    </w:p>
    <w:p>
      <w:pPr>
        <w:spacing w:after="0" w:line="77" w:lineRule="exact"/>
        <w:rPr>
          <w:sz w:val="20"/>
          <w:szCs w:val="20"/>
          <w:color w:val="auto"/>
        </w:rPr>
      </w:pPr>
    </w:p>
    <w:p>
      <w:pPr>
        <w:ind w:left="1100" w:hanging="426"/>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Determining whether the promises in the agreements are distinct performance obligations;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Identifying and constraining variable consideration in the transaction price including milestone payments;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Allocating transaction price to identified performance obligations based on their relative stand-alone selling prices;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Determining whether performance obligations are satisfied over time, or at a point in time.</w:t>
      </w:r>
    </w:p>
    <w:p>
      <w:pPr>
        <w:spacing w:after="0" w:line="223" w:lineRule="exact"/>
        <w:rPr>
          <w:sz w:val="20"/>
          <w:szCs w:val="20"/>
          <w:color w:val="auto"/>
        </w:rPr>
      </w:pPr>
    </w:p>
    <w:p>
      <w:pPr>
        <w:ind w:left="140"/>
        <w:spacing w:after="0" w:line="285" w:lineRule="auto"/>
        <w:rPr>
          <w:sz w:val="20"/>
          <w:szCs w:val="20"/>
          <w:color w:val="auto"/>
        </w:rPr>
      </w:pPr>
      <w:r>
        <w:rPr>
          <w:rFonts w:ascii="Arial" w:cs="Arial" w:eastAsia="Arial" w:hAnsi="Arial"/>
          <w:sz w:val="17"/>
          <w:szCs w:val="17"/>
          <w:color w:val="auto"/>
        </w:rPr>
        <w:t>Three license agreements with the Company’s associate VISEN Pharmaceuticals (“licensee”), grant the licensee exclusive rights to develop, manufacture, and commercialize patented product candidates in Greater China, including the right to grant sub-licenses to third parties. In addition to the licenses, the Company will provide development services and deliver clinical supply material for clinical trials within Greater China.</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Critical judgements relating to the license agreements are described below.</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Classification of License Agreements</w:t>
      </w:r>
    </w:p>
    <w:p>
      <w:pPr>
        <w:spacing w:after="0" w:line="116"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Collaboration and license agreements within the Company’s industry are often structured so that each party contributes its respective skills in the various phases of a development project, and significant judgement is required by management to determine whether such agreements comprise customer/supplier relationship or joint arrangements where parties share risks and rewards.</w:t>
      </w:r>
    </w:p>
    <w:p>
      <w:pPr>
        <w:spacing w:after="0" w:line="183" w:lineRule="exact"/>
        <w:rPr>
          <w:sz w:val="20"/>
          <w:szCs w:val="20"/>
          <w:color w:val="auto"/>
        </w:rPr>
      </w:pPr>
    </w:p>
    <w:p>
      <w:pPr>
        <w:jc w:val="both"/>
        <w:ind w:left="140"/>
        <w:spacing w:after="0" w:line="340" w:lineRule="auto"/>
        <w:rPr>
          <w:sz w:val="20"/>
          <w:szCs w:val="20"/>
          <w:color w:val="auto"/>
        </w:rPr>
      </w:pPr>
      <w:r>
        <w:rPr>
          <w:rFonts w:ascii="Arial" w:cs="Arial" w:eastAsia="Arial" w:hAnsi="Arial"/>
          <w:sz w:val="16"/>
          <w:szCs w:val="16"/>
          <w:color w:val="auto"/>
        </w:rPr>
        <w:t>It has been concluded that no joint control exists for the Company’s license agreements and the parties do not have any financial obligations on behalf of each other. Accordingly, since neither of the license agreements are considered to be joint arrangements, these are classified as contracts with customers.</w:t>
      </w:r>
    </w:p>
    <w:p>
      <w:pPr>
        <w:spacing w:after="0" w:line="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85"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Identifying Performance Obligations</w:t>
      </w:r>
    </w:p>
    <w:p>
      <w:pPr>
        <w:spacing w:after="0" w:line="116" w:lineRule="exact"/>
        <w:rPr>
          <w:sz w:val="20"/>
          <w:szCs w:val="20"/>
          <w:color w:val="auto"/>
        </w:rPr>
      </w:pPr>
    </w:p>
    <w:p>
      <w:pPr>
        <w:ind w:left="140" w:right="240"/>
        <w:spacing w:after="0" w:line="278" w:lineRule="auto"/>
        <w:rPr>
          <w:sz w:val="20"/>
          <w:szCs w:val="20"/>
          <w:color w:val="auto"/>
        </w:rPr>
      </w:pPr>
      <w:r>
        <w:rPr>
          <w:rFonts w:ascii="Arial" w:cs="Arial" w:eastAsia="Arial" w:hAnsi="Arial"/>
          <w:sz w:val="17"/>
          <w:szCs w:val="17"/>
          <w:color w:val="auto"/>
        </w:rPr>
        <w:t>In determination of the performance obligations and allocation of the transaction price, the stand-alone values of the promises and the Company’s responsibility in the development activities have been considered. Since licensed product candidates are all in Phase 1 clinical trials or later stages of development, the licensee can benefit from each promise in the contract either on their own or together with readily available resources. Accordingly, licenses, development services, and clinical trial supplies are all considered distinct performance obligations.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Classification of Licenses as “Right-to-Use” or “Right-to-Access”</w:t>
      </w:r>
    </w:p>
    <w:p>
      <w:pPr>
        <w:spacing w:after="0" w:line="116"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Management has considered whether the Company is obligated or expected to perform research and development activities that significantly affect the licensee’s ability to benefit from the product candidates. Since licensed products are patented drug formulas, future activities performed by the Company do not affect their stand-alone functionalities. Accordingly, all three licenses have been classified as “right-to-use”, with revenue recognized at the point in time, where licensee is granted access to the intellectual property.</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Internally Generated Intangible Assets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Development of Drug Candidates</w:t>
      </w:r>
    </w:p>
    <w:p>
      <w:pPr>
        <w:spacing w:after="0" w:line="116" w:lineRule="exact"/>
        <w:rPr>
          <w:sz w:val="20"/>
          <w:szCs w:val="20"/>
          <w:color w:val="auto"/>
        </w:rPr>
      </w:pPr>
    </w:p>
    <w:p>
      <w:pPr>
        <w:ind w:left="140" w:right="240"/>
        <w:spacing w:after="0" w:line="272" w:lineRule="auto"/>
        <w:rPr>
          <w:sz w:val="20"/>
          <w:szCs w:val="20"/>
          <w:color w:val="auto"/>
        </w:rPr>
      </w:pPr>
      <w:r>
        <w:rPr>
          <w:rFonts w:ascii="Arial" w:cs="Arial" w:eastAsia="Arial" w:hAnsi="Arial"/>
          <w:sz w:val="17"/>
          <w:szCs w:val="17"/>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the Company has the intent to produce and market the product. Such an intangible asset shall be recognized if it can be demonstrated that the future income from the development project will exceed the aggregate cost of development, production, sale and administration of the product.</w:t>
      </w:r>
    </w:p>
    <w:p>
      <w:pPr>
        <w:spacing w:after="0" w:line="177" w:lineRule="exact"/>
        <w:rPr>
          <w:sz w:val="20"/>
          <w:szCs w:val="20"/>
          <w:color w:val="auto"/>
        </w:rPr>
      </w:pPr>
    </w:p>
    <w:p>
      <w:pPr>
        <w:ind w:left="140" w:right="220"/>
        <w:spacing w:after="0" w:line="262" w:lineRule="auto"/>
        <w:rPr>
          <w:sz w:val="20"/>
          <w:szCs w:val="20"/>
          <w:color w:val="auto"/>
        </w:rPr>
      </w:pPr>
      <w:r>
        <w:rPr>
          <w:rFonts w:ascii="Arial" w:cs="Arial" w:eastAsia="Arial" w:hAnsi="Arial"/>
          <w:sz w:val="18"/>
          <w:szCs w:val="18"/>
          <w:color w:val="auto"/>
        </w:rPr>
        <w:t>Due to the risk associated with drug development, future income from development projects related to drug candidates cannot be determined with sufficient certainty until the development activities have been completed and the necessary marketing approvals have been obtained. Accordingly, the Company does not recognize internally generated intangible assets at this time.</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Leases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Determination of Lease Term</w:t>
      </w:r>
    </w:p>
    <w:p>
      <w:pPr>
        <w:spacing w:after="0" w:line="116"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Certain lease arrangements include contractual rights (not obligations) to either extend the lease after the initial term, or not to terminate the lease within the enforceable lease term, i.e., periods where lessor cannot terminate the lease. Those options cover periods in the range from two to ten years in addition to the non-cancellable periods. Significant judgement is required by management to determine whether it is reasonably certain to exercise an extension option, or not to exercise a termination option, upon occurrence of an event of change in circumstances that is within the control of the Company.</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Critical Estimation Uncertainties</w:t>
      </w:r>
    </w:p>
    <w:p>
      <w:pPr>
        <w:spacing w:after="0" w:line="120" w:lineRule="exact"/>
        <w:rPr>
          <w:sz w:val="20"/>
          <w:szCs w:val="20"/>
          <w:color w:val="auto"/>
        </w:rPr>
      </w:pPr>
    </w:p>
    <w:p>
      <w:pPr>
        <w:ind w:left="140" w:right="60"/>
        <w:spacing w:after="0" w:line="275" w:lineRule="auto"/>
        <w:rPr>
          <w:sz w:val="20"/>
          <w:szCs w:val="20"/>
          <w:color w:val="auto"/>
        </w:rPr>
      </w:pPr>
      <w:r>
        <w:rPr>
          <w:rFonts w:ascii="Arial" w:cs="Arial" w:eastAsia="Arial" w:hAnsi="Arial"/>
          <w:sz w:val="18"/>
          <w:szCs w:val="18"/>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and Provisions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Provision for Sales Rebates and Product Returns</w:t>
      </w:r>
    </w:p>
    <w:p>
      <w:pPr>
        <w:spacing w:after="0" w:line="116" w:lineRule="exact"/>
        <w:rPr>
          <w:sz w:val="20"/>
          <w:szCs w:val="20"/>
          <w:color w:val="auto"/>
        </w:rPr>
      </w:pPr>
    </w:p>
    <w:p>
      <w:pPr>
        <w:ind w:left="140" w:right="300"/>
        <w:spacing w:after="0" w:line="262" w:lineRule="auto"/>
        <w:rPr>
          <w:sz w:val="20"/>
          <w:szCs w:val="20"/>
          <w:color w:val="auto"/>
        </w:rPr>
      </w:pPr>
      <w:r>
        <w:rPr>
          <w:rFonts w:ascii="Arial" w:cs="Arial" w:eastAsia="Arial" w:hAnsi="Arial"/>
          <w:sz w:val="18"/>
          <w:szCs w:val="18"/>
          <w:color w:val="auto"/>
        </w:rPr>
        <w:t>Sales rebates and product returns are considered variable consideration and constrained to the extent that a significant reversal in the amount of cumulative revenue recognized will not occur when the uncertainties associated with the rebate item is subsequently resolved, or for product returns, when the sold products are distributed to patients.</w:t>
      </w:r>
    </w:p>
    <w:p>
      <w:pPr>
        <w:spacing w:after="0" w:line="183" w:lineRule="exact"/>
        <w:rPr>
          <w:sz w:val="20"/>
          <w:szCs w:val="20"/>
          <w:color w:val="auto"/>
        </w:rPr>
      </w:pPr>
    </w:p>
    <w:p>
      <w:pPr>
        <w:ind w:left="140" w:right="120"/>
        <w:spacing w:after="0" w:line="278" w:lineRule="auto"/>
        <w:rPr>
          <w:sz w:val="20"/>
          <w:szCs w:val="20"/>
          <w:color w:val="auto"/>
        </w:rPr>
      </w:pPr>
      <w:r>
        <w:rPr>
          <w:rFonts w:ascii="Arial" w:cs="Arial" w:eastAsia="Arial" w:hAnsi="Arial"/>
          <w:sz w:val="17"/>
          <w:szCs w:val="17"/>
          <w:color w:val="auto"/>
        </w:rPr>
        <w:t>Provisions for unsettled sales rebates and product returns are estimated on the basis of a percentage of sales as defined by individual agreements and contracts, and for government rebates by individual state- and plan agreements. Further input in the calculations is based on payer channel mix, current contract prices under eligible programs, patient groups and current inventory levels in the distribution channels. Provisions are adjusted to absolute amounts and recognized as other liabilities when estimated sales rebates and returns are processed.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85"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Warrant Compensation Costs</w:t>
      </w:r>
    </w:p>
    <w:p>
      <w:pPr>
        <w:spacing w:after="0" w:line="116" w:lineRule="exact"/>
        <w:rPr>
          <w:sz w:val="20"/>
          <w:szCs w:val="20"/>
          <w:color w:val="auto"/>
        </w:rPr>
      </w:pPr>
    </w:p>
    <w:p>
      <w:pPr>
        <w:ind w:left="140" w:right="280"/>
        <w:spacing w:after="0" w:line="258" w:lineRule="auto"/>
        <w:rPr>
          <w:sz w:val="20"/>
          <w:szCs w:val="20"/>
          <w:color w:val="auto"/>
        </w:rPr>
      </w:pPr>
      <w:r>
        <w:rPr>
          <w:rFonts w:ascii="Arial" w:cs="Arial" w:eastAsia="Arial" w:hAnsi="Arial"/>
          <w:sz w:val="18"/>
          <w:szCs w:val="18"/>
          <w:color w:val="auto"/>
        </w:rPr>
        <w:t>IFRS 2, “Share-Based Payment” requires an entity to reflect in its consolidated statement of profit or loss and financial position, the effects of share-based payment transactions. Warrant compensation costs are recognized as cost of sales, research and development costs or selling, general and administrative expenses, as appropriate, over the vesting period, based on management’s best estimate of the number of warrants that will ultimately vests, which is subject to uncertainty.</w:t>
      </w:r>
    </w:p>
    <w:p>
      <w:pPr>
        <w:spacing w:after="0" w:line="186"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Warrant compensation costs are measured according to the grant date fair values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In 2021, the Company has for the first time, in connection with determining the grant date fair value of warrants and accordingly, warrant compensation costs, applied the price of the Company’s ADSs, each representing one ordinary share of the Company, as input for expected volatility. Until December 31, 2020, the expected volatility was calculated using a simple average of daily historical data of comparable publicly traded companies, as the Company did not have sufficient data for the volatility of the Company’s own share price. For additional details on the Company’s warrant program and option-pricing model input, refer to Note 7 “Share-based Payment” appearing elsewhere in this annual report.</w:t>
      </w:r>
    </w:p>
    <w:p>
      <w:pPr>
        <w:spacing w:after="0" w:line="171" w:lineRule="exact"/>
        <w:rPr>
          <w:sz w:val="20"/>
          <w:szCs w:val="20"/>
          <w:color w:val="auto"/>
        </w:rPr>
      </w:pPr>
    </w:p>
    <w:p>
      <w:pPr>
        <w:ind w:left="140" w:right="240"/>
        <w:spacing w:after="0" w:line="275" w:lineRule="auto"/>
        <w:rPr>
          <w:sz w:val="20"/>
          <w:szCs w:val="20"/>
          <w:color w:val="auto"/>
        </w:rPr>
      </w:pPr>
      <w:r>
        <w:rPr>
          <w:rFonts w:ascii="Arial" w:cs="Arial" w:eastAsia="Arial" w:hAnsi="Arial"/>
          <w:sz w:val="18"/>
          <w:szCs w:val="18"/>
          <w:color w:val="auto"/>
        </w:rPr>
        <w:t>Warrant compensation cost recognized in the consolidated statement of profit or loss was €66.1 million, €53.2 million and €37.5 million for the years ended December 31, 2021, 2020 and 2019, respectively.</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Prepayments and Accruals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Project Development Costs</w:t>
      </w:r>
    </w:p>
    <w:p>
      <w:pPr>
        <w:spacing w:after="0" w:line="116" w:lineRule="exact"/>
        <w:rPr>
          <w:sz w:val="20"/>
          <w:szCs w:val="20"/>
          <w:color w:val="auto"/>
        </w:rPr>
      </w:pPr>
    </w:p>
    <w:p>
      <w:pPr>
        <w:ind w:left="140" w:right="200"/>
        <w:spacing w:after="0" w:line="300" w:lineRule="auto"/>
        <w:rPr>
          <w:sz w:val="20"/>
          <w:szCs w:val="20"/>
          <w:color w:val="auto"/>
        </w:rPr>
      </w:pPr>
      <w:r>
        <w:rPr>
          <w:rFonts w:ascii="Arial" w:cs="Arial" w:eastAsia="Arial" w:hAnsi="Arial"/>
          <w:sz w:val="16"/>
          <w:szCs w:val="16"/>
          <w:color w:val="auto"/>
        </w:rPr>
        <w:t>Development of drug candidates requires significant resources, and establishment of long-term working relationships with CROs and CMOs. Work performed by CROs and CMOs and other suppliers, often comprise deliveries for more than one reporting period, and where payment terms for contractual work do not necessarily reflect the stage of completion of the individual projects and activities. Accordingly, determination of the stage of completion for ongoing project activities include estimation uncertainties as future efforts to complete the specific activity may be difficult to predict.</w:t>
      </w:r>
    </w:p>
    <w:p>
      <w:pPr>
        <w:spacing w:after="0" w:line="156"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On each reporting date, all significant ongoing activities are reviewed to determine the stage of completion and compared to the invoices received. Accruals are recognized for individual projects where the stage of completion exceeds costs of invoices received. Similarly, prepayments are recognized for invoiced costs in excess of the stage of completion. The Company has implemented accrual calculation models and policies, to ensure that consistent accrual procedures are applied, which includes analyzing significant project stages and payment structures, comparing project milestones to planned performance, and revisiting prior periods estimates.</w:t>
      </w:r>
    </w:p>
    <w:p>
      <w:pPr>
        <w:spacing w:after="0" w:line="188" w:lineRule="exact"/>
        <w:rPr>
          <w:sz w:val="20"/>
          <w:szCs w:val="20"/>
          <w:color w:val="auto"/>
        </w:rPr>
      </w:pPr>
    </w:p>
    <w:p>
      <w:pPr>
        <w:ind w:left="140" w:right="260"/>
        <w:spacing w:after="0" w:line="275" w:lineRule="auto"/>
        <w:rPr>
          <w:sz w:val="20"/>
          <w:szCs w:val="20"/>
          <w:color w:val="auto"/>
        </w:rPr>
      </w:pPr>
      <w:r>
        <w:rPr>
          <w:rFonts w:ascii="Arial" w:cs="Arial" w:eastAsia="Arial" w:hAnsi="Arial"/>
          <w:sz w:val="18"/>
          <w:szCs w:val="18"/>
          <w:color w:val="auto"/>
        </w:rPr>
        <w:t>As of December 31, 2021, the consolidated statement of financial position included prepaid project costs of €8.0 million and accrued project costs of €23.5 million, compared to €10.5 million and €17.0 million, respectively, as of December 31, 2020.</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85"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0"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color w:val="auto"/>
        </w:rPr>
        <w:t>Our activities expose us to the financial risks of changes in foreign currency exchange rates and interest rates. We do not enter into derivative financial instruments to manage our exposure to such risks.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6" w:lineRule="exact"/>
        <w:rPr>
          <w:sz w:val="20"/>
          <w:szCs w:val="20"/>
          <w:color w:val="auto"/>
        </w:rPr>
      </w:pPr>
    </w:p>
    <w:p>
      <w:pPr>
        <w:ind w:left="140" w:right="20"/>
        <w:spacing w:after="0" w:line="295" w:lineRule="auto"/>
        <w:rPr>
          <w:sz w:val="20"/>
          <w:szCs w:val="20"/>
          <w:color w:val="auto"/>
        </w:rPr>
      </w:pPr>
      <w:r>
        <w:rPr>
          <w:rFonts w:ascii="Arial" w:cs="Arial" w:eastAsia="Arial" w:hAnsi="Arial"/>
          <w:sz w:val="16"/>
          <w:szCs w:val="16"/>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IPO in February 2015 and our follow-on offerings, the latest being in September 2021, were in U.S. Dollars. We seek to minimize our exchange rate risk by maintaining cash positions in the currencies in which we expect to incur the majority of our future expenses and we make payments from those positions. As required under IFRS, we perform an analysis and report on our foreign currency exposure on an annual basis.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At December 31, 2021, the direct exposure from U.S. Dollar (U.S. Dollar monetary assets and liabilities held by non-U.S. Dollar entities) was</w:t>
      </w:r>
    </w:p>
    <w:p>
      <w:pPr>
        <w:spacing w:after="0" w:line="34" w:lineRule="exact"/>
        <w:rPr>
          <w:sz w:val="20"/>
          <w:szCs w:val="20"/>
          <w:color w:val="auto"/>
        </w:rPr>
      </w:pPr>
    </w:p>
    <w:p>
      <w:pPr>
        <w:ind w:left="140" w:right="20"/>
        <w:spacing w:after="0" w:line="252" w:lineRule="auto"/>
        <w:rPr>
          <w:sz w:val="20"/>
          <w:szCs w:val="20"/>
          <w:color w:val="auto"/>
        </w:rPr>
      </w:pPr>
      <w:r>
        <w:rPr>
          <w:rFonts w:ascii="Arial" w:cs="Arial" w:eastAsia="Arial" w:hAnsi="Arial"/>
          <w:sz w:val="18"/>
          <w:szCs w:val="18"/>
          <w:color w:val="auto"/>
        </w:rPr>
        <w:t>€549.2 million, which primarily related to cash and cash equivalents, and marketable securities. A sensitivity analysis of our exposure to the U.S. Dollar based on outstanding foreign currency denominated monetary items as of December 31, 2021 shows that a strengthening of the U.S. Dollar against the Euro by 10% would increase profit or loss and equity before tax by €54.9 million. A 10% weakening of the U.S. Dollar against the Euro would decrease profit or loss and equity before tax by a similar amount.</w:t>
      </w:r>
    </w:p>
    <w:p>
      <w:pPr>
        <w:spacing w:after="0" w:line="192"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At December 31, 2021, the direct exposure from British Pound (British Pound monetary assets and liabilities held by non-British Pound entities) was €6.7 million, which primarily related to cash. A sensitivity analysis of our exposure to the British Pound based on outstanding foreign currency denominated monetary items as of December 31, 2021 shows that a strengthening of the British Pound against the Euro by 10% would increase profit or loss and equity before tax by €0.7 million. A 10% weakening of the British Pound against the Euro would decrease profit or loss and equity before tax by a similar amount.</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6" w:lineRule="exact"/>
        <w:rPr>
          <w:sz w:val="20"/>
          <w:szCs w:val="20"/>
          <w:color w:val="auto"/>
        </w:rPr>
      </w:pPr>
    </w:p>
    <w:p>
      <w:pPr>
        <w:ind w:left="140" w:right="160"/>
        <w:spacing w:after="0" w:line="285" w:lineRule="auto"/>
        <w:rPr>
          <w:sz w:val="20"/>
          <w:szCs w:val="20"/>
          <w:color w:val="auto"/>
        </w:rPr>
      </w:pPr>
      <w:r>
        <w:rPr>
          <w:rFonts w:ascii="Arial" w:cs="Arial" w:eastAsia="Arial" w:hAnsi="Arial"/>
          <w:sz w:val="17"/>
          <w:szCs w:val="17"/>
          <w:color w:val="auto"/>
        </w:rPr>
        <w:t>We have no interest-bearing debt to third parties. In addition, while we hold no derivatives or financial assets and liabilities measured at fair value, the exposure to interest rate risk primarily relates to the interest rates for cash, cash equivalents and marketable securities. Future interest income from interest-bearing bank deposits and marketable securities may fall short of expectations due to changes in interest rates.</w:t>
      </w:r>
    </w:p>
    <w:p>
      <w:pPr>
        <w:spacing w:after="0" w:line="165" w:lineRule="exact"/>
        <w:rPr>
          <w:sz w:val="20"/>
          <w:szCs w:val="20"/>
          <w:color w:val="auto"/>
        </w:rPr>
      </w:pPr>
    </w:p>
    <w:p>
      <w:pPr>
        <w:ind w:left="140" w:right="540"/>
        <w:spacing w:after="0" w:line="275" w:lineRule="auto"/>
        <w:rPr>
          <w:sz w:val="20"/>
          <w:szCs w:val="20"/>
          <w:color w:val="auto"/>
        </w:rPr>
      </w:pPr>
      <w:r>
        <w:rPr>
          <w:rFonts w:ascii="Arial" w:cs="Arial" w:eastAsia="Arial" w:hAnsi="Arial"/>
          <w:sz w:val="18"/>
          <w:szCs w:val="18"/>
          <w:color w:val="auto"/>
        </w:rPr>
        <w:t>The effects of interest rate fluctuations are not considered a material risk to the Company’s financial position. Accordingly, no interest sensitivity analysis has been presented.</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Credit Risk</w:t>
      </w:r>
    </w:p>
    <w:p>
      <w:pPr>
        <w:spacing w:after="0" w:line="116" w:lineRule="exact"/>
        <w:rPr>
          <w:sz w:val="20"/>
          <w:szCs w:val="20"/>
          <w:color w:val="auto"/>
        </w:rPr>
      </w:pPr>
    </w:p>
    <w:p>
      <w:pPr>
        <w:jc w:val="both"/>
        <w:ind w:left="140"/>
        <w:spacing w:after="0" w:line="285"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w:t>
      </w:r>
    </w:p>
    <w:p>
      <w:pPr>
        <w:spacing w:after="0" w:line="165"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credit-ratings (minimum A3/A-) assigned by international credit-rating agencies. The banks are reviewed on a regular basis and deposits may be transferred during the year to mitigate credit risk. In order to mitigate the concentration of credit risks on bank deposits and to preserve capital, a portion of the bank deposits have been placed into primarily U.S. government bonds, treasury bills, corporate bonds, and commercial papers. Our investment policy, approved by the board of directors, only allows investment in marketable securities having investment grade credit-ratings, assigned by international credit-rating agencies. Accordingly, the risk from probability of default is low. On each reporting date, we consider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85"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Marketable securities specified by investment grade credit rating are specified below:</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1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rPr>
              <w:t>(EUR’000)</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 specified by investment grade credit rating</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Prime</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7,716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High grade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144,307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Upper medium grade</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196,909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196,566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99,503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Lower medium grade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343,358</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342,731</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249,558</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249,530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color w:val="auto"/>
        </w:rPr>
        <w:t>At the reporting dates, there are no significant overdue trade receivable balances. As a result, write-down to accommodate expected credit-losses is not deemed material.</w:t>
      </w:r>
    </w:p>
    <w:p>
      <w:pPr>
        <w:spacing w:after="0" w:line="315" w:lineRule="exact"/>
        <w:rPr>
          <w:sz w:val="20"/>
          <w:szCs w:val="20"/>
          <w:color w:val="auto"/>
        </w:rPr>
      </w:pPr>
    </w:p>
    <w:p>
      <w:pPr>
        <w:ind w:left="560" w:hanging="425"/>
        <w:spacing w:after="0"/>
        <w:tabs>
          <w:tab w:leader="none" w:pos="5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liquidity and capital resources comprise cash, cash equivalents and marketable securities.</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December 31, 2021, these amounted to €789.6 million, and are specified as follows:</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144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343,358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446,267</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446,267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789,625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788,998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Classification in consolidated statement of financial position</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107,561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682,064</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681,823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789,625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788,998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Marketable securities have a weighted average duration of 5.8 and 16.7 months, for current (i.e., those maturing within twelve months after the reporting date) and non-current positions, respectively. The entire portfolio of marketable securities (current and non-current) has a weighted average duration of 9.2 months.</w:t>
      </w:r>
    </w:p>
    <w:p>
      <w:pPr>
        <w:spacing w:after="0" w:line="183" w:lineRule="exact"/>
        <w:rPr>
          <w:sz w:val="20"/>
          <w:szCs w:val="20"/>
          <w:color w:val="auto"/>
        </w:rPr>
      </w:pPr>
    </w:p>
    <w:p>
      <w:pPr>
        <w:ind w:left="140" w:right="580"/>
        <w:spacing w:after="0" w:line="340" w:lineRule="auto"/>
        <w:rPr>
          <w:sz w:val="20"/>
          <w:szCs w:val="20"/>
          <w:color w:val="auto"/>
        </w:rPr>
      </w:pPr>
      <w:r>
        <w:rPr>
          <w:rFonts w:ascii="Arial" w:cs="Arial" w:eastAsia="Arial" w:hAnsi="Arial"/>
          <w:sz w:val="16"/>
          <w:szCs w:val="16"/>
          <w:color w:val="auto"/>
        </w:rPr>
        <w:t>We have historically funded our operations primarily through issuance of preference shares, ordinary shares, including our initial public offering, follow-on offerings and exercise of warrants, convertible debt securities, and payments to us made under collaboration agreements.</w:t>
      </w:r>
    </w:p>
    <w:p>
      <w:pPr>
        <w:spacing w:after="0" w:line="124" w:lineRule="exact"/>
        <w:rPr>
          <w:sz w:val="20"/>
          <w:szCs w:val="20"/>
          <w:color w:val="auto"/>
        </w:rPr>
      </w:pPr>
    </w:p>
    <w:p>
      <w:pPr>
        <w:jc w:val="both"/>
        <w:ind w:left="140" w:right="100"/>
        <w:spacing w:after="0" w:line="262"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 (all amounts disclosed after deducting underwriters’ commissions and offering expenses):</w:t>
      </w:r>
    </w:p>
    <w:p>
      <w:pPr>
        <w:spacing w:after="0" w:line="89" w:lineRule="exact"/>
        <w:rPr>
          <w:sz w:val="20"/>
          <w:szCs w:val="20"/>
          <w:color w:val="auto"/>
        </w:rPr>
      </w:pPr>
    </w:p>
    <w:p>
      <w:pPr>
        <w:ind w:left="1100" w:hanging="426"/>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2019, with net proceeds of $539.4 million (or €480.3 million);</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2020, with net proceeds of $654.6 million (or €580.5 million); and</w:t>
      </w:r>
    </w:p>
    <w:p>
      <w:pPr>
        <w:spacing w:after="0" w:line="129" w:lineRule="exact"/>
        <w:rPr>
          <w:rFonts w:ascii="Arial" w:cs="Arial" w:eastAsia="Arial" w:hAnsi="Arial"/>
          <w:sz w:val="18"/>
          <w:szCs w:val="18"/>
          <w:color w:val="auto"/>
        </w:rPr>
      </w:pPr>
    </w:p>
    <w:p>
      <w:pPr>
        <w:jc w:val="right"/>
        <w:ind w:left="5480" w:right="5360" w:hanging="4806"/>
        <w:spacing w:after="0" w:line="533" w:lineRule="auto"/>
        <w:tabs>
          <w:tab w:leader="none" w:pos="10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2021, with net proceeds of $436.3 million (or €367.9 million). 102</w:t>
      </w:r>
    </w:p>
    <w:p>
      <w:pPr>
        <w:sectPr>
          <w:pgSz w:w="11900" w:h="16838" w:orient="portrait"/>
          <w:cols w:equalWidth="0" w:num="1">
            <w:col w:w="11120"/>
          </w:cols>
          <w:pgMar w:left="320" w:top="485"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80"/>
        <w:spacing w:after="0" w:line="285" w:lineRule="auto"/>
        <w:rPr>
          <w:sz w:val="20"/>
          <w:szCs w:val="20"/>
          <w:color w:val="auto"/>
        </w:rPr>
      </w:pPr>
      <w:r>
        <w:rPr>
          <w:rFonts w:ascii="Arial" w:cs="Arial" w:eastAsia="Arial" w:hAnsi="Arial"/>
          <w:sz w:val="17"/>
          <w:szCs w:val="17"/>
          <w:color w:val="auto"/>
        </w:rPr>
        <w:t>Our expenditures are primarily related to research and development activities and general and administrative activities to support our therapeutic areas within endocrinology and oncology. In addition, expenditures relate to building our sales and marketing capabilities, and inventories, to support the ongoing launch of SKYTROFA (lonapegsomatropin-tcgd), as well as preparation for future product launches.</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116" w:lineRule="exact"/>
        <w:rPr>
          <w:sz w:val="20"/>
          <w:szCs w:val="20"/>
          <w:color w:val="auto"/>
        </w:rPr>
      </w:pPr>
    </w:p>
    <w:p>
      <w:pPr>
        <w:ind w:left="140" w:right="440"/>
        <w:spacing w:after="0" w:line="340" w:lineRule="auto"/>
        <w:rPr>
          <w:sz w:val="20"/>
          <w:szCs w:val="20"/>
          <w:color w:val="auto"/>
        </w:rPr>
      </w:pPr>
      <w:r>
        <w:rPr>
          <w:rFonts w:ascii="Arial" w:cs="Arial" w:eastAsia="Arial" w:hAnsi="Arial"/>
          <w:sz w:val="16"/>
          <w:szCs w:val="16"/>
          <w:color w:val="auto"/>
        </w:rPr>
        <w:t>We maintain cash-forecasts to ensure sufficient cash reserves are available to settle liabilities as they fall due. Cash reserves should be in place to support the daily operations and strategic objectives to support clinical trials and other development activities in line with our corporate objectives.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December 31, 2021, our cash requirements primarily relate to following:</w:t>
      </w:r>
    </w:p>
    <w:p>
      <w:pPr>
        <w:spacing w:after="0" w:line="129" w:lineRule="exact"/>
        <w:rPr>
          <w:sz w:val="20"/>
          <w:szCs w:val="20"/>
          <w:color w:val="auto"/>
        </w:rPr>
      </w:pPr>
    </w:p>
    <w:p>
      <w:pPr>
        <w:ind w:left="1100" w:right="80" w:hanging="426"/>
        <w:spacing w:after="0" w:line="275" w:lineRule="auto"/>
        <w:tabs>
          <w:tab w:leader="none" w:pos="1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lease obligations, related to our office and research and development facilities, which are recognized as lease liabilities in the consolidated statement of financial position;</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construction of property, plant and equipment, including leasehold improvements;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 obligations, under our commercial supply agreements and related activities;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research and development activities related to clinical trials for our product candidates in clinical development.</w:t>
      </w:r>
    </w:p>
    <w:p>
      <w:pPr>
        <w:spacing w:after="0" w:line="223"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The length of leases varies from two to eleven years, without considering optional extension periods. Our cash requirements for our lease obligations (on an undiscounted basis) are €7.1 million and €119.8 million, for the short-term (payable within twelve months after the reporting date) and long-term (payable beyond twelve months after the reporting date), respectively. In January 2022, one lease commenced for our facility in Germany with an enforceable lease term of four years. In addition, in February 2022 we entered into a facility lease in Germany with an enforceable lease term of 15 years, which is expected to commence in 2025. Refer to Note 21 “Subsequent events” of this annual report for further details. When including the impact of these new leases in Germany, which are not recognized as lease liabilities in the consolidated statement of financial position at December 31, 2021, our cash requirements for lease obligations (on an undiscounted basis) are expected with to be €7.7 million and €192.2 million, for the short-term and long-term, respectively. Our lease obligations establish ancillary contractual commitments in relation to utilities, maintenance, levies, and other services. Costs relating to those commitments are recognized as services are received. Further, we have commitments related to short-term leases and leases of low value assets, and IT and facility related services. Costs relating to those commitments are recognized as services are received.</w:t>
      </w:r>
    </w:p>
    <w:p>
      <w:pPr>
        <w:spacing w:after="0" w:line="167" w:lineRule="exact"/>
        <w:rPr>
          <w:sz w:val="20"/>
          <w:szCs w:val="20"/>
          <w:color w:val="auto"/>
        </w:rPr>
      </w:pPr>
    </w:p>
    <w:p>
      <w:pPr>
        <w:ind w:left="140"/>
        <w:spacing w:after="0" w:line="275" w:lineRule="auto"/>
        <w:rPr>
          <w:sz w:val="20"/>
          <w:szCs w:val="20"/>
          <w:color w:val="auto"/>
        </w:rPr>
      </w:pPr>
      <w:r>
        <w:rPr>
          <w:rFonts w:ascii="Arial" w:cs="Arial" w:eastAsia="Arial" w:hAnsi="Arial"/>
          <w:sz w:val="18"/>
          <w:szCs w:val="18"/>
          <w:color w:val="auto"/>
        </w:rPr>
        <w:t>Obligations related to property, plant and equipment which include construction of leasehold improvements amounts to €8.4 million and is partly subject to reimbursement from one lessor. The work is expected to be finalized and settled in 2022.</w:t>
      </w:r>
    </w:p>
    <w:p>
      <w:pPr>
        <w:spacing w:after="0" w:line="171" w:lineRule="exact"/>
        <w:rPr>
          <w:sz w:val="20"/>
          <w:szCs w:val="20"/>
          <w:color w:val="auto"/>
        </w:rPr>
      </w:pPr>
    </w:p>
    <w:p>
      <w:pPr>
        <w:ind w:left="140" w:right="40"/>
        <w:spacing w:after="0" w:line="254" w:lineRule="auto"/>
        <w:rPr>
          <w:sz w:val="20"/>
          <w:szCs w:val="20"/>
          <w:color w:val="auto"/>
        </w:rPr>
      </w:pPr>
      <w:r>
        <w:rPr>
          <w:rFonts w:ascii="Arial" w:cs="Arial" w:eastAsia="Arial" w:hAnsi="Arial"/>
          <w:sz w:val="18"/>
          <w:szCs w:val="18"/>
          <w:color w:val="auto"/>
        </w:rPr>
        <w:t>We have also entered into long-term commercial supply agreements, to support the commercial manufacturing of SKYTROFA (lonapegsomatropin-tcgd), and manufacturing of pre-launch inventories related to TransCon PTH. Commercial supply agreements may include purchase obligations, usually determined on binding and non-binding supply forecasts, that are subject to continuous negotiation and adjustments according to the individual contractual terms and conditions. At December 31, 2021, cash requirements for those purchase obligations are €85.7 million and €82.9 million, for the short-term and long-term, respectively, excluding non-binding commitments for purchase of raw materials and intermediates used in the manufacturing process.</w:t>
      </w:r>
    </w:p>
    <w:p>
      <w:pPr>
        <w:spacing w:after="0" w:line="192" w:lineRule="exact"/>
        <w:rPr>
          <w:sz w:val="20"/>
          <w:szCs w:val="20"/>
          <w:color w:val="auto"/>
        </w:rPr>
      </w:pPr>
    </w:p>
    <w:p>
      <w:pPr>
        <w:ind w:left="140" w:right="40"/>
        <w:spacing w:after="0" w:line="275" w:lineRule="auto"/>
        <w:rPr>
          <w:sz w:val="20"/>
          <w:szCs w:val="20"/>
          <w:color w:val="auto"/>
        </w:rPr>
      </w:pPr>
      <w:r>
        <w:rPr>
          <w:rFonts w:ascii="Arial" w:cs="Arial" w:eastAsia="Arial" w:hAnsi="Arial"/>
          <w:sz w:val="18"/>
          <w:szCs w:val="18"/>
          <w:color w:val="auto"/>
        </w:rPr>
        <w:t>As part of our ordinary activities, we engage third-party CROs to perform clinical trial activities, which are primarily studies for more than one year. We are not subject to contingent liabilities from potential milestone payments related to licensing of intellectual property.</w:t>
      </w:r>
    </w:p>
    <w:p>
      <w:pPr>
        <w:spacing w:after="0" w:line="171" w:lineRule="exact"/>
        <w:rPr>
          <w:sz w:val="20"/>
          <w:szCs w:val="20"/>
          <w:color w:val="auto"/>
        </w:rPr>
      </w:pPr>
    </w:p>
    <w:p>
      <w:pPr>
        <w:ind w:left="140"/>
        <w:spacing w:after="0" w:line="275" w:lineRule="auto"/>
        <w:rPr>
          <w:sz w:val="20"/>
          <w:szCs w:val="20"/>
          <w:color w:val="auto"/>
        </w:rPr>
      </w:pPr>
      <w:r>
        <w:rPr>
          <w:rFonts w:ascii="Arial" w:cs="Arial" w:eastAsia="Arial" w:hAnsi="Arial"/>
          <w:sz w:val="18"/>
          <w:szCs w:val="18"/>
          <w:color w:val="auto"/>
        </w:rPr>
        <w:t>We have not entered into any off-balance sheet arrangements or any holdings in variable interest entities. In addition, we are not aware of any significant legal claims or disputes.</w:t>
      </w:r>
    </w:p>
    <w:p>
      <w:pPr>
        <w:spacing w:after="0" w:line="171" w:lineRule="exact"/>
        <w:rPr>
          <w:sz w:val="20"/>
          <w:szCs w:val="20"/>
          <w:color w:val="auto"/>
        </w:rPr>
      </w:pPr>
    </w:p>
    <w:p>
      <w:pPr>
        <w:ind w:left="140" w:right="400"/>
        <w:spacing w:after="0" w:line="258"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December 31, 2021 will be sufficient to meet our projected cash requirements for at least twelve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100" w:right="640" w:hanging="426"/>
        <w:spacing w:after="0" w:line="275" w:lineRule="auto"/>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TransCon hGH and with our other product candidates, if approved, including the cost and timing of building our sales and marketing capabilities;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TransCon hGH and any future products;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85"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540" w:hanging="426"/>
        <w:spacing w:after="0" w:line="275"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TransCon hGH and for our other product candidates, if approved;</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52" w:lineRule="exact"/>
        <w:rPr>
          <w:rFonts w:ascii="Arial" w:cs="Arial" w:eastAsia="Arial" w:hAnsi="Arial"/>
          <w:sz w:val="16"/>
          <w:szCs w:val="16"/>
          <w:color w:val="auto"/>
        </w:rPr>
      </w:pPr>
    </w:p>
    <w:p>
      <w:pPr>
        <w:ind w:left="1100" w:right="80" w:hanging="426"/>
        <w:spacing w:after="0" w:line="275"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7" w:lineRule="exact"/>
        <w:rPr>
          <w:rFonts w:ascii="Arial" w:cs="Arial" w:eastAsia="Arial" w:hAnsi="Arial"/>
          <w:sz w:val="18"/>
          <w:szCs w:val="18"/>
          <w:color w:val="auto"/>
        </w:rPr>
      </w:pPr>
    </w:p>
    <w:p>
      <w:pPr>
        <w:ind w:left="1100" w:right="500" w:hanging="426"/>
        <w:spacing w:after="0" w:line="306" w:lineRule="auto"/>
        <w:tabs>
          <w:tab w:leader="none" w:pos="11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3" w:lineRule="exact"/>
        <w:rPr>
          <w:rFonts w:ascii="Arial" w:cs="Arial" w:eastAsia="Arial" w:hAnsi="Arial"/>
          <w:sz w:val="17"/>
          <w:szCs w:val="17"/>
          <w:color w:val="auto"/>
        </w:rPr>
      </w:pPr>
    </w:p>
    <w:p>
      <w:pPr>
        <w:ind w:left="1100" w:right="120" w:hanging="426"/>
        <w:spacing w:after="0" w:line="275"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and the costs of post-marketing studies that could be required by regulatory authorities;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29" w:lineRule="exact"/>
        <w:rPr>
          <w:rFonts w:ascii="Arial" w:cs="Arial" w:eastAsia="Arial" w:hAnsi="Arial"/>
          <w:sz w:val="18"/>
          <w:szCs w:val="18"/>
          <w:color w:val="auto"/>
        </w:rPr>
      </w:pPr>
    </w:p>
    <w:p>
      <w:pPr>
        <w:ind w:left="1100" w:right="680" w:hanging="426"/>
        <w:spacing w:after="0" w:line="275"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7" w:lineRule="exact"/>
        <w:rPr>
          <w:rFonts w:ascii="Arial" w:cs="Arial" w:eastAsia="Arial" w:hAnsi="Arial"/>
          <w:sz w:val="18"/>
          <w:szCs w:val="18"/>
          <w:color w:val="auto"/>
        </w:rPr>
      </w:pPr>
    </w:p>
    <w:p>
      <w:pPr>
        <w:ind w:left="1100" w:right="480" w:hanging="426"/>
        <w:spacing w:after="0" w:line="275"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77" w:lineRule="exact"/>
        <w:rPr>
          <w:rFonts w:ascii="Arial" w:cs="Arial" w:eastAsia="Arial" w:hAnsi="Arial"/>
          <w:sz w:val="18"/>
          <w:szCs w:val="18"/>
          <w:color w:val="auto"/>
        </w:rPr>
      </w:pPr>
    </w:p>
    <w:p>
      <w:pPr>
        <w:ind w:left="1100" w:hanging="426"/>
        <w:spacing w:after="0" w:line="275"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progress in the successful commercialization and co-promotion of TransCon hGH and of our other product candidates, if approved, and our efforts to develop and commercialize our other existing product candidates; and</w:t>
      </w:r>
    </w:p>
    <w:p>
      <w:pPr>
        <w:spacing w:after="0" w:line="77" w:lineRule="exact"/>
        <w:rPr>
          <w:rFonts w:ascii="Arial" w:cs="Arial" w:eastAsia="Arial" w:hAnsi="Arial"/>
          <w:sz w:val="18"/>
          <w:szCs w:val="18"/>
          <w:color w:val="auto"/>
        </w:rPr>
      </w:pPr>
    </w:p>
    <w:p>
      <w:pPr>
        <w:ind w:left="1100" w:right="40" w:hanging="426"/>
        <w:spacing w:after="0" w:line="262"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3" w:lineRule="exact"/>
        <w:rPr>
          <w:sz w:val="20"/>
          <w:szCs w:val="20"/>
          <w:color w:val="auto"/>
        </w:rPr>
      </w:pPr>
    </w:p>
    <w:p>
      <w:pPr>
        <w:ind w:left="140" w:right="20"/>
        <w:spacing w:after="0" w:line="258"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our cash flows for the years ended December 31, 2021, 2020 and 2019:</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26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41"/>
        </w:trPr>
        <w:tc>
          <w:tcPr>
            <w:tcW w:w="83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1"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79"/>
        </w:trPr>
        <w:tc>
          <w:tcPr>
            <w:tcW w:w="8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from/(used in) operating activities</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(417,649)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(271,548)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(175,936)</w:t>
            </w: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Cash flows from/(used in) investing activities</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w w:val="95"/>
              </w:rPr>
              <w:t>(110,579)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(291,199)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(5,159)</w:t>
            </w: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from/(used in) financing activities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351,387</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602,650</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493,593</w:t>
            </w:r>
          </w:p>
        </w:tc>
        <w:tc>
          <w:tcPr>
            <w:tcW w:w="100" w:type="dxa"/>
            <w:vAlign w:val="bottom"/>
            <w:shd w:val="clear" w:color="auto" w:fill="CCEEFF"/>
          </w:tcPr>
          <w:p>
            <w:pPr>
              <w:spacing w:after="0"/>
              <w:rPr>
                <w:sz w:val="18"/>
                <w:szCs w:val="18"/>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(176,841</w:t>
            </w:r>
          </w:p>
        </w:tc>
        <w:tc>
          <w:tcPr>
            <w:tcW w:w="220" w:type="dxa"/>
            <w:vAlign w:val="bottom"/>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39,903</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312,498</w:t>
            </w:r>
          </w:p>
        </w:tc>
        <w:tc>
          <w:tcPr>
            <w:tcW w:w="10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flows from/(used in) Operating Activities</w:t>
      </w:r>
    </w:p>
    <w:p>
      <w:pPr>
        <w:spacing w:after="0" w:line="116" w:lineRule="exact"/>
        <w:rPr>
          <w:sz w:val="20"/>
          <w:szCs w:val="20"/>
          <w:color w:val="auto"/>
        </w:rPr>
      </w:pPr>
    </w:p>
    <w:p>
      <w:pPr>
        <w:ind w:left="140" w:right="160"/>
        <w:spacing w:after="0" w:line="254" w:lineRule="auto"/>
        <w:rPr>
          <w:sz w:val="20"/>
          <w:szCs w:val="20"/>
          <w:color w:val="auto"/>
        </w:rPr>
      </w:pPr>
      <w:r>
        <w:rPr>
          <w:rFonts w:ascii="Arial" w:cs="Arial" w:eastAsia="Arial" w:hAnsi="Arial"/>
          <w:sz w:val="18"/>
          <w:szCs w:val="18"/>
          <w:color w:val="auto"/>
        </w:rPr>
        <w:t>Cash flows used in operating activities for the year ended December 31, 2021 was €417.6 million compared to €271.5 million for the year ended December 31, 2020. The net loss for the year ended December 31, 2021 of €383.6 million included non-cash charges of €67.8 million, comprising share-based payment of €66.8 million, and depreciation and amortization of €15.4 million, partly offset by non-cash revenue of €2.4 million, and net gain from share of profit/(loss) of associate of €12.0 million. In addition, net loss for the year comprises non-operating items from net financial income and expenses and income taxes of net €54.2 million, primarily related to foreign exchange rate gain from U.S. Dollar denominated cash and cash equivalents, and marketable securities.</w:t>
      </w:r>
    </w:p>
    <w:p>
      <w:pPr>
        <w:spacing w:after="0" w:line="192" w:lineRule="exact"/>
        <w:rPr>
          <w:sz w:val="20"/>
          <w:szCs w:val="20"/>
          <w:color w:val="auto"/>
        </w:rPr>
      </w:pPr>
    </w:p>
    <w:p>
      <w:pPr>
        <w:ind w:left="140" w:right="120"/>
        <w:spacing w:after="0" w:line="262" w:lineRule="auto"/>
        <w:rPr>
          <w:sz w:val="20"/>
          <w:szCs w:val="20"/>
          <w:color w:val="auto"/>
        </w:rPr>
      </w:pPr>
      <w:r>
        <w:rPr>
          <w:rFonts w:ascii="Arial" w:cs="Arial" w:eastAsia="Arial" w:hAnsi="Arial"/>
          <w:sz w:val="18"/>
          <w:szCs w:val="18"/>
          <w:color w:val="auto"/>
        </w:rPr>
        <w:t>Net change in working capital and movement in provisions contributed negatively to cash flows with €47.6 million, primarily due to an increase in inventories of €75.4 million, whereas €53.7 million related to reversal of write-downs of pre-launch inventories, higher prepayments and receivables of €17.9 million, partly offset by higher trade payables, accrued expenses and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85"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600"/>
        <w:spacing w:after="0" w:line="340" w:lineRule="auto"/>
        <w:rPr>
          <w:sz w:val="20"/>
          <w:szCs w:val="20"/>
          <w:color w:val="auto"/>
        </w:rPr>
      </w:pPr>
      <w:r>
        <w:rPr>
          <w:rFonts w:ascii="Arial" w:cs="Arial" w:eastAsia="Arial" w:hAnsi="Arial"/>
          <w:sz w:val="16"/>
          <w:szCs w:val="16"/>
          <w:color w:val="auto"/>
        </w:rPr>
        <w:t>payables of €39.2 million, and higher contract liabilities of €5.2 million due to unperformed performance obligations under one of our license agreements. Provisions comprise commercial sales rebates and return obligations, which contributed positively to cash flows with €1.2 million.</w:t>
      </w:r>
    </w:p>
    <w:p>
      <w:pPr>
        <w:spacing w:after="0" w:line="124"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Cash flows used in operating activities for the year ended December 31, 2020 was €271.5 million compared to €175.9 million for the year ended December 31, 2019. The net loss for the year ended December 31, 2020 of €419.0 million included non-cash charges of €62.6 million, comprising share-based payment and depreciation, non-cash revenue of €3.5 million, and non-cash net financial expenses and taxes, of €89.3 million. The net change in working capital contributed negatively to cash flows by €1.0 million, primarily due to an increase in prepayments of €6.4 million, an increase in receivables of €2.0 million and a decrease in contract liabilities of €0.5 million, partly offset by an increase in trade payables, accrued expenses and other payables of €7.9 million.</w:t>
      </w:r>
    </w:p>
    <w:p>
      <w:pPr>
        <w:spacing w:after="0" w:line="192" w:lineRule="exact"/>
        <w:rPr>
          <w:sz w:val="20"/>
          <w:szCs w:val="20"/>
          <w:color w:val="auto"/>
        </w:rPr>
      </w:pPr>
    </w:p>
    <w:p>
      <w:pPr>
        <w:ind w:left="140" w:right="100"/>
        <w:spacing w:after="0" w:line="254" w:lineRule="auto"/>
        <w:rPr>
          <w:sz w:val="20"/>
          <w:szCs w:val="20"/>
          <w:color w:val="auto"/>
        </w:rPr>
      </w:pPr>
      <w:r>
        <w:rPr>
          <w:rFonts w:ascii="Arial" w:cs="Arial" w:eastAsia="Arial" w:hAnsi="Arial"/>
          <w:sz w:val="18"/>
          <w:szCs w:val="18"/>
          <w:color w:val="auto"/>
        </w:rPr>
        <w:t>Cash flows used in operating activities for the year ended December 31, 2019 was €175.9 million compared to €138.8 million for the year ended December 31, 2018. The net loss for the year ended December 31, 2019 of €218.0 million included non-cash charges of €44.2 million, comprising share-based payment and depreciation, and non-cash net income, including net financial income and taxes, of €6.2 million. The net change in working capital contributed positively to cash flows by €4.1 million, primarily due to a net increase in trade payables and other payables of €7.5 million, and a decrease in prepayments of €4.8 million, partly offset by a decrease in deferred income of €6.0 million and an increase in receivables and deposits of €2.2 million.</w:t>
      </w:r>
    </w:p>
    <w:p>
      <w:pPr>
        <w:spacing w:after="0" w:line="30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6"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color w:val="auto"/>
        </w:rPr>
        <w:t>Cash flows used in investing activities for the year ended December 31, 2021 of €110.6 million were primarily related to acquisition of marketable securities of €226.0 million and settlement of marketable securities of €149.9 million. Further, investing activities include acquisition of property, plant and equipment and software development of net €24.3 million, primarily related to leasehold improvements, office equipment as a result of expanding the workforce, and commercial manufacturing machinery. In addition, €10.2 million relates to equity investment of $12.5 million in our associate, VISEN, as part of VISEN’s $150 million Series B financing.</w:t>
      </w:r>
    </w:p>
    <w:p>
      <w:pPr>
        <w:spacing w:after="0" w:line="188" w:lineRule="exact"/>
        <w:rPr>
          <w:sz w:val="20"/>
          <w:szCs w:val="20"/>
          <w:color w:val="auto"/>
        </w:rPr>
      </w:pPr>
    </w:p>
    <w:p>
      <w:pPr>
        <w:ind w:left="140" w:right="20"/>
        <w:spacing w:after="0" w:line="310" w:lineRule="auto"/>
        <w:rPr>
          <w:sz w:val="20"/>
          <w:szCs w:val="20"/>
          <w:color w:val="auto"/>
        </w:rPr>
      </w:pPr>
      <w:r>
        <w:rPr>
          <w:rFonts w:ascii="Arial" w:cs="Arial" w:eastAsia="Arial" w:hAnsi="Arial"/>
          <w:sz w:val="16"/>
          <w:szCs w:val="16"/>
          <w:color w:val="auto"/>
        </w:rPr>
        <w:t>Cash flows used in investing activities for the year ended December 31, 2020 of €291.2 million were related to acquisition of marketable securities of €537.8 million and settlement of marketable securities of €263.1 million, to acquisition of property, plant and equipment of net €14.8 million, primarily related to our oncology laboratories in the U.S. and for use in the laboratories of our German facility, and to development of software of €1.7 million.</w:t>
      </w:r>
    </w:p>
    <w:p>
      <w:pPr>
        <w:spacing w:after="0" w:line="148" w:lineRule="exact"/>
        <w:rPr>
          <w:sz w:val="20"/>
          <w:szCs w:val="20"/>
          <w:color w:val="auto"/>
        </w:rPr>
      </w:pPr>
    </w:p>
    <w:p>
      <w:pPr>
        <w:ind w:left="140" w:right="680"/>
        <w:spacing w:after="0" w:line="340" w:lineRule="auto"/>
        <w:rPr>
          <w:sz w:val="20"/>
          <w:szCs w:val="20"/>
          <w:color w:val="auto"/>
        </w:rPr>
      </w:pPr>
      <w:r>
        <w:rPr>
          <w:rFonts w:ascii="Arial" w:cs="Arial" w:eastAsia="Arial" w:hAnsi="Arial"/>
          <w:sz w:val="16"/>
          <w:szCs w:val="16"/>
          <w:color w:val="auto"/>
        </w:rPr>
        <w:t>Cash flows used in investing activities for the year ended December 31, 2019 of €5.2 million were related to acquisition of property, plant and equipment, primarily equipment for use in the laboratories of our German facility and in our oncology laboratories in the United States.</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6" w:lineRule="exact"/>
        <w:rPr>
          <w:sz w:val="20"/>
          <w:szCs w:val="20"/>
          <w:color w:val="auto"/>
        </w:rPr>
      </w:pPr>
    </w:p>
    <w:p>
      <w:pPr>
        <w:ind w:left="140" w:right="180"/>
        <w:spacing w:after="0" w:line="285" w:lineRule="auto"/>
        <w:rPr>
          <w:sz w:val="20"/>
          <w:szCs w:val="20"/>
          <w:color w:val="auto"/>
        </w:rPr>
      </w:pPr>
      <w:r>
        <w:rPr>
          <w:rFonts w:ascii="Arial" w:cs="Arial" w:eastAsia="Arial" w:hAnsi="Arial"/>
          <w:sz w:val="17"/>
          <w:szCs w:val="17"/>
          <w:color w:val="auto"/>
        </w:rPr>
        <w:t>Cash flows from financing activities for the year ended December 31, 2021 of €351.4 million were comprised of €367.9 million in net proceeds from our follow-on public offering of ADSs completed in September 2021 and €11.5 million in net proceeds from warrant exercises, partly offset by payments on lease liabilities of €6.4 million and acquisitions of treasury shares, net of transaction costs, of €21.6 million.</w:t>
      </w:r>
    </w:p>
    <w:p>
      <w:pPr>
        <w:spacing w:after="0" w:line="165" w:lineRule="exact"/>
        <w:rPr>
          <w:sz w:val="20"/>
          <w:szCs w:val="20"/>
          <w:color w:val="auto"/>
        </w:rPr>
      </w:pPr>
    </w:p>
    <w:p>
      <w:pPr>
        <w:jc w:val="both"/>
        <w:ind w:left="140" w:right="180"/>
        <w:spacing w:after="0" w:line="262" w:lineRule="auto"/>
        <w:rPr>
          <w:sz w:val="20"/>
          <w:szCs w:val="20"/>
          <w:color w:val="auto"/>
        </w:rPr>
      </w:pPr>
      <w:r>
        <w:rPr>
          <w:rFonts w:ascii="Arial" w:cs="Arial" w:eastAsia="Arial" w:hAnsi="Arial"/>
          <w:sz w:val="18"/>
          <w:szCs w:val="18"/>
          <w:color w:val="auto"/>
        </w:rPr>
        <w:t>Cash flows from financing activities for the year ended December 31, 2020 of €602.7 million were comprised of €580.5 million in net proceeds from our follow-on public offering of ADSs completed in July 2020 and €26.9 million in net proceeds from warrant exercises in April, May, June, August, September, November and December 2020, partly offset by payments on lease liabilities of €4.8 million.</w:t>
      </w:r>
    </w:p>
    <w:p>
      <w:pPr>
        <w:spacing w:after="0" w:line="183" w:lineRule="exact"/>
        <w:rPr>
          <w:sz w:val="20"/>
          <w:szCs w:val="20"/>
          <w:color w:val="auto"/>
        </w:rPr>
      </w:pPr>
    </w:p>
    <w:p>
      <w:pPr>
        <w:jc w:val="both"/>
        <w:ind w:left="140" w:right="160"/>
        <w:spacing w:after="0" w:line="262" w:lineRule="auto"/>
        <w:rPr>
          <w:sz w:val="20"/>
          <w:szCs w:val="20"/>
          <w:color w:val="auto"/>
        </w:rPr>
      </w:pPr>
      <w:r>
        <w:rPr>
          <w:rFonts w:ascii="Arial" w:cs="Arial" w:eastAsia="Arial" w:hAnsi="Arial"/>
          <w:sz w:val="18"/>
          <w:szCs w:val="18"/>
          <w:color w:val="auto"/>
        </w:rPr>
        <w:t>Cash flows from financing activities for the year ended December 31, 2019 of €493.6 million were comprised of €480.3 million in net proceeds from our follow-on public offering of ADSs completed in March 2019 and €17.3 million in net proceeds from warrant exercises in April, June, September, November and December 2019, partly offset by payments on lease liabilities of €4.0 million.</w:t>
      </w:r>
    </w:p>
    <w:p>
      <w:pPr>
        <w:spacing w:after="0" w:line="327" w:lineRule="exact"/>
        <w:rPr>
          <w:sz w:val="20"/>
          <w:szCs w:val="20"/>
          <w:color w:val="auto"/>
        </w:rPr>
      </w:pPr>
    </w:p>
    <w:p>
      <w:pPr>
        <w:ind w:left="560" w:hanging="425"/>
        <w:spacing w:after="0"/>
        <w:tabs>
          <w:tab w:leader="none" w:pos="5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Developments, Patents and Licenses, etc.</w:t>
      </w:r>
    </w:p>
    <w:p>
      <w:pPr>
        <w:spacing w:after="0" w:line="120" w:lineRule="exact"/>
        <w:rPr>
          <w:sz w:val="20"/>
          <w:szCs w:val="20"/>
          <w:color w:val="auto"/>
        </w:rPr>
      </w:pPr>
    </w:p>
    <w:p>
      <w:pPr>
        <w:ind w:left="140" w:right="60"/>
        <w:spacing w:after="0" w:line="275" w:lineRule="auto"/>
        <w:rPr>
          <w:sz w:val="20"/>
          <w:szCs w:val="20"/>
          <w:color w:val="auto"/>
        </w:rPr>
      </w:pPr>
      <w:r>
        <w:rPr>
          <w:rFonts w:ascii="Arial" w:cs="Arial" w:eastAsia="Arial" w:hAnsi="Arial"/>
          <w:sz w:val="18"/>
          <w:szCs w:val="18"/>
          <w:color w:val="auto"/>
        </w:rPr>
        <w:t>See “Item 4 B. Information on the Company—Business Overview” and “Item 5 A. Operating and Financial Review and Prospects – Operating Results —Financial Operations Overview—Research and Development Costs.”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20"/>
          </w:cols>
          <w:pgMar w:left="320" w:top="485" w:right="5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425"/>
        <w:spacing w:after="0"/>
        <w:tabs>
          <w:tab w:leader="none" w:pos="5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“Item 5 A. Operating and Financial Review and Prospects—Operating Results.”</w:t>
      </w:r>
    </w:p>
    <w:p>
      <w:pPr>
        <w:spacing w:after="0" w:line="367" w:lineRule="exact"/>
        <w:rPr>
          <w:sz w:val="20"/>
          <w:szCs w:val="20"/>
          <w:color w:val="auto"/>
        </w:rPr>
      </w:pPr>
    </w:p>
    <w:p>
      <w:pPr>
        <w:ind w:left="560" w:hanging="425"/>
        <w:spacing w:after="0"/>
        <w:tabs>
          <w:tab w:leader="none" w:pos="5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29" w:lineRule="exact"/>
        <w:rPr>
          <w:sz w:val="20"/>
          <w:szCs w:val="20"/>
          <w:color w:val="auto"/>
        </w:rPr>
      </w:pPr>
    </w:p>
    <w:p>
      <w:pPr>
        <w:ind w:left="560" w:hanging="425"/>
        <w:spacing w:after="0"/>
        <w:tabs>
          <w:tab w:leader="none" w:pos="5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0" w:lineRule="exact"/>
        <w:rPr>
          <w:sz w:val="20"/>
          <w:szCs w:val="20"/>
          <w:color w:val="auto"/>
        </w:rPr>
      </w:pPr>
    </w:p>
    <w:p>
      <w:pPr>
        <w:ind w:left="140" w:right="260"/>
        <w:spacing w:after="0" w:line="258" w:lineRule="auto"/>
        <w:rPr>
          <w:sz w:val="20"/>
          <w:szCs w:val="20"/>
          <w:color w:val="auto"/>
        </w:rPr>
      </w:pPr>
      <w:r>
        <w:rPr>
          <w:rFonts w:ascii="Arial" w:cs="Arial" w:eastAsia="Arial" w:hAnsi="Arial"/>
          <w:sz w:val="18"/>
          <w:szCs w:val="18"/>
          <w:color w:val="auto"/>
        </w:rPr>
        <w:t>We have a two-tier governance structure consisting of a board of directors and an executive board. The two bodies are separate; however, Jan Møller Mikkelsen, our President and Chief Executive Officer, is represented on both our board of directors and our executive board. Our executive board is supported by the other members of our senior management. Below is a summary of relevant information concerning our board of directors, executive board and senior management.</w:t>
      </w:r>
    </w:p>
    <w:p>
      <w:pPr>
        <w:spacing w:after="0" w:line="290" w:lineRule="exact"/>
        <w:rPr>
          <w:sz w:val="20"/>
          <w:szCs w:val="20"/>
          <w:color w:val="auto"/>
        </w:rPr>
      </w:pPr>
    </w:p>
    <w:p>
      <w:pPr>
        <w:ind w:left="140" w:right="4940"/>
        <w:spacing w:after="0" w:line="376" w:lineRule="auto"/>
        <w:rPr>
          <w:sz w:val="20"/>
          <w:szCs w:val="20"/>
          <w:color w:val="auto"/>
        </w:rPr>
      </w:pPr>
      <w:r>
        <w:rPr>
          <w:rFonts w:ascii="Arial" w:cs="Arial" w:eastAsia="Arial" w:hAnsi="Arial"/>
          <w:sz w:val="18"/>
          <w:szCs w:val="18"/>
          <w:b w:val="1"/>
          <w:bCs w:val="1"/>
          <w:color w:val="auto"/>
        </w:rPr>
        <w:t xml:space="preserve">Members of Our Board of Directors, Executive Board and Senior Management </w:t>
      </w:r>
      <w:r>
        <w:rPr>
          <w:rFonts w:ascii="Arial" w:cs="Arial" w:eastAsia="Arial" w:hAnsi="Arial"/>
          <w:sz w:val="18"/>
          <w:szCs w:val="18"/>
          <w:b w:val="1"/>
          <w:bCs w:val="1"/>
          <w:i w:val="1"/>
          <w:iCs w:val="1"/>
          <w:color w:val="auto"/>
        </w:rPr>
        <w:t>Board of Directors</w:t>
      </w:r>
    </w:p>
    <w:p>
      <w:pPr>
        <w:spacing w:after="0" w:line="1" w:lineRule="exact"/>
        <w:rPr>
          <w:sz w:val="20"/>
          <w:szCs w:val="20"/>
          <w:color w:val="auto"/>
        </w:rPr>
      </w:pPr>
    </w:p>
    <w:p>
      <w:pPr>
        <w:ind w:left="140" w:right="40"/>
        <w:spacing w:after="0" w:line="310" w:lineRule="auto"/>
        <w:rPr>
          <w:sz w:val="20"/>
          <w:szCs w:val="20"/>
          <w:color w:val="auto"/>
        </w:rPr>
      </w:pPr>
      <w:r>
        <w:rPr>
          <w:rFonts w:ascii="Arial" w:cs="Arial" w:eastAsia="Arial" w:hAnsi="Arial"/>
          <w:sz w:val="16"/>
          <w:szCs w:val="16"/>
          <w:color w:val="auto"/>
        </w:rPr>
        <w:t>The following table sets forth information with respect to each of our current board members and their respective ages as of December 31, 2021. Our board of directors is divided into two classes for purposes of election. One class is elected at each annual meeting of shareholders to serve for a two-year term. Our board of directors currently consists of six members. All board members are eligible for re-election once their term expires.</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business address of our board members is our registered office address at Tuborg Boulevard 12, DK-2900 Hellerup, Denmark.</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Name of Board Member</w:t>
            </w:r>
          </w:p>
        </w:tc>
        <w:tc>
          <w:tcPr>
            <w:tcW w:w="460" w:type="dxa"/>
            <w:vAlign w:val="bottom"/>
            <w:gridSpan w:val="2"/>
            <w:vMerge w:val="restart"/>
          </w:tcPr>
          <w:p>
            <w:pPr>
              <w:jc w:val="center"/>
              <w:ind w:left="113"/>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6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Position(s)</w:t>
            </w:r>
          </w:p>
        </w:tc>
        <w:tc>
          <w:tcPr>
            <w:tcW w:w="2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600" w:type="dxa"/>
            <w:vAlign w:val="bottom"/>
            <w:vMerge w:val="continue"/>
          </w:tcPr>
          <w:p>
            <w:pPr>
              <w:spacing w:after="0"/>
              <w:rPr>
                <w:sz w:val="14"/>
                <w:szCs w:val="14"/>
                <w:color w:val="auto"/>
              </w:rPr>
            </w:pPr>
          </w:p>
        </w:tc>
        <w:tc>
          <w:tcPr>
            <w:tcW w:w="68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4"/>
              </w:rPr>
              <w:t>Expires</w:t>
            </w:r>
          </w:p>
        </w:tc>
        <w:tc>
          <w:tcPr>
            <w:tcW w:w="0" w:type="dxa"/>
            <w:vAlign w:val="bottom"/>
          </w:tcPr>
          <w:p>
            <w:pPr>
              <w:spacing w:after="0"/>
              <w:rPr>
                <w:sz w:val="1"/>
                <w:szCs w:val="1"/>
                <w:color w:val="auto"/>
              </w:rPr>
            </w:pPr>
          </w:p>
        </w:tc>
      </w:tr>
      <w:tr>
        <w:trPr>
          <w:trHeight w:val="209"/>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Albert Cha, M.D., Ph.D.</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and Board Member</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rPr>
              <w:t>Lisa Bright</w:t>
            </w:r>
          </w:p>
        </w:tc>
        <w:tc>
          <w:tcPr>
            <w:tcW w:w="460" w:type="dxa"/>
            <w:vAlign w:val="bottom"/>
            <w:gridSpan w:val="2"/>
          </w:tcPr>
          <w:p>
            <w:pPr>
              <w:jc w:val="center"/>
              <w:ind w:left="113"/>
              <w:spacing w:after="0"/>
              <w:rPr>
                <w:sz w:val="20"/>
                <w:szCs w:val="20"/>
                <w:color w:val="auto"/>
              </w:rPr>
            </w:pPr>
            <w:r>
              <w:rPr>
                <w:rFonts w:ascii="Arial" w:cs="Arial" w:eastAsia="Arial" w:hAnsi="Arial"/>
                <w:sz w:val="18"/>
                <w:szCs w:val="18"/>
                <w:color w:val="auto"/>
                <w:w w:val="89"/>
              </w:rPr>
              <w:t>54</w:t>
            </w: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Board Member</w:t>
            </w:r>
          </w:p>
        </w:tc>
        <w:tc>
          <w:tcPr>
            <w:tcW w:w="680" w:type="dxa"/>
            <w:vAlign w:val="bottom"/>
            <w:gridSpan w:val="2"/>
          </w:tcPr>
          <w:p>
            <w:pPr>
              <w:jc w:val="center"/>
              <w:ind w:left="113"/>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5"/>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James I. Healy, M.D., Ph.D.</w:t>
            </w:r>
          </w:p>
        </w:tc>
        <w:tc>
          <w:tcPr>
            <w:tcW w:w="4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89"/>
              </w:rPr>
              <w:t>56</w:t>
            </w: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Board Member</w:t>
            </w:r>
          </w:p>
        </w:tc>
        <w:tc>
          <w:tcPr>
            <w:tcW w:w="68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rPr>
              <w:t>Lars Holtug</w:t>
            </w:r>
          </w:p>
        </w:tc>
        <w:tc>
          <w:tcPr>
            <w:tcW w:w="460" w:type="dxa"/>
            <w:vAlign w:val="bottom"/>
            <w:gridSpan w:val="2"/>
          </w:tcPr>
          <w:p>
            <w:pPr>
              <w:jc w:val="center"/>
              <w:ind w:left="113"/>
              <w:spacing w:after="0"/>
              <w:rPr>
                <w:sz w:val="20"/>
                <w:szCs w:val="20"/>
                <w:color w:val="auto"/>
              </w:rPr>
            </w:pPr>
            <w:r>
              <w:rPr>
                <w:rFonts w:ascii="Arial" w:cs="Arial" w:eastAsia="Arial" w:hAnsi="Arial"/>
                <w:sz w:val="18"/>
                <w:szCs w:val="18"/>
                <w:color w:val="auto"/>
                <w:w w:val="89"/>
              </w:rPr>
              <w:t>63</w:t>
            </w: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Board Member</w:t>
            </w:r>
          </w:p>
        </w:tc>
        <w:tc>
          <w:tcPr>
            <w:tcW w:w="680" w:type="dxa"/>
            <w:vAlign w:val="bottom"/>
            <w:gridSpan w:val="2"/>
          </w:tcPr>
          <w:p>
            <w:pPr>
              <w:jc w:val="center"/>
              <w:ind w:left="113"/>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5"/>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Jan Møller Mikkelsen</w:t>
            </w:r>
          </w:p>
        </w:tc>
        <w:tc>
          <w:tcPr>
            <w:tcW w:w="4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89"/>
              </w:rPr>
              <w:t>62</w:t>
            </w: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Chief Executive Officer and Board Member</w:t>
            </w:r>
          </w:p>
        </w:tc>
        <w:tc>
          <w:tcPr>
            <w:tcW w:w="68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Rafaèle Tordjman, M.D., Ph.D.</w:t>
            </w:r>
          </w:p>
        </w:tc>
        <w:tc>
          <w:tcPr>
            <w:tcW w:w="460" w:type="dxa"/>
            <w:vAlign w:val="bottom"/>
            <w:gridSpan w:val="2"/>
          </w:tcPr>
          <w:p>
            <w:pPr>
              <w:jc w:val="center"/>
              <w:ind w:left="113"/>
              <w:spacing w:after="0"/>
              <w:rPr>
                <w:sz w:val="20"/>
                <w:szCs w:val="20"/>
                <w:color w:val="auto"/>
              </w:rPr>
            </w:pPr>
            <w:r>
              <w:rPr>
                <w:rFonts w:ascii="Arial" w:cs="Arial" w:eastAsia="Arial" w:hAnsi="Arial"/>
                <w:sz w:val="18"/>
                <w:szCs w:val="18"/>
                <w:color w:val="auto"/>
                <w:w w:val="89"/>
              </w:rPr>
              <w:t>52</w:t>
            </w: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Board Member</w:t>
            </w:r>
          </w:p>
        </w:tc>
        <w:tc>
          <w:tcPr>
            <w:tcW w:w="680" w:type="dxa"/>
            <w:vAlign w:val="bottom"/>
            <w:gridSpan w:val="2"/>
          </w:tcPr>
          <w:p>
            <w:pPr>
              <w:jc w:val="center"/>
              <w:ind w:left="113"/>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is a brief summary of the business experience of our non-employee board members.</w:t>
      </w:r>
    </w:p>
    <w:p>
      <w:pPr>
        <w:spacing w:after="0" w:line="219" w:lineRule="exact"/>
        <w:rPr>
          <w:sz w:val="20"/>
          <w:szCs w:val="20"/>
          <w:color w:val="auto"/>
        </w:rPr>
      </w:pPr>
    </w:p>
    <w:p>
      <w:pPr>
        <w:ind w:left="140" w:right="100"/>
        <w:spacing w:after="0" w:line="270" w:lineRule="auto"/>
        <w:rPr>
          <w:sz w:val="20"/>
          <w:szCs w:val="20"/>
          <w:color w:val="auto"/>
        </w:rPr>
      </w:pPr>
      <w:r>
        <w:rPr>
          <w:rFonts w:ascii="Arial" w:cs="Arial" w:eastAsia="Arial" w:hAnsi="Arial"/>
          <w:sz w:val="17"/>
          <w:szCs w:val="17"/>
          <w:b w:val="1"/>
          <w:bCs w:val="1"/>
          <w:color w:val="auto"/>
        </w:rPr>
        <w:t xml:space="preserve">Albert Cha, M.D., Ph.D. </w:t>
      </w:r>
      <w:r>
        <w:rPr>
          <w:rFonts w:ascii="Arial" w:cs="Arial" w:eastAsia="Arial" w:hAnsi="Arial"/>
          <w:sz w:val="17"/>
          <w:szCs w:val="17"/>
          <w:color w:val="auto"/>
        </w:rPr>
        <w:t>has served as a member of the board of directors since November 2014 and as the Chairman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May 2021. Dr. Cha is a Managing Partner with Frazier Life Sciences. He previously was a managing partner at Vivo Capital LLC, a healthcare investment firm, where he has served in various positions, most recently as a managing partner. Dr. Cha currently serves as a member of the board of directors of KalVista Pharmaceuticals, Inc. In addition, Dr. Cha has previously served as a member of the board of directors of Aclaris Therapeutics, a publicly traded dermatology company, BioForm Medical, Inc., a publicly traded medical aesthetics company, Carbylan Therapeutics, a publicly traded orthopedics company, Sierra Oncology, Inc., a publicly traded oncology company, Biohaven Pharmaceutical Holding Company Ltd, a publicly traded clinical-stage biopharmaceutical company targeting neurological diseases and Menlo Therapeutics, Inc., a publicly traded late-stage biopharmaceutical company focused on the treatment of pruritus. Dr. Cha holds a B.S. and an M.S. from Stanford University and an M.D. and a Ph.D. from the University of California at Los Angeles.</w:t>
      </w:r>
    </w:p>
    <w:p>
      <w:pPr>
        <w:spacing w:after="0" w:line="173" w:lineRule="exact"/>
        <w:rPr>
          <w:sz w:val="20"/>
          <w:szCs w:val="20"/>
          <w:color w:val="auto"/>
        </w:rPr>
      </w:pPr>
    </w:p>
    <w:p>
      <w:pPr>
        <w:ind w:left="140" w:right="180"/>
        <w:spacing w:after="0" w:line="255" w:lineRule="auto"/>
        <w:rPr>
          <w:sz w:val="20"/>
          <w:szCs w:val="20"/>
          <w:color w:val="auto"/>
        </w:rPr>
      </w:pPr>
      <w:r>
        <w:rPr>
          <w:rFonts w:ascii="Arial" w:cs="Arial" w:eastAsia="Arial" w:hAnsi="Arial"/>
          <w:sz w:val="18"/>
          <w:szCs w:val="18"/>
          <w:b w:val="1"/>
          <w:bCs w:val="1"/>
          <w:color w:val="auto"/>
        </w:rPr>
        <w:t xml:space="preserve">Lisa Bright </w:t>
      </w:r>
      <w:r>
        <w:rPr>
          <w:rFonts w:ascii="Arial" w:cs="Arial" w:eastAsia="Arial" w:hAnsi="Arial"/>
          <w:sz w:val="18"/>
          <w:szCs w:val="18"/>
          <w:color w:val="auto"/>
        </w:rPr>
        <w:t>has served as a member of our board of directors since April 2017. Ms. Bright has over 30 years of executive experience in global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sciences companies and over five years’ experience serving as a member of the board of directors of a number of public and private companies. Previously, she served as President International for Intercept Pharmaceuticals, Inc., a biopharmaceutical company, from July 2016 to January 2021. Prior to her appointment as President International, Ms. Bright held various senior leadership positions from November 2014 to July 2016 at Intercept Pharmaceuticals including Chief Commercial and Corporate Affairs Officer and Senior Vice President, Head of EUCA. During her tenure at Intercept, Ms. Bright oversaw the development of the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85"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0"/>
        <w:spacing w:after="0" w:line="283" w:lineRule="auto"/>
        <w:rPr>
          <w:sz w:val="20"/>
          <w:szCs w:val="20"/>
          <w:color w:val="auto"/>
        </w:rPr>
      </w:pPr>
      <w:r>
        <w:rPr>
          <w:rFonts w:ascii="Arial" w:cs="Arial" w:eastAsia="Arial" w:hAnsi="Arial"/>
          <w:sz w:val="16"/>
          <w:szCs w:val="16"/>
          <w:color w:val="auto"/>
        </w:rPr>
        <w:t>global launch of an orphan medicine in the United States and Europe, including building the commercial organization in the United States and establishing legal affiliates and teams across Europe and Canada. Ms. Bright currently serves as a member of the board of directors of Dechra Pharmaceuticals PLC, a veterinary pharmaceutical company. From 2008 to November 2014, Ms. Bright held various leadership positions at Gilead Sciences Ltd., a biopharmaceutical company, including Vice President, Head of Government Affairs, Europe, Asia, Middle East and Australasia, Vice President and Head of HCV Launch Planning, Vice President and Head of Northern Europe and General Manager, UK and Ireland. Prior to Gilead Sciences, Ms. Bright served in various positions of increasing responsibility at GlaxoSmithKline plc from 1997 to 2006 including Vice President Commercial Planning and Operations and Vice President General Manager NZ and Vice President Head of Sales, UK and Ireland. Prior to that,</w:t>
      </w:r>
    </w:p>
    <w:p>
      <w:pPr>
        <w:spacing w:after="0" w:line="3" w:lineRule="exact"/>
        <w:rPr>
          <w:sz w:val="20"/>
          <w:szCs w:val="20"/>
          <w:color w:val="auto"/>
        </w:rPr>
      </w:pPr>
    </w:p>
    <w:p>
      <w:pPr>
        <w:ind w:left="140" w:right="320"/>
        <w:spacing w:after="0" w:line="259" w:lineRule="auto"/>
        <w:rPr>
          <w:sz w:val="20"/>
          <w:szCs w:val="20"/>
          <w:color w:val="auto"/>
        </w:rPr>
      </w:pPr>
      <w:r>
        <w:rPr>
          <w:rFonts w:ascii="Arial" w:cs="Arial" w:eastAsia="Arial" w:hAnsi="Arial"/>
          <w:sz w:val="18"/>
          <w:szCs w:val="18"/>
          <w:color w:val="auto"/>
        </w:rPr>
        <w:t>Ms. Bright also worked at Sanofi from 1992 to 1996 and GlaxoSmithKline from 1989 to 1992. Ms. Bright received her B.Sc. in Pharmacology from University College London, United Kingdom.</w:t>
      </w:r>
    </w:p>
    <w:p>
      <w:pPr>
        <w:spacing w:after="0" w:line="180" w:lineRule="exact"/>
        <w:rPr>
          <w:sz w:val="20"/>
          <w:szCs w:val="20"/>
          <w:color w:val="auto"/>
        </w:rPr>
      </w:pPr>
    </w:p>
    <w:p>
      <w:pPr>
        <w:ind w:left="140" w:right="240"/>
        <w:spacing w:after="0" w:line="270" w:lineRule="auto"/>
        <w:rPr>
          <w:sz w:val="20"/>
          <w:szCs w:val="20"/>
          <w:color w:val="auto"/>
        </w:rPr>
      </w:pPr>
      <w:r>
        <w:rPr>
          <w:rFonts w:ascii="Arial" w:cs="Arial" w:eastAsia="Arial" w:hAnsi="Arial"/>
          <w:sz w:val="17"/>
          <w:szCs w:val="17"/>
          <w:b w:val="1"/>
          <w:bCs w:val="1"/>
          <w:color w:val="auto"/>
        </w:rPr>
        <w:t xml:space="preserve">James I. Healy, M.D., Ph.D. </w:t>
      </w:r>
      <w:r>
        <w:rPr>
          <w:rFonts w:ascii="Arial" w:cs="Arial" w:eastAsia="Arial" w:hAnsi="Arial"/>
          <w:sz w:val="17"/>
          <w:szCs w:val="17"/>
          <w:color w:val="auto"/>
        </w:rPr>
        <w:t>has served as a member of our board of directors since November 2014. Dr. Healy has been a General Partner of</w:t>
      </w:r>
      <w:r>
        <w:rPr>
          <w:rFonts w:ascii="Arial" w:cs="Arial" w:eastAsia="Arial" w:hAnsi="Arial"/>
          <w:sz w:val="17"/>
          <w:szCs w:val="17"/>
          <w:b w:val="1"/>
          <w:bCs w:val="1"/>
          <w:color w:val="auto"/>
        </w:rPr>
        <w:t xml:space="preserve"> </w:t>
      </w:r>
      <w:r>
        <w:rPr>
          <w:rFonts w:ascii="Arial" w:cs="Arial" w:eastAsia="Arial" w:hAnsi="Arial"/>
          <w:sz w:val="17"/>
          <w:szCs w:val="17"/>
          <w:color w:val="auto"/>
        </w:rPr>
        <w:t>Sofinnova Investments (formerly known as Sofinnova Ventures), a venture capital firm, since June 2000. Prior to June 2000, Dr. Healy held various positions at Sanderling Ventures, Bayer Healthcare Pharmaceuticals (as successor to Miles Laboratories) and ISTA Pharmaceuticals, Inc. Dr. Healy is currently on the board of directors of Bolt Therapeutics, Inc., CinCor Pharma, Inc., Karuna Therapeutics, Inc., Natera, Inc., NuCana plc, Y-mAbs Therapeutics, Inc. and one private company. Previously, he served as a board member of Amarin Corporation, Auris Medical Holding AG, Coherus BioSciences, Inc., Edge Therapeutics, Inc., Hyperion Therapeutics, Inc., ObsEva SA, InterMune, Inc., Iterum Therapeutics PLC, Anthera Pharmaceuticals, Inc., Durata Therapeutics, Inc., CoTherix, Inc., Movetis NV and several private companies. Dr. Healy holds an M.D. and a Ph.D. in Immunology from Stanford University School of Medicine and holds a B.A. in Molecular Biology and a B.A. in Scandinavian Studies from the University of California, Berkeley.</w:t>
      </w:r>
    </w:p>
    <w:p>
      <w:pPr>
        <w:spacing w:after="0" w:line="173" w:lineRule="exact"/>
        <w:rPr>
          <w:sz w:val="20"/>
          <w:szCs w:val="20"/>
          <w:color w:val="auto"/>
        </w:rPr>
      </w:pPr>
    </w:p>
    <w:p>
      <w:pPr>
        <w:ind w:left="140" w:right="120"/>
        <w:spacing w:after="0" w:line="285" w:lineRule="auto"/>
        <w:rPr>
          <w:sz w:val="20"/>
          <w:szCs w:val="20"/>
          <w:color w:val="auto"/>
        </w:rPr>
      </w:pPr>
      <w:r>
        <w:rPr>
          <w:rFonts w:ascii="Arial" w:cs="Arial" w:eastAsia="Arial" w:hAnsi="Arial"/>
          <w:sz w:val="16"/>
          <w:szCs w:val="16"/>
          <w:b w:val="1"/>
          <w:bCs w:val="1"/>
          <w:color w:val="auto"/>
        </w:rPr>
        <w:t xml:space="preserve">Lars Holtug, M.Sc. </w:t>
      </w:r>
      <w:r>
        <w:rPr>
          <w:rFonts w:ascii="Arial" w:cs="Arial" w:eastAsia="Arial" w:hAnsi="Arial"/>
          <w:sz w:val="16"/>
          <w:szCs w:val="16"/>
          <w:color w:val="auto"/>
        </w:rPr>
        <w:t>has served as a member of our board of directors since November 2018. Mr. Holtug was a partner at PricewaterhouseCoopers</w:t>
      </w:r>
      <w:r>
        <w:rPr>
          <w:rFonts w:ascii="Arial" w:cs="Arial" w:eastAsia="Arial" w:hAnsi="Arial"/>
          <w:sz w:val="16"/>
          <w:szCs w:val="16"/>
          <w:b w:val="1"/>
          <w:bCs w:val="1"/>
          <w:color w:val="auto"/>
        </w:rPr>
        <w:t xml:space="preserve"> </w:t>
      </w:r>
      <w:r>
        <w:rPr>
          <w:rFonts w:ascii="Arial" w:cs="Arial" w:eastAsia="Arial" w:hAnsi="Arial"/>
          <w:sz w:val="16"/>
          <w:szCs w:val="16"/>
          <w:color w:val="auto"/>
        </w:rPr>
        <w:t>Statsautoriseret Revisionspartnerselskab (“PwC”) from 1993 to 2015. Mr. Holtug also currently serves as chairman of Gaming Investment A/S, a gaming solutions provider, and its eleven subsidiaries, and of MTI Caretag Invest A/S, a company investing in healthcare technology. Mr. Holtug also currently serves as a board member of Frida Forsikring Agentur A/S, Domus Forsikring A/S and Evaxion Biotech A/S, as well as the Audit Committee Chair of the board of Domus Forsikring A/S and Evaxion Biotech A/S. Previously, he was Chairman of PwC in Denmark from 2005 to 2009. From</w:t>
      </w:r>
    </w:p>
    <w:p>
      <w:pPr>
        <w:spacing w:after="0" w:line="2" w:lineRule="exact"/>
        <w:rPr>
          <w:sz w:val="20"/>
          <w:szCs w:val="20"/>
          <w:color w:val="auto"/>
        </w:rPr>
      </w:pPr>
    </w:p>
    <w:p>
      <w:pPr>
        <w:ind w:left="140" w:right="20"/>
        <w:spacing w:after="0" w:line="294" w:lineRule="auto"/>
        <w:rPr>
          <w:sz w:val="20"/>
          <w:szCs w:val="20"/>
          <w:color w:val="auto"/>
        </w:rPr>
      </w:pPr>
      <w:r>
        <w:rPr>
          <w:rFonts w:ascii="Arial" w:cs="Arial" w:eastAsia="Arial" w:hAnsi="Arial"/>
          <w:sz w:val="16"/>
          <w:szCs w:val="16"/>
          <w:color w:val="auto"/>
        </w:rPr>
        <w:t>2004 to 2015, Mr. Holtug was a member of the Danish Commercial Appeals Board (Erhvervsankenaevnet) and a board member of the Danish Company law association (Dansk Forening for Selskabsret). He was also a member of the Accounting Standards Board of the Federation of State Authorized Accountants in Denmark (Foreningen af Statsautoriserede Revisorer) from 1998 to 2002, and a member of the Auditing Standards Board from 1993 to 1998. Mr. Holtug holds an M.Sc. from Copenhagen Business School and is educated as a state authorized public accountant in Denmark.</w:t>
      </w:r>
    </w:p>
    <w:p>
      <w:pPr>
        <w:spacing w:after="0" w:line="156" w:lineRule="exact"/>
        <w:rPr>
          <w:sz w:val="20"/>
          <w:szCs w:val="20"/>
          <w:color w:val="auto"/>
        </w:rPr>
      </w:pPr>
    </w:p>
    <w:p>
      <w:pPr>
        <w:ind w:left="140" w:right="20"/>
        <w:spacing w:after="0" w:line="267" w:lineRule="auto"/>
        <w:rPr>
          <w:sz w:val="20"/>
          <w:szCs w:val="20"/>
          <w:color w:val="auto"/>
        </w:rPr>
      </w:pPr>
      <w:r>
        <w:rPr>
          <w:rFonts w:ascii="Arial" w:cs="Arial" w:eastAsia="Arial" w:hAnsi="Arial"/>
          <w:sz w:val="17"/>
          <w:szCs w:val="17"/>
          <w:b w:val="1"/>
          <w:bCs w:val="1"/>
          <w:color w:val="auto"/>
        </w:rPr>
        <w:t xml:space="preserve">Rafaèle Tordjman, M.D., Ph.D. </w:t>
      </w:r>
      <w:r>
        <w:rPr>
          <w:rFonts w:ascii="Arial" w:cs="Arial" w:eastAsia="Arial" w:hAnsi="Arial"/>
          <w:sz w:val="17"/>
          <w:szCs w:val="17"/>
          <w:color w:val="auto"/>
        </w:rPr>
        <w:t>has served as a member of our board of directors since November 2021, and previously served on our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from 2007 until 2017. In 2018, Dr. Tordjman founded Jeito Capital, an independent investment company dedicated to biopharma/biotech to establish a model of continuous financing and to invest in the next generation of leaders in medical innovation. Dr. Tordjman was a Special Advisor at Sofinnova Partners from 2001 until March 2017, where she also served as Managing Partner specializing in life sciences investments from January 2011 to February 2017. Dr. Tordjman currently serves as the Chairperson of the board of InnoSkel, a biotechnology company, and Alentis Therapeutics, a clinical-stage biopharmaceutical company. Dr. Tordjman has also served on the boards of directors at several life sciences companies, including ObsEva SA, a Nasdaq-listed biopharmaceutical company, NuCana plc, a Nasdaq-listed clinical-stage pharmaceutical company, DBV Technologies SA, a publicly traded company specializing in allergy therapies, Flexion Therapeutics, Inc., a publicly traded company in clinical-stage pharmaceuticals, PregLem, a company specializing in reproductive female medicine, Lysogene, a public biopharmaceutical company developing treatments against central nervous system and genetic diseases, Medday Pharmaceuticals, a French company specializing in therapies against neurodegenerative diseases, and ENYO Pharma SA, a clinical stage biopharmaceutical company. Previously, Dr. Tordjman was a research scientist at the Institut National de la Santé et de la Recherche Médicale (INSERM) in Cochin Hospital, Paris, France. Dr. Tordjman has also practiced as a medical doctor, specializing in clinical hematology and internal medicine. Dr. Tordjman received an M.D. and completed a fellowship in hematology and internal medicine at the Paris University Hospitals, France. She received a Ph.D. in hematopoiesis and angiogenesis from and completed a post-doctoral fellowship in immunology at the University of Paris VII.</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Senior Management and Executive Board</w:t>
      </w:r>
    </w:p>
    <w:p>
      <w:pPr>
        <w:spacing w:after="0" w:line="116"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The following table sets forth information with respect to each of the members of our senior management, their respective ages and their positions as of December 31, 2021. In addition to serving as members of our senior management, Mr. Mikkelsen, Mr. Smith, Mr. Wolff Jensen, and Ms. Sønderbjerg currently serve as the members of our executive board. The business address of these members of our senior management is our registered office address at Tuborg Boulevard 12, DK-2900 Hellerup, Denmark.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85"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480" w:type="dxa"/>
            <w:vAlign w:val="bottom"/>
          </w:tcPr>
          <w:p>
            <w:pPr>
              <w:ind w:left="2920"/>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Møller Mikkelsen</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Borders>
              <w:top w:val="single" w:sz="8" w:color="CCEEFF"/>
            </w:tcBorders>
            <w:shd w:val="clear" w:color="auto" w:fill="CCEEFF"/>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Board Member</w:t>
            </w: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Vibeke Miller Breinholt, Ph.D.</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55</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Nonclinical Development and Bioanalysis</w:t>
            </w: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Jesper Høiland</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6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Global Chief Commercial Officer</w:t>
            </w: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Flemming Steen Jensen</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60</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Product Supply and Quality</w:t>
            </w: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Michael Wolff Jensen, L.L.M.</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6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Chief Legal Officer</w:t>
            </w: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Sigurd Okkels, Ph.D.</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Product Development</w:t>
            </w: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Dana Pizzuti, M.D.</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6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Development Operations and Chief Medical Officer</w:t>
            </w: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Juha Punnonen, M.D., Ph.D.</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56</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Head of Oncology</w:t>
            </w: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Peter Rasmussen</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6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Vice President, Finance and Principal Accounting Officer</w:t>
            </w: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Stina Singel, M.D., Ph.D.</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48</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Head of Clinical Development, Oncology</w:t>
            </w: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Scott T. Smith</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6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Chief Financial Officer</w:t>
            </w: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Lotte Sønderbjerg</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60</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Chief Administrative Officer</w:t>
            </w: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Kennett Sprogøe, Ph.D.</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6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Head of Innovation and Research</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Birgitte Volck, M.D., Ph.D.</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59</w:t>
            </w:r>
          </w:p>
        </w:tc>
        <w:tc>
          <w:tcPr>
            <w:tcW w:w="65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Head of Clinical Development and Medical Affairs</w:t>
            </w:r>
          </w:p>
        </w:tc>
      </w:tr>
    </w:tbl>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is a brief summary of the business experience of our senior management and executive board.</w:t>
      </w:r>
    </w:p>
    <w:p>
      <w:pPr>
        <w:spacing w:after="0" w:line="219" w:lineRule="exact"/>
        <w:rPr>
          <w:sz w:val="20"/>
          <w:szCs w:val="20"/>
          <w:color w:val="auto"/>
        </w:rPr>
      </w:pPr>
    </w:p>
    <w:p>
      <w:pPr>
        <w:ind w:left="140" w:right="120"/>
        <w:spacing w:after="0" w:line="270" w:lineRule="auto"/>
        <w:rPr>
          <w:sz w:val="20"/>
          <w:szCs w:val="20"/>
          <w:color w:val="auto"/>
        </w:rPr>
      </w:pPr>
      <w:r>
        <w:rPr>
          <w:rFonts w:ascii="Arial" w:cs="Arial" w:eastAsia="Arial" w:hAnsi="Arial"/>
          <w:sz w:val="17"/>
          <w:szCs w:val="17"/>
          <w:b w:val="1"/>
          <w:bCs w:val="1"/>
          <w:color w:val="auto"/>
        </w:rPr>
        <w:t xml:space="preserve">Jan Møller Mikkelsen </w:t>
      </w:r>
      <w:r>
        <w:rPr>
          <w:rFonts w:ascii="Arial" w:cs="Arial" w:eastAsia="Arial" w:hAnsi="Arial"/>
          <w:sz w:val="17"/>
          <w:szCs w:val="17"/>
          <w:color w:val="auto"/>
        </w:rPr>
        <w:t>founded Ascendis Pharma and has served as President and Chief Executive Officer as well as Board member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2007 and currently serves on the board of VISEN Pharmaceuticals. From 2002 to 2006, Mr. Mikkelsen served as President and Chief Executive Officer of LifeCycle Pharma A/S, now Veloxis Pharmaceuticals A/S, which was a publicly traded biotechnology company. From 2000 to 2002, Mr. Mikkelsen was President of the Pharmaceutical Division of Maxygen, Inc. Prior to that, Mr. Mikkelsen co-founded ProFound Pharma A/S, a biopharmaceutical company that was later acquired by Maxygen, Inc., and at ProFound, he served as Co-Chief Executive Officer from 1999 to 2000. From 1988 to 1999, Mr. Mikkelsen held various positions at Novo Nordisk A/S, a global healthcare company, including Vice President of Protein Discovery. Mr. Mikkelsen currently serves as a member of the advisory board of Inspirion Delivery Technologies, a specialty pharmaceutical company. Mr. Mikkelsen received a Cand. Scient. degree in Biochemistry from the University of Odense, Denmark, and pursued his post-doctoral research at Children’s Hospital in Oakland, CA.</w:t>
      </w:r>
    </w:p>
    <w:p>
      <w:pPr>
        <w:spacing w:after="0" w:line="173" w:lineRule="exact"/>
        <w:rPr>
          <w:sz w:val="20"/>
          <w:szCs w:val="20"/>
          <w:color w:val="auto"/>
        </w:rPr>
      </w:pPr>
    </w:p>
    <w:p>
      <w:pPr>
        <w:ind w:left="140" w:right="80"/>
        <w:spacing w:after="0" w:line="268" w:lineRule="auto"/>
        <w:rPr>
          <w:sz w:val="20"/>
          <w:szCs w:val="20"/>
          <w:color w:val="auto"/>
        </w:rPr>
      </w:pPr>
      <w:r>
        <w:rPr>
          <w:rFonts w:ascii="Arial" w:cs="Arial" w:eastAsia="Arial" w:hAnsi="Arial"/>
          <w:sz w:val="17"/>
          <w:szCs w:val="17"/>
          <w:b w:val="1"/>
          <w:bCs w:val="1"/>
          <w:color w:val="auto"/>
        </w:rPr>
        <w:t xml:space="preserve">Vibeke Miller Breinholt, Ph.D. </w:t>
      </w:r>
      <w:r>
        <w:rPr>
          <w:rFonts w:ascii="Arial" w:cs="Arial" w:eastAsia="Arial" w:hAnsi="Arial"/>
          <w:sz w:val="17"/>
          <w:szCs w:val="17"/>
          <w:color w:val="auto"/>
        </w:rPr>
        <w:t>has served as our Senior Vice President of Nonclinical Development and Bioanalysis since January 2020 and</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as our Vice President of Nonclinical Development from January 2016 to January 2020. Dr. Breinholt has more than 15 years of experience within nonclinical development in the biopharmaceutical industry and more than seven years of experience in experimental cancer research. Prior to joining Ascendis, Dr. Breinholt served in roles of increasing responsibility at Novo Nordisk from November 2013 to December 2015, including serving as Head of Biopharm Toxicology and Safety Pharmacology, where she was responsible for overseeing more than 30 projects in early and late-stage development within diabetes, obesity, hemophilia and growth hormone deficiency. Prior to Novo Nordisk, she held positions of increasing responsibility at Genmab A/S from October 2007 to November 2013, ending her tenure as Senior Director of Preclinical Safety and Preclinical Regulatory Affairs. Dr. Breinholt began her industry career at Maxygen in October 2003, where she served as Head of Toxicology and Associate Director Regulatory affairs until October 2007. Dr. Breinholt received her M.S. and Ph.D. in Toxicology from Oregon State University within experimental cancer research and a B.S. in Bromatology from the Royal Veterinary and Agricultural University, Denmark. Dr. Breinholt also earned advanced diplomas in business administration and pharmaceutical regulatory affairs.</w:t>
      </w:r>
    </w:p>
    <w:p>
      <w:pPr>
        <w:spacing w:after="0" w:line="182" w:lineRule="exact"/>
        <w:rPr>
          <w:sz w:val="20"/>
          <w:szCs w:val="20"/>
          <w:color w:val="auto"/>
        </w:rPr>
      </w:pPr>
    </w:p>
    <w:p>
      <w:pPr>
        <w:ind w:left="140" w:right="100"/>
        <w:spacing w:after="0" w:line="242" w:lineRule="auto"/>
        <w:rPr>
          <w:sz w:val="20"/>
          <w:szCs w:val="20"/>
          <w:color w:val="auto"/>
        </w:rPr>
      </w:pPr>
      <w:r>
        <w:rPr>
          <w:rFonts w:ascii="Arial" w:cs="Arial" w:eastAsia="Arial" w:hAnsi="Arial"/>
          <w:sz w:val="18"/>
          <w:szCs w:val="18"/>
          <w:b w:val="1"/>
          <w:bCs w:val="1"/>
          <w:color w:val="auto"/>
        </w:rPr>
        <w:t xml:space="preserve">Jesper Høiland </w:t>
      </w:r>
      <w:r>
        <w:rPr>
          <w:rFonts w:ascii="Arial" w:cs="Arial" w:eastAsia="Arial" w:hAnsi="Arial"/>
          <w:sz w:val="18"/>
          <w:szCs w:val="18"/>
          <w:color w:val="auto"/>
        </w:rPr>
        <w:t>has served as our Senior Vice President and Global Chief Commercial Officer since May 2020. He has over 25 years of senior</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experience in operations, commercialization and global marketing and has launched five products to market leadership positions in endocrinology and hematology. Previously, he served as President and Chief Executive Officer of Radius Health, a biopharmaceutical company, from July 2017 to April 2020, where he led Tymlos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 a market leadership position in three years as a treatment for osteoporosis. Prior to joining Radius, Mr. Høiland served as Executive Vice President at Novo Nordisk and President of Novo Nordisk USA, a pharmaceutical company, overseeing approximately 5,300 employees from 2013 to 2016. Before serving as President of Novo Nordisk USA, Mr. Høiland held multiple global roles of increasing responsibility at Novo Nordisk from 1987 to 2013, including leading its International Operations. His extensive experience establishing global leadership of endocrinology products began with the first launch of Novo Nordisk’s daily growth hormone in 1988. Mr. Høiland currently serves on the board of directors of Concert Pharmaceuticals, Inc., a pharmaceutical company. Mr. Høiland holds an MSc in Management from Copenhagen Business School.</w:t>
      </w:r>
    </w:p>
    <w:p>
      <w:pPr>
        <w:spacing w:after="0" w:line="199" w:lineRule="exact"/>
        <w:rPr>
          <w:sz w:val="20"/>
          <w:szCs w:val="20"/>
          <w:color w:val="auto"/>
        </w:rPr>
      </w:pPr>
    </w:p>
    <w:p>
      <w:pPr>
        <w:ind w:left="140" w:right="60"/>
        <w:spacing w:after="0" w:line="259" w:lineRule="auto"/>
        <w:rPr>
          <w:sz w:val="20"/>
          <w:szCs w:val="20"/>
          <w:color w:val="auto"/>
        </w:rPr>
      </w:pPr>
      <w:r>
        <w:rPr>
          <w:rFonts w:ascii="Arial" w:cs="Arial" w:eastAsia="Arial" w:hAnsi="Arial"/>
          <w:sz w:val="18"/>
          <w:szCs w:val="18"/>
          <w:b w:val="1"/>
          <w:bCs w:val="1"/>
          <w:color w:val="auto"/>
        </w:rPr>
        <w:t xml:space="preserve">Flemming Steen Jensen </w:t>
      </w:r>
      <w:r>
        <w:rPr>
          <w:rFonts w:ascii="Arial" w:cs="Arial" w:eastAsia="Arial" w:hAnsi="Arial"/>
          <w:sz w:val="18"/>
          <w:szCs w:val="18"/>
          <w:color w:val="auto"/>
        </w:rPr>
        <w:t>has served as our Senior Vice President, Product Supply and Quality since August 2015. Prior to this, Mr. Jensen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Vice President for Global Pharma Consulting and Business Development and member of the management team at NNE Pharmaplan A/S, an engineering and consulting company (part of Novo Nordisk A/S), from October 2014 to July 2015. From 1999 to September 2014, Mr. Jensen served as Executive Vice President of Product Supply (Production, Supply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85"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40"/>
        <w:spacing w:after="0" w:line="278" w:lineRule="auto"/>
        <w:rPr>
          <w:sz w:val="20"/>
          <w:szCs w:val="20"/>
          <w:color w:val="auto"/>
        </w:rPr>
      </w:pPr>
      <w:r>
        <w:rPr>
          <w:rFonts w:ascii="Arial" w:cs="Arial" w:eastAsia="Arial" w:hAnsi="Arial"/>
          <w:sz w:val="17"/>
          <w:szCs w:val="17"/>
          <w:color w:val="auto"/>
        </w:rPr>
        <w:t>Chain, Engineering and Maintenance, Business Improvements, Quality Assurance and Health, Safety and Environment) and member of the Board of Management of ALK-Abello A/S, a pharmaceutical company. From 1986 to 1999, Mr. Jensen held several management positions relating to development, manufacturing and engineering within Novo Nordisk A/S. Mr. Jensen is also a member of various boards of directors and advisory boards of companies in the life sciences industry. Mr. Jensen holds a M.Sc. in Pharmacy from the University of Copenhagen.</w:t>
      </w:r>
    </w:p>
    <w:p>
      <w:pPr>
        <w:spacing w:after="0" w:line="166" w:lineRule="exact"/>
        <w:rPr>
          <w:sz w:val="20"/>
          <w:szCs w:val="20"/>
          <w:color w:val="auto"/>
        </w:rPr>
      </w:pPr>
    </w:p>
    <w:p>
      <w:pPr>
        <w:ind w:left="140" w:right="80"/>
        <w:spacing w:after="0" w:line="290" w:lineRule="auto"/>
        <w:rPr>
          <w:sz w:val="20"/>
          <w:szCs w:val="20"/>
          <w:color w:val="auto"/>
        </w:rPr>
      </w:pPr>
      <w:r>
        <w:rPr>
          <w:rFonts w:ascii="Arial" w:cs="Arial" w:eastAsia="Arial" w:hAnsi="Arial"/>
          <w:sz w:val="16"/>
          <w:szCs w:val="16"/>
          <w:b w:val="1"/>
          <w:bCs w:val="1"/>
          <w:color w:val="auto"/>
        </w:rPr>
        <w:t xml:space="preserve">Michael Wolff Jensen, L.L.M. </w:t>
      </w:r>
      <w:r>
        <w:rPr>
          <w:rFonts w:ascii="Arial" w:cs="Arial" w:eastAsia="Arial" w:hAnsi="Arial"/>
          <w:sz w:val="16"/>
          <w:szCs w:val="16"/>
          <w:color w:val="auto"/>
        </w:rPr>
        <w:t>has served as our Senior Vice President, Chief Legal Officer since June 2013 and currently serves as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VISEN Pharmaceuticals. In addition, Mr. Jensen served as Chairman of our board of directors from January 2008 to May 2021 and as our Acting Chief Financial Officer from May 2008 to June 2013. From October 2010 to June 2013, Mr. Jensen served as Senior Legal Advisor and Head of Partnerships (France) for the renewable business division of Dong Energy A/S, the Danish State-owned utility company. Prior to Ascendis Pharma, Mr. Jensen served as Executive Vice President &amp; Chief Financial Officer of LifeCycle Pharma, currently known as Veloxis Pharmaceuticals A/S, a publicly traded biotechnology company, from 2003 to 2008. Prior to joining Veloxis, Mr. Jensen served as Senior Vice President &amp; Chief Financial Officer of Genmab A/S, a publicly traded biotechnology company from 2000 to 2003. Mr. Jensen also currently serves as Chairman of the board of directors of Vicore Pharma AB, a publicly traded biotechnology company. Mr. Jensen received an L.L.M. degree from the University of Copenhagen.</w:t>
      </w:r>
    </w:p>
    <w:p>
      <w:pPr>
        <w:spacing w:after="0" w:line="159" w:lineRule="exact"/>
        <w:rPr>
          <w:sz w:val="20"/>
          <w:szCs w:val="20"/>
          <w:color w:val="auto"/>
        </w:rPr>
      </w:pPr>
    </w:p>
    <w:p>
      <w:pPr>
        <w:ind w:left="140" w:right="20"/>
        <w:spacing w:after="0" w:line="253" w:lineRule="auto"/>
        <w:rPr>
          <w:sz w:val="20"/>
          <w:szCs w:val="20"/>
          <w:color w:val="auto"/>
        </w:rPr>
      </w:pPr>
      <w:r>
        <w:rPr>
          <w:rFonts w:ascii="Arial" w:cs="Arial" w:eastAsia="Arial" w:hAnsi="Arial"/>
          <w:sz w:val="18"/>
          <w:szCs w:val="18"/>
          <w:b w:val="1"/>
          <w:bCs w:val="1"/>
          <w:color w:val="auto"/>
        </w:rPr>
        <w:t xml:space="preserve">Jens Sigurd Okkels, Ph.D. </w:t>
      </w:r>
      <w:r>
        <w:rPr>
          <w:rFonts w:ascii="Arial" w:cs="Arial" w:eastAsia="Arial" w:hAnsi="Arial"/>
          <w:sz w:val="18"/>
          <w:szCs w:val="18"/>
          <w:color w:val="auto"/>
        </w:rPr>
        <w:t>has served as our Senior Vice President of Product Development since April 2019. Most recently, Dr. Okkels led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consulting firm in the biopharmaceutical industry, Okkels Consulting, GmbH, from January 2018 until April 2019. Prior to this, from October 2011 until December 2017, he served as Vice President, Head of the Chemistry, Manufacturing and Controls Center in Europe at Takeda, where he was responsible for numerous projects at all stages of development, from preclinical and launch to life cycle management. Prior to his tenure at Takeda, Dr. Okkels held multiple VP roles at Nycomed, including Vice President of Technical Development, the Biologics Network and the International Pharmaceutical Affairs. Dr. Okkels also served as the Science and Technology Director at Maxygen after a merger with ProFound Pharma, a company which he co-founded in 1999. He launched his industry career at Novo Nordisk in 1992 after completing his postdoctoral training at the Royal Veterinary and Agricultural University (RVAU). Dr. Okkels received his Ph.D. in biochemistry and molecular biology from the RVAU in Copenhagen, Denmark.</w:t>
      </w:r>
    </w:p>
    <w:p>
      <w:pPr>
        <w:spacing w:after="0" w:line="189" w:lineRule="exact"/>
        <w:rPr>
          <w:sz w:val="20"/>
          <w:szCs w:val="20"/>
          <w:color w:val="auto"/>
        </w:rPr>
      </w:pPr>
    </w:p>
    <w:p>
      <w:pPr>
        <w:ind w:left="140" w:right="20"/>
        <w:spacing w:after="0" w:line="286" w:lineRule="auto"/>
        <w:rPr>
          <w:sz w:val="20"/>
          <w:szCs w:val="20"/>
          <w:color w:val="auto"/>
        </w:rPr>
      </w:pPr>
      <w:r>
        <w:rPr>
          <w:rFonts w:ascii="Arial" w:cs="Arial" w:eastAsia="Arial" w:hAnsi="Arial"/>
          <w:sz w:val="16"/>
          <w:szCs w:val="16"/>
          <w:b w:val="1"/>
          <w:bCs w:val="1"/>
          <w:color w:val="auto"/>
        </w:rPr>
        <w:t xml:space="preserve">Dana Pizzuti, M.D. </w:t>
      </w:r>
      <w:r>
        <w:rPr>
          <w:rFonts w:ascii="Arial" w:cs="Arial" w:eastAsia="Arial" w:hAnsi="Arial"/>
          <w:sz w:val="16"/>
          <w:szCs w:val="16"/>
          <w:color w:val="auto"/>
        </w:rPr>
        <w:t>has served as our Senior Vice President of Development Operations since January 2020 and as our Chief Medical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May 2021. Dr. Pizzuti previously served as our Vice President of Global Regulatory Affairs from July 2019 to December 2019. Dr. Pizzuti has more than 30 years of pharmaceutical industry experience in clinical development, pharmacovigilance, medical and regulatory affairs. Prior to joining Ascendis, Dr. Pizzuti served as Senior Vice President of Regulatory Affairs, Quality and Pharmacovigilance at Theravance Biopharma, Inc., a biotechnology company, from March 2019 to July 2019 and served as Senior Vice President of Regulatory Affairs and Quality at Rigel Pharmaceuticals, a biotechnology company, from June 2017 to March 2019. Prior to Rigel, Dr. Pizzuti served as Vice President of Regulatory Affairs at Gilead Sciences, a pharmaceutical company, from March 2007 to June 2017, where she directly supervised a global regulatory department of more than 500 individuals in 33 countries and was responsible for obtaining marketing authorizations for 15 new drugs in global markets. Prior to Gilead, she served as Vice President of Global Regulatory Affairs for West Coast Pharmaceuticals at Johnson and Johnson and Vice President of Global Pharmacovigilance and Labeling at Bristol-Myers Squibb. For ten years, she held positions of increasing responsibility in Medical Affairs at Abbott Laboratories, ending her tenure there as Vice President of Global Medical Affairs for the Pharmaceutical Products Division and Abbott International. Dr. Pizzuti began her career in industry at Hoffmann-La Roche. She received her M.D. from New York University and a B.S. in Biology (cum laude) from Yale University.</w:t>
      </w:r>
    </w:p>
    <w:p>
      <w:pPr>
        <w:spacing w:after="0" w:line="167" w:lineRule="exact"/>
        <w:rPr>
          <w:sz w:val="20"/>
          <w:szCs w:val="20"/>
          <w:color w:val="auto"/>
        </w:rPr>
      </w:pPr>
    </w:p>
    <w:p>
      <w:pPr>
        <w:ind w:left="140"/>
        <w:spacing w:after="0" w:line="275" w:lineRule="auto"/>
        <w:rPr>
          <w:sz w:val="20"/>
          <w:szCs w:val="20"/>
          <w:color w:val="auto"/>
        </w:rPr>
      </w:pPr>
      <w:r>
        <w:rPr>
          <w:rFonts w:ascii="Arial" w:cs="Arial" w:eastAsia="Arial" w:hAnsi="Arial"/>
          <w:sz w:val="16"/>
          <w:szCs w:val="16"/>
          <w:b w:val="1"/>
          <w:bCs w:val="1"/>
          <w:color w:val="auto"/>
        </w:rPr>
        <w:t xml:space="preserve">Juha Punnonen, M.D., Ph.D. </w:t>
      </w:r>
      <w:r>
        <w:rPr>
          <w:rFonts w:ascii="Arial" w:cs="Arial" w:eastAsia="Arial" w:hAnsi="Arial"/>
          <w:sz w:val="16"/>
          <w:szCs w:val="16"/>
          <w:color w:val="auto"/>
        </w:rPr>
        <w:t>has served as our Senior Vice President, Head of Oncology since September 2018. Prior to this, from April 2015 until</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2018, Dr. Punnonen served as Executive Director, Oncology Discovery Research, at Merck &amp; Co., Inc., a pharmaceutical company, where he coordinated preclinical research and early development programs for Merck Oncology, including external clinical collaborations for Merck’s anti-PD-1 antibody, Keytruda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(pembrolizumab). Prior to his tenure at Merck, he served as CEO and Head of Research and Development at STATegics, Inc., a biotechnology company he co-founded in 2007. Prior to STATegics, Dr. Punnonen was Vice President and Head of Biology and Pharmacology at Maxygen, Inc., a company developing next-generation protein therapeutics and vaccines. He began his industry career in 1994 as a scientist with DNAX Research Institute (now Merck Research Labs), where he had done his postdoctoral training in cytokine research. His clinical experience is in internal medicine, pediatrics and medical microbiology. Dr. Punnonen received his M.D. and Ph.D. (immunology) from the University of Turku, Finland.</w:t>
      </w:r>
    </w:p>
    <w:p>
      <w:pPr>
        <w:spacing w:after="0" w:line="172" w:lineRule="exact"/>
        <w:rPr>
          <w:sz w:val="20"/>
          <w:szCs w:val="20"/>
          <w:color w:val="auto"/>
        </w:rPr>
      </w:pPr>
    </w:p>
    <w:p>
      <w:pPr>
        <w:ind w:left="140"/>
        <w:spacing w:after="0" w:line="297" w:lineRule="auto"/>
        <w:rPr>
          <w:sz w:val="20"/>
          <w:szCs w:val="20"/>
          <w:color w:val="auto"/>
        </w:rPr>
      </w:pPr>
      <w:r>
        <w:rPr>
          <w:rFonts w:ascii="Arial" w:cs="Arial" w:eastAsia="Arial" w:hAnsi="Arial"/>
          <w:sz w:val="16"/>
          <w:szCs w:val="16"/>
          <w:b w:val="1"/>
          <w:bCs w:val="1"/>
          <w:color w:val="auto"/>
        </w:rPr>
        <w:t xml:space="preserve">Peter Rasmussen </w:t>
      </w:r>
      <w:r>
        <w:rPr>
          <w:rFonts w:ascii="Arial" w:cs="Arial" w:eastAsia="Arial" w:hAnsi="Arial"/>
          <w:sz w:val="16"/>
          <w:szCs w:val="16"/>
          <w:color w:val="auto"/>
        </w:rPr>
        <w:t>has served as our Vice President, Finance and Principal Accounting Officer since March 2014 and served as our Principal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February 2016 to August 2016. Prior to joining Ascendis, Mr. Rasmussen worked as a financial consultant for Ascendis from October 2013 to March 2014. From June 2008 to August 2012, Mr. Rasmussen served as the Chief Financial Officer of AdvanDx, Inc., a privately held medical device company. From 2007 to 2008, prior to AdvanDx, Mr. Rasmussen served as Head of Finance at Veloxis Pharmaceuticals A/S. Mr. Rasmussen is a state-authorized public accountant in Denmark and received an M.Sc. in Business Economics and Auditing from Copenhagen Business School.</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85"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right="20"/>
        <w:spacing w:after="0" w:line="270" w:lineRule="auto"/>
        <w:rPr>
          <w:sz w:val="20"/>
          <w:szCs w:val="20"/>
          <w:color w:val="auto"/>
        </w:rPr>
      </w:pPr>
      <w:r>
        <w:rPr>
          <w:rFonts w:ascii="Arial" w:cs="Arial" w:eastAsia="Arial" w:hAnsi="Arial"/>
          <w:sz w:val="17"/>
          <w:szCs w:val="17"/>
          <w:b w:val="1"/>
          <w:bCs w:val="1"/>
          <w:color w:val="auto"/>
        </w:rPr>
        <w:t xml:space="preserve">Stina Singel, M.D., Ph.D. </w:t>
      </w:r>
      <w:r>
        <w:rPr>
          <w:rFonts w:ascii="Arial" w:cs="Arial" w:eastAsia="Arial" w:hAnsi="Arial"/>
          <w:sz w:val="17"/>
          <w:szCs w:val="17"/>
          <w:color w:val="auto"/>
        </w:rPr>
        <w:t>has served as our Senior Vice President, Head of Clinical Development, Oncology, since January 2022 and served as our</w:t>
      </w:r>
      <w:r>
        <w:rPr>
          <w:rFonts w:ascii="Arial" w:cs="Arial" w:eastAsia="Arial" w:hAnsi="Arial"/>
          <w:sz w:val="17"/>
          <w:szCs w:val="17"/>
          <w:b w:val="1"/>
          <w:bCs w:val="1"/>
          <w:color w:val="auto"/>
        </w:rPr>
        <w:t xml:space="preserve"> </w:t>
      </w:r>
      <w:r>
        <w:rPr>
          <w:rFonts w:ascii="Arial" w:cs="Arial" w:eastAsia="Arial" w:hAnsi="Arial"/>
          <w:sz w:val="17"/>
          <w:szCs w:val="17"/>
          <w:color w:val="auto"/>
        </w:rPr>
        <w:t>Head of Clinical Development, Oncology, from May 2020 to January 2022. Prior to joining Ascendis, Dr. Singel served as Senior Vice President and Head of Clinical Development and Drug Safety at Nektar Therapeutics, a biopharmaceutical company, from April 2019 to May 2020 and as Senior Medical Director at Genentech, a biotechnology company, from March 2014 to April 2019. From 2017 to 2019, Dr. Singel also served as an Adjunct Clinical Instructor at the Stanford University School of Medicine. Prior to Genentech, Dr. Singel was an Attending Physician and Clinical Translational Researcher focused on breast oncology at the University of Texas Southwestern Medical Center from 2010 to 2014 and was a Medical Oncologist at Washington Hematology Oncology, a community practice in Yakima, Washington, from 2008 to 2010. Dr. Singel received her M.D. and Ph.D. degrees from the University of California, San Diego, where she also completed her internal medicine residency and medical oncology fellowship. She received her B.S. in Biology (magna cum laude) from Harvard University.</w:t>
      </w:r>
    </w:p>
    <w:p>
      <w:pPr>
        <w:spacing w:after="0" w:line="173" w:lineRule="exact"/>
        <w:rPr>
          <w:sz w:val="20"/>
          <w:szCs w:val="20"/>
          <w:color w:val="auto"/>
        </w:rPr>
      </w:pPr>
    </w:p>
    <w:p>
      <w:pPr>
        <w:ind w:left="140" w:right="40"/>
        <w:spacing w:after="0" w:line="273" w:lineRule="auto"/>
        <w:rPr>
          <w:sz w:val="20"/>
          <w:szCs w:val="20"/>
          <w:color w:val="auto"/>
        </w:rPr>
      </w:pPr>
      <w:r>
        <w:rPr>
          <w:rFonts w:ascii="Arial" w:cs="Arial" w:eastAsia="Arial" w:hAnsi="Arial"/>
          <w:sz w:val="17"/>
          <w:szCs w:val="17"/>
          <w:b w:val="1"/>
          <w:bCs w:val="1"/>
          <w:color w:val="auto"/>
        </w:rPr>
        <w:t xml:space="preserve">Scott T. Smith </w:t>
      </w:r>
      <w:r>
        <w:rPr>
          <w:rFonts w:ascii="Arial" w:cs="Arial" w:eastAsia="Arial" w:hAnsi="Arial"/>
          <w:sz w:val="17"/>
          <w:szCs w:val="17"/>
          <w:color w:val="auto"/>
        </w:rPr>
        <w:t>has served as our Senior Vice President and Chief Financial Officer since August 2016. Previously, Mr. Smith served as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Investment Banking Group at Wedbush Securities, from 2012 to 2016, where he led the healthcare team, and, from 2009 to 2012, Mr. Smith served as a Managing Director at Wedbush. Prior to joining Wedbush, Mr. Smith served as a Director in the Global Healthcare Investment Banking Group at Merrill Lynch where he began his career in 1995. He has also worked in sales, marketing and strategy roles for various companies, including start-ups and a Fortune Global 500 company. Mr. Smith received his M.B.A. from the Stanford University Graduate School of Business and graduated magna cum laude with a B.A. in Economics/Accounting-Physics from Claremont McKenna College.</w:t>
      </w:r>
    </w:p>
    <w:p>
      <w:pPr>
        <w:spacing w:after="0" w:line="173" w:lineRule="exact"/>
        <w:rPr>
          <w:sz w:val="20"/>
          <w:szCs w:val="20"/>
          <w:color w:val="auto"/>
        </w:rPr>
      </w:pPr>
    </w:p>
    <w:p>
      <w:pPr>
        <w:ind w:left="140" w:right="120"/>
        <w:spacing w:after="0" w:line="254" w:lineRule="auto"/>
        <w:rPr>
          <w:sz w:val="20"/>
          <w:szCs w:val="20"/>
          <w:color w:val="auto"/>
        </w:rPr>
      </w:pPr>
      <w:r>
        <w:rPr>
          <w:rFonts w:ascii="Arial" w:cs="Arial" w:eastAsia="Arial" w:hAnsi="Arial"/>
          <w:sz w:val="18"/>
          <w:szCs w:val="18"/>
          <w:b w:val="1"/>
          <w:bCs w:val="1"/>
          <w:color w:val="auto"/>
        </w:rPr>
        <w:t xml:space="preserve">Lotte Sønderbjerg </w:t>
      </w:r>
      <w:r>
        <w:rPr>
          <w:rFonts w:ascii="Arial" w:cs="Arial" w:eastAsia="Arial" w:hAnsi="Arial"/>
          <w:sz w:val="18"/>
          <w:szCs w:val="18"/>
          <w:color w:val="auto"/>
        </w:rPr>
        <w:t>has served as our Senior Vice President, Chief Administrative Officer since December 2007. Mrs. Sønderbjerg is also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Ascendis Pharma GmbH. Prior to joining Ascendis, Mrs. Sønderbjerg served as Senior Director of Human Resources and as Finance Director at Veloxis Pharmaceuticals A/S from 2003 to 2007. Prior to joining Veloxis Pharmaceuticals A/S, Mrs. Sønderbjerg served as Senior Director of Finance and Human Resources at Acadia Pharmaceuticals Inc., a publicly traded biotechnology company, from 1996 to 2003. Prior to her career in biotech, Mrs. Sønderbjerg was the Executive Secretary for the CEO and Board of Directors of Novo Nordisk A/S and PA to leading audit partner in PricewaterhouseCoopers LLP in Denmark. Mrs. Sønderbjerg received a Masters of Arts in International Business Communications from University of Aarhus.</w:t>
      </w:r>
    </w:p>
    <w:p>
      <w:pPr>
        <w:spacing w:after="0" w:line="189" w:lineRule="exact"/>
        <w:rPr>
          <w:sz w:val="20"/>
          <w:szCs w:val="20"/>
          <w:color w:val="auto"/>
        </w:rPr>
      </w:pPr>
    </w:p>
    <w:p>
      <w:pPr>
        <w:ind w:left="140" w:right="20"/>
        <w:spacing w:after="0" w:line="297" w:lineRule="auto"/>
        <w:rPr>
          <w:sz w:val="20"/>
          <w:szCs w:val="20"/>
          <w:color w:val="auto"/>
        </w:rPr>
      </w:pPr>
      <w:r>
        <w:rPr>
          <w:rFonts w:ascii="Arial" w:cs="Arial" w:eastAsia="Arial" w:hAnsi="Arial"/>
          <w:sz w:val="16"/>
          <w:szCs w:val="16"/>
          <w:b w:val="1"/>
          <w:bCs w:val="1"/>
          <w:color w:val="auto"/>
        </w:rPr>
        <w:t xml:space="preserve">Kennett Sprogøe, Ph.D. </w:t>
      </w:r>
      <w:r>
        <w:rPr>
          <w:rFonts w:ascii="Arial" w:cs="Arial" w:eastAsia="Arial" w:hAnsi="Arial"/>
          <w:sz w:val="16"/>
          <w:szCs w:val="16"/>
          <w:color w:val="auto"/>
        </w:rPr>
        <w:t>has held positions of increasing responsibility at Ascendis Pharma since December 2007, including serving as our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Head of Innovation and Research since 2019, Senior Vice President of Product Innovation since January 2016 and Vice President Product Innovation since June 2014. Prior to joining Ascendis, Dr. Sprogøe conducted research at the University of Copenhagen, where he applied novel hyphenated screening technologies to expedite discovery of drug leads from natural sources. Dr. Sprogøe holds a Ph.D. in Natural Products Chemistry from the University of Copenhagen and a M.Sc. in Pharmacy from the Danish University of Pharmaceutical Sciences.</w:t>
      </w:r>
    </w:p>
    <w:p>
      <w:pPr>
        <w:spacing w:after="0" w:line="153"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b w:val="1"/>
          <w:bCs w:val="1"/>
          <w:color w:val="auto"/>
        </w:rPr>
        <w:t xml:space="preserve">Birgitte Volck, M.D., Ph.D. </w:t>
      </w:r>
      <w:r>
        <w:rPr>
          <w:rFonts w:ascii="Arial" w:cs="Arial" w:eastAsia="Arial" w:hAnsi="Arial"/>
          <w:sz w:val="17"/>
          <w:szCs w:val="17"/>
          <w:color w:val="auto"/>
        </w:rPr>
        <w:t>has served as our Senior Vice President and Head of Clinical Development and Medical Affairs, Endocrinology Rare</w:t>
      </w:r>
      <w:r>
        <w:rPr>
          <w:rFonts w:ascii="Arial" w:cs="Arial" w:eastAsia="Arial" w:hAnsi="Arial"/>
          <w:sz w:val="17"/>
          <w:szCs w:val="17"/>
          <w:b w:val="1"/>
          <w:bCs w:val="1"/>
          <w:color w:val="auto"/>
        </w:rPr>
        <w:t xml:space="preserve"> </w:t>
      </w:r>
      <w:r>
        <w:rPr>
          <w:rFonts w:ascii="Arial" w:cs="Arial" w:eastAsia="Arial" w:hAnsi="Arial"/>
          <w:sz w:val="17"/>
          <w:szCs w:val="17"/>
          <w:color w:val="auto"/>
        </w:rPr>
        <w:t>Diseases, since July 2021. She previously served as a member of our board of directors since May 2016. Dr. Volck served as the President of Research and Development at Avrobio Inc., a clinical-stage biotechnology company, from December 2017 to October 2020. From June 2016 to August 2018, Dr. Volck served as head of Research and Development, Rare Diseases for GlaxoSmithKline plc, a pharmaceutical company. From 2012 to 2016, Dr. Volck served as the Chief Medical Officer and Senior Vice President of Development at Swedish Orphan Biovitrum AB, a biopharmaceutical company. From 2007 to 2012, Dr. Volck held various positions at Amgen Inc., a biopharmaceutical company, including Executive Development Director, Bone, Neuroscience &amp; Inflammation. Prior to Amgen, from 2004 to 2007, Dr. Volck served as Nordic Medical Director and Project Director at Genzyme A/S, a biotechnology company. From 2001 to 2004, Dr. Volck served as Head of Clinical Development and Medical Affairs at Pharmexa, a biotechnology company. Since June 2019, Dr. Volck has served as a non-executive director at Soleno Therapeutics, Inc., a clinical-stage biopharmaceutical company. Since May 2021, Dr. Volck has served as a non-executive director at Nykode AS (formerly Vaccibody AS), a clinical-stage biopharmaceutical company. From May 2017 to June 2018, Dr. Volck served as a non-executive director for Wilson Therapeutics AB, a biotechnology company. From May 2016 to April 2019, Dr. Volck has served as a director for TFS International, a clinical research organization. Dr. Volck received her M.D. and Ph.D. degrees from Copenhagen University, Denmark.</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85"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table below provides certain information regarding the diversity of our board of directors.</w:t>
      </w: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Diversity Matrix (As of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-127635</wp:posOffset>
            </wp:positionV>
            <wp:extent cx="6979285" cy="20243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79285" cy="2024380"/>
                    </a:xfrm>
                    <a:prstGeom prst="rect">
                      <a:avLst/>
                    </a:prstGeom>
                    <a:noFill/>
                  </pic:spPr>
                </pic:pic>
              </a:graphicData>
            </a:graphic>
          </wp:anchor>
        </w:drawing>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209"/>
        </w:trPr>
        <w:tc>
          <w:tcPr>
            <w:tcW w:w="616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Country of Principal Executive Offices</w:t>
            </w:r>
          </w:p>
        </w:tc>
        <w:tc>
          <w:tcPr>
            <w:tcW w:w="11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Denmark</w:t>
            </w:r>
          </w:p>
        </w:tc>
        <w:tc>
          <w:tcPr>
            <w:tcW w:w="10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r>
      <w:tr>
        <w:trPr>
          <w:trHeight w:val="209"/>
        </w:trPr>
        <w:tc>
          <w:tcPr>
            <w:tcW w:w="6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Foreign Private Issuer</w:t>
            </w: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6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Disclosure Prohibited under Home Country Law</w:t>
            </w: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6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Total Number of Directors</w:t>
            </w: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90"/>
        </w:trPr>
        <w:tc>
          <w:tcPr>
            <w:tcW w:w="6160" w:type="dxa"/>
            <w:vAlign w:val="bottom"/>
            <w:tcBorders>
              <w:right w:val="single" w:sz="8" w:color="auto"/>
            </w:tcBorders>
            <w:shd w:val="clear" w:color="auto" w:fill="D8D8D8"/>
          </w:tcPr>
          <w:p>
            <w:pPr>
              <w:spacing w:after="0"/>
              <w:rPr>
                <w:sz w:val="16"/>
                <w:szCs w:val="16"/>
                <w:color w:val="auto"/>
              </w:rPr>
            </w:pPr>
          </w:p>
        </w:tc>
        <w:tc>
          <w:tcPr>
            <w:tcW w:w="1100" w:type="dxa"/>
            <w:vAlign w:val="bottom"/>
            <w:tcBorders>
              <w:right w:val="single" w:sz="8" w:color="auto"/>
            </w:tcBorders>
            <w:shd w:val="clear" w:color="auto" w:fill="D8D8D8"/>
          </w:tcPr>
          <w:p>
            <w:pPr>
              <w:ind w:left="300"/>
              <w:spacing w:after="0" w:line="190" w:lineRule="exact"/>
              <w:rPr>
                <w:sz w:val="20"/>
                <w:szCs w:val="20"/>
                <w:color w:val="auto"/>
              </w:rPr>
            </w:pPr>
            <w:r>
              <w:rPr>
                <w:rFonts w:ascii="Arial" w:cs="Arial" w:eastAsia="Arial" w:hAnsi="Arial"/>
                <w:sz w:val="18"/>
                <w:szCs w:val="18"/>
                <w:b w:val="1"/>
                <w:bCs w:val="1"/>
                <w:color w:val="auto"/>
              </w:rPr>
              <w:t>Female</w:t>
            </w:r>
          </w:p>
        </w:tc>
        <w:tc>
          <w:tcPr>
            <w:tcW w:w="1080" w:type="dxa"/>
            <w:vAlign w:val="bottom"/>
            <w:shd w:val="clear" w:color="auto" w:fill="D8D8D8"/>
          </w:tcPr>
          <w:p>
            <w:pPr>
              <w:jc w:val="center"/>
              <w:ind w:left="210"/>
              <w:spacing w:after="0" w:line="190" w:lineRule="exact"/>
              <w:rPr>
                <w:sz w:val="20"/>
                <w:szCs w:val="20"/>
                <w:color w:val="auto"/>
              </w:rPr>
            </w:pPr>
            <w:r>
              <w:rPr>
                <w:rFonts w:ascii="Arial" w:cs="Arial" w:eastAsia="Arial" w:hAnsi="Arial"/>
                <w:sz w:val="18"/>
                <w:szCs w:val="18"/>
                <w:b w:val="1"/>
                <w:bCs w:val="1"/>
                <w:color w:val="auto"/>
                <w:w w:val="94"/>
              </w:rPr>
              <w:t>Male</w:t>
            </w:r>
          </w:p>
        </w:tc>
        <w:tc>
          <w:tcPr>
            <w:tcW w:w="240" w:type="dxa"/>
            <w:vAlign w:val="bottom"/>
            <w:tcBorders>
              <w:right w:val="single" w:sz="8" w:color="auto"/>
            </w:tcBorders>
            <w:shd w:val="clear" w:color="auto" w:fill="D8D8D8"/>
          </w:tcPr>
          <w:p>
            <w:pPr>
              <w:spacing w:after="0"/>
              <w:rPr>
                <w:sz w:val="16"/>
                <w:szCs w:val="16"/>
                <w:color w:val="auto"/>
              </w:rPr>
            </w:pPr>
          </w:p>
        </w:tc>
        <w:tc>
          <w:tcPr>
            <w:tcW w:w="1200" w:type="dxa"/>
            <w:vAlign w:val="bottom"/>
            <w:tcBorders>
              <w:right w:val="single" w:sz="8" w:color="auto"/>
            </w:tcBorders>
            <w:shd w:val="clear" w:color="auto" w:fill="D8D8D8"/>
          </w:tcPr>
          <w:p>
            <w:pPr>
              <w:jc w:val="center"/>
              <w:spacing w:after="0" w:line="190" w:lineRule="exact"/>
              <w:rPr>
                <w:sz w:val="20"/>
                <w:szCs w:val="20"/>
                <w:color w:val="auto"/>
              </w:rPr>
            </w:pPr>
            <w:r>
              <w:rPr>
                <w:rFonts w:ascii="Arial" w:cs="Arial" w:eastAsia="Arial" w:hAnsi="Arial"/>
                <w:sz w:val="18"/>
                <w:szCs w:val="18"/>
                <w:b w:val="1"/>
                <w:bCs w:val="1"/>
                <w:color w:val="auto"/>
                <w:w w:val="92"/>
              </w:rPr>
              <w:t>Non-</w:t>
            </w:r>
          </w:p>
        </w:tc>
        <w:tc>
          <w:tcPr>
            <w:tcW w:w="1200" w:type="dxa"/>
            <w:vAlign w:val="bottom"/>
            <w:shd w:val="clear" w:color="auto" w:fill="D8D8D8"/>
          </w:tcPr>
          <w:p>
            <w:pPr>
              <w:jc w:val="center"/>
              <w:spacing w:after="0" w:line="190" w:lineRule="exact"/>
              <w:rPr>
                <w:sz w:val="20"/>
                <w:szCs w:val="20"/>
                <w:color w:val="auto"/>
              </w:rPr>
            </w:pPr>
            <w:r>
              <w:rPr>
                <w:rFonts w:ascii="Arial" w:cs="Arial" w:eastAsia="Arial" w:hAnsi="Arial"/>
                <w:sz w:val="18"/>
                <w:szCs w:val="18"/>
                <w:b w:val="1"/>
                <w:bCs w:val="1"/>
                <w:color w:val="auto"/>
                <w:w w:val="96"/>
              </w:rPr>
              <w:t>Did Not</w:t>
            </w:r>
          </w:p>
        </w:tc>
        <w:tc>
          <w:tcPr>
            <w:tcW w:w="20" w:type="dxa"/>
            <w:vAlign w:val="bottom"/>
          </w:tcPr>
          <w:p>
            <w:pPr>
              <w:spacing w:after="0"/>
              <w:rPr>
                <w:sz w:val="16"/>
                <w:szCs w:val="16"/>
                <w:color w:val="auto"/>
              </w:rPr>
            </w:pPr>
          </w:p>
        </w:tc>
      </w:tr>
      <w:tr>
        <w:trPr>
          <w:trHeight w:val="215"/>
        </w:trPr>
        <w:tc>
          <w:tcPr>
            <w:tcW w:w="6160" w:type="dxa"/>
            <w:vAlign w:val="bottom"/>
            <w:tcBorders>
              <w:right w:val="single" w:sz="8" w:color="auto"/>
            </w:tcBorders>
            <w:shd w:val="clear" w:color="auto" w:fill="D8D8D8"/>
          </w:tcPr>
          <w:p>
            <w:pPr>
              <w:spacing w:after="0"/>
              <w:rPr>
                <w:sz w:val="18"/>
                <w:szCs w:val="18"/>
                <w:color w:val="auto"/>
              </w:rPr>
            </w:pPr>
          </w:p>
        </w:tc>
        <w:tc>
          <w:tcPr>
            <w:tcW w:w="1100" w:type="dxa"/>
            <w:vAlign w:val="bottom"/>
            <w:tcBorders>
              <w:right w:val="single" w:sz="8" w:color="auto"/>
            </w:tcBorders>
            <w:shd w:val="clear" w:color="auto" w:fill="D8D8D8"/>
          </w:tcPr>
          <w:p>
            <w:pPr>
              <w:spacing w:after="0"/>
              <w:rPr>
                <w:sz w:val="18"/>
                <w:szCs w:val="18"/>
                <w:color w:val="auto"/>
              </w:rPr>
            </w:pPr>
          </w:p>
        </w:tc>
        <w:tc>
          <w:tcPr>
            <w:tcW w:w="1080" w:type="dxa"/>
            <w:vAlign w:val="bottom"/>
            <w:shd w:val="clear" w:color="auto" w:fill="D8D8D8"/>
          </w:tcPr>
          <w:p>
            <w:pPr>
              <w:spacing w:after="0"/>
              <w:rPr>
                <w:sz w:val="18"/>
                <w:szCs w:val="18"/>
                <w:color w:val="auto"/>
              </w:rPr>
            </w:pPr>
          </w:p>
        </w:tc>
        <w:tc>
          <w:tcPr>
            <w:tcW w:w="240" w:type="dxa"/>
            <w:vAlign w:val="bottom"/>
            <w:tcBorders>
              <w:right w:val="single" w:sz="8" w:color="auto"/>
            </w:tcBorders>
            <w:shd w:val="clear" w:color="auto" w:fill="D8D8D8"/>
          </w:tcPr>
          <w:p>
            <w:pPr>
              <w:spacing w:after="0"/>
              <w:rPr>
                <w:sz w:val="18"/>
                <w:szCs w:val="18"/>
                <w:color w:val="auto"/>
              </w:rPr>
            </w:pPr>
          </w:p>
        </w:tc>
        <w:tc>
          <w:tcPr>
            <w:tcW w:w="120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2"/>
              </w:rPr>
              <w:t>Binary</w:t>
            </w:r>
          </w:p>
        </w:tc>
        <w:tc>
          <w:tcPr>
            <w:tcW w:w="1200" w:type="dxa"/>
            <w:vAlign w:val="bottom"/>
            <w:shd w:val="clear" w:color="auto" w:fill="D8D8D8"/>
          </w:tcPr>
          <w:p>
            <w:pPr>
              <w:jc w:val="center"/>
              <w:spacing w:after="0"/>
              <w:rPr>
                <w:sz w:val="20"/>
                <w:szCs w:val="20"/>
                <w:color w:val="auto"/>
              </w:rPr>
            </w:pPr>
            <w:r>
              <w:rPr>
                <w:rFonts w:ascii="Arial" w:cs="Arial" w:eastAsia="Arial" w:hAnsi="Arial"/>
                <w:sz w:val="18"/>
                <w:szCs w:val="18"/>
                <w:b w:val="1"/>
                <w:bCs w:val="1"/>
                <w:color w:val="auto"/>
                <w:w w:val="83"/>
              </w:rPr>
              <w:t>Disclose</w:t>
            </w:r>
          </w:p>
        </w:tc>
        <w:tc>
          <w:tcPr>
            <w:tcW w:w="20" w:type="dxa"/>
            <w:vAlign w:val="bottom"/>
          </w:tcPr>
          <w:p>
            <w:pPr>
              <w:spacing w:after="0"/>
              <w:rPr>
                <w:sz w:val="18"/>
                <w:szCs w:val="18"/>
                <w:color w:val="auto"/>
              </w:rPr>
            </w:pPr>
          </w:p>
        </w:tc>
      </w:tr>
      <w:tr>
        <w:trPr>
          <w:trHeight w:val="234"/>
        </w:trPr>
        <w:tc>
          <w:tcPr>
            <w:tcW w:w="6160" w:type="dxa"/>
            <w:vAlign w:val="bottom"/>
            <w:tcBorders>
              <w:bottom w:val="single" w:sz="8" w:color="auto"/>
              <w:right w:val="single" w:sz="8" w:color="auto"/>
            </w:tcBorders>
            <w:shd w:val="clear" w:color="auto" w:fill="D8D8D8"/>
          </w:tcPr>
          <w:p>
            <w:pPr>
              <w:spacing w:after="0"/>
              <w:rPr>
                <w:sz w:val="20"/>
                <w:szCs w:val="20"/>
                <w:color w:val="auto"/>
              </w:rPr>
            </w:pPr>
          </w:p>
        </w:tc>
        <w:tc>
          <w:tcPr>
            <w:tcW w:w="1100" w:type="dxa"/>
            <w:vAlign w:val="bottom"/>
            <w:tcBorders>
              <w:bottom w:val="single" w:sz="8" w:color="auto"/>
              <w:right w:val="single" w:sz="8" w:color="auto"/>
            </w:tcBorders>
            <w:shd w:val="clear" w:color="auto" w:fill="D8D8D8"/>
          </w:tcPr>
          <w:p>
            <w:pPr>
              <w:spacing w:after="0"/>
              <w:rPr>
                <w:sz w:val="20"/>
                <w:szCs w:val="20"/>
                <w:color w:val="auto"/>
              </w:rPr>
            </w:pPr>
          </w:p>
        </w:tc>
        <w:tc>
          <w:tcPr>
            <w:tcW w:w="1080" w:type="dxa"/>
            <w:vAlign w:val="bottom"/>
            <w:tcBorders>
              <w:bottom w:val="single" w:sz="8" w:color="auto"/>
            </w:tcBorders>
            <w:shd w:val="clear" w:color="auto" w:fill="D8D8D8"/>
          </w:tcPr>
          <w:p>
            <w:pPr>
              <w:spacing w:after="0"/>
              <w:rPr>
                <w:sz w:val="20"/>
                <w:szCs w:val="20"/>
                <w:color w:val="auto"/>
              </w:rPr>
            </w:pPr>
          </w:p>
        </w:tc>
        <w:tc>
          <w:tcPr>
            <w:tcW w:w="240" w:type="dxa"/>
            <w:vAlign w:val="bottom"/>
            <w:tcBorders>
              <w:bottom w:val="single" w:sz="8" w:color="auto"/>
              <w:right w:val="single" w:sz="8" w:color="auto"/>
            </w:tcBorders>
            <w:shd w:val="clear" w:color="auto" w:fill="D8D8D8"/>
          </w:tcPr>
          <w:p>
            <w:pPr>
              <w:spacing w:after="0"/>
              <w:rPr>
                <w:sz w:val="20"/>
                <w:szCs w:val="20"/>
                <w:color w:val="auto"/>
              </w:rPr>
            </w:pPr>
          </w:p>
        </w:tc>
        <w:tc>
          <w:tcPr>
            <w:tcW w:w="1200" w:type="dxa"/>
            <w:vAlign w:val="bottom"/>
            <w:tcBorders>
              <w:bottom w:val="single" w:sz="8" w:color="auto"/>
              <w:right w:val="single" w:sz="8" w:color="auto"/>
            </w:tcBorders>
            <w:shd w:val="clear" w:color="auto" w:fill="D8D8D8"/>
          </w:tcPr>
          <w:p>
            <w:pPr>
              <w:spacing w:after="0"/>
              <w:rPr>
                <w:sz w:val="20"/>
                <w:szCs w:val="20"/>
                <w:color w:val="auto"/>
              </w:rPr>
            </w:pPr>
          </w:p>
        </w:tc>
        <w:tc>
          <w:tcPr>
            <w:tcW w:w="12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1"/>
              </w:rPr>
              <w:t>Gender</w:t>
            </w:r>
          </w:p>
        </w:tc>
        <w:tc>
          <w:tcPr>
            <w:tcW w:w="20" w:type="dxa"/>
            <w:vAlign w:val="bottom"/>
            <w:tcBorders>
              <w:bottom w:val="single" w:sz="8" w:color="auto"/>
            </w:tcBorders>
          </w:tcPr>
          <w:p>
            <w:pPr>
              <w:spacing w:after="0"/>
              <w:rPr>
                <w:sz w:val="20"/>
                <w:szCs w:val="20"/>
                <w:color w:val="auto"/>
              </w:rPr>
            </w:pPr>
          </w:p>
        </w:tc>
      </w:tr>
      <w:tr>
        <w:trPr>
          <w:trHeight w:val="209"/>
        </w:trPr>
        <w:tc>
          <w:tcPr>
            <w:tcW w:w="6160" w:type="dxa"/>
            <w:vAlign w:val="bottom"/>
            <w:tcBorders>
              <w:bottom w:val="single" w:sz="8" w:color="auto"/>
              <w:right w:val="single" w:sz="8" w:color="auto"/>
            </w:tcBorders>
            <w:shd w:val="clear" w:color="auto" w:fill="D8D8D8"/>
          </w:tcPr>
          <w:p>
            <w:pPr>
              <w:ind w:left="160"/>
              <w:spacing w:after="0"/>
              <w:rPr>
                <w:sz w:val="20"/>
                <w:szCs w:val="20"/>
                <w:color w:val="auto"/>
              </w:rPr>
            </w:pPr>
            <w:r>
              <w:rPr>
                <w:rFonts w:ascii="Arial" w:cs="Arial" w:eastAsia="Arial" w:hAnsi="Arial"/>
                <w:sz w:val="18"/>
                <w:szCs w:val="18"/>
                <w:b w:val="1"/>
                <w:bCs w:val="1"/>
                <w:color w:val="auto"/>
              </w:rPr>
              <w:t>Part I: Gender Identity</w:t>
            </w:r>
          </w:p>
        </w:tc>
        <w:tc>
          <w:tcPr>
            <w:tcW w:w="1100" w:type="dxa"/>
            <w:vAlign w:val="bottom"/>
            <w:tcBorders>
              <w:bottom w:val="single" w:sz="8" w:color="auto"/>
              <w:right w:val="single" w:sz="8" w:color="D8D8D8"/>
            </w:tcBorders>
            <w:shd w:val="clear" w:color="auto" w:fill="D8D8D8"/>
          </w:tcPr>
          <w:p>
            <w:pPr>
              <w:spacing w:after="0"/>
              <w:rPr>
                <w:sz w:val="18"/>
                <w:szCs w:val="18"/>
                <w:color w:val="auto"/>
              </w:rPr>
            </w:pPr>
          </w:p>
        </w:tc>
        <w:tc>
          <w:tcPr>
            <w:tcW w:w="1080" w:type="dxa"/>
            <w:vAlign w:val="bottom"/>
            <w:tcBorders>
              <w:bottom w:val="single" w:sz="8" w:color="auto"/>
            </w:tcBorders>
            <w:shd w:val="clear" w:color="auto" w:fill="D8D8D8"/>
          </w:tcPr>
          <w:p>
            <w:pPr>
              <w:spacing w:after="0"/>
              <w:rPr>
                <w:sz w:val="18"/>
                <w:szCs w:val="18"/>
                <w:color w:val="auto"/>
              </w:rPr>
            </w:pPr>
          </w:p>
        </w:tc>
        <w:tc>
          <w:tcPr>
            <w:tcW w:w="240" w:type="dxa"/>
            <w:vAlign w:val="bottom"/>
            <w:tcBorders>
              <w:bottom w:val="single" w:sz="8" w:color="auto"/>
              <w:right w:val="single" w:sz="8" w:color="D8D8D8"/>
            </w:tcBorders>
            <w:shd w:val="clear" w:color="auto" w:fill="D8D8D8"/>
          </w:tcPr>
          <w:p>
            <w:pPr>
              <w:spacing w:after="0"/>
              <w:rPr>
                <w:sz w:val="18"/>
                <w:szCs w:val="18"/>
                <w:color w:val="auto"/>
              </w:rPr>
            </w:pPr>
          </w:p>
        </w:tc>
        <w:tc>
          <w:tcPr>
            <w:tcW w:w="1200" w:type="dxa"/>
            <w:vAlign w:val="bottom"/>
            <w:tcBorders>
              <w:bottom w:val="single" w:sz="8" w:color="auto"/>
              <w:right w:val="single" w:sz="8" w:color="D8D8D8"/>
            </w:tcBorders>
            <w:shd w:val="clear" w:color="auto" w:fill="D8D8D8"/>
          </w:tcPr>
          <w:p>
            <w:pPr>
              <w:spacing w:after="0"/>
              <w:rPr>
                <w:sz w:val="18"/>
                <w:szCs w:val="18"/>
                <w:color w:val="auto"/>
              </w:rPr>
            </w:pPr>
          </w:p>
        </w:tc>
        <w:tc>
          <w:tcPr>
            <w:tcW w:w="1200" w:type="dxa"/>
            <w:vAlign w:val="bottom"/>
            <w:tcBorders>
              <w:bottom w:val="single" w:sz="8" w:color="auto"/>
            </w:tcBorders>
            <w:shd w:val="clear" w:color="auto" w:fill="D8D8D8"/>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6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Directors</w:t>
            </w:r>
          </w:p>
        </w:tc>
        <w:tc>
          <w:tcPr>
            <w:tcW w:w="110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Borders>
              <w:bottom w:val="single" w:sz="8" w:color="auto"/>
            </w:tcBorders>
            <w:shd w:val="clear" w:color="auto" w:fill="000000"/>
          </w:tcPr>
          <w:p>
            <w:pPr>
              <w:spacing w:after="0"/>
              <w:rPr>
                <w:sz w:val="18"/>
                <w:szCs w:val="18"/>
                <w:color w:val="auto"/>
              </w:rPr>
            </w:pPr>
          </w:p>
        </w:tc>
      </w:tr>
      <w:tr>
        <w:trPr>
          <w:trHeight w:val="209"/>
        </w:trPr>
        <w:tc>
          <w:tcPr>
            <w:tcW w:w="6160" w:type="dxa"/>
            <w:vAlign w:val="bottom"/>
            <w:tcBorders>
              <w:bottom w:val="single" w:sz="8" w:color="auto"/>
              <w:right w:val="single" w:sz="8" w:color="D8D8D8"/>
            </w:tcBorders>
            <w:shd w:val="clear" w:color="auto" w:fill="D8D8D8"/>
          </w:tcPr>
          <w:p>
            <w:pPr>
              <w:ind w:left="160"/>
              <w:spacing w:after="0"/>
              <w:rPr>
                <w:sz w:val="20"/>
                <w:szCs w:val="20"/>
                <w:color w:val="auto"/>
              </w:rPr>
            </w:pPr>
            <w:r>
              <w:rPr>
                <w:rFonts w:ascii="Arial" w:cs="Arial" w:eastAsia="Arial" w:hAnsi="Arial"/>
                <w:sz w:val="18"/>
                <w:szCs w:val="18"/>
                <w:b w:val="1"/>
                <w:bCs w:val="1"/>
                <w:color w:val="auto"/>
              </w:rPr>
              <w:t>Part II: Demographic Background</w:t>
            </w:r>
          </w:p>
        </w:tc>
        <w:tc>
          <w:tcPr>
            <w:tcW w:w="1100" w:type="dxa"/>
            <w:vAlign w:val="bottom"/>
            <w:tcBorders>
              <w:bottom w:val="single" w:sz="8" w:color="auto"/>
              <w:right w:val="single" w:sz="8" w:color="D8D8D8"/>
            </w:tcBorders>
            <w:shd w:val="clear" w:color="auto" w:fill="D8D8D8"/>
          </w:tcPr>
          <w:p>
            <w:pPr>
              <w:spacing w:after="0"/>
              <w:rPr>
                <w:sz w:val="18"/>
                <w:szCs w:val="18"/>
                <w:color w:val="auto"/>
              </w:rPr>
            </w:pPr>
          </w:p>
        </w:tc>
        <w:tc>
          <w:tcPr>
            <w:tcW w:w="1080" w:type="dxa"/>
            <w:vAlign w:val="bottom"/>
            <w:tcBorders>
              <w:bottom w:val="single" w:sz="8" w:color="auto"/>
            </w:tcBorders>
            <w:shd w:val="clear" w:color="auto" w:fill="D8D8D8"/>
          </w:tcPr>
          <w:p>
            <w:pPr>
              <w:spacing w:after="0"/>
              <w:rPr>
                <w:sz w:val="18"/>
                <w:szCs w:val="18"/>
                <w:color w:val="auto"/>
              </w:rPr>
            </w:pPr>
          </w:p>
        </w:tc>
        <w:tc>
          <w:tcPr>
            <w:tcW w:w="240" w:type="dxa"/>
            <w:vAlign w:val="bottom"/>
            <w:tcBorders>
              <w:bottom w:val="single" w:sz="8" w:color="auto"/>
              <w:right w:val="single" w:sz="8" w:color="D8D8D8"/>
            </w:tcBorders>
            <w:shd w:val="clear" w:color="auto" w:fill="D8D8D8"/>
          </w:tcPr>
          <w:p>
            <w:pPr>
              <w:spacing w:after="0"/>
              <w:rPr>
                <w:sz w:val="18"/>
                <w:szCs w:val="18"/>
                <w:color w:val="auto"/>
              </w:rPr>
            </w:pPr>
          </w:p>
        </w:tc>
        <w:tc>
          <w:tcPr>
            <w:tcW w:w="1200" w:type="dxa"/>
            <w:vAlign w:val="bottom"/>
            <w:tcBorders>
              <w:bottom w:val="single" w:sz="8" w:color="auto"/>
              <w:right w:val="single" w:sz="8" w:color="D8D8D8"/>
            </w:tcBorders>
            <w:shd w:val="clear" w:color="auto" w:fill="D8D8D8"/>
          </w:tcPr>
          <w:p>
            <w:pPr>
              <w:spacing w:after="0"/>
              <w:rPr>
                <w:sz w:val="18"/>
                <w:szCs w:val="18"/>
                <w:color w:val="auto"/>
              </w:rPr>
            </w:pPr>
          </w:p>
        </w:tc>
        <w:tc>
          <w:tcPr>
            <w:tcW w:w="1200" w:type="dxa"/>
            <w:vAlign w:val="bottom"/>
            <w:tcBorders>
              <w:bottom w:val="single" w:sz="8" w:color="auto"/>
            </w:tcBorders>
            <w:shd w:val="clear" w:color="auto" w:fill="D8D8D8"/>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9"/>
        </w:trPr>
        <w:tc>
          <w:tcPr>
            <w:tcW w:w="6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Underrepresented Individual in Home Country</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9"/>
        </w:trPr>
        <w:tc>
          <w:tcPr>
            <w:tcW w:w="6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LGBTQ+</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9"/>
        </w:trPr>
        <w:tc>
          <w:tcPr>
            <w:tcW w:w="6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Did Not Disclose Demographic Background</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345"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18"/>
          <w:szCs w:val="18"/>
          <w:b w:val="1"/>
          <w:bCs w:val="1"/>
          <w:color w:val="auto"/>
        </w:rPr>
        <w:t>B.</w:t>
        <w:tab/>
        <w:t>Compensation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Compensation of Members of Our Board of Directors and Senior Management</w:t>
      </w:r>
    </w:p>
    <w:p>
      <w:pPr>
        <w:spacing w:after="0" w:line="116" w:lineRule="exact"/>
        <w:rPr>
          <w:sz w:val="20"/>
          <w:szCs w:val="20"/>
          <w:color w:val="auto"/>
        </w:rPr>
      </w:pPr>
    </w:p>
    <w:p>
      <w:pPr>
        <w:ind w:left="140" w:right="220"/>
        <w:spacing w:after="0" w:line="283" w:lineRule="auto"/>
        <w:rPr>
          <w:sz w:val="20"/>
          <w:szCs w:val="20"/>
          <w:color w:val="auto"/>
        </w:rPr>
      </w:pPr>
      <w:r>
        <w:rPr>
          <w:rFonts w:ascii="Arial" w:cs="Arial" w:eastAsia="Arial" w:hAnsi="Arial"/>
          <w:sz w:val="16"/>
          <w:szCs w:val="16"/>
          <w:color w:val="auto"/>
        </w:rPr>
        <w:t>During 2021, Dr. Cha received board fees in the amount of €65,514 for his membership on our board and €19,396 for his tenure on the remuneration committee and the nominating and corporate governance committee, Dr. Healy received €42,463 for his membership on our board and €18,255 for his tenure on the nominating and corporate governance committee and the audit committee, Ms. Volck received €21,075 for her membership on our board and €2,108 for her tenure on the nominating and corporate governance committee, which reflected her partial year of service on our board, Ms. Bright received €42,150 for her membership on our board and €14,753 for her tenure on the audit committee and the remuneration committee, Mr. Holtug received €42,150 for his membership on our board and €23,183 for his tenure on the audit committee and the remuneration committee, and</w:t>
      </w:r>
    </w:p>
    <w:p>
      <w:pPr>
        <w:spacing w:after="0" w:line="4" w:lineRule="exact"/>
        <w:rPr>
          <w:sz w:val="20"/>
          <w:szCs w:val="20"/>
          <w:color w:val="auto"/>
        </w:rPr>
      </w:pPr>
    </w:p>
    <w:p>
      <w:pPr>
        <w:ind w:left="140" w:right="80"/>
        <w:spacing w:after="0" w:line="254" w:lineRule="auto"/>
        <w:rPr>
          <w:sz w:val="20"/>
          <w:szCs w:val="20"/>
          <w:color w:val="auto"/>
        </w:rPr>
      </w:pPr>
      <w:r>
        <w:rPr>
          <w:rFonts w:ascii="Arial" w:cs="Arial" w:eastAsia="Arial" w:hAnsi="Arial"/>
          <w:sz w:val="18"/>
          <w:szCs w:val="18"/>
          <w:color w:val="auto"/>
        </w:rPr>
        <w:t>Dr. Tordjman received €5,040 for her membership on our board, which reflected her partial year of service on our board. Neither Messrs. Michael Wolff Jensen nor Mikkelsen received any compensation in respect of their service on the board. Their compensation under our senior management compensation program is described below.</w:t>
      </w:r>
    </w:p>
    <w:p>
      <w:pPr>
        <w:spacing w:after="0" w:line="189" w:lineRule="exact"/>
        <w:rPr>
          <w:sz w:val="20"/>
          <w:szCs w:val="20"/>
          <w:color w:val="auto"/>
        </w:rPr>
      </w:pPr>
    </w:p>
    <w:p>
      <w:pPr>
        <w:jc w:val="both"/>
        <w:ind w:left="140" w:right="100"/>
        <w:spacing w:after="0" w:line="285" w:lineRule="auto"/>
        <w:rPr>
          <w:sz w:val="20"/>
          <w:szCs w:val="20"/>
          <w:color w:val="auto"/>
        </w:rPr>
      </w:pPr>
      <w:r>
        <w:rPr>
          <w:rFonts w:ascii="Arial" w:cs="Arial" w:eastAsia="Arial" w:hAnsi="Arial"/>
          <w:sz w:val="17"/>
          <w:szCs w:val="17"/>
          <w:color w:val="auto"/>
        </w:rPr>
        <w:t>On December 9, 2021, Dr. Cha, Dr. Healy, Ms. Bright and Mr. Holtug were each granted 3,053 warrants, and Dr. Tordjman was granted 9,160 warrants, in each case with an exercise price per share of $139.65 (€123.4639) and an expiration date of December 9, 2031. The aggregate grant date fair value of the warrants granted to our board members in 2021 for their services as board members was €661,224.</w:t>
      </w:r>
    </w:p>
    <w:p>
      <w:pPr>
        <w:spacing w:after="0" w:line="165" w:lineRule="exact"/>
        <w:rPr>
          <w:sz w:val="20"/>
          <w:szCs w:val="20"/>
          <w:color w:val="auto"/>
        </w:rPr>
      </w:pPr>
    </w:p>
    <w:p>
      <w:pPr>
        <w:ind w:left="140" w:right="220"/>
        <w:spacing w:after="0" w:line="275" w:lineRule="auto"/>
        <w:rPr>
          <w:sz w:val="20"/>
          <w:szCs w:val="20"/>
          <w:color w:val="auto"/>
        </w:rPr>
      </w:pPr>
      <w:r>
        <w:rPr>
          <w:rFonts w:ascii="Arial" w:cs="Arial" w:eastAsia="Arial" w:hAnsi="Arial"/>
          <w:sz w:val="18"/>
          <w:szCs w:val="18"/>
          <w:color w:val="auto"/>
        </w:rPr>
        <w:t>On December 9, 2021, Dr. Cha, Dr. Healy, Ms. Bright and Mr. Holtug were each granted 1,338 RSUs. The aggregate grant date fair value of the RSUs granted to our board members in 2021 for their services as board members was €660,758.</w:t>
      </w:r>
    </w:p>
    <w:p>
      <w:pPr>
        <w:spacing w:after="0" w:line="171" w:lineRule="exact"/>
        <w:rPr>
          <w:sz w:val="20"/>
          <w:szCs w:val="20"/>
          <w:color w:val="auto"/>
        </w:rPr>
      </w:pPr>
    </w:p>
    <w:p>
      <w:pPr>
        <w:ind w:left="140" w:right="100"/>
        <w:spacing w:after="0" w:line="253" w:lineRule="auto"/>
        <w:rPr>
          <w:sz w:val="20"/>
          <w:szCs w:val="20"/>
          <w:color w:val="auto"/>
        </w:rPr>
      </w:pPr>
      <w:r>
        <w:rPr>
          <w:rFonts w:ascii="Arial" w:cs="Arial" w:eastAsia="Arial" w:hAnsi="Arial"/>
          <w:sz w:val="18"/>
          <w:szCs w:val="18"/>
          <w:color w:val="auto"/>
        </w:rPr>
        <w:t>The primary objective of our senior management’s compensation program is to attract, motivate, reward and retain the managerial talent needed to achieve our business objectives. In addition, the compensation program is intended to compensate all employees at competitive market rates, while recognizing extraordinary accomplishments. Compensation arrangements for our senior management have been designed to align a portion of their compensation with the achievement of our business objectives and growth strategy. Bonus payments for our senior management are determined with respect to a given year based on quantitative and qualitative goals set for our Company as a whole, as well as on an individual basis. Once the results of the year are known, bonus payments are determined at the discretion of our board and, with respect to senior management reporting to the CEO, in light of recommendations made by the CEO.</w:t>
      </w:r>
    </w:p>
    <w:p>
      <w:pPr>
        <w:spacing w:after="0" w:line="195" w:lineRule="exact"/>
        <w:rPr>
          <w:sz w:val="20"/>
          <w:szCs w:val="20"/>
          <w:color w:val="auto"/>
        </w:rPr>
      </w:pPr>
    </w:p>
    <w:p>
      <w:pPr>
        <w:jc w:val="both"/>
        <w:ind w:left="140" w:right="80"/>
        <w:spacing w:after="0" w:line="310" w:lineRule="auto"/>
        <w:rPr>
          <w:sz w:val="20"/>
          <w:szCs w:val="20"/>
          <w:color w:val="auto"/>
        </w:rPr>
      </w:pPr>
      <w:r>
        <w:rPr>
          <w:rFonts w:ascii="Arial" w:cs="Arial" w:eastAsia="Arial" w:hAnsi="Arial"/>
          <w:sz w:val="16"/>
          <w:szCs w:val="16"/>
          <w:color w:val="auto"/>
        </w:rPr>
        <w:t>The aggregate compensation paid to our senior management who were employed by our company during 2021, consisting of Messrs. Mikkelsen, Smith, M. Jensen, Rasmussen, F. Jensen, and Høiland, Ms. Sønderbjerg and Drs. Sprogøe, Okkels, Punnonen, Breinholt, Pizzuti, Volck and Mark Bach for the fiscal year ended December 31, 2021 was approximately €32.2 million. Mr. Bach served as a member of our senior management until June 2021.</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85"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left="140" w:right="460"/>
        <w:spacing w:after="0" w:line="258" w:lineRule="auto"/>
        <w:rPr>
          <w:sz w:val="20"/>
          <w:szCs w:val="20"/>
          <w:color w:val="auto"/>
        </w:rPr>
      </w:pPr>
      <w:r>
        <w:rPr>
          <w:rFonts w:ascii="Arial" w:cs="Arial" w:eastAsia="Arial" w:hAnsi="Arial"/>
          <w:sz w:val="18"/>
          <w:szCs w:val="18"/>
          <w:color w:val="auto"/>
        </w:rPr>
        <w:t>This amount consists of: (i) short-term employee benefits including salary and other in-kind benefits of approximately €5.1 million, (ii) bonuses of €3.1 million, (iii) share-based payments of approximately €23.7 million, and (iv) post-employment and other benefits of €0.3 million. Share-based payments reflect the 2021 expenses of warrants and RSUs granted in or before 2021. During 2021, the board made the following warrant grants to members of our senior management who were employed by our company during 2021:</w:t>
      </w:r>
    </w:p>
    <w:p>
      <w:pPr>
        <w:spacing w:after="0" w:line="19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Award Expiration</w:t>
            </w:r>
          </w:p>
        </w:tc>
        <w:tc>
          <w:tcPr>
            <w:tcW w:w="0" w:type="dxa"/>
            <w:vAlign w:val="bottom"/>
          </w:tcPr>
          <w:p>
            <w:pPr>
              <w:spacing w:after="0"/>
              <w:rPr>
                <w:sz w:val="1"/>
                <w:szCs w:val="1"/>
                <w:color w:val="auto"/>
              </w:rPr>
            </w:pPr>
          </w:p>
        </w:tc>
      </w:tr>
      <w:tr>
        <w:trPr>
          <w:trHeight w:val="148"/>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12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1"/>
              </w:rPr>
              <w:t>Subject to</w:t>
            </w:r>
          </w:p>
        </w:tc>
        <w:tc>
          <w:tcPr>
            <w:tcW w:w="1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Award Exercise Price(s)</w:t>
            </w: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Awards Granted</w:t>
            </w:r>
          </w:p>
        </w:tc>
        <w:tc>
          <w:tcPr>
            <w:tcW w:w="1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9"/>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Birgitte Volck</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July 13, 2021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$124.52</w:t>
            </w:r>
          </w:p>
        </w:tc>
        <w:tc>
          <w:tcPr>
            <w:tcW w:w="10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(€105.1334)</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July 13, 2031</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Birgitte Volck</w:t>
            </w: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7,252</w:t>
            </w:r>
          </w:p>
        </w:tc>
        <w:tc>
          <w:tcPr>
            <w:tcW w:w="26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Vibeke Miller Breinholt</w:t>
            </w:r>
          </w:p>
        </w:tc>
        <w:tc>
          <w:tcPr>
            <w:tcW w:w="1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Dana Pizzuti</w:t>
            </w: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Jesper Høiland</w:t>
            </w:r>
          </w:p>
        </w:tc>
        <w:tc>
          <w:tcPr>
            <w:tcW w:w="1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Sigurd Okkels</w:t>
            </w: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Juha Punnonen</w:t>
            </w:r>
          </w:p>
        </w:tc>
        <w:tc>
          <w:tcPr>
            <w:tcW w:w="1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Jan Møller Mikkelsen</w:t>
            </w: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69,466</w:t>
            </w:r>
          </w:p>
        </w:tc>
        <w:tc>
          <w:tcPr>
            <w:tcW w:w="26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Scott T. Smith</w:t>
            </w:r>
          </w:p>
        </w:tc>
        <w:tc>
          <w:tcPr>
            <w:tcW w:w="1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Michael Wolff Jensen</w:t>
            </w: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Lotte Sønderbjerg</w:t>
            </w:r>
          </w:p>
        </w:tc>
        <w:tc>
          <w:tcPr>
            <w:tcW w:w="1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Flemming Steen Jensen</w:t>
            </w: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Kennett Sprogøe</w:t>
            </w:r>
          </w:p>
        </w:tc>
        <w:tc>
          <w:tcPr>
            <w:tcW w:w="1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Peter Rasmussen</w:t>
            </w: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December 9, 2021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3,053</w:t>
            </w:r>
          </w:p>
        </w:tc>
        <w:tc>
          <w:tcPr>
            <w:tcW w:w="26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w w:val="95"/>
              </w:rPr>
              <w:t>$139.65</w:t>
            </w:r>
          </w:p>
        </w:tc>
        <w:tc>
          <w:tcPr>
            <w:tcW w:w="1060" w:type="dxa"/>
            <w:vAlign w:val="bottom"/>
          </w:tcPr>
          <w:p>
            <w:pPr>
              <w:ind w:left="180"/>
              <w:spacing w:after="0"/>
              <w:rPr>
                <w:sz w:val="20"/>
                <w:szCs w:val="20"/>
                <w:color w:val="auto"/>
              </w:rPr>
            </w:pPr>
            <w:r>
              <w:rPr>
                <w:rFonts w:ascii="Arial" w:cs="Arial" w:eastAsia="Arial" w:hAnsi="Arial"/>
                <w:sz w:val="18"/>
                <w:szCs w:val="18"/>
                <w:color w:val="auto"/>
                <w:w w:val="88"/>
              </w:rPr>
              <w:t>(€123.4637)</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December 9, 2031</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40" w:right="280"/>
        <w:spacing w:after="0" w:line="285" w:lineRule="auto"/>
        <w:rPr>
          <w:sz w:val="20"/>
          <w:szCs w:val="20"/>
          <w:color w:val="auto"/>
        </w:rPr>
      </w:pPr>
      <w:r>
        <w:rPr>
          <w:rFonts w:ascii="Arial" w:cs="Arial" w:eastAsia="Arial" w:hAnsi="Arial"/>
          <w:sz w:val="17"/>
          <w:szCs w:val="17"/>
          <w:color w:val="auto"/>
        </w:rPr>
        <w:t>On December 9, 2021, Mr. Mikkelsen was granted 30,437 RSUs, Drs. Sprogøe, Okkels, Punnonen, Breinholt, and Pizzuti, Messrs. Smith, M. Jensen, F. Jensen, Høiland, and Ms. Sønderbjerg were each granted 6,355 RSUs, Dr. Volck was granted 3,178 RSUs and Mr. Rasmussen was granted 1,338 RSUs. The aggregate grant date fair value of the RSUs granted to our senior management in 2021 was €12,161,180.</w:t>
      </w:r>
    </w:p>
    <w:p>
      <w:pPr>
        <w:spacing w:after="0" w:line="165" w:lineRule="exact"/>
        <w:rPr>
          <w:sz w:val="20"/>
          <w:szCs w:val="20"/>
          <w:color w:val="auto"/>
        </w:rPr>
      </w:pPr>
    </w:p>
    <w:p>
      <w:pPr>
        <w:ind w:left="140" w:right="100"/>
        <w:spacing w:after="0" w:line="275" w:lineRule="auto"/>
        <w:rPr>
          <w:sz w:val="20"/>
          <w:szCs w:val="20"/>
          <w:color w:val="auto"/>
        </w:rPr>
      </w:pPr>
      <w:r>
        <w:rPr>
          <w:rFonts w:ascii="Arial" w:cs="Arial" w:eastAsia="Arial" w:hAnsi="Arial"/>
          <w:sz w:val="18"/>
          <w:szCs w:val="18"/>
          <w:color w:val="auto"/>
        </w:rPr>
        <w:t>The total amount set aside or accrued by us to provide pension, retirement or similar benefits for the members of our board of directors and members of senior management for the year ended December 31, 2021 was €0.</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Senior Management Agreements</w:t>
      </w:r>
    </w:p>
    <w:p>
      <w:pPr>
        <w:spacing w:after="0" w:line="116" w:lineRule="exact"/>
        <w:rPr>
          <w:sz w:val="20"/>
          <w:szCs w:val="20"/>
          <w:color w:val="auto"/>
        </w:rPr>
      </w:pPr>
    </w:p>
    <w:p>
      <w:pPr>
        <w:ind w:left="140" w:right="220"/>
        <w:spacing w:after="0" w:line="295" w:lineRule="auto"/>
        <w:rPr>
          <w:sz w:val="20"/>
          <w:szCs w:val="20"/>
          <w:color w:val="auto"/>
        </w:rPr>
      </w:pPr>
      <w:r>
        <w:rPr>
          <w:rFonts w:ascii="Arial" w:cs="Arial" w:eastAsia="Arial" w:hAnsi="Arial"/>
          <w:sz w:val="16"/>
          <w:szCs w:val="16"/>
          <w:color w:val="auto"/>
        </w:rPr>
        <w:t>We have entered into employment or service agreements with our senior management. The employment agreement with Mr. Mikkelsen contains a termination notice period of six months for a termination by Mr. Mikkelsen and twelve months for a termination by us. It also provides that during the 12-month period following a change of control (“change in control period”), we may only terminate Mr. Mikkelsen’s employment with 18 months’ notice. In addition, if during the change in control period, the position and responsibilities of Mr. Mikkelsen are changed (excluding insignificant changes), Mr. Mikkelsen will be entitled to regard his employment as having been terminated by us with twelve months’ notice.</w:t>
      </w:r>
    </w:p>
    <w:p>
      <w:pPr>
        <w:spacing w:after="0" w:line="161" w:lineRule="exact"/>
        <w:rPr>
          <w:sz w:val="20"/>
          <w:szCs w:val="20"/>
          <w:color w:val="auto"/>
        </w:rPr>
      </w:pPr>
    </w:p>
    <w:p>
      <w:pPr>
        <w:ind w:left="140" w:right="40"/>
        <w:spacing w:after="0" w:line="292" w:lineRule="auto"/>
        <w:rPr>
          <w:sz w:val="20"/>
          <w:szCs w:val="20"/>
          <w:color w:val="auto"/>
        </w:rPr>
      </w:pPr>
      <w:r>
        <w:rPr>
          <w:rFonts w:ascii="Arial" w:cs="Arial" w:eastAsia="Arial" w:hAnsi="Arial"/>
          <w:sz w:val="16"/>
          <w:szCs w:val="16"/>
          <w:color w:val="auto"/>
        </w:rPr>
        <w:t>The agreements with Messrs. M. Jensen and F. Jensen and Ms. Lotte Sønderbjerg contain a termination notice period of three months for a termination by the employee and six months for a termination by us (except that in the case of Ms. Sønderbjerg, the notice period may be no less than the notice required pursuant to the rules of the Danish Salaried Employees Act with the addition of two months). The agreement with Mr. Rasmussen contains a termination notice period of one month for a termination by the employee and three months for a termination by us (except that the notice period may be no less than the notice required pursuant to the rules of the Danish Salaried Employees Act). The agreement with Dr. Sprogøe contains a termination notice period of one month for a termination by the employee and six months for a termination by us. The agreements with Drs. Okkels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85"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80"/>
        <w:spacing w:after="0" w:line="256" w:lineRule="auto"/>
        <w:rPr>
          <w:sz w:val="20"/>
          <w:szCs w:val="20"/>
          <w:color w:val="auto"/>
        </w:rPr>
      </w:pPr>
      <w:r>
        <w:rPr>
          <w:rFonts w:ascii="Arial" w:cs="Arial" w:eastAsia="Arial" w:hAnsi="Arial"/>
          <w:sz w:val="18"/>
          <w:szCs w:val="18"/>
          <w:color w:val="auto"/>
        </w:rPr>
        <w:t>Breinholt provide that the notice period may be no less than the notice required pursuant to the rules of the Danish Salaried Employees Act, which is at any time mutually extended by both parties with two months’ notice to the end of a month, provided that the executive may terminate with one month’s notice in the case of certain conditions related to sickness. The agreements with certain of the foregoing senior management contain post-termination non-competition covenants that generally may last for a period of twelve months post-termination and entitle the executives to their base salary, or portion thereof, during the period.</w:t>
      </w:r>
    </w:p>
    <w:p>
      <w:pPr>
        <w:spacing w:after="0" w:line="188" w:lineRule="exact"/>
        <w:rPr>
          <w:sz w:val="20"/>
          <w:szCs w:val="20"/>
          <w:color w:val="auto"/>
        </w:rPr>
      </w:pPr>
    </w:p>
    <w:p>
      <w:pPr>
        <w:ind w:left="140"/>
        <w:spacing w:after="0" w:line="283" w:lineRule="auto"/>
        <w:rPr>
          <w:sz w:val="20"/>
          <w:szCs w:val="20"/>
          <w:color w:val="auto"/>
        </w:rPr>
      </w:pPr>
      <w:r>
        <w:rPr>
          <w:rFonts w:ascii="Arial" w:cs="Arial" w:eastAsia="Arial" w:hAnsi="Arial"/>
          <w:sz w:val="16"/>
          <w:szCs w:val="16"/>
          <w:color w:val="auto"/>
        </w:rPr>
        <w:t>The agreements with Messrs. Høiland and Smith and Drs. Pizzuti and Punnonen provide that their employment is at-will and may be terminated by either the executive or us at any time, provided that all the agreements other than the agreement with Mr. Smith contain a termination notice period of 60 days for a termination by the executive. However, the agreements with Messrs. Høiland and Smith and Dr. Pizzuti provide that in the event the executive is terminated by us without “cause” or he or she resigns for “good reason” (each, as defined in the agreements), the executive will be eligible to receive continued base salary during a certain severance period following termination and continued healthcare coverage until up to the end of the month in which the severance period ends. Such severance period commences on the date of termination and ends as follows for each executive: for Mr. Høiland, the later of the first anniversary of the effective date of his employment agreement or the six-month anniversary of the date of termination; for</w:t>
      </w:r>
    </w:p>
    <w:p>
      <w:pPr>
        <w:spacing w:after="0" w:line="3" w:lineRule="exact"/>
        <w:rPr>
          <w:sz w:val="20"/>
          <w:szCs w:val="20"/>
          <w:color w:val="auto"/>
        </w:rPr>
      </w:pPr>
    </w:p>
    <w:p>
      <w:pPr>
        <w:ind w:left="140"/>
        <w:spacing w:after="0" w:line="252" w:lineRule="auto"/>
        <w:rPr>
          <w:sz w:val="20"/>
          <w:szCs w:val="20"/>
          <w:color w:val="auto"/>
        </w:rPr>
      </w:pPr>
      <w:r>
        <w:rPr>
          <w:rFonts w:ascii="Arial" w:cs="Arial" w:eastAsia="Arial" w:hAnsi="Arial"/>
          <w:sz w:val="18"/>
          <w:szCs w:val="18"/>
          <w:color w:val="auto"/>
        </w:rPr>
        <w:t>Mr. Smith, the six-month anniversary of the date of termination; and for Dr. Pizzuti, the six-month anniversary of the date of termination. In addition, for each of the executives, in the event of the executive’s termination due to disability, he or she will be eligible to receive continued base salary and healthcare coverage for 120 days following termination, and in the event of his or her death, we will pay his or her estate a lump sum amount equal to three months of his or her base salary.</w:t>
      </w:r>
    </w:p>
    <w:p>
      <w:pPr>
        <w:spacing w:after="0" w:line="30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Warrant Incentive Program</w:t>
      </w:r>
    </w:p>
    <w:p>
      <w:pPr>
        <w:spacing w:after="0" w:line="116" w:lineRule="exact"/>
        <w:rPr>
          <w:sz w:val="20"/>
          <w:szCs w:val="20"/>
          <w:color w:val="auto"/>
        </w:rPr>
      </w:pPr>
    </w:p>
    <w:p>
      <w:pPr>
        <w:ind w:left="140"/>
        <w:spacing w:after="0" w:line="272" w:lineRule="auto"/>
        <w:rPr>
          <w:sz w:val="20"/>
          <w:szCs w:val="20"/>
          <w:color w:val="auto"/>
        </w:rPr>
      </w:pPr>
      <w:r>
        <w:rPr>
          <w:rFonts w:ascii="Arial" w:cs="Arial" w:eastAsia="Arial" w:hAnsi="Arial"/>
          <w:sz w:val="17"/>
          <w:szCs w:val="17"/>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Our board of directors is authorized to issue an additional 1,316,588 warrants in the period ending May 27, 2026.</w:t>
      </w:r>
    </w:p>
    <w:p>
      <w:pPr>
        <w:spacing w:after="0" w:line="177"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w:t>
      </w:r>
    </w:p>
    <w:p>
      <w:pPr>
        <w:spacing w:after="0" w:line="183" w:lineRule="exact"/>
        <w:rPr>
          <w:sz w:val="20"/>
          <w:szCs w:val="20"/>
          <w:color w:val="auto"/>
        </w:rPr>
      </w:pPr>
    </w:p>
    <w:p>
      <w:pPr>
        <w:ind w:left="140" w:right="40"/>
        <w:spacing w:after="0" w:line="290" w:lineRule="auto"/>
        <w:rPr>
          <w:sz w:val="20"/>
          <w:szCs w:val="20"/>
          <w:color w:val="auto"/>
        </w:rPr>
      </w:pPr>
      <w:r>
        <w:rPr>
          <w:rFonts w:ascii="Arial" w:cs="Arial" w:eastAsia="Arial" w:hAnsi="Arial"/>
          <w:sz w:val="16"/>
          <w:szCs w:val="16"/>
          <w:color w:val="auto"/>
        </w:rPr>
        <w:t>Subject to earlier vesting upon the occurrence of certain exit events, warrants granted under the program as in effect between December 18, 2015 and December 9, 2021 generally vest 1/48th per month from the date of grant subject to continued service for employees, consultants and initial grants to board members and 1/24th per month from the date of grant subject to continued service for subsequent grants to board members. Warrants granted under the program as in effect between December 2012 and December 18, 2015 generally vest 1/48th per month from the date of grant subject to continued service.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66" w:lineRule="exact"/>
        <w:rPr>
          <w:sz w:val="20"/>
          <w:szCs w:val="20"/>
          <w:color w:val="auto"/>
        </w:rPr>
      </w:pPr>
    </w:p>
    <w:p>
      <w:pPr>
        <w:ind w:left="140" w:right="300"/>
        <w:spacing w:after="0" w:line="275" w:lineRule="auto"/>
        <w:rPr>
          <w:sz w:val="20"/>
          <w:szCs w:val="20"/>
          <w:color w:val="auto"/>
        </w:rPr>
      </w:pPr>
      <w:r>
        <w:rPr>
          <w:rFonts w:ascii="Arial" w:cs="Arial" w:eastAsia="Arial" w:hAnsi="Arial"/>
          <w:sz w:val="18"/>
          <w:szCs w:val="18"/>
          <w:color w:val="auto"/>
        </w:rPr>
        <w:t>Subject to earlier vesting upon the occurrence of certain exit events, for warrants granted under the program as in effect since December 9, 2021, the following applies:</w:t>
      </w:r>
    </w:p>
    <w:p>
      <w:pPr>
        <w:spacing w:after="0" w:line="64" w:lineRule="exact"/>
        <w:rPr>
          <w:sz w:val="20"/>
          <w:szCs w:val="20"/>
          <w:color w:val="auto"/>
        </w:rPr>
      </w:pPr>
    </w:p>
    <w:p>
      <w:pPr>
        <w:ind w:left="140"/>
        <w:spacing w:after="0" w:line="290" w:lineRule="auto"/>
        <w:rPr>
          <w:sz w:val="20"/>
          <w:szCs w:val="20"/>
          <w:color w:val="auto"/>
        </w:rPr>
      </w:pPr>
      <w:r>
        <w:rPr>
          <w:rFonts w:ascii="Arial" w:cs="Arial" w:eastAsia="Arial" w:hAnsi="Arial"/>
          <w:sz w:val="16"/>
          <w:szCs w:val="16"/>
          <w:color w:val="auto"/>
        </w:rPr>
        <w:t>25% of the warrants granted to employees and consultants generally vest one year after the time of grant, and the remaining 75% of the warrants granted generally vest with 1/36 per month from one year after the time of grant. As regards warrants which board members are granted in connection with appointment, 25% of the warrants granted generally vest one year after the time of the grant (the initial grant after the board member’s accession), and the remaining 75% of the warrants granted generally vest with 1/36 per month from one year after the time of the grant. Regarding any subsequent grants of warrants to board members (“Subsequent Warrants”) 50% of the Subsequent Warrants generally vest one year after the time of such subsequent grant and the remaining 50% of the Subsequent Warrants shall generally vest with 1/12 per month from one year after the time of such subsequent grant. Warrants will generally cease vesting upon termination of service with respect to employees, consultants and board members.</w:t>
      </w:r>
    </w:p>
    <w:p>
      <w:pPr>
        <w:spacing w:after="0" w:line="166"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Vested warrants may be exercised during certain exercise periods each year. For 351,181 outstanding warrants, granted in the period 2012 to 2014, there are two annual exercise periods that continue for 21 days from and including the day after the publication of (i) the annual report notification—or if such notification is not published—the annual report and (ii) our interim report (six-month report). For these warrants, the last exercise period is 21 days from and including the day after the publication of our interim report for the first half of 2023. For 49,638 outstanding warrants granted in connection with our preference D financing, there are four annual exercise periods that continue for 21 days following the day of publication of (i) our interim report (three-month report); (ii) the annual report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85"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60"/>
        <w:spacing w:after="0" w:line="295" w:lineRule="auto"/>
        <w:rPr>
          <w:sz w:val="20"/>
          <w:szCs w:val="20"/>
          <w:color w:val="auto"/>
        </w:rPr>
      </w:pPr>
      <w:r>
        <w:rPr>
          <w:rFonts w:ascii="Arial" w:cs="Arial" w:eastAsia="Arial" w:hAnsi="Arial"/>
          <w:sz w:val="16"/>
          <w:szCs w:val="16"/>
          <w:color w:val="auto"/>
        </w:rPr>
        <w:t>notification—or if such notification is not published—the annual report; (iii) our interim report (six-month report); and (iv) our interim report (nine-month report). For these warrants, the last exercise period is 21 days following the publication of our interim report (nine-month report) in 2023. For 6,684,254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161" w:lineRule="exact"/>
        <w:rPr>
          <w:sz w:val="20"/>
          <w:szCs w:val="20"/>
          <w:color w:val="auto"/>
        </w:rPr>
      </w:pPr>
    </w:p>
    <w:p>
      <w:pPr>
        <w:ind w:left="140" w:right="520"/>
        <w:spacing w:after="0" w:line="340" w:lineRule="auto"/>
        <w:rPr>
          <w:sz w:val="20"/>
          <w:szCs w:val="20"/>
          <w:color w:val="auto"/>
        </w:rPr>
      </w:pPr>
      <w:r>
        <w:rPr>
          <w:rFonts w:ascii="Arial" w:cs="Arial" w:eastAsia="Arial" w:hAnsi="Arial"/>
          <w:sz w:val="16"/>
          <w:szCs w:val="16"/>
          <w:color w:val="auto"/>
        </w:rPr>
        <w:t>The table below sets forth information regarding outstanding warrants held by those members of our board of directors and senior management who, assuming the exercise of warrants, beneficially own 1% or more of our total outstanding ordinary shares as of March 1, 2022.</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granted 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outstanding,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8"/>
              </w:rPr>
              <w:t>Award</w:t>
            </w:r>
          </w:p>
        </w:tc>
        <w:tc>
          <w:tcPr>
            <w:tcW w:w="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granted</w:t>
            </w:r>
          </w:p>
        </w:tc>
        <w:tc>
          <w:tcPr>
            <w:tcW w:w="14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but unvested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640" w:type="dxa"/>
            <w:vAlign w:val="bottom"/>
            <w:vMerge w:val="restart"/>
          </w:tcPr>
          <w:p>
            <w:pPr>
              <w:jc w:val="right"/>
              <w:ind w:right="2012"/>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144"/>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and</w:t>
            </w:r>
          </w:p>
        </w:tc>
        <w:tc>
          <w:tcPr>
            <w:tcW w:w="1020" w:type="dxa"/>
            <w:vAlign w:val="bottom"/>
            <w:gridSpan w:val="2"/>
          </w:tcPr>
          <w:p>
            <w:pPr>
              <w:jc w:val="center"/>
              <w:ind w:left="55"/>
              <w:spacing w:after="0" w:line="144" w:lineRule="exact"/>
              <w:rPr>
                <w:sz w:val="20"/>
                <w:szCs w:val="20"/>
                <w:color w:val="auto"/>
              </w:rPr>
            </w:pPr>
            <w:r>
              <w:rPr>
                <w:rFonts w:ascii="Arial" w:cs="Arial" w:eastAsia="Arial" w:hAnsi="Arial"/>
                <w:sz w:val="14"/>
                <w:szCs w:val="14"/>
                <w:b w:val="1"/>
                <w:bCs w:val="1"/>
                <w:color w:val="auto"/>
                <w:w w:val="94"/>
              </w:rPr>
              <w:t>as of March 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3"/>
              <w:spacing w:after="0" w:line="144" w:lineRule="exact"/>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2"/>
                <w:szCs w:val="12"/>
                <w:color w:val="auto"/>
              </w:rPr>
            </w:pPr>
          </w:p>
        </w:tc>
        <w:tc>
          <w:tcPr>
            <w:tcW w:w="4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2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88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w w:val="92"/>
              </w:rPr>
              <w:t>outstanding</w:t>
            </w:r>
          </w:p>
        </w:tc>
        <w:tc>
          <w:tcPr>
            <w:tcW w:w="102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Price(s)</w:t>
            </w:r>
          </w:p>
        </w:tc>
        <w:tc>
          <w:tcPr>
            <w:tcW w:w="140" w:type="dxa"/>
            <w:vAlign w:val="bottom"/>
          </w:tcPr>
          <w:p>
            <w:pPr>
              <w:spacing w:after="0"/>
              <w:rPr>
                <w:sz w:val="15"/>
                <w:szCs w:val="15"/>
                <w:color w:val="auto"/>
              </w:rPr>
            </w:pPr>
          </w:p>
        </w:tc>
        <w:tc>
          <w:tcPr>
            <w:tcW w:w="4640" w:type="dxa"/>
            <w:vAlign w:val="bottom"/>
          </w:tcPr>
          <w:p>
            <w:pPr>
              <w:jc w:val="right"/>
              <w:ind w:right="1732"/>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9"/>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Møller Mikkelsen</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December 3, 2012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279,372</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7.9962</w:t>
            </w:r>
          </w:p>
        </w:tc>
        <w:tc>
          <w:tcPr>
            <w:tcW w:w="14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 days following our interim report (six-month report) in 2023</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2"/>
              </w:rPr>
              <w:t>November 26, 2014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31,624</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6.4775</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w w:val="94"/>
              </w:rPr>
              <w:t>21 days following our interim report (nine-month report) in 2023</w:t>
            </w:r>
          </w:p>
        </w:tc>
        <w:tc>
          <w:tcPr>
            <w:tcW w:w="0" w:type="dxa"/>
            <w:vAlign w:val="bottom"/>
          </w:tcPr>
          <w:p>
            <w:pPr>
              <w:spacing w:after="0"/>
              <w:rPr>
                <w:sz w:val="1"/>
                <w:szCs w:val="1"/>
                <w:color w:val="auto"/>
              </w:rPr>
            </w:pPr>
          </w:p>
        </w:tc>
      </w:tr>
      <w:tr>
        <w:trPr>
          <w:trHeight w:val="215"/>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December 18, 2015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15.6750</w:t>
            </w:r>
          </w:p>
        </w:tc>
        <w:tc>
          <w:tcPr>
            <w:tcW w:w="140" w:type="dxa"/>
            <w:vAlign w:val="bottom"/>
            <w:shd w:val="clear" w:color="auto" w:fill="CCEEFF"/>
          </w:tcPr>
          <w:p>
            <w:pPr>
              <w:spacing w:after="0"/>
              <w:rPr>
                <w:sz w:val="18"/>
                <w:szCs w:val="18"/>
                <w:color w:val="auto"/>
              </w:rPr>
            </w:pP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18, 2025</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2"/>
              </w:rPr>
              <w:t>December 14, 2016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19.4194</w:t>
            </w:r>
          </w:p>
        </w:tc>
        <w:tc>
          <w:tcPr>
            <w:tcW w:w="1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December 14, 2026</w:t>
            </w:r>
          </w:p>
        </w:tc>
        <w:tc>
          <w:tcPr>
            <w:tcW w:w="0" w:type="dxa"/>
            <w:vAlign w:val="bottom"/>
          </w:tcPr>
          <w:p>
            <w:pPr>
              <w:spacing w:after="0"/>
              <w:rPr>
                <w:sz w:val="1"/>
                <w:szCs w:val="1"/>
                <w:color w:val="auto"/>
              </w:rPr>
            </w:pPr>
          </w:p>
        </w:tc>
      </w:tr>
      <w:tr>
        <w:trPr>
          <w:trHeight w:val="215"/>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December 12, 2017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31.5995</w:t>
            </w:r>
          </w:p>
        </w:tc>
        <w:tc>
          <w:tcPr>
            <w:tcW w:w="140" w:type="dxa"/>
            <w:vAlign w:val="bottom"/>
            <w:shd w:val="clear" w:color="auto" w:fill="CCEEFF"/>
          </w:tcPr>
          <w:p>
            <w:pPr>
              <w:spacing w:after="0"/>
              <w:rPr>
                <w:sz w:val="18"/>
                <w:szCs w:val="18"/>
                <w:color w:val="auto"/>
              </w:rPr>
            </w:pP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12, 2027</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2"/>
              </w:rPr>
              <w:t>December 11, 2018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54.6357</w:t>
            </w:r>
          </w:p>
        </w:tc>
        <w:tc>
          <w:tcPr>
            <w:tcW w:w="1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December 11, 2028</w:t>
            </w:r>
          </w:p>
        </w:tc>
        <w:tc>
          <w:tcPr>
            <w:tcW w:w="0" w:type="dxa"/>
            <w:vAlign w:val="bottom"/>
          </w:tcPr>
          <w:p>
            <w:pPr>
              <w:spacing w:after="0"/>
              <w:rPr>
                <w:sz w:val="1"/>
                <w:szCs w:val="1"/>
                <w:color w:val="auto"/>
              </w:rPr>
            </w:pPr>
          </w:p>
        </w:tc>
      </w:tr>
      <w:tr>
        <w:trPr>
          <w:trHeight w:val="215"/>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December 10, 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97.4993</w:t>
            </w:r>
          </w:p>
        </w:tc>
        <w:tc>
          <w:tcPr>
            <w:tcW w:w="140" w:type="dxa"/>
            <w:vAlign w:val="bottom"/>
            <w:shd w:val="clear" w:color="auto" w:fill="CCEEFF"/>
          </w:tcPr>
          <w:p>
            <w:pPr>
              <w:spacing w:after="0"/>
              <w:rPr>
                <w:sz w:val="18"/>
                <w:szCs w:val="18"/>
                <w:color w:val="auto"/>
              </w:rPr>
            </w:pP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10, 2029</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2"/>
              </w:rPr>
              <w:t>December 10, 2020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101,145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71,645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145.5045</w:t>
            </w:r>
          </w:p>
        </w:tc>
        <w:tc>
          <w:tcPr>
            <w:tcW w:w="1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December 10, 2030</w:t>
            </w:r>
          </w:p>
        </w:tc>
        <w:tc>
          <w:tcPr>
            <w:tcW w:w="0" w:type="dxa"/>
            <w:vAlign w:val="bottom"/>
          </w:tcPr>
          <w:p>
            <w:pPr>
              <w:spacing w:after="0"/>
              <w:rPr>
                <w:sz w:val="1"/>
                <w:szCs w:val="1"/>
                <w:color w:val="auto"/>
              </w:rPr>
            </w:pPr>
          </w:p>
        </w:tc>
      </w:tr>
      <w:tr>
        <w:trPr>
          <w:trHeight w:val="215"/>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9, 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123,4637</w:t>
            </w:r>
          </w:p>
        </w:tc>
        <w:tc>
          <w:tcPr>
            <w:tcW w:w="140" w:type="dxa"/>
            <w:vAlign w:val="bottom"/>
            <w:shd w:val="clear" w:color="auto" w:fill="CCEEFF"/>
          </w:tcPr>
          <w:p>
            <w:pPr>
              <w:spacing w:after="0"/>
              <w:rPr>
                <w:sz w:val="18"/>
                <w:szCs w:val="18"/>
                <w:color w:val="auto"/>
              </w:rPr>
            </w:pP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9, 2031</w:t>
            </w:r>
          </w:p>
        </w:tc>
        <w:tc>
          <w:tcPr>
            <w:tcW w:w="0" w:type="dxa"/>
            <w:vAlign w:val="bottom"/>
          </w:tcPr>
          <w:p>
            <w:pPr>
              <w:spacing w:after="0"/>
              <w:rPr>
                <w:sz w:val="1"/>
                <w:szCs w:val="1"/>
                <w:color w:val="auto"/>
              </w:rPr>
            </w:pPr>
          </w:p>
        </w:tc>
      </w:tr>
      <w:tr>
        <w:trPr>
          <w:trHeight w:val="215"/>
        </w:trPr>
        <w:tc>
          <w:tcPr>
            <w:tcW w:w="2120" w:type="dxa"/>
            <w:vAlign w:val="bottom"/>
            <w:gridSpan w:val="2"/>
          </w:tcPr>
          <w:p>
            <w:pPr>
              <w:spacing w:after="0"/>
              <w:rPr>
                <w:sz w:val="20"/>
                <w:szCs w:val="20"/>
                <w:color w:val="auto"/>
              </w:rPr>
            </w:pPr>
            <w:r>
              <w:rPr>
                <w:rFonts w:ascii="Arial" w:cs="Arial" w:eastAsia="Arial" w:hAnsi="Arial"/>
                <w:sz w:val="18"/>
                <w:szCs w:val="18"/>
                <w:color w:val="auto"/>
                <w:w w:val="94"/>
              </w:rPr>
              <w:t>James I. Healy, M.D., Ph.D.</w:t>
            </w:r>
          </w:p>
        </w:tc>
        <w:tc>
          <w:tcPr>
            <w:tcW w:w="1480" w:type="dxa"/>
            <w:vAlign w:val="bottom"/>
          </w:tcPr>
          <w:p>
            <w:pPr>
              <w:jc w:val="right"/>
              <w:spacing w:after="0"/>
              <w:rPr>
                <w:sz w:val="20"/>
                <w:szCs w:val="20"/>
                <w:color w:val="auto"/>
              </w:rPr>
            </w:pPr>
            <w:r>
              <w:rPr>
                <w:rFonts w:ascii="Arial" w:cs="Arial" w:eastAsia="Arial" w:hAnsi="Arial"/>
                <w:sz w:val="18"/>
                <w:szCs w:val="18"/>
                <w:color w:val="auto"/>
                <w:w w:val="92"/>
              </w:rPr>
              <w:t>December 18, 2015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15.6750</w:t>
            </w:r>
          </w:p>
        </w:tc>
        <w:tc>
          <w:tcPr>
            <w:tcW w:w="1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December 18, 2025</w:t>
            </w:r>
          </w:p>
        </w:tc>
        <w:tc>
          <w:tcPr>
            <w:tcW w:w="0" w:type="dxa"/>
            <w:vAlign w:val="bottom"/>
          </w:tcPr>
          <w:p>
            <w:pPr>
              <w:spacing w:after="0"/>
              <w:rPr>
                <w:sz w:val="1"/>
                <w:szCs w:val="1"/>
                <w:color w:val="auto"/>
              </w:rPr>
            </w:pPr>
          </w:p>
        </w:tc>
      </w:tr>
      <w:tr>
        <w:trPr>
          <w:trHeight w:val="215"/>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December 14, 2016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19.4194</w:t>
            </w:r>
          </w:p>
        </w:tc>
        <w:tc>
          <w:tcPr>
            <w:tcW w:w="140" w:type="dxa"/>
            <w:vAlign w:val="bottom"/>
            <w:shd w:val="clear" w:color="auto" w:fill="CCEEFF"/>
          </w:tcPr>
          <w:p>
            <w:pPr>
              <w:spacing w:after="0"/>
              <w:rPr>
                <w:sz w:val="18"/>
                <w:szCs w:val="18"/>
                <w:color w:val="auto"/>
              </w:rPr>
            </w:pP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14, 2026</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2"/>
              </w:rPr>
              <w:t>December 12, 2017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31.5995</w:t>
            </w:r>
          </w:p>
        </w:tc>
        <w:tc>
          <w:tcPr>
            <w:tcW w:w="1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December 12, 2027</w:t>
            </w:r>
          </w:p>
        </w:tc>
        <w:tc>
          <w:tcPr>
            <w:tcW w:w="0" w:type="dxa"/>
            <w:vAlign w:val="bottom"/>
          </w:tcPr>
          <w:p>
            <w:pPr>
              <w:spacing w:after="0"/>
              <w:rPr>
                <w:sz w:val="1"/>
                <w:szCs w:val="1"/>
                <w:color w:val="auto"/>
              </w:rPr>
            </w:pPr>
          </w:p>
        </w:tc>
      </w:tr>
      <w:tr>
        <w:trPr>
          <w:trHeight w:val="215"/>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December 11, 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54.6357</w:t>
            </w:r>
          </w:p>
        </w:tc>
        <w:tc>
          <w:tcPr>
            <w:tcW w:w="140" w:type="dxa"/>
            <w:vAlign w:val="bottom"/>
            <w:shd w:val="clear" w:color="auto" w:fill="CCEEFF"/>
          </w:tcPr>
          <w:p>
            <w:pPr>
              <w:spacing w:after="0"/>
              <w:rPr>
                <w:sz w:val="18"/>
                <w:szCs w:val="18"/>
                <w:color w:val="auto"/>
              </w:rPr>
            </w:pP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11, 2028</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2"/>
              </w:rPr>
              <w:t>December 10, 2019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97.4993</w:t>
            </w:r>
          </w:p>
        </w:tc>
        <w:tc>
          <w:tcPr>
            <w:tcW w:w="1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December 10, 2029</w:t>
            </w:r>
          </w:p>
        </w:tc>
        <w:tc>
          <w:tcPr>
            <w:tcW w:w="0" w:type="dxa"/>
            <w:vAlign w:val="bottom"/>
          </w:tcPr>
          <w:p>
            <w:pPr>
              <w:spacing w:after="0"/>
              <w:rPr>
                <w:sz w:val="1"/>
                <w:szCs w:val="1"/>
                <w:color w:val="auto"/>
              </w:rPr>
            </w:pPr>
          </w:p>
        </w:tc>
      </w:tr>
      <w:tr>
        <w:trPr>
          <w:trHeight w:val="215"/>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December 10, 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145.5045</w:t>
            </w:r>
          </w:p>
        </w:tc>
        <w:tc>
          <w:tcPr>
            <w:tcW w:w="140" w:type="dxa"/>
            <w:vAlign w:val="bottom"/>
            <w:shd w:val="clear" w:color="auto" w:fill="CCEEFF"/>
          </w:tcPr>
          <w:p>
            <w:pPr>
              <w:spacing w:after="0"/>
              <w:rPr>
                <w:sz w:val="18"/>
                <w:szCs w:val="18"/>
                <w:color w:val="auto"/>
              </w:rPr>
            </w:pP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10, 2030</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8"/>
              </w:rPr>
              <w:t>December 9, 2021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123,4637</w:t>
            </w:r>
          </w:p>
        </w:tc>
        <w:tc>
          <w:tcPr>
            <w:tcW w:w="140" w:type="dxa"/>
            <w:vAlign w:val="bottom"/>
          </w:tcPr>
          <w:p>
            <w:pPr>
              <w:spacing w:after="0"/>
              <w:rPr>
                <w:sz w:val="19"/>
                <w:szCs w:val="19"/>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December 9, 2031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RSU Program</w:t>
      </w:r>
    </w:p>
    <w:p>
      <w:pPr>
        <w:spacing w:after="0" w:line="116" w:lineRule="exact"/>
        <w:rPr>
          <w:sz w:val="20"/>
          <w:szCs w:val="20"/>
          <w:color w:val="auto"/>
        </w:rPr>
      </w:pPr>
    </w:p>
    <w:p>
      <w:pPr>
        <w:ind w:left="140" w:right="320"/>
        <w:spacing w:after="0" w:line="258" w:lineRule="auto"/>
        <w:rPr>
          <w:sz w:val="20"/>
          <w:szCs w:val="20"/>
          <w:color w:val="auto"/>
        </w:rPr>
      </w:pPr>
      <w:r>
        <w:rPr>
          <w:rFonts w:ascii="Arial" w:cs="Arial" w:eastAsia="Arial" w:hAnsi="Arial"/>
          <w:sz w:val="18"/>
          <w:szCs w:val="18"/>
          <w:color w:val="auto"/>
        </w:rPr>
        <w:t>In December 2021, we implemented a restricted stock units program. Under this program, Restricted Stock Units (“RSUs”) may be granted to members of the senior management team, non-executive directors and other employees (“Participants”) employed with the company or another company within the company’s group. Our board of directors may also at its sole discretion decide to grant RSUs to consultants or members of our board of directors who are then also deemed Participants.</w:t>
      </w:r>
    </w:p>
    <w:p>
      <w:pPr>
        <w:spacing w:after="0" w:line="186" w:lineRule="exact"/>
        <w:rPr>
          <w:sz w:val="20"/>
          <w:szCs w:val="20"/>
          <w:color w:val="auto"/>
        </w:rPr>
      </w:pPr>
    </w:p>
    <w:p>
      <w:pPr>
        <w:ind w:left="140" w:right="440"/>
        <w:spacing w:after="0" w:line="258" w:lineRule="auto"/>
        <w:rPr>
          <w:sz w:val="20"/>
          <w:szCs w:val="20"/>
          <w:color w:val="auto"/>
        </w:rPr>
      </w:pPr>
      <w:r>
        <w:rPr>
          <w:rFonts w:ascii="Arial" w:cs="Arial" w:eastAsia="Arial" w:hAnsi="Arial"/>
          <w:sz w:val="18"/>
          <w:szCs w:val="18"/>
          <w:color w:val="auto"/>
        </w:rPr>
        <w:t>One RSU represents a right for the Participant to receive one Ascendis Pharma A/S American Depositary Share (“ADS”) upon vesting. One Ascendis Pharma A/S ADS represents one (1) ordinary share in our company with a nominal value of DKK 1.00. ADSs underlying restricted stock units are treasury shares that have been repurchased in the market and, upon vesting, our company may at its sole discretion choose to make a cash settlement instead of delivering ADSs.</w:t>
      </w:r>
    </w:p>
    <w:p>
      <w:pPr>
        <w:spacing w:after="0" w:line="186" w:lineRule="exact"/>
        <w:rPr>
          <w:sz w:val="20"/>
          <w:szCs w:val="20"/>
          <w:color w:val="auto"/>
        </w:rPr>
      </w:pPr>
    </w:p>
    <w:p>
      <w:pPr>
        <w:ind w:left="140" w:right="500"/>
        <w:spacing w:after="0" w:line="275" w:lineRule="auto"/>
        <w:rPr>
          <w:sz w:val="20"/>
          <w:szCs w:val="20"/>
          <w:color w:val="auto"/>
        </w:rPr>
      </w:pPr>
      <w:r>
        <w:rPr>
          <w:rFonts w:ascii="Arial" w:cs="Arial" w:eastAsia="Arial" w:hAnsi="Arial"/>
          <w:sz w:val="18"/>
          <w:szCs w:val="18"/>
          <w:color w:val="auto"/>
        </w:rPr>
        <w:t>Our board of directors may in its sole discretion, at any given point in time, decide to grant RSUs and may at its discretion and on an individual basis decide to deviate from the vesting principles and/or the vesting conditions as set forth in our RSU Program.</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are issued and granted to the Participant free of charge.</w:t>
      </w:r>
    </w:p>
    <w:p>
      <w:pPr>
        <w:spacing w:after="0" w:line="223" w:lineRule="exact"/>
        <w:rPr>
          <w:sz w:val="20"/>
          <w:szCs w:val="20"/>
          <w:color w:val="auto"/>
        </w:rPr>
      </w:pPr>
    </w:p>
    <w:p>
      <w:pPr>
        <w:ind w:left="140" w:right="400"/>
        <w:spacing w:after="0" w:line="300" w:lineRule="auto"/>
        <w:rPr>
          <w:sz w:val="20"/>
          <w:szCs w:val="20"/>
          <w:color w:val="auto"/>
        </w:rPr>
      </w:pPr>
      <w:r>
        <w:rPr>
          <w:rFonts w:ascii="Arial" w:cs="Arial" w:eastAsia="Arial" w:hAnsi="Arial"/>
          <w:sz w:val="16"/>
          <w:szCs w:val="16"/>
          <w:color w:val="auto"/>
        </w:rPr>
        <w:t>It is a condition for vesting that the Participant is still either employed or retained as consultant within our company or another company within our company’s group or appointed as member of the board of directors on the vesting date. Subject to earlier vesting upon the occurrence of certain exit events, for each award of RSUs 1/3 of such RSUs will vest on each anniversary of the date of grant, subject to continued service and, in the case of the RSUs granted to our chief executive officer, subject to the achievement of a performance condition as determined by our board of directors.</w:t>
      </w:r>
    </w:p>
    <w:p>
      <w:pPr>
        <w:spacing w:after="0" w:line="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320" w:top="485"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0"/>
        <w:spacing w:after="0" w:line="262" w:lineRule="auto"/>
        <w:rPr>
          <w:sz w:val="20"/>
          <w:szCs w:val="20"/>
          <w:color w:val="auto"/>
        </w:rPr>
      </w:pPr>
      <w:r>
        <w:rPr>
          <w:rFonts w:ascii="Arial" w:cs="Arial" w:eastAsia="Arial" w:hAnsi="Arial"/>
          <w:sz w:val="18"/>
          <w:szCs w:val="18"/>
          <w:color w:val="auto"/>
        </w:rPr>
        <w:t>On December 9, 2021, our board of directors granted an aggregate of (i) 5,352 restricted stock units to certain non-employee board members of the company, (ii) 104,886 restricted stock units to certain members of senior management of the company, and (iii) 37,910 restricted stock units to certain other employees of our company under the terms of our restricted stock unit program.</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Insurance and Indemnification</w:t>
      </w:r>
    </w:p>
    <w:p>
      <w:pPr>
        <w:spacing w:after="0" w:line="116" w:lineRule="exact"/>
        <w:rPr>
          <w:sz w:val="20"/>
          <w:szCs w:val="20"/>
          <w:color w:val="auto"/>
        </w:rPr>
      </w:pPr>
    </w:p>
    <w:p>
      <w:pPr>
        <w:ind w:left="140" w:right="100"/>
        <w:spacing w:after="0" w:line="258"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our company; however, the general meeting cannot discharge any claims by individual shareholders or other third-parties.</w:t>
      </w:r>
    </w:p>
    <w:p>
      <w:pPr>
        <w:spacing w:after="0" w:line="186" w:lineRule="exact"/>
        <w:rPr>
          <w:sz w:val="20"/>
          <w:szCs w:val="20"/>
          <w:color w:val="auto"/>
        </w:rPr>
      </w:pPr>
    </w:p>
    <w:p>
      <w:pPr>
        <w:ind w:left="140" w:right="80"/>
        <w:spacing w:after="0" w:line="274" w:lineRule="auto"/>
        <w:rPr>
          <w:sz w:val="20"/>
          <w:szCs w:val="20"/>
          <w:color w:val="auto"/>
        </w:rPr>
      </w:pPr>
      <w:r>
        <w:rPr>
          <w:rFonts w:ascii="Arial" w:cs="Arial" w:eastAsia="Arial" w:hAnsi="Arial"/>
          <w:sz w:val="17"/>
          <w:szCs w:val="17"/>
          <w:color w:val="auto"/>
        </w:rPr>
        <w:t>Additionally, we have entered into agreements with our board members and members of our senior management, pursuant to which, subject to limited exceptions, we have agreed to indemnify such board members and members of our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our senior management.</w:t>
      </w:r>
    </w:p>
    <w:p>
      <w:pPr>
        <w:spacing w:after="0" w:line="176" w:lineRule="exact"/>
        <w:rPr>
          <w:sz w:val="20"/>
          <w:szCs w:val="20"/>
          <w:color w:val="auto"/>
        </w:rPr>
      </w:pPr>
    </w:p>
    <w:p>
      <w:pPr>
        <w:ind w:left="140" w:right="100"/>
        <w:spacing w:after="0" w:line="278"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the company, or because the agreement is deemed contrary to the general provisions of the Danish Contracts Act.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223"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Insofar as indemnification of liabilities arising under the Securities Act may be permitted to board members and senior management or persons controlling us pursuant to the foregoing provisions, we have been informed that, in the opinion of the SEC, such indemnification is against public policy as expressed in the Securities Act and is therefore unenforceable.</w:t>
      </w:r>
    </w:p>
    <w:p>
      <w:pPr>
        <w:spacing w:after="0" w:line="327" w:lineRule="exact"/>
        <w:rPr>
          <w:sz w:val="20"/>
          <w:szCs w:val="20"/>
          <w:color w:val="auto"/>
        </w:rPr>
      </w:pPr>
    </w:p>
    <w:p>
      <w:pPr>
        <w:ind w:left="140" w:right="9320" w:hanging="5"/>
        <w:spacing w:after="0" w:line="452" w:lineRule="auto"/>
        <w:tabs>
          <w:tab w:leader="none" w:pos="57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Board Practices Board of Directors</w:t>
      </w:r>
    </w:p>
    <w:p>
      <w:pPr>
        <w:ind w:left="140"/>
        <w:spacing w:after="0" w:line="274" w:lineRule="auto"/>
        <w:rPr>
          <w:sz w:val="20"/>
          <w:szCs w:val="20"/>
          <w:color w:val="auto"/>
        </w:rPr>
      </w:pPr>
      <w:r>
        <w:rPr>
          <w:rFonts w:ascii="Arial" w:cs="Arial" w:eastAsia="Arial" w:hAnsi="Arial"/>
          <w:sz w:val="17"/>
          <w:szCs w:val="17"/>
          <w:color w:val="auto"/>
        </w:rPr>
        <w:t>Our board of directors is responsible for our overall and strategic management and must ensure proper organization of our business. In addition, our board is obligated to ensure that (i) bookkeeping and financial reporting procedures are satisfactory; (ii) adequate risk management and internal control procedures have been established; (iii) our board of directors receives ongoing information as necessary about our financial position; (iv) our executive board performs its duties properly and as directed by our board of directors; and (v) the financial resources of our company are adequate at all times, and that our company has sufficient liquidity to meet its current and future liabilities as they become due.</w:t>
      </w:r>
    </w:p>
    <w:p>
      <w:pPr>
        <w:spacing w:after="0" w:line="176" w:lineRule="exact"/>
        <w:rPr>
          <w:sz w:val="20"/>
          <w:szCs w:val="20"/>
          <w:color w:val="auto"/>
        </w:rPr>
      </w:pPr>
    </w:p>
    <w:p>
      <w:pPr>
        <w:jc w:val="both"/>
        <w:ind w:left="140" w:right="20"/>
        <w:spacing w:after="0" w:line="295" w:lineRule="auto"/>
        <w:rPr>
          <w:sz w:val="20"/>
          <w:szCs w:val="20"/>
          <w:color w:val="auto"/>
        </w:rPr>
      </w:pPr>
      <w:r>
        <w:rPr>
          <w:rFonts w:ascii="Arial" w:cs="Arial" w:eastAsia="Arial" w:hAnsi="Arial"/>
          <w:sz w:val="16"/>
          <w:szCs w:val="16"/>
          <w:color w:val="auto"/>
        </w:rPr>
        <w:t>In performing its duties, our board of directors is required to act in the interests of our company (including our shareholders) and our associated business as a whole. Our board of directors may generally make any decisions in furtherance of our objectives that are not reserved for either the executive board or the shareholders either by virtue of the articles of association or by operation of Danish law. Typical shareholder decisions that our board of directors cannot resolve alone are: changes to the articles of association, elections of board members, elections of auditors, decisions to scrutinize our company’s affairs, capital increases and decreases, payment of dividends, purchase of treasury shares, and decisions to merge, demerge or liquidate our company.</w:t>
      </w:r>
    </w:p>
    <w:p>
      <w:pPr>
        <w:spacing w:after="0" w:line="161"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The general meeting of shareholders must elect no fewer than three and no more than ten members to our board of directors. The board of directors is classified into two classes as nearly equal in number as possible with respect to the duration of the term in which they severally hold office. Such classes consist of one class of directors (“Class I”) who were elected at the annual general meeting held in 2021 for a term expiring at the annual general meeting to be held 2023; and a second class of directors (“Class II”) who were elected at the annual general meeting held in 2020 for a term expiring at the annual general meeting to be held in 2022. The shareholders shall increase or decrease the number of directors, to ensure that the two classes shall be as nearly equal in number as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85"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20"/>
        <w:spacing w:after="0" w:line="262" w:lineRule="auto"/>
        <w:rPr>
          <w:sz w:val="20"/>
          <w:szCs w:val="20"/>
          <w:color w:val="auto"/>
        </w:rPr>
      </w:pPr>
      <w:r>
        <w:rPr>
          <w:rFonts w:ascii="Arial" w:cs="Arial" w:eastAsia="Arial" w:hAnsi="Arial"/>
          <w:sz w:val="18"/>
          <w:szCs w:val="18"/>
          <w:color w:val="auto"/>
        </w:rPr>
        <w:t>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w:t>
      </w:r>
    </w:p>
    <w:p>
      <w:pPr>
        <w:spacing w:after="0" w:line="183" w:lineRule="exact"/>
        <w:rPr>
          <w:sz w:val="20"/>
          <w:szCs w:val="20"/>
          <w:color w:val="auto"/>
        </w:rPr>
      </w:pPr>
    </w:p>
    <w:p>
      <w:pPr>
        <w:ind w:left="140" w:right="240"/>
        <w:spacing w:after="0" w:line="306" w:lineRule="auto"/>
        <w:rPr>
          <w:sz w:val="20"/>
          <w:szCs w:val="20"/>
          <w:color w:val="auto"/>
        </w:rPr>
      </w:pPr>
      <w:r>
        <w:rPr>
          <w:rFonts w:ascii="Arial" w:cs="Arial" w:eastAsia="Arial" w:hAnsi="Arial"/>
          <w:sz w:val="17"/>
          <w:szCs w:val="17"/>
          <w:color w:val="auto"/>
        </w:rPr>
        <w:t>Board members may be dismissed at any time at a general meeting of shareholders. A resolution by the general meeting of shareholders to appoint or dismiss board members requires a simple majority of the votes cast and there is no requirement for a specific quorum.</w:t>
      </w:r>
    </w:p>
    <w:p>
      <w:pPr>
        <w:spacing w:after="0" w:line="147" w:lineRule="exact"/>
        <w:rPr>
          <w:sz w:val="20"/>
          <w:szCs w:val="20"/>
          <w:color w:val="auto"/>
        </w:rPr>
      </w:pPr>
    </w:p>
    <w:p>
      <w:pPr>
        <w:ind w:left="140"/>
        <w:spacing w:after="0" w:line="278" w:lineRule="auto"/>
        <w:rPr>
          <w:sz w:val="20"/>
          <w:szCs w:val="20"/>
          <w:color w:val="auto"/>
        </w:rPr>
      </w:pPr>
      <w:r>
        <w:rPr>
          <w:rFonts w:ascii="Arial" w:cs="Arial" w:eastAsia="Arial" w:hAnsi="Arial"/>
          <w:sz w:val="17"/>
          <w:szCs w:val="17"/>
          <w:color w:val="auto"/>
        </w:rPr>
        <w:t>Under Danish corporate law, employees of companies that have employed at least 35 employees for the preceding three years are entitled to elect members of their board of directors corresponding to one-half of the members of their board of directors elected by the general meeting of shareholders. Board members elected by the employees are elected for terms of four years, and they hold the same rights and obligations as any board member elected by the shareholders. We do not currently have employee representatives on our board of directors.</w:t>
      </w:r>
    </w:p>
    <w:p>
      <w:pPr>
        <w:spacing w:after="0" w:line="170" w:lineRule="exact"/>
        <w:rPr>
          <w:sz w:val="20"/>
          <w:szCs w:val="20"/>
          <w:color w:val="auto"/>
        </w:rPr>
      </w:pPr>
    </w:p>
    <w:p>
      <w:pPr>
        <w:ind w:left="140" w:right="200"/>
        <w:spacing w:after="0" w:line="258" w:lineRule="auto"/>
        <w:rPr>
          <w:sz w:val="20"/>
          <w:szCs w:val="20"/>
          <w:color w:val="auto"/>
        </w:rPr>
      </w:pPr>
      <w:r>
        <w:rPr>
          <w:rFonts w:ascii="Arial" w:cs="Arial" w:eastAsia="Arial" w:hAnsi="Arial"/>
          <w:sz w:val="18"/>
          <w:szCs w:val="18"/>
          <w:color w:val="auto"/>
        </w:rPr>
        <w:t>Our board of directors elects its chairman. Our board of directors forms a quorum when more than half of the members of our board of directors are represented. Resolutions of our board of directors are passed by simple majority. Each board member is entitled to cast one vote. For a complete description of these board governance matters, you should refer to our articles of association, which are incorporated by reference as an exhibit to this annual report.</w:t>
      </w:r>
    </w:p>
    <w:p>
      <w:pPr>
        <w:spacing w:after="0" w:line="186" w:lineRule="exact"/>
        <w:rPr>
          <w:sz w:val="20"/>
          <w:szCs w:val="20"/>
          <w:color w:val="auto"/>
        </w:rPr>
      </w:pPr>
    </w:p>
    <w:p>
      <w:pPr>
        <w:ind w:left="140"/>
        <w:spacing w:after="0" w:line="306" w:lineRule="auto"/>
        <w:rPr>
          <w:sz w:val="20"/>
          <w:szCs w:val="20"/>
          <w:color w:val="auto"/>
        </w:rPr>
      </w:pPr>
      <w:r>
        <w:rPr>
          <w:rFonts w:ascii="Arial" w:cs="Arial" w:eastAsia="Arial" w:hAnsi="Arial"/>
          <w:sz w:val="17"/>
          <w:szCs w:val="17"/>
          <w:color w:val="auto"/>
        </w:rPr>
        <w:t>Our board of directors may also adopt resolutions without a meeting, provided that such resolutions are adopted in writing and submitted to all members of our board of directors and provided that no board member objects to adopting resolutions without conducting a meeting.</w:t>
      </w:r>
    </w:p>
    <w:p>
      <w:pPr>
        <w:spacing w:after="0" w:line="147" w:lineRule="exact"/>
        <w:rPr>
          <w:sz w:val="20"/>
          <w:szCs w:val="20"/>
          <w:color w:val="auto"/>
        </w:rPr>
      </w:pPr>
    </w:p>
    <w:p>
      <w:pPr>
        <w:ind w:left="140" w:right="100"/>
        <w:spacing w:after="0" w:line="290" w:lineRule="auto"/>
        <w:rPr>
          <w:sz w:val="20"/>
          <w:szCs w:val="20"/>
          <w:color w:val="auto"/>
        </w:rPr>
      </w:pPr>
      <w:r>
        <w:rPr>
          <w:rFonts w:ascii="Arial" w:cs="Arial" w:eastAsia="Arial" w:hAnsi="Arial"/>
          <w:sz w:val="16"/>
          <w:szCs w:val="16"/>
          <w:color w:val="auto"/>
        </w:rPr>
        <w:t>As a foreign private issuer, our board of directors is not required to hold regularly scheduled meetings at which only independent board members are present and we intend to comply with home country practices, which do not require executive sessions, in lieu of complying with Nasdaq Rule 5605(b)</w:t>
      </w:r>
    </w:p>
    <w:p>
      <w:pPr>
        <w:ind w:left="140"/>
        <w:spacing w:after="0"/>
        <w:rPr>
          <w:sz w:val="20"/>
          <w:szCs w:val="20"/>
          <w:color w:val="auto"/>
        </w:rPr>
      </w:pPr>
      <w:r>
        <w:rPr>
          <w:rFonts w:ascii="Arial" w:cs="Arial" w:eastAsia="Arial" w:hAnsi="Arial"/>
          <w:sz w:val="18"/>
          <w:szCs w:val="18"/>
          <w:color w:val="auto"/>
        </w:rPr>
        <w:t>(2).</w:t>
      </w:r>
    </w:p>
    <w:p>
      <w:pPr>
        <w:spacing w:after="0" w:line="209" w:lineRule="exact"/>
        <w:rPr>
          <w:sz w:val="20"/>
          <w:szCs w:val="20"/>
          <w:color w:val="auto"/>
        </w:rPr>
      </w:pPr>
    </w:p>
    <w:p>
      <w:pPr>
        <w:ind w:left="140" w:right="420"/>
        <w:spacing w:after="0" w:line="262" w:lineRule="auto"/>
        <w:rPr>
          <w:sz w:val="20"/>
          <w:szCs w:val="20"/>
          <w:color w:val="auto"/>
        </w:rPr>
      </w:pPr>
      <w:r>
        <w:rPr>
          <w:rFonts w:ascii="Arial" w:cs="Arial" w:eastAsia="Arial" w:hAnsi="Arial"/>
          <w:sz w:val="18"/>
          <w:szCs w:val="18"/>
          <w:color w:val="auto"/>
        </w:rPr>
        <w:t>Mr. Mikkelsen is a member of our senior management and a member of our board of directors and has an employment agreement that provides for benefits upon termination of employment in certain circumstances. For information about such agreements, see “Item 6 B. Directors, Senior Management and Employees—Compensation—Senior Management Agreements.”</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Executive Board</w:t>
      </w:r>
    </w:p>
    <w:p>
      <w:pPr>
        <w:spacing w:after="0" w:line="120" w:lineRule="exact"/>
        <w:rPr>
          <w:sz w:val="20"/>
          <w:szCs w:val="20"/>
          <w:color w:val="auto"/>
        </w:rPr>
      </w:pPr>
    </w:p>
    <w:p>
      <w:pPr>
        <w:ind w:left="140" w:right="40"/>
        <w:spacing w:after="0" w:line="274" w:lineRule="auto"/>
        <w:rPr>
          <w:sz w:val="20"/>
          <w:szCs w:val="20"/>
          <w:color w:val="auto"/>
        </w:rPr>
      </w:pPr>
      <w:r>
        <w:rPr>
          <w:rFonts w:ascii="Arial" w:cs="Arial" w:eastAsia="Arial" w:hAnsi="Arial"/>
          <w:sz w:val="17"/>
          <w:szCs w:val="17"/>
          <w:color w:val="auto"/>
        </w:rPr>
        <w:t>Our executive board is in charge of the day-to-day management of our operations and is assisted in this respect by the other members of our senior management. The executive board must follow the guidelines and directions issued by the board of directors. Day-to-day management does not include decisions of an unusual nature or of major importance, having regard to the circumstance. Such decisions may only be made by the executive board if specifically authorized by the board of directors, unless it will cause considerable inconvenience to our company’s activities to wait for authorization by the board of directors. If so, the board of directors must be notified of the decision as soon as possible.</w:t>
      </w:r>
    </w:p>
    <w:p>
      <w:pPr>
        <w:spacing w:after="0" w:line="176" w:lineRule="exact"/>
        <w:rPr>
          <w:sz w:val="20"/>
          <w:szCs w:val="20"/>
          <w:color w:val="auto"/>
        </w:rPr>
      </w:pPr>
    </w:p>
    <w:p>
      <w:pPr>
        <w:ind w:left="140" w:right="100"/>
        <w:spacing w:after="0" w:line="258" w:lineRule="auto"/>
        <w:rPr>
          <w:sz w:val="20"/>
          <w:szCs w:val="20"/>
          <w:color w:val="auto"/>
        </w:rPr>
      </w:pPr>
      <w:r>
        <w:rPr>
          <w:rFonts w:ascii="Arial" w:cs="Arial" w:eastAsia="Arial" w:hAnsi="Arial"/>
          <w:sz w:val="18"/>
          <w:szCs w:val="18"/>
          <w:color w:val="auto"/>
        </w:rPr>
        <w:t>In accordance with the exemption available to foreign private issuers under Nasdaq rules, we do not follow the requirements of the Nasdaq rules with regard to the process of nominating board members, and instead, follow Danish law and practice, in accordance with which our board of directors (or a committee thereof) is authorized to recommend to our shareholders director nominees for election. Under the Danish Companies Act, nominations for directors also may be made upon the request of any shareholder.</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Director Independence</w:t>
      </w:r>
    </w:p>
    <w:p>
      <w:pPr>
        <w:spacing w:after="0" w:line="120" w:lineRule="exact"/>
        <w:rPr>
          <w:sz w:val="20"/>
          <w:szCs w:val="20"/>
          <w:color w:val="auto"/>
        </w:rPr>
      </w:pPr>
    </w:p>
    <w:p>
      <w:pPr>
        <w:ind w:left="140"/>
        <w:spacing w:after="0" w:line="290" w:lineRule="auto"/>
        <w:rPr>
          <w:sz w:val="20"/>
          <w:szCs w:val="20"/>
          <w:color w:val="auto"/>
        </w:rPr>
      </w:pPr>
      <w:r>
        <w:rPr>
          <w:rFonts w:ascii="Arial" w:cs="Arial" w:eastAsia="Arial" w:hAnsi="Arial"/>
          <w:sz w:val="16"/>
          <w:szCs w:val="16"/>
          <w:color w:val="auto"/>
        </w:rPr>
        <w:t>Our board of directors has undertaken a review of the independence of the directors and considered whether any director has a material relationship with us that could compromise their ability to exercise independent judgement in carrying out the responsibilities of a director. As a result of this review, our board of directors determined that Lisa Bright, Albert Cha, M.D., Ph.D., James I. Healy, M.D., Ph.D., Lars Holtug and Rafaèle Tordjman, M.D., Ph.D., representing five of our six directors, are “independent directors” as that term is defined under the applicable rules and regulations of the SEC and the listing requirements and rules of Nasdaq.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85"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0" w:lineRule="exact"/>
        <w:rPr>
          <w:sz w:val="20"/>
          <w:szCs w:val="20"/>
          <w:color w:val="auto"/>
        </w:rPr>
      </w:pPr>
    </w:p>
    <w:p>
      <w:pPr>
        <w:ind w:left="140" w:right="180"/>
        <w:spacing w:after="0" w:line="262" w:lineRule="auto"/>
        <w:rPr>
          <w:sz w:val="20"/>
          <w:szCs w:val="20"/>
          <w:color w:val="auto"/>
        </w:rPr>
      </w:pPr>
      <w:r>
        <w:rPr>
          <w:rFonts w:ascii="Arial" w:cs="Arial" w:eastAsia="Arial" w:hAnsi="Arial"/>
          <w:sz w:val="18"/>
          <w:szCs w:val="18"/>
          <w:color w:val="auto"/>
        </w:rPr>
        <w:t>We have an audit committee, a remuneration committee and a nominating and corporate governance committee. We have adopted a charter for each of these committees. Under Danish corporate law, it is not possible to delegate the decision making authority of the entire board of directors to board committees.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6" w:lineRule="exact"/>
        <w:rPr>
          <w:sz w:val="20"/>
          <w:szCs w:val="20"/>
          <w:color w:val="auto"/>
        </w:rPr>
      </w:pPr>
    </w:p>
    <w:p>
      <w:pPr>
        <w:ind w:left="140" w:right="360"/>
        <w:spacing w:after="0" w:line="290" w:lineRule="auto"/>
        <w:rPr>
          <w:sz w:val="20"/>
          <w:szCs w:val="20"/>
          <w:color w:val="auto"/>
        </w:rPr>
      </w:pPr>
      <w:r>
        <w:rPr>
          <w:rFonts w:ascii="Arial" w:cs="Arial" w:eastAsia="Arial" w:hAnsi="Arial"/>
          <w:sz w:val="16"/>
          <w:szCs w:val="16"/>
          <w:color w:val="auto"/>
        </w:rPr>
        <w:t>Our audit committee consists of Lars Holtug (Chairman), Lisa Bright and James I. Healy, M.D., Ph.D. Each member satisfies the independence requirements of the Nasdaq listing standards, and Lars Holtug qualifies as an “audit committee financial expert,” as defined in Item 16A(b) of Form</w:t>
      </w:r>
    </w:p>
    <w:p>
      <w:pPr>
        <w:ind w:left="140" w:right="80"/>
        <w:spacing w:after="0" w:line="267" w:lineRule="auto"/>
        <w:rPr>
          <w:sz w:val="20"/>
          <w:szCs w:val="20"/>
          <w:color w:val="auto"/>
        </w:rPr>
      </w:pPr>
      <w:r>
        <w:rPr>
          <w:rFonts w:ascii="Arial" w:cs="Arial" w:eastAsia="Arial" w:hAnsi="Arial"/>
          <w:sz w:val="17"/>
          <w:szCs w:val="17"/>
          <w:color w:val="auto"/>
        </w:rPr>
        <w:t>20-F and as determined by our board of directors. Our audit committee oversees our accounting and financial reporting processes and the audits of our consolidated financial statements. As a foreign private issuer, we are not required to have a formal written audit committee charter that complies with Nasdaq Rule 5605(c)(1) and, although we have adopted an audit committee charter, we comply with home country practices in lieu of Nasdaq Rule 5605(c)(1). Nasdaq Rule 5605(c)(2)(A) requires that U.S. listed companies have an audit committee composed of at least three members, each of whom is an independent director, as defined in the Nasdaq rules. As a foreign private issuer, we are exempt from complying with the Nasdaq requirement to have an audit committee with at least three members, and we comply with home country practices in lieu of Nasdaq Rule 5605(c)(2)(A). However, our audit committee currently comprises three members, all of whom meet the relevant criteria for independence under Nasdaq rules and under Rule 10A-3 of the Exchange Act. Our audit committee is responsible for, among other things:</w:t>
      </w:r>
    </w:p>
    <w:p>
      <w:pPr>
        <w:spacing w:after="0" w:line="89" w:lineRule="exact"/>
        <w:rPr>
          <w:sz w:val="20"/>
          <w:szCs w:val="20"/>
          <w:color w:val="auto"/>
        </w:rPr>
      </w:pPr>
    </w:p>
    <w:p>
      <w:pPr>
        <w:ind w:left="1100" w:right="200" w:hanging="426"/>
        <w:spacing w:after="0" w:line="275" w:lineRule="auto"/>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the appointment by the general meeting of shareholders of our independent auditors;</w:t>
      </w:r>
    </w:p>
    <w:p>
      <w:pPr>
        <w:spacing w:after="0" w:line="77" w:lineRule="exact"/>
        <w:rPr>
          <w:rFonts w:ascii="Arial" w:cs="Arial" w:eastAsia="Arial" w:hAnsi="Arial"/>
          <w:sz w:val="18"/>
          <w:szCs w:val="18"/>
          <w:color w:val="auto"/>
        </w:rPr>
      </w:pPr>
    </w:p>
    <w:p>
      <w:pPr>
        <w:ind w:left="1100" w:right="40" w:hanging="426"/>
        <w:spacing w:after="0" w:line="275" w:lineRule="auto"/>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overseeing the work of the independent auditors, including making recommendations to the board of directors and resolving disagreements between the executive board and the independent auditors relating to financial reporting;</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the independence and quality control procedures of the independent auditors;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discussing material off-balance sheet transactions, arrangements and obligations with the executive board and the independent auditors;</w:t>
      </w:r>
    </w:p>
    <w:p>
      <w:pPr>
        <w:spacing w:after="0" w:line="152" w:lineRule="exact"/>
        <w:rPr>
          <w:rFonts w:ascii="Arial" w:cs="Arial" w:eastAsia="Arial" w:hAnsi="Arial"/>
          <w:sz w:val="16"/>
          <w:szCs w:val="16"/>
          <w:color w:val="auto"/>
        </w:rPr>
      </w:pPr>
    </w:p>
    <w:p>
      <w:pPr>
        <w:ind w:left="1100" w:hanging="426"/>
        <w:spacing w:after="0"/>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all proposed related-party transactions;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discussing the annual audited consolidated and statutory financial statements with the executive board;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29" w:lineRule="exact"/>
        <w:rPr>
          <w:rFonts w:ascii="Arial" w:cs="Arial" w:eastAsia="Arial" w:hAnsi="Arial"/>
          <w:sz w:val="18"/>
          <w:szCs w:val="18"/>
          <w:color w:val="auto"/>
        </w:rPr>
      </w:pPr>
    </w:p>
    <w:p>
      <w:pPr>
        <w:ind w:left="1100" w:right="160" w:hanging="426"/>
        <w:spacing w:after="0" w:line="262" w:lineRule="auto"/>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meeting separately with the independent auditors to discuss critical accounting policies, recommendations on internal controls, the auditor’s engagement letter and independence letter and other material written communications between the independent auditors and the executive board; and</w:t>
      </w:r>
    </w:p>
    <w:p>
      <w:pPr>
        <w:spacing w:after="0" w:line="88" w:lineRule="exact"/>
        <w:rPr>
          <w:rFonts w:ascii="Arial" w:cs="Arial" w:eastAsia="Arial" w:hAnsi="Arial"/>
          <w:sz w:val="18"/>
          <w:szCs w:val="18"/>
          <w:color w:val="auto"/>
        </w:rPr>
      </w:pPr>
    </w:p>
    <w:p>
      <w:pPr>
        <w:ind w:left="1100" w:hanging="426"/>
        <w:spacing w:after="0"/>
        <w:tabs>
          <w:tab w:leader="none" w:pos="11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attending to such other matters as are specifically delegated to our audit committee by our board of directors from time to time.</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6"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Our remuneration committee consists of Albert Cha, M.D., Ph.D. (Chairman), Lisa Bright and Lars Holtug. Each member satisfies the independence requirements of the Nasdaq listing standards. Our remuneration committee assists our board of directors in reviewing and approving or recommending our compensation structure, including all forms of compensation relating to our board of director and the executive board. As a foreign private issuer, we are not required to have a formal written remuneration committee charter that complies with Nasdaq Rule 5605(d)(1) and, although we have adopted a remuneration committee charter, we comply with home country practices in lieu of Nasdaq Rule 5605(d)(1). Our remuneration committee is responsible for, among other things:</w:t>
      </w:r>
    </w:p>
    <w:p>
      <w:pPr>
        <w:spacing w:after="0" w:line="98" w:lineRule="exact"/>
        <w:rPr>
          <w:sz w:val="20"/>
          <w:szCs w:val="20"/>
          <w:color w:val="auto"/>
        </w:rPr>
      </w:pPr>
    </w:p>
    <w:p>
      <w:pPr>
        <w:ind w:left="1100" w:right="20" w:hanging="426"/>
        <w:spacing w:after="0" w:line="275" w:lineRule="auto"/>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compensation of our executive board and members of our board of directors;</w:t>
      </w:r>
    </w:p>
    <w:p>
      <w:pPr>
        <w:spacing w:after="0" w:line="77" w:lineRule="exact"/>
        <w:rPr>
          <w:rFonts w:ascii="Arial" w:cs="Arial" w:eastAsia="Arial" w:hAnsi="Arial"/>
          <w:sz w:val="18"/>
          <w:szCs w:val="18"/>
          <w:color w:val="auto"/>
        </w:rPr>
      </w:pPr>
    </w:p>
    <w:p>
      <w:pPr>
        <w:ind w:left="1100" w:right="40" w:hanging="426"/>
        <w:spacing w:after="0" w:line="306" w:lineRule="auto"/>
        <w:tabs>
          <w:tab w:leader="none" w:pos="11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reviewing and approving the compensation, including equity compensation, change-of-control benefits and severance arrangements, of our chief executive officer, chief financial officer and such other members of our executive board as it deems appropriate;</w:t>
      </w:r>
    </w:p>
    <w:p>
      <w:pPr>
        <w:spacing w:after="0" w:line="53" w:lineRule="exact"/>
        <w:rPr>
          <w:rFonts w:ascii="Arial" w:cs="Arial" w:eastAsia="Arial" w:hAnsi="Arial"/>
          <w:sz w:val="17"/>
          <w:szCs w:val="17"/>
          <w:color w:val="auto"/>
        </w:rPr>
      </w:pPr>
    </w:p>
    <w:p>
      <w:pPr>
        <w:ind w:left="1100" w:hanging="426"/>
        <w:spacing w:after="0"/>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overseeing and making recommendations to our board of directors regarding the evaluation of our executive board;</w:t>
      </w:r>
    </w:p>
    <w:p>
      <w:pPr>
        <w:spacing w:after="0" w:line="129" w:lineRule="exact"/>
        <w:rPr>
          <w:rFonts w:ascii="Arial" w:cs="Arial" w:eastAsia="Arial" w:hAnsi="Arial"/>
          <w:sz w:val="18"/>
          <w:szCs w:val="18"/>
          <w:color w:val="auto"/>
        </w:rPr>
      </w:pPr>
    </w:p>
    <w:p>
      <w:pPr>
        <w:ind w:left="1100" w:right="460" w:hanging="426"/>
        <w:spacing w:after="0" w:line="275" w:lineRule="auto"/>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periodically and making recommendations to our board of directors with respect to any incentive compensation and equity plans, programs or similar arrangements; and</w:t>
      </w:r>
    </w:p>
    <w:p>
      <w:pPr>
        <w:spacing w:after="0" w:line="77" w:lineRule="exact"/>
        <w:rPr>
          <w:rFonts w:ascii="Arial" w:cs="Arial" w:eastAsia="Arial" w:hAnsi="Arial"/>
          <w:sz w:val="18"/>
          <w:szCs w:val="18"/>
          <w:color w:val="auto"/>
        </w:rPr>
      </w:pPr>
    </w:p>
    <w:p>
      <w:pPr>
        <w:ind w:left="5500" w:right="260" w:hanging="4826"/>
        <w:spacing w:after="0" w:line="447" w:lineRule="auto"/>
        <w:tabs>
          <w:tab w:leader="none" w:pos="11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attending to such other matters as are specifically delegated to our compensation committee by our board of directors from time to time. 117</w:t>
      </w:r>
    </w:p>
    <w:p>
      <w:pPr>
        <w:sectPr>
          <w:pgSz w:w="11900" w:h="16838" w:orient="portrait"/>
          <w:cols w:equalWidth="0" w:num="1">
            <w:col w:w="11120"/>
          </w:cols>
          <w:pgMar w:left="320" w:top="485"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6" w:lineRule="exact"/>
        <w:rPr>
          <w:sz w:val="20"/>
          <w:szCs w:val="20"/>
          <w:color w:val="auto"/>
        </w:rPr>
      </w:pPr>
    </w:p>
    <w:p>
      <w:pPr>
        <w:ind w:left="140" w:right="160"/>
        <w:spacing w:after="0" w:line="278" w:lineRule="auto"/>
        <w:rPr>
          <w:sz w:val="20"/>
          <w:szCs w:val="20"/>
          <w:color w:val="auto"/>
        </w:rPr>
      </w:pPr>
      <w:r>
        <w:rPr>
          <w:rFonts w:ascii="Arial" w:cs="Arial" w:eastAsia="Arial" w:hAnsi="Arial"/>
          <w:sz w:val="17"/>
          <w:szCs w:val="17"/>
          <w:color w:val="auto"/>
        </w:rPr>
        <w:t>Our nominating and corporate governance committee consists of James I. Healy, M.D., Ph.D. (Chairman) and Albert Cha, M.D., Ph.D. Each member satisfies the independence requirements of the Nasdaq listing standards. Our nominating and corporate governance committee assists the board of directors in selecting individuals qualified to become our board members and in determining the composition of the board of directors and its committees. Our nominating and corporate governance committee is responsible for, among other things:</w:t>
      </w:r>
    </w:p>
    <w:p>
      <w:pPr>
        <w:spacing w:after="0" w:line="76" w:lineRule="exact"/>
        <w:rPr>
          <w:sz w:val="20"/>
          <w:szCs w:val="20"/>
          <w:color w:val="auto"/>
        </w:rPr>
      </w:pPr>
    </w:p>
    <w:p>
      <w:pPr>
        <w:ind w:left="1100" w:hanging="426"/>
        <w:spacing w:after="0" w:line="275" w:lineRule="auto"/>
        <w:tabs>
          <w:tab w:leader="none" w:pos="11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recommending to our board of directors, persons to be nominated for election or re-election to our board of directors at any meeting of the shareholders;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overseeing our board of director’s annual review of its own performance and the performance of its committees;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considering, preparing and recommending to our board of directors a set of corporate governance guidelines.</w:t>
      </w:r>
    </w:p>
    <w:p>
      <w:pPr>
        <w:spacing w:after="0" w:line="223" w:lineRule="exact"/>
        <w:rPr>
          <w:sz w:val="20"/>
          <w:szCs w:val="20"/>
          <w:color w:val="auto"/>
        </w:rPr>
      </w:pPr>
    </w:p>
    <w:p>
      <w:pPr>
        <w:ind w:left="140" w:right="820"/>
        <w:spacing w:after="0" w:line="340" w:lineRule="auto"/>
        <w:rPr>
          <w:sz w:val="20"/>
          <w:szCs w:val="20"/>
          <w:color w:val="auto"/>
        </w:rPr>
      </w:pPr>
      <w:r>
        <w:rPr>
          <w:rFonts w:ascii="Arial" w:cs="Arial" w:eastAsia="Arial" w:hAnsi="Arial"/>
          <w:sz w:val="16"/>
          <w:szCs w:val="16"/>
          <w:color w:val="auto"/>
        </w:rPr>
        <w:t>For information on current term of office and the period during which the members of our board of directors, executive board and our senior management have served in office see “Item 6A. Directors, Senior Management and Employees—Directors and Senior Management.”</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20"/>
          </w:cols>
          <w:pgMar w:left="320" w:top="485" w:right="5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425"/>
        <w:spacing w:after="0"/>
        <w:tabs>
          <w:tab w:leader="none" w:pos="5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7" w:lineRule="exact"/>
        <w:rPr>
          <w:sz w:val="20"/>
          <w:szCs w:val="20"/>
          <w:color w:val="auto"/>
        </w:rPr>
      </w:pPr>
    </w:p>
    <w:p>
      <w:pPr>
        <w:ind w:left="140" w:right="560"/>
        <w:spacing w:after="0" w:line="275" w:lineRule="auto"/>
        <w:rPr>
          <w:sz w:val="20"/>
          <w:szCs w:val="20"/>
          <w:color w:val="auto"/>
        </w:rPr>
      </w:pPr>
      <w:r>
        <w:rPr>
          <w:rFonts w:ascii="Arial" w:cs="Arial" w:eastAsia="Arial" w:hAnsi="Arial"/>
          <w:sz w:val="18"/>
          <w:szCs w:val="18"/>
          <w:color w:val="auto"/>
        </w:rPr>
        <w:t>The following tables specify number of employees at the end of period, per their main activity function and geographic location for the past three financial years.</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560" w:type="dxa"/>
            <w:vAlign w:val="bottom"/>
            <w:gridSpan w:val="2"/>
            <w:vMerge w:val="restart"/>
          </w:tcPr>
          <w:p>
            <w:pPr>
              <w:jc w:val="center"/>
              <w:ind w:left="216"/>
              <w:spacing w:after="0"/>
              <w:rPr>
                <w:sz w:val="20"/>
                <w:szCs w:val="20"/>
                <w:color w:val="auto"/>
              </w:rPr>
            </w:pPr>
            <w:r>
              <w:rPr>
                <w:rFonts w:ascii="Arial" w:cs="Arial" w:eastAsia="Arial" w:hAnsi="Arial"/>
                <w:sz w:val="14"/>
                <w:szCs w:val="14"/>
                <w:b w:val="1"/>
                <w:bCs w:val="1"/>
                <w:color w:val="auto"/>
                <w:w w:val="93"/>
              </w:rPr>
              <w:t>Selling, General and</w:t>
            </w:r>
          </w:p>
        </w:tc>
        <w:tc>
          <w:tcPr>
            <w:tcW w:w="5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Research and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Development, and</w:t>
            </w:r>
          </w:p>
        </w:tc>
        <w:tc>
          <w:tcPr>
            <w:tcW w:w="90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Administration </w:t>
            </w:r>
            <w:r>
              <w:rPr>
                <w:rFonts w:ascii="Arial" w:cs="Arial" w:eastAsia="Arial" w:hAnsi="Arial"/>
                <w:sz w:val="10"/>
                <w:szCs w:val="10"/>
                <w:b w:val="1"/>
                <w:bCs w:val="1"/>
                <w:color w:val="auto"/>
                <w:w w:val="93"/>
              </w:rPr>
              <w:t>(1)</w:t>
            </w:r>
          </w:p>
        </w:tc>
        <w:tc>
          <w:tcPr>
            <w:tcW w:w="220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w w:val="93"/>
              </w:rPr>
              <w:t>commercial manufacturing</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December 31, 2021</w:t>
            </w: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Denmark (Domicile country)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5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5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320" w:type="dxa"/>
            <w:vAlign w:val="bottom"/>
            <w:gridSpan w:val="2"/>
          </w:tcPr>
          <w:p>
            <w:pPr>
              <w:spacing w:after="0"/>
              <w:rPr>
                <w:sz w:val="20"/>
                <w:szCs w:val="20"/>
                <w:color w:val="auto"/>
              </w:rPr>
            </w:pPr>
            <w:r>
              <w:rPr>
                <w:rFonts w:ascii="Arial" w:cs="Arial" w:eastAsia="Arial" w:hAnsi="Arial"/>
                <w:sz w:val="18"/>
                <w:szCs w:val="18"/>
                <w:i w:val="1"/>
                <w:iCs w:val="1"/>
                <w:color w:val="auto"/>
                <w:w w:val="95"/>
              </w:rPr>
              <w:t>Of full-time employees, 198 (31.0%) hold a Ph.D., M.D., and/or equivalent degrees.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56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3"/>
              </w:rPr>
              <w:t>Selling, General and</w:t>
            </w:r>
          </w:p>
        </w:tc>
        <w:tc>
          <w:tcPr>
            <w:tcW w:w="5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Research and</w:t>
            </w:r>
          </w:p>
        </w:tc>
        <w:tc>
          <w:tcPr>
            <w:tcW w:w="90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Administration </w:t>
            </w:r>
            <w:r>
              <w:rPr>
                <w:rFonts w:ascii="Arial" w:cs="Arial" w:eastAsia="Arial" w:hAnsi="Arial"/>
                <w:sz w:val="10"/>
                <w:szCs w:val="10"/>
                <w:b w:val="1"/>
                <w:bCs w:val="1"/>
                <w:color w:val="auto"/>
                <w:w w:val="93"/>
              </w:rPr>
              <w:t>(1)</w:t>
            </w:r>
          </w:p>
        </w:tc>
        <w:tc>
          <w:tcPr>
            <w:tcW w:w="5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December 31, 2020</w:t>
            </w: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Denmark (Domicile country)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320" w:type="dxa"/>
            <w:vAlign w:val="bottom"/>
            <w:gridSpan w:val="2"/>
          </w:tcPr>
          <w:p>
            <w:pPr>
              <w:spacing w:after="0"/>
              <w:rPr>
                <w:sz w:val="20"/>
                <w:szCs w:val="20"/>
                <w:color w:val="auto"/>
              </w:rPr>
            </w:pPr>
            <w:r>
              <w:rPr>
                <w:rFonts w:ascii="Arial" w:cs="Arial" w:eastAsia="Arial" w:hAnsi="Arial"/>
                <w:sz w:val="18"/>
                <w:szCs w:val="18"/>
                <w:i w:val="1"/>
                <w:iCs w:val="1"/>
                <w:color w:val="auto"/>
                <w:w w:val="95"/>
              </w:rPr>
              <w:t>Of full-time employees, 121 (36.7%) hold a Ph.D., M.D., and/or equivalent degrees.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56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3"/>
              </w:rPr>
              <w:t>Selling, General and</w:t>
            </w:r>
          </w:p>
        </w:tc>
        <w:tc>
          <w:tcPr>
            <w:tcW w:w="5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Research and</w:t>
            </w:r>
          </w:p>
        </w:tc>
        <w:tc>
          <w:tcPr>
            <w:tcW w:w="90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Administration </w:t>
            </w:r>
            <w:r>
              <w:rPr>
                <w:rFonts w:ascii="Arial" w:cs="Arial" w:eastAsia="Arial" w:hAnsi="Arial"/>
                <w:sz w:val="10"/>
                <w:szCs w:val="10"/>
                <w:b w:val="1"/>
                <w:bCs w:val="1"/>
                <w:color w:val="auto"/>
                <w:w w:val="93"/>
              </w:rPr>
              <w:t>(1)</w:t>
            </w:r>
          </w:p>
        </w:tc>
        <w:tc>
          <w:tcPr>
            <w:tcW w:w="5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December 31, 2019</w:t>
            </w: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Denmark (Domicile country)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Of full-time employees, 76 (35.1%) hold a Ph.D., M.D., and/or equivalent degrees.</w:t>
      </w:r>
    </w:p>
    <w:p>
      <w:pPr>
        <w:spacing w:after="0" w:line="134" w:lineRule="exact"/>
        <w:rPr>
          <w:sz w:val="20"/>
          <w:szCs w:val="20"/>
          <w:color w:val="auto"/>
        </w:rPr>
      </w:pPr>
    </w:p>
    <w:p>
      <w:pPr>
        <w:ind w:left="560" w:hanging="425"/>
        <w:spacing w:after="0"/>
        <w:tabs>
          <w:tab w:leader="none" w:pos="5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Selling, General and Administration function includes business and corporate development, and pre-commercial activities.</w:t>
      </w:r>
    </w:p>
    <w:p>
      <w:pPr>
        <w:spacing w:after="0" w:line="229" w:lineRule="exact"/>
        <w:rPr>
          <w:sz w:val="20"/>
          <w:szCs w:val="20"/>
          <w:color w:val="auto"/>
        </w:rPr>
      </w:pPr>
    </w:p>
    <w:p>
      <w:pPr>
        <w:ind w:left="140" w:right="60"/>
        <w:spacing w:after="0" w:line="262" w:lineRule="auto"/>
        <w:rPr>
          <w:sz w:val="20"/>
          <w:szCs w:val="20"/>
          <w:color w:val="auto"/>
        </w:rPr>
      </w:pPr>
      <w:r>
        <w:rPr>
          <w:rFonts w:ascii="Arial" w:cs="Arial" w:eastAsia="Arial" w:hAnsi="Arial"/>
          <w:sz w:val="18"/>
          <w:szCs w:val="18"/>
          <w:color w:val="auto"/>
        </w:rPr>
        <w:t>In 2021, number of full-time employees has increased, primarily due to pre-launch and launch activities, and extension of corporate functions to support those activities. In addition, employees engaged with research and development have increased due to the development of the second therapeutic area, Oncology, which was established in January 2019.</w:t>
      </w:r>
    </w:p>
    <w:p>
      <w:pPr>
        <w:spacing w:after="0" w:line="183"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color w:val="auto"/>
        </w:rPr>
        <w:t>None of our employees are represented by a labor union or covered under a collective bargaining agreement. We consider our employee relations to be good.</w:t>
      </w:r>
    </w:p>
    <w:p>
      <w:pPr>
        <w:spacing w:after="0" w:line="315" w:lineRule="exact"/>
        <w:rPr>
          <w:sz w:val="20"/>
          <w:szCs w:val="20"/>
          <w:color w:val="auto"/>
        </w:rPr>
      </w:pPr>
    </w:p>
    <w:p>
      <w:pPr>
        <w:ind w:left="560" w:hanging="425"/>
        <w:spacing w:after="0"/>
        <w:tabs>
          <w:tab w:leader="none" w:pos="5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0" w:lineRule="exact"/>
        <w:rPr>
          <w:sz w:val="20"/>
          <w:szCs w:val="20"/>
          <w:color w:val="auto"/>
        </w:rPr>
      </w:pPr>
    </w:p>
    <w:p>
      <w:pPr>
        <w:ind w:left="140" w:right="100"/>
        <w:spacing w:after="0" w:line="262" w:lineRule="auto"/>
        <w:rPr>
          <w:sz w:val="20"/>
          <w:szCs w:val="20"/>
          <w:color w:val="auto"/>
        </w:rPr>
      </w:pPr>
      <w:r>
        <w:rPr>
          <w:rFonts w:ascii="Arial" w:cs="Arial" w:eastAsia="Arial" w:hAnsi="Arial"/>
          <w:sz w:val="18"/>
          <w:szCs w:val="18"/>
          <w:color w:val="auto"/>
        </w:rPr>
        <w:t>See “Item 7 A. Major Shareholders and Related Party Transactions—Major Shareholders.” Our employees are eligible to own shares of the company through a warrant incentive plan. For information on the plan, see “Item 6 B. Directors, Senior Management and Employees—Compensation—Warrant Incentive Program.”</w:t>
      </w:r>
    </w:p>
    <w:p>
      <w:pPr>
        <w:spacing w:after="0" w:line="32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29" w:lineRule="exact"/>
        <w:rPr>
          <w:sz w:val="20"/>
          <w:szCs w:val="20"/>
          <w:color w:val="auto"/>
        </w:rPr>
      </w:pPr>
    </w:p>
    <w:p>
      <w:pPr>
        <w:ind w:left="560" w:hanging="425"/>
        <w:spacing w:after="0"/>
        <w:tabs>
          <w:tab w:leader="none" w:pos="5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sets forth information relating to the beneficial ownership of our shares as of February 1, 2022, by:</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85"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540" w:hanging="315"/>
        <w:spacing w:after="0"/>
        <w:tabs>
          <w:tab w:leader="none" w:pos="1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outstanding ordinary shares;</w:t>
      </w:r>
    </w:p>
    <w:p>
      <w:pPr>
        <w:spacing w:after="0" w:line="140" w:lineRule="exact"/>
        <w:rPr>
          <w:rFonts w:ascii="Arial" w:cs="Arial" w:eastAsia="Arial" w:hAnsi="Arial"/>
          <w:sz w:val="17"/>
          <w:szCs w:val="17"/>
          <w:color w:val="auto"/>
        </w:rPr>
      </w:pPr>
    </w:p>
    <w:p>
      <w:pPr>
        <w:ind w:left="1540" w:hanging="315"/>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board members; and</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member of our senior management, including members of our executive board.</w:t>
      </w:r>
    </w:p>
    <w:p>
      <w:pPr>
        <w:spacing w:after="0" w:line="223" w:lineRule="exact"/>
        <w:rPr>
          <w:sz w:val="20"/>
          <w:szCs w:val="20"/>
          <w:color w:val="auto"/>
        </w:rPr>
      </w:pPr>
    </w:p>
    <w:p>
      <w:pPr>
        <w:ind w:left="140" w:right="180"/>
        <w:spacing w:after="0" w:line="254" w:lineRule="auto"/>
        <w:rPr>
          <w:sz w:val="20"/>
          <w:szCs w:val="20"/>
          <w:color w:val="auto"/>
        </w:rPr>
      </w:pPr>
      <w:r>
        <w:rPr>
          <w:rFonts w:ascii="Arial" w:cs="Arial" w:eastAsia="Arial" w:hAnsi="Arial"/>
          <w:sz w:val="18"/>
          <w:szCs w:val="18"/>
          <w:color w:val="auto"/>
        </w:rPr>
        <w:t>The number of shares beneficially owned by each entity, person,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subscribe for within 60 days of February 1, 2022, through the exercise of any warrants or other rights. Except as otherwise indicated, and subject to applicable community property laws, the persons named in the table have sole voting and investment power with respect to all shares owned by that person.</w:t>
      </w:r>
    </w:p>
    <w:p>
      <w:pPr>
        <w:spacing w:after="0" w:line="192" w:lineRule="exact"/>
        <w:rPr>
          <w:sz w:val="20"/>
          <w:szCs w:val="20"/>
          <w:color w:val="auto"/>
        </w:rPr>
      </w:pPr>
    </w:p>
    <w:p>
      <w:pPr>
        <w:ind w:left="140" w:right="160"/>
        <w:spacing w:after="0" w:line="290" w:lineRule="auto"/>
        <w:rPr>
          <w:sz w:val="20"/>
          <w:szCs w:val="20"/>
          <w:color w:val="auto"/>
        </w:rPr>
      </w:pPr>
      <w:r>
        <w:rPr>
          <w:rFonts w:ascii="Arial" w:cs="Arial" w:eastAsia="Arial" w:hAnsi="Arial"/>
          <w:sz w:val="16"/>
          <w:szCs w:val="16"/>
          <w:color w:val="auto"/>
        </w:rPr>
        <w:t>The percentage of shares beneficially owned is computed on the basis of 56,937,682 ordinary shares outstanding as of February 1, 2022. Ordinary shares that a person has the right to subscribe for within 60 days of February 1, 2022 are deemed outstanding for purposes of computing the percentage ownership of the person holding such rights but are not deemed outstanding for purposes of computing the percentage ownership of any other person. Additionally, a person is considered to have the right to subscribe for ordinary shares which are subject to outstanding warrants and vested within 60 days of February 1, 2022, although such warrants may only be exercised in prescribed exercise periods. A person is considered to beneficially own ordinary shares which are subject to ADSs which are subject to restricted stock units that vest within 60 days of February 1, 2022. Unless otherwise indicated below, the address for each beneficial owner listed is c/o Ascendis Pharma A/S, at Tuborg Boulevard 12, DK-2900 Hellerup, Denmark.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8"/>
              </w:rPr>
              <w:t>Warrants</w:t>
            </w: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9"/>
              </w:rPr>
              <w:t>Exercisable</w:t>
            </w:r>
          </w:p>
        </w:tc>
        <w:tc>
          <w:tcPr>
            <w:tcW w:w="4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440" w:type="dxa"/>
            <w:vAlign w:val="bottom"/>
            <w:gridSpan w:val="3"/>
            <w:vMerge w:val="restart"/>
          </w:tcPr>
          <w:p>
            <w:pPr>
              <w:jc w:val="center"/>
              <w:ind w:left="92"/>
              <w:spacing w:after="0"/>
              <w:rPr>
                <w:sz w:val="20"/>
                <w:szCs w:val="20"/>
                <w:color w:val="auto"/>
              </w:rPr>
            </w:pPr>
            <w:r>
              <w:rPr>
                <w:rFonts w:ascii="Arial" w:cs="Arial" w:eastAsia="Arial" w:hAnsi="Arial"/>
                <w:sz w:val="14"/>
                <w:szCs w:val="14"/>
                <w:b w:val="1"/>
                <w:bCs w:val="1"/>
                <w:color w:val="auto"/>
                <w:w w:val="88"/>
              </w:rPr>
              <w:t>Percentage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80" w:type="dxa"/>
            <w:vAlign w:val="bottom"/>
            <w:gridSpan w:val="3"/>
          </w:tcPr>
          <w:p>
            <w:pPr>
              <w:jc w:val="center"/>
              <w:ind w:left="24"/>
              <w:spacing w:after="0" w:line="148" w:lineRule="exact"/>
              <w:rPr>
                <w:sz w:val="20"/>
                <w:szCs w:val="20"/>
                <w:color w:val="auto"/>
              </w:rPr>
            </w:pPr>
            <w:r>
              <w:rPr>
                <w:rFonts w:ascii="Arial" w:cs="Arial" w:eastAsia="Arial" w:hAnsi="Arial"/>
                <w:sz w:val="14"/>
                <w:szCs w:val="14"/>
                <w:b w:val="1"/>
                <w:bCs w:val="1"/>
                <w:color w:val="auto"/>
                <w:w w:val="90"/>
              </w:rPr>
              <w:t>and RSUs to be</w:t>
            </w:r>
          </w:p>
        </w:tc>
        <w:tc>
          <w:tcPr>
            <w:tcW w:w="4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Name and Address of Beneficial Owner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2"/>
              </w:rPr>
              <w:t>Beneficially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4"/>
              </w:rPr>
              <w:t>Settled Within</w:t>
            </w:r>
          </w:p>
        </w:tc>
        <w:tc>
          <w:tcPr>
            <w:tcW w:w="40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Beneficially</w:t>
            </w:r>
          </w:p>
        </w:tc>
        <w:tc>
          <w:tcPr>
            <w:tcW w:w="400" w:type="dxa"/>
            <w:vAlign w:val="bottom"/>
          </w:tcPr>
          <w:p>
            <w:pPr>
              <w:spacing w:after="0"/>
              <w:rPr>
                <w:sz w:val="12"/>
                <w:szCs w:val="12"/>
                <w:color w:val="auto"/>
              </w:rPr>
            </w:pPr>
          </w:p>
        </w:tc>
        <w:tc>
          <w:tcPr>
            <w:tcW w:w="10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Beneficial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6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Owned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60 Days</w:t>
            </w:r>
          </w:p>
        </w:tc>
        <w:tc>
          <w:tcPr>
            <w:tcW w:w="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4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Ownership</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vMerge w:val="restart"/>
            <w:shd w:val="clear" w:color="auto" w:fill="CCEEFF"/>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Artisan Partners LP(1)</w:t>
            </w:r>
          </w:p>
        </w:tc>
        <w:tc>
          <w:tcPr>
            <w:tcW w:w="6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7,940,434</w:t>
            </w:r>
          </w:p>
        </w:tc>
        <w:tc>
          <w:tcPr>
            <w:tcW w:w="2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vMerge w:val="continue"/>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7,940,434</w:t>
            </w:r>
          </w:p>
        </w:tc>
        <w:tc>
          <w:tcPr>
            <w:tcW w:w="40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Entities affiliated with RA Capital Management, L.P.(2)</w:t>
            </w:r>
          </w:p>
        </w:tc>
        <w:tc>
          <w:tcPr>
            <w:tcW w:w="1740" w:type="dxa"/>
            <w:vAlign w:val="bottom"/>
            <w:gridSpan w:val="5"/>
          </w:tcPr>
          <w:p>
            <w:pPr>
              <w:jc w:val="right"/>
              <w:spacing w:after="0"/>
              <w:rPr>
                <w:sz w:val="20"/>
                <w:szCs w:val="20"/>
                <w:color w:val="auto"/>
              </w:rPr>
            </w:pPr>
            <w:r>
              <w:rPr>
                <w:rFonts w:ascii="Arial" w:cs="Arial" w:eastAsia="Arial" w:hAnsi="Arial"/>
                <w:sz w:val="18"/>
                <w:szCs w:val="18"/>
                <w:color w:val="auto"/>
              </w:rPr>
              <w:t>7,567,900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7,567,900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FMR LLC(3)</w:t>
            </w:r>
          </w:p>
        </w:tc>
        <w:tc>
          <w:tcPr>
            <w:tcW w:w="1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5,355,943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5,355,943</w:t>
            </w:r>
          </w:p>
        </w:tc>
        <w:tc>
          <w:tcPr>
            <w:tcW w:w="14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T. Rowe Price Associates, Inc.(4)</w:t>
            </w:r>
          </w:p>
        </w:tc>
        <w:tc>
          <w:tcPr>
            <w:tcW w:w="1740" w:type="dxa"/>
            <w:vAlign w:val="bottom"/>
            <w:gridSpan w:val="5"/>
          </w:tcPr>
          <w:p>
            <w:pPr>
              <w:jc w:val="right"/>
              <w:spacing w:after="0"/>
              <w:rPr>
                <w:sz w:val="20"/>
                <w:szCs w:val="20"/>
                <w:color w:val="auto"/>
              </w:rPr>
            </w:pPr>
            <w:r>
              <w:rPr>
                <w:rFonts w:ascii="Arial" w:cs="Arial" w:eastAsia="Arial" w:hAnsi="Arial"/>
                <w:sz w:val="18"/>
                <w:szCs w:val="18"/>
                <w:color w:val="auto"/>
              </w:rPr>
              <w:t>4,761,193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4,761,193</w:t>
            </w:r>
          </w:p>
        </w:tc>
        <w:tc>
          <w:tcPr>
            <w:tcW w:w="1440" w:type="dxa"/>
            <w:vAlign w:val="bottom"/>
            <w:gridSpan w:val="3"/>
          </w:tcPr>
          <w:p>
            <w:pPr>
              <w:ind w:left="100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Baker Bros. Advisors LP(5)</w:t>
            </w:r>
          </w:p>
        </w:tc>
        <w:tc>
          <w:tcPr>
            <w:tcW w:w="1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4,541,604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4,541,604</w:t>
            </w:r>
          </w:p>
        </w:tc>
        <w:tc>
          <w:tcPr>
            <w:tcW w:w="14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Entities affiliated with Wellington Management Group LLP(6)</w:t>
            </w:r>
          </w:p>
        </w:tc>
        <w:tc>
          <w:tcPr>
            <w:tcW w:w="1740" w:type="dxa"/>
            <w:vAlign w:val="bottom"/>
            <w:gridSpan w:val="5"/>
          </w:tcPr>
          <w:p>
            <w:pPr>
              <w:jc w:val="right"/>
              <w:spacing w:after="0"/>
              <w:rPr>
                <w:sz w:val="20"/>
                <w:szCs w:val="20"/>
                <w:color w:val="auto"/>
              </w:rPr>
            </w:pPr>
            <w:r>
              <w:rPr>
                <w:rFonts w:ascii="Arial" w:cs="Arial" w:eastAsia="Arial" w:hAnsi="Arial"/>
                <w:sz w:val="18"/>
                <w:szCs w:val="18"/>
                <w:color w:val="auto"/>
              </w:rPr>
              <w:t>4,068,476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4,068,476</w:t>
            </w:r>
          </w:p>
        </w:tc>
        <w:tc>
          <w:tcPr>
            <w:tcW w:w="1440" w:type="dxa"/>
            <w:vAlign w:val="bottom"/>
            <w:gridSpan w:val="3"/>
          </w:tcPr>
          <w:p>
            <w:pPr>
              <w:ind w:left="100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Janus Henderson Group plc(7)</w:t>
            </w:r>
          </w:p>
        </w:tc>
        <w:tc>
          <w:tcPr>
            <w:tcW w:w="1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3,219,965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3,219,965</w:t>
            </w:r>
          </w:p>
        </w:tc>
        <w:tc>
          <w:tcPr>
            <w:tcW w:w="14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Senior Management and Board Members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Møller Mikkelsen(8)</w:t>
            </w:r>
          </w:p>
        </w:tc>
        <w:tc>
          <w:tcPr>
            <w:tcW w:w="1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507,096</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1,169,603</w:t>
            </w: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1,676,699</w:t>
            </w:r>
          </w:p>
        </w:tc>
        <w:tc>
          <w:tcPr>
            <w:tcW w:w="14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Vibeke Miller Breinholt, Ph.D.(9)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42,443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42,443</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Jesper Høiland(10)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44,115</w:t>
            </w: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44,115</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Flemming Steen Jensen(11)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110,359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110,359</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Wolff Jensen, L.L.M.(12)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98,859</w:t>
            </w: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98,859</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Sigurd Okkels, Ph.D.(13)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69,322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69,322</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Dana Pizzuti, M.D.(14)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27,509</w:t>
            </w: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27,509</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40" w:type="dxa"/>
            <w:vAlign w:val="bottom"/>
            <w:tcBorders>
              <w:bottom w:val="single" w:sz="8" w:color="9A9A9A"/>
            </w:tcBorders>
            <w:gridSpan w:val="2"/>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340" w:type="dxa"/>
            <w:vAlign w:val="bottom"/>
            <w:tcBorders>
              <w:bottom w:val="single" w:sz="8" w:color="EEEEEE"/>
            </w:tcBorders>
            <w:gridSpan w:val="2"/>
          </w:tcPr>
          <w:p>
            <w:pPr>
              <w:spacing w:after="0"/>
              <w:rPr>
                <w:sz w:val="2"/>
                <w:szCs w:val="2"/>
                <w:color w:val="auto"/>
              </w:rPr>
            </w:pPr>
          </w:p>
        </w:tc>
        <w:tc>
          <w:tcPr>
            <w:tcW w:w="1220" w:type="dxa"/>
            <w:vAlign w:val="bottom"/>
            <w:tcBorders>
              <w:bottom w:val="single" w:sz="8" w:color="EEEEEE"/>
            </w:tcBorders>
          </w:tcPr>
          <w:p>
            <w:pPr>
              <w:spacing w:after="0"/>
              <w:rPr>
                <w:sz w:val="2"/>
                <w:szCs w:val="2"/>
                <w:color w:val="auto"/>
              </w:rPr>
            </w:pPr>
          </w:p>
        </w:tc>
        <w:tc>
          <w:tcPr>
            <w:tcW w:w="2500" w:type="dxa"/>
            <w:vAlign w:val="bottom"/>
            <w:tcBorders>
              <w:bottom w:val="single" w:sz="8" w:color="EEEEEE"/>
            </w:tcBorders>
          </w:tcPr>
          <w:p>
            <w:pPr>
              <w:spacing w:after="0"/>
              <w:rPr>
                <w:sz w:val="2"/>
                <w:szCs w:val="2"/>
                <w:color w:val="auto"/>
              </w:rPr>
            </w:pPr>
          </w:p>
        </w:tc>
        <w:tc>
          <w:tcPr>
            <w:tcW w:w="62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200" w:type="dxa"/>
            <w:vAlign w:val="bottom"/>
            <w:tcBorders>
              <w:bottom w:val="single" w:sz="8" w:color="EEEEEE"/>
            </w:tcBorders>
          </w:tcPr>
          <w:p>
            <w:pPr>
              <w:spacing w:after="0"/>
              <w:rPr>
                <w:sz w:val="2"/>
                <w:szCs w:val="2"/>
                <w:color w:val="auto"/>
              </w:rPr>
            </w:pPr>
          </w:p>
        </w:tc>
        <w:tc>
          <w:tcPr>
            <w:tcW w:w="580" w:type="dxa"/>
            <w:vAlign w:val="bottom"/>
            <w:tcBorders>
              <w:bottom w:val="single" w:sz="8" w:color="EEEEEE"/>
            </w:tcBorders>
          </w:tcPr>
          <w:p>
            <w:pPr>
              <w:spacing w:after="0"/>
              <w:rPr>
                <w:sz w:val="2"/>
                <w:szCs w:val="2"/>
                <w:color w:val="auto"/>
              </w:rPr>
            </w:pPr>
          </w:p>
        </w:tc>
        <w:tc>
          <w:tcPr>
            <w:tcW w:w="200" w:type="dxa"/>
            <w:vAlign w:val="bottom"/>
            <w:tcBorders>
              <w:bottom w:val="single" w:sz="8" w:color="EEEEEE"/>
            </w:tcBorders>
          </w:tcPr>
          <w:p>
            <w:pPr>
              <w:spacing w:after="0"/>
              <w:rPr>
                <w:sz w:val="2"/>
                <w:szCs w:val="2"/>
                <w:color w:val="auto"/>
              </w:rPr>
            </w:pPr>
          </w:p>
        </w:tc>
        <w:tc>
          <w:tcPr>
            <w:tcW w:w="28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82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400" w:type="dxa"/>
            <w:vAlign w:val="bottom"/>
            <w:tcBorders>
              <w:bottom w:val="single" w:sz="8" w:color="EEEEEE"/>
            </w:tcBorders>
          </w:tcPr>
          <w:p>
            <w:pPr>
              <w:spacing w:after="0"/>
              <w:rPr>
                <w:sz w:val="2"/>
                <w:szCs w:val="2"/>
                <w:color w:val="auto"/>
              </w:rPr>
            </w:pPr>
          </w:p>
        </w:tc>
        <w:tc>
          <w:tcPr>
            <w:tcW w:w="1120" w:type="dxa"/>
            <w:vAlign w:val="bottom"/>
            <w:tcBorders>
              <w:bottom w:val="single" w:sz="8" w:color="EEEEEE"/>
            </w:tcBorders>
          </w:tcPr>
          <w:p>
            <w:pPr>
              <w:spacing w:after="0"/>
              <w:rPr>
                <w:sz w:val="2"/>
                <w:szCs w:val="2"/>
                <w:color w:val="auto"/>
              </w:rPr>
            </w:pPr>
          </w:p>
        </w:tc>
        <w:tc>
          <w:tcPr>
            <w:tcW w:w="400" w:type="dxa"/>
            <w:vAlign w:val="bottom"/>
            <w:tcBorders>
              <w:bottom w:val="single" w:sz="8" w:color="EEEEEE"/>
            </w:tcBorders>
          </w:tcPr>
          <w:p>
            <w:pPr>
              <w:spacing w:after="0"/>
              <w:rPr>
                <w:sz w:val="2"/>
                <w:szCs w:val="2"/>
                <w:color w:val="auto"/>
              </w:rPr>
            </w:pPr>
          </w:p>
        </w:tc>
        <w:tc>
          <w:tcPr>
            <w:tcW w:w="840" w:type="dxa"/>
            <w:vAlign w:val="bottom"/>
            <w:tcBorders>
              <w:bottom w:val="single" w:sz="8" w:color="EEEEEE"/>
            </w:tcBorders>
          </w:tcPr>
          <w:p>
            <w:pPr>
              <w:spacing w:after="0"/>
              <w:rPr>
                <w:sz w:val="2"/>
                <w:szCs w:val="2"/>
                <w:color w:val="auto"/>
              </w:rPr>
            </w:pPr>
          </w:p>
        </w:tc>
        <w:tc>
          <w:tcPr>
            <w:tcW w:w="20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0" w:type="dxa"/>
            <w:vAlign w:val="bottom"/>
          </w:tcPr>
          <w:p>
            <w:pPr>
              <w:spacing w:after="0"/>
              <w:rPr>
                <w:sz w:val="1"/>
                <w:szCs w:val="1"/>
                <w:color w:val="auto"/>
              </w:rPr>
            </w:pPr>
          </w:p>
        </w:tc>
      </w:tr>
      <w:tr>
        <w:trPr>
          <w:trHeight w:val="478"/>
        </w:trPr>
        <w:tc>
          <w:tcPr>
            <w:tcW w:w="506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4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Warrants</w:t>
            </w: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108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92"/>
              </w:rPr>
              <w:t>Exercisable</w:t>
            </w:r>
          </w:p>
        </w:tc>
        <w:tc>
          <w:tcPr>
            <w:tcW w:w="1520" w:type="dxa"/>
            <w:vAlign w:val="bottom"/>
            <w:gridSpan w:val="2"/>
            <w:vMerge w:val="restart"/>
          </w:tcPr>
          <w:p>
            <w:pPr>
              <w:jc w:val="center"/>
              <w:ind w:left="171"/>
              <w:spacing w:after="0"/>
              <w:rPr>
                <w:sz w:val="20"/>
                <w:szCs w:val="20"/>
                <w:color w:val="auto"/>
              </w:rPr>
            </w:pPr>
            <w:r>
              <w:rPr>
                <w:rFonts w:ascii="Arial" w:cs="Arial" w:eastAsia="Arial" w:hAnsi="Arial"/>
                <w:sz w:val="14"/>
                <w:szCs w:val="14"/>
                <w:b w:val="1"/>
                <w:bCs w:val="1"/>
                <w:color w:val="auto"/>
                <w:w w:val="91"/>
              </w:rPr>
              <w:t>Number of Shares</w:t>
            </w:r>
          </w:p>
        </w:tc>
        <w:tc>
          <w:tcPr>
            <w:tcW w:w="1440" w:type="dxa"/>
            <w:vAlign w:val="bottom"/>
            <w:gridSpan w:val="3"/>
            <w:vMerge w:val="restart"/>
          </w:tcPr>
          <w:p>
            <w:pPr>
              <w:jc w:val="center"/>
              <w:ind w:left="92"/>
              <w:spacing w:after="0"/>
              <w:rPr>
                <w:sz w:val="20"/>
                <w:szCs w:val="20"/>
                <w:color w:val="auto"/>
              </w:rPr>
            </w:pPr>
            <w:r>
              <w:rPr>
                <w:rFonts w:ascii="Arial" w:cs="Arial" w:eastAsia="Arial" w:hAnsi="Arial"/>
                <w:sz w:val="14"/>
                <w:szCs w:val="14"/>
                <w:b w:val="1"/>
                <w:bCs w:val="1"/>
                <w:color w:val="auto"/>
                <w:w w:val="88"/>
              </w:rPr>
              <w:t>Percentage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Shares</w:t>
            </w:r>
          </w:p>
        </w:tc>
        <w:tc>
          <w:tcPr>
            <w:tcW w:w="1360" w:type="dxa"/>
            <w:vAlign w:val="bottom"/>
            <w:gridSpan w:val="4"/>
          </w:tcPr>
          <w:p>
            <w:pPr>
              <w:jc w:val="center"/>
              <w:ind w:left="31"/>
              <w:spacing w:after="0" w:line="148" w:lineRule="exact"/>
              <w:rPr>
                <w:sz w:val="20"/>
                <w:szCs w:val="20"/>
                <w:color w:val="auto"/>
              </w:rPr>
            </w:pPr>
            <w:r>
              <w:rPr>
                <w:rFonts w:ascii="Arial" w:cs="Arial" w:eastAsia="Arial" w:hAnsi="Arial"/>
                <w:sz w:val="14"/>
                <w:szCs w:val="14"/>
                <w:b w:val="1"/>
                <w:bCs w:val="1"/>
                <w:color w:val="auto"/>
                <w:w w:val="92"/>
              </w:rPr>
              <w:t>and RSUs to be</w:t>
            </w:r>
          </w:p>
        </w:tc>
        <w:tc>
          <w:tcPr>
            <w:tcW w:w="15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Name and Address of Beneficial Owner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Beneficially</w:t>
            </w:r>
          </w:p>
        </w:tc>
        <w:tc>
          <w:tcPr>
            <w:tcW w:w="280" w:type="dxa"/>
            <w:vAlign w:val="bottom"/>
          </w:tcPr>
          <w:p>
            <w:pPr>
              <w:spacing w:after="0"/>
              <w:rPr>
                <w:sz w:val="12"/>
                <w:szCs w:val="12"/>
                <w:color w:val="auto"/>
              </w:rPr>
            </w:pPr>
          </w:p>
        </w:tc>
        <w:tc>
          <w:tcPr>
            <w:tcW w:w="108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94"/>
              </w:rPr>
              <w:t>Settled Within</w:t>
            </w:r>
          </w:p>
        </w:tc>
        <w:tc>
          <w:tcPr>
            <w:tcW w:w="400" w:type="dxa"/>
            <w:vAlign w:val="bottom"/>
          </w:tcPr>
          <w:p>
            <w:pPr>
              <w:spacing w:after="0"/>
              <w:rPr>
                <w:sz w:val="12"/>
                <w:szCs w:val="12"/>
                <w:color w:val="auto"/>
              </w:rPr>
            </w:pPr>
          </w:p>
        </w:tc>
        <w:tc>
          <w:tcPr>
            <w:tcW w:w="1120" w:type="dxa"/>
            <w:vAlign w:val="bottom"/>
          </w:tcPr>
          <w:p>
            <w:pPr>
              <w:jc w:val="center"/>
              <w:ind w:right="83"/>
              <w:spacing w:after="0" w:line="148" w:lineRule="exact"/>
              <w:rPr>
                <w:sz w:val="20"/>
                <w:szCs w:val="20"/>
                <w:color w:val="auto"/>
              </w:rPr>
            </w:pPr>
            <w:r>
              <w:rPr>
                <w:rFonts w:ascii="Arial" w:cs="Arial" w:eastAsia="Arial" w:hAnsi="Arial"/>
                <w:sz w:val="14"/>
                <w:szCs w:val="14"/>
                <w:b w:val="1"/>
                <w:bCs w:val="1"/>
                <w:color w:val="auto"/>
                <w:w w:val="92"/>
              </w:rPr>
              <w:t>Beneficially</w:t>
            </w:r>
          </w:p>
        </w:tc>
        <w:tc>
          <w:tcPr>
            <w:tcW w:w="400" w:type="dxa"/>
            <w:vAlign w:val="bottom"/>
          </w:tcPr>
          <w:p>
            <w:pPr>
              <w:spacing w:after="0"/>
              <w:rPr>
                <w:sz w:val="12"/>
                <w:szCs w:val="12"/>
                <w:color w:val="auto"/>
              </w:rPr>
            </w:pPr>
          </w:p>
        </w:tc>
        <w:tc>
          <w:tcPr>
            <w:tcW w:w="10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Beneficial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060" w:type="dxa"/>
            <w:vAlign w:val="bottom"/>
            <w:gridSpan w:val="4"/>
            <w:vMerge w:val="continue"/>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4"/>
              </w:rPr>
              <w:t>Owned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0"/>
              </w:rPr>
              <w:t>60 Days</w:t>
            </w:r>
          </w:p>
        </w:tc>
        <w:tc>
          <w:tcPr>
            <w:tcW w:w="400" w:type="dxa"/>
            <w:vAlign w:val="bottom"/>
          </w:tcPr>
          <w:p>
            <w:pPr>
              <w:spacing w:after="0"/>
              <w:rPr>
                <w:sz w:val="15"/>
                <w:szCs w:val="15"/>
                <w:color w:val="auto"/>
              </w:rPr>
            </w:pPr>
          </w:p>
        </w:tc>
        <w:tc>
          <w:tcPr>
            <w:tcW w:w="1120" w:type="dxa"/>
            <w:vAlign w:val="bottom"/>
          </w:tcPr>
          <w:p>
            <w:pPr>
              <w:jc w:val="center"/>
              <w:ind w:right="83"/>
              <w:spacing w:after="0" w:line="157" w:lineRule="exact"/>
              <w:rPr>
                <w:sz w:val="20"/>
                <w:szCs w:val="20"/>
                <w:color w:val="auto"/>
              </w:rPr>
            </w:pPr>
            <w:r>
              <w:rPr>
                <w:rFonts w:ascii="Arial" w:cs="Arial" w:eastAsia="Arial" w:hAnsi="Arial"/>
                <w:sz w:val="14"/>
                <w:szCs w:val="14"/>
                <w:b w:val="1"/>
                <w:bCs w:val="1"/>
                <w:color w:val="auto"/>
                <w:w w:val="94"/>
              </w:rPr>
              <w:t>Owned</w:t>
            </w:r>
          </w:p>
        </w:tc>
        <w:tc>
          <w:tcPr>
            <w:tcW w:w="400" w:type="dxa"/>
            <w:vAlign w:val="bottom"/>
          </w:tcPr>
          <w:p>
            <w:pPr>
              <w:spacing w:after="0"/>
              <w:rPr>
                <w:sz w:val="15"/>
                <w:szCs w:val="15"/>
                <w:color w:val="auto"/>
              </w:rPr>
            </w:pPr>
          </w:p>
        </w:tc>
        <w:tc>
          <w:tcPr>
            <w:tcW w:w="10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3"/>
              </w:rPr>
              <w:t>Ownership</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242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1"/>
              </w:rPr>
              <w:t>Juha Punnonen, M.D., Ph.D.(15)</w:t>
            </w:r>
          </w:p>
        </w:tc>
        <w:tc>
          <w:tcPr>
            <w:tcW w:w="2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80,631</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1120" w:type="dxa"/>
            <w:vAlign w:val="bottom"/>
            <w:tcBorders>
              <w:top w:val="single" w:sz="8" w:color="auto"/>
              <w:right w:val="single" w:sz="8" w:color="CCEEFF"/>
            </w:tcBorders>
            <w:shd w:val="clear" w:color="auto" w:fill="CCEEFF"/>
          </w:tcPr>
          <w:p>
            <w:pPr>
              <w:jc w:val="right"/>
              <w:ind w:right="3"/>
              <w:spacing w:after="0" w:line="202" w:lineRule="exact"/>
              <w:rPr>
                <w:sz w:val="20"/>
                <w:szCs w:val="20"/>
                <w:color w:val="auto"/>
              </w:rPr>
            </w:pPr>
            <w:r>
              <w:rPr>
                <w:rFonts w:ascii="Arial" w:cs="Arial" w:eastAsia="Arial" w:hAnsi="Arial"/>
                <w:sz w:val="18"/>
                <w:szCs w:val="18"/>
                <w:color w:val="auto"/>
              </w:rPr>
              <w:t>80,631</w:t>
            </w: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Peter Rasmussen(16)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50,481</w:t>
            </w:r>
          </w:p>
        </w:tc>
        <w:tc>
          <w:tcPr>
            <w:tcW w:w="140" w:type="dxa"/>
            <w:vAlign w:val="bottom"/>
          </w:tcPr>
          <w:p>
            <w:pPr>
              <w:spacing w:after="0"/>
              <w:rPr>
                <w:sz w:val="18"/>
                <w:szCs w:val="18"/>
                <w:color w:val="auto"/>
              </w:rPr>
            </w:pPr>
          </w:p>
        </w:tc>
        <w:tc>
          <w:tcPr>
            <w:tcW w:w="1520" w:type="dxa"/>
            <w:vAlign w:val="bottom"/>
            <w:gridSpan w:val="2"/>
          </w:tcPr>
          <w:p>
            <w:pPr>
              <w:jc w:val="right"/>
              <w:ind w:right="3"/>
              <w:spacing w:after="0"/>
              <w:rPr>
                <w:sz w:val="20"/>
                <w:szCs w:val="20"/>
                <w:color w:val="auto"/>
              </w:rPr>
            </w:pPr>
            <w:r>
              <w:rPr>
                <w:rFonts w:ascii="Arial" w:cs="Arial" w:eastAsia="Arial" w:hAnsi="Arial"/>
                <w:sz w:val="18"/>
                <w:szCs w:val="18"/>
                <w:color w:val="auto"/>
              </w:rPr>
              <w:t>50,481</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Stina Singel, M.D, Ph.D.(17)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24,679</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24,679</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Scott T. Smith(18)</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148,859</w:t>
            </w:r>
          </w:p>
        </w:tc>
        <w:tc>
          <w:tcPr>
            <w:tcW w:w="140" w:type="dxa"/>
            <w:vAlign w:val="bottom"/>
          </w:tcPr>
          <w:p>
            <w:pPr>
              <w:spacing w:after="0"/>
              <w:rPr>
                <w:sz w:val="18"/>
                <w:szCs w:val="18"/>
                <w:color w:val="auto"/>
              </w:rPr>
            </w:pPr>
          </w:p>
        </w:tc>
        <w:tc>
          <w:tcPr>
            <w:tcW w:w="1520" w:type="dxa"/>
            <w:vAlign w:val="bottom"/>
            <w:gridSpan w:val="2"/>
          </w:tcPr>
          <w:p>
            <w:pPr>
              <w:jc w:val="right"/>
              <w:ind w:right="3"/>
              <w:spacing w:after="0"/>
              <w:rPr>
                <w:sz w:val="20"/>
                <w:szCs w:val="20"/>
                <w:color w:val="auto"/>
              </w:rPr>
            </w:pPr>
            <w:r>
              <w:rPr>
                <w:rFonts w:ascii="Arial" w:cs="Arial" w:eastAsia="Arial" w:hAnsi="Arial"/>
                <w:sz w:val="18"/>
                <w:szCs w:val="18"/>
                <w:color w:val="auto"/>
              </w:rPr>
              <w:t>149,859</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Lotte Sønderbjerg(19)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151,895</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151,895</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Kennett Sprogøe, Ph.D.(20)</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129,172</w:t>
            </w:r>
          </w:p>
        </w:tc>
        <w:tc>
          <w:tcPr>
            <w:tcW w:w="140" w:type="dxa"/>
            <w:vAlign w:val="bottom"/>
          </w:tcPr>
          <w:p>
            <w:pPr>
              <w:spacing w:after="0"/>
              <w:rPr>
                <w:sz w:val="18"/>
                <w:szCs w:val="18"/>
                <w:color w:val="auto"/>
              </w:rPr>
            </w:pPr>
          </w:p>
        </w:tc>
        <w:tc>
          <w:tcPr>
            <w:tcW w:w="1520" w:type="dxa"/>
            <w:vAlign w:val="bottom"/>
            <w:gridSpan w:val="2"/>
          </w:tcPr>
          <w:p>
            <w:pPr>
              <w:jc w:val="right"/>
              <w:ind w:right="3"/>
              <w:spacing w:after="0"/>
              <w:rPr>
                <w:sz w:val="20"/>
                <w:szCs w:val="20"/>
                <w:color w:val="auto"/>
              </w:rPr>
            </w:pPr>
            <w:r>
              <w:rPr>
                <w:rFonts w:ascii="Arial" w:cs="Arial" w:eastAsia="Arial" w:hAnsi="Arial"/>
                <w:sz w:val="18"/>
                <w:szCs w:val="18"/>
                <w:color w:val="auto"/>
              </w:rPr>
              <w:t>129,202</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Birgitte Volck, M.D., Ph.D.(21)</w:t>
            </w:r>
          </w:p>
        </w:tc>
        <w:tc>
          <w:tcPr>
            <w:tcW w:w="1540" w:type="dxa"/>
            <w:vAlign w:val="bottom"/>
            <w:gridSpan w:val="4"/>
            <w:shd w:val="clear" w:color="auto" w:fill="CCEEFF"/>
          </w:tcPr>
          <w:p>
            <w:pPr>
              <w:ind w:left="1260"/>
              <w:spacing w:after="0"/>
              <w:rPr>
                <w:sz w:val="20"/>
                <w:szCs w:val="20"/>
                <w:color w:val="auto"/>
              </w:rPr>
            </w:pPr>
            <w:r>
              <w:rPr>
                <w:rFonts w:ascii="Arial" w:cs="Arial" w:eastAsia="Arial" w:hAnsi="Arial"/>
                <w:sz w:val="18"/>
                <w:szCs w:val="18"/>
                <w:color w:val="auto"/>
                <w:w w:val="86"/>
              </w:rPr>
              <w:t>230</w:t>
            </w: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62,412</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62,642</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Albert Cha, M.D., Ph.D.(22)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89,512</w:t>
            </w:r>
          </w:p>
        </w:tc>
        <w:tc>
          <w:tcPr>
            <w:tcW w:w="140" w:type="dxa"/>
            <w:vAlign w:val="bottom"/>
          </w:tcPr>
          <w:p>
            <w:pPr>
              <w:spacing w:after="0"/>
              <w:rPr>
                <w:sz w:val="18"/>
                <w:szCs w:val="18"/>
                <w:color w:val="auto"/>
              </w:rPr>
            </w:pPr>
          </w:p>
        </w:tc>
        <w:tc>
          <w:tcPr>
            <w:tcW w:w="1520" w:type="dxa"/>
            <w:vAlign w:val="bottom"/>
            <w:gridSpan w:val="2"/>
          </w:tcPr>
          <w:p>
            <w:pPr>
              <w:jc w:val="right"/>
              <w:ind w:right="3"/>
              <w:spacing w:after="0"/>
              <w:rPr>
                <w:sz w:val="20"/>
                <w:szCs w:val="20"/>
                <w:color w:val="auto"/>
              </w:rPr>
            </w:pPr>
            <w:r>
              <w:rPr>
                <w:rFonts w:ascii="Arial" w:cs="Arial" w:eastAsia="Arial" w:hAnsi="Arial"/>
                <w:sz w:val="18"/>
                <w:szCs w:val="18"/>
                <w:color w:val="auto"/>
              </w:rPr>
              <w:t>89,512</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Lisa Bright(23)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44,617</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44,617</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James I. Healy, M.D., Ph.D.(24)</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1,480,800</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89,512</w:t>
            </w:r>
          </w:p>
        </w:tc>
        <w:tc>
          <w:tcPr>
            <w:tcW w:w="140" w:type="dxa"/>
            <w:vAlign w:val="bottom"/>
          </w:tcPr>
          <w:p>
            <w:pPr>
              <w:spacing w:after="0"/>
              <w:rPr>
                <w:sz w:val="18"/>
                <w:szCs w:val="18"/>
                <w:color w:val="auto"/>
              </w:rPr>
            </w:pPr>
          </w:p>
        </w:tc>
        <w:tc>
          <w:tcPr>
            <w:tcW w:w="1520" w:type="dxa"/>
            <w:vAlign w:val="bottom"/>
            <w:gridSpan w:val="2"/>
          </w:tcPr>
          <w:p>
            <w:pPr>
              <w:jc w:val="right"/>
              <w:ind w:right="3"/>
              <w:spacing w:after="0"/>
              <w:rPr>
                <w:sz w:val="20"/>
                <w:szCs w:val="20"/>
                <w:color w:val="auto"/>
              </w:rPr>
            </w:pPr>
            <w:r>
              <w:rPr>
                <w:rFonts w:ascii="Arial" w:cs="Arial" w:eastAsia="Arial" w:hAnsi="Arial"/>
                <w:sz w:val="18"/>
                <w:szCs w:val="18"/>
                <w:color w:val="auto"/>
              </w:rPr>
              <w:t>1,570,312</w:t>
            </w:r>
          </w:p>
        </w:tc>
        <w:tc>
          <w:tcPr>
            <w:tcW w:w="1440" w:type="dxa"/>
            <w:vAlign w:val="bottom"/>
            <w:gridSpan w:val="3"/>
          </w:tcPr>
          <w:p>
            <w:pPr>
              <w:ind w:left="10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Lars Holtug, M.Sc.(25)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40,678</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40,678</w:t>
            </w: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Rafaèle Tordjman, M.D., Ph.D.(26)</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12,812</w:t>
            </w:r>
          </w:p>
        </w:tc>
        <w:tc>
          <w:tcPr>
            <w:tcW w:w="140" w:type="dxa"/>
            <w:vAlign w:val="bottom"/>
          </w:tcPr>
          <w:p>
            <w:pPr>
              <w:spacing w:after="0"/>
              <w:rPr>
                <w:sz w:val="19"/>
                <w:szCs w:val="19"/>
                <w:color w:val="auto"/>
              </w:rPr>
            </w:pPr>
          </w:p>
        </w:tc>
        <w:tc>
          <w:tcPr>
            <w:tcW w:w="1520" w:type="dxa"/>
            <w:vAlign w:val="bottom"/>
            <w:gridSpan w:val="2"/>
          </w:tcPr>
          <w:p>
            <w:pPr>
              <w:jc w:val="right"/>
              <w:ind w:right="3"/>
              <w:spacing w:after="0"/>
              <w:rPr>
                <w:sz w:val="20"/>
                <w:szCs w:val="20"/>
                <w:color w:val="auto"/>
              </w:rPr>
            </w:pPr>
            <w:r>
              <w:rPr>
                <w:rFonts w:ascii="Arial" w:cs="Arial" w:eastAsia="Arial" w:hAnsi="Arial"/>
                <w:sz w:val="18"/>
                <w:szCs w:val="18"/>
                <w:color w:val="auto"/>
              </w:rPr>
              <w:t>12,812</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-2797810</wp:posOffset>
            </wp:positionV>
            <wp:extent cx="33655" cy="679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679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-2797810</wp:posOffset>
            </wp:positionV>
            <wp:extent cx="33655" cy="679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67945"/>
                    </a:xfrm>
                    <a:prstGeom prst="rect">
                      <a:avLst/>
                    </a:prstGeom>
                    <a:noFill/>
                  </pic:spPr>
                </pic:pic>
              </a:graphicData>
            </a:graphic>
          </wp:anchor>
        </w:drawing>
      </w:r>
    </w:p>
    <w:p>
      <w:pPr>
        <w:sectPr>
          <w:pgSz w:w="11900" w:h="16838" w:orient="portrait"/>
          <w:cols w:equalWidth="0" w:num="1">
            <w:col w:w="11260"/>
          </w:cols>
          <w:pgMar w:left="320" w:top="485" w:right="319" w:bottom="1440" w:gutter="0" w:footer="0" w:header="0"/>
        </w:sectPr>
      </w:pP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60"/>
          </w:cols>
          <w:pgMar w:left="320" w:top="485" w:right="31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289560</wp:posOffset>
            </wp:positionV>
            <wp:extent cx="760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60" w:hanging="425"/>
        <w:spacing w:after="0"/>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Indicates beneficial ownership of less than 1% of the total outstanding ordinary shares.</w:t>
      </w:r>
    </w:p>
    <w:p>
      <w:pPr>
        <w:spacing w:after="0" w:line="139" w:lineRule="exact"/>
        <w:rPr>
          <w:sz w:val="20"/>
          <w:szCs w:val="20"/>
          <w:color w:val="auto"/>
        </w:rPr>
      </w:pPr>
    </w:p>
    <w:p>
      <w:pPr>
        <w:ind w:left="560" w:right="40" w:hanging="425"/>
        <w:spacing w:after="0" w:line="288" w:lineRule="auto"/>
        <w:tabs>
          <w:tab w:leader="none" w:pos="5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Consists of an aggregate of 7,940,434 ADSs beneficially owned, or that may be deemed to be beneficially owned, by Artisan Partners Limited Partnership (“APLP”), Artisan Investments GP LLC (“Artisan Investments”), Artisan Partners Holdings LP (“Artisan Holdings”), Artisan Partners Asset Management Inc. (“APAM”), and Artisan Partners Funds, Inc. (“Artisan Funds”) as reported by Amendment No. 2 to Schedule 13G filed on February 4, 2022. Artisan Holdings is the sole limited partner of APLP and the sole member of Artisan Investments; Artisan Investments is the general partner of APLP; APAM is the general partner of Artisan Holdings. APLP, Artisan Investments, Artisan Holdings and APAM have shared voting power over 6,830,520 shares and shared dispositive power over 7,940,434 shares. Artisan Funds has shared voting and dispositive power over 3,453,421 shares. The address of APLP, Artisan Investments, Artisan Holdings, APAM, and Artisan Funds is 875 East Wisconsin Avenue, Suite 800, Milwaukee, WI 53202.</w:t>
      </w:r>
    </w:p>
    <w:p>
      <w:pPr>
        <w:spacing w:after="0" w:line="84" w:lineRule="exact"/>
        <w:rPr>
          <w:rFonts w:ascii="Arial" w:cs="Arial" w:eastAsia="Arial" w:hAnsi="Arial"/>
          <w:sz w:val="15"/>
          <w:szCs w:val="15"/>
          <w:color w:val="auto"/>
        </w:rPr>
      </w:pPr>
    </w:p>
    <w:p>
      <w:pPr>
        <w:ind w:left="560" w:right="20" w:hanging="425"/>
        <w:spacing w:after="0" w:line="286" w:lineRule="auto"/>
        <w:tabs>
          <w:tab w:leader="none" w:pos="5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Consists of 7,567,900 ADSs held by RA Capital Healthcare Fund, L.P. (the “RA Fund”) as reported by Amendment No. 11 to Schedule 13G filed with the SEC on February 14, 2022 by RA Capital Management, L.P. (“RA Capital”). RA Capital Healthcare Fund GP, LLC is the general partner of the RA Fund. The general partner of RA Capital is RA Capital Management GP, LLC, of which Peter Kolchinsky and Rajeev Shah are the controlling persons. RA Capital serves as investment adviser for the RA Fund and may be deemed a beneficial owner of ADSs held by the RA Fund. The RA Fund has delegated to RA Capital the sole power to vote and the sole power to dispose of all securities held in the RA Fund’s portfolio. Because the RA Fund has divested voting and investment power over the reported securities it holds and may not revoke that delegation on less than 61 days’ notice, the RA Fund disclaims beneficial ownership of the securities it holds and therefore disclaims any obligation to report ownership of the reported securities. As managers of RA Capital, Dr. Kolchinsky and Mr. Shah may be deemed beneficial owners of the ADSs beneficially owned by RA Capital. The address of the RA Fund, the RA Capital, Dr. Kolchinsky and Mr. Shah is c/o RA Capital Management, L.P., 200 Berkeley Street, 18th Floor, Boston, MA 02116.</w:t>
      </w:r>
    </w:p>
    <w:p>
      <w:pPr>
        <w:spacing w:after="0" w:line="87" w:lineRule="exact"/>
        <w:rPr>
          <w:rFonts w:ascii="Arial" w:cs="Arial" w:eastAsia="Arial" w:hAnsi="Arial"/>
          <w:sz w:val="15"/>
          <w:szCs w:val="15"/>
          <w:color w:val="auto"/>
        </w:rPr>
      </w:pPr>
    </w:p>
    <w:p>
      <w:pPr>
        <w:ind w:left="560" w:right="60" w:hanging="425"/>
        <w:spacing w:after="0" w:line="285" w:lineRule="auto"/>
        <w:tabs>
          <w:tab w:leader="none" w:pos="5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Consists of an aggregate of 5,355,943 ADSs beneficially owned, or that may be deemed to be beneficially owned, by FMR LLC, certain of its affiliates and other companies as reported on Amendment No. 8 to Schedule 13G filed on February 9, 2022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a wholly owned subsidiary of FMR LLC, which power resides with the Fidelity Funds’ Boards of Trustees. FMR Co carries out the voting of the shares under written guidelines established by the Fidelity Funds’ Boards of Trustees. FMR LLC has its principal business office at 245 Summer Street, Boston, MA 02210.</w:t>
      </w:r>
    </w:p>
    <w:p>
      <w:pPr>
        <w:spacing w:after="0" w:line="87" w:lineRule="exact"/>
        <w:rPr>
          <w:rFonts w:ascii="Arial" w:cs="Arial" w:eastAsia="Arial" w:hAnsi="Arial"/>
          <w:sz w:val="15"/>
          <w:szCs w:val="15"/>
          <w:color w:val="auto"/>
        </w:rPr>
      </w:pPr>
    </w:p>
    <w:p>
      <w:pPr>
        <w:jc w:val="both"/>
        <w:ind w:left="560" w:right="180" w:hanging="425"/>
        <w:spacing w:after="0" w:line="277" w:lineRule="auto"/>
        <w:tabs>
          <w:tab w:leader="none" w:pos="5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4,761,193 ordinary shares and ADSs held by T. Rowe Price Associates, Inc. (“Price Associates”) as reported by Amendment No. 4 to Schedule 13G filed on February 14, 2022 by Price Associates. Price Associates, may be deemed to have sole power to vote over 1,596,799 shares and sole power to dispose of 4,761,193 shares. The address of Price Associates is 100 E. Pratt Street, Baltimore, Maryland 21202.</w:t>
      </w:r>
    </w:p>
    <w:p>
      <w:pPr>
        <w:spacing w:after="0" w:line="89" w:lineRule="exact"/>
        <w:rPr>
          <w:rFonts w:ascii="Arial" w:cs="Arial" w:eastAsia="Arial" w:hAnsi="Arial"/>
          <w:sz w:val="16"/>
          <w:szCs w:val="16"/>
          <w:color w:val="auto"/>
        </w:rPr>
      </w:pPr>
    </w:p>
    <w:p>
      <w:pPr>
        <w:ind w:left="560" w:hanging="425"/>
        <w:spacing w:after="0" w:line="309" w:lineRule="auto"/>
        <w:tabs>
          <w:tab w:leader="none" w:pos="5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Consists of (i) 4,195,958 ADSs held by Baker Brothers Life Sciences, L.P. (“Life Sciences”) and (ii) 345,646 ADSs held by 667, L.P. (“667” and together with Life Sciences, the “Funds”) as reported on Amendment No. 4 to Schedule 13G filed on February 14, 2022 by Baker Bros. Advisors LP (the “Adviser”), Baker Bros. Advisors (GP) LLC (the “Adviser GP”), Felix J. Baker and Julian C. Baker (collectively, “Baker Bros.”). The Adviser GP, Felix J. Baker and Julian C. Baker as managing members of the Adviser GP, and the Adviser may be deemed to be beneficial owners of the ADSs directly held by the Funds. The Adviser GP is the sole general partner of the Adviser. Pursuant to the management agreements, as amended, among the Adviser, Life Sciences and 667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address of Baker Bros. is c/o Baker Bros. Advisors LP, 860 Washington Street, 3</w:t>
      </w:r>
      <w:r>
        <w:rPr>
          <w:rFonts w:ascii="Arial" w:cs="Arial" w:eastAsia="Arial" w:hAnsi="Arial"/>
          <w:sz w:val="19"/>
          <w:szCs w:val="19"/>
          <w:color w:val="auto"/>
          <w:vertAlign w:val="superscript"/>
        </w:rPr>
        <w:t>rd</w:t>
      </w:r>
      <w:r>
        <w:rPr>
          <w:rFonts w:ascii="Arial" w:cs="Arial" w:eastAsia="Arial" w:hAnsi="Arial"/>
          <w:sz w:val="14"/>
          <w:szCs w:val="14"/>
          <w:color w:val="auto"/>
        </w:rPr>
        <w:t xml:space="preserve"> Floor, New York, NY 10014.</w:t>
      </w:r>
    </w:p>
    <w:p>
      <w:pPr>
        <w:spacing w:after="0" w:line="3" w:lineRule="exact"/>
        <w:rPr>
          <w:rFonts w:ascii="Arial" w:cs="Arial" w:eastAsia="Arial" w:hAnsi="Arial"/>
          <w:sz w:val="14"/>
          <w:szCs w:val="14"/>
          <w:color w:val="auto"/>
        </w:rPr>
      </w:pPr>
    </w:p>
    <w:p>
      <w:pPr>
        <w:ind w:left="560" w:right="40" w:hanging="425"/>
        <w:spacing w:after="0" w:line="272" w:lineRule="auto"/>
        <w:tabs>
          <w:tab w:leader="none" w:pos="5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an aggregate of 4,068,476 ADSs beneficially owned, or that may be deemed to be beneficially owned, by Wellington Management Group LLP (“Management Group”), certain of its affiliates and other companies as reported by Amendment No. 1 to Schedule 13G filed on February 4, 2022 by Management Group, Wellington Group Holdings LLP, Wellington Investment Advisors Holdings LLP and Wellington Management Global Holdings, Ltd. The address of the Management Group is 280 Congress Street, Boston, MA 02210.</w:t>
      </w:r>
    </w:p>
    <w:p>
      <w:pPr>
        <w:spacing w:after="0" w:line="94" w:lineRule="exact"/>
        <w:rPr>
          <w:rFonts w:ascii="Arial" w:cs="Arial" w:eastAsia="Arial" w:hAnsi="Arial"/>
          <w:sz w:val="16"/>
          <w:szCs w:val="16"/>
          <w:color w:val="auto"/>
        </w:rPr>
      </w:pPr>
    </w:p>
    <w:p>
      <w:pPr>
        <w:ind w:left="560" w:right="320" w:hanging="425"/>
        <w:spacing w:after="0" w:line="277" w:lineRule="auto"/>
        <w:tabs>
          <w:tab w:leader="none" w:pos="5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an aggregate of 3,219,965 ADSs beneficially owned, or that may be deemed to be beneficially owned, by Janus Henderson Group plc (“Janus Henderson”) as reported on Amendment No. 1 to Schedule 13G filed on February 10, 2022. The address of Janus Henderson is 201 Bishopsgate, EC2M 3AE, United Kingdom.</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85"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560" w:right="280" w:hanging="425"/>
        <w:spacing w:after="0" w:line="291" w:lineRule="auto"/>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(i) 507,096 ordinary shares and ADSs held by Mr. Mikkelsen, and (ii) 1,169,603 ordinary shares that may be subscribed pursuant to the exercise of warrants within 60 days of February 1, 2022 by Mr. Mikkelsen.</w:t>
      </w:r>
    </w:p>
    <w:p>
      <w:pPr>
        <w:spacing w:after="0" w:line="7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42,443 ordinary shares that may be subscribed pursuant to the exercise of warrants within 60 days of February 1, 2022 by Dr. Breinholt.</w:t>
      </w:r>
    </w:p>
    <w:p>
      <w:pPr>
        <w:spacing w:after="0" w:line="13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44,115 ordinary shares that may be subscribed pursuant to the exercise of warrants within 60 days of February 1, 2022 by Mr. Høiland.</w:t>
      </w:r>
    </w:p>
    <w:p>
      <w:pPr>
        <w:spacing w:after="0" w:line="13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110,359 ordinary shares that may be subscribed pursuant to the exercise of warrants within 60 days of February 1, 2022 by Mr. Jensen.</w:t>
      </w:r>
    </w:p>
    <w:p>
      <w:pPr>
        <w:spacing w:after="0" w:line="13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98,859 ordinary shares that may be subscribed pursuant to the exercise of warrants within 60 days of February 1, 2022 by Mr. Jensen.</w:t>
      </w:r>
    </w:p>
    <w:p>
      <w:pPr>
        <w:spacing w:after="0" w:line="13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69,322 ordinary shares that may be subscribed pursuant to the exercise of warrants within 60 days of February 1, 2022 by Dr. Okkels.</w:t>
      </w:r>
    </w:p>
    <w:p>
      <w:pPr>
        <w:spacing w:after="0" w:line="13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27,509 ordinary shares that may be subscribed pursuant to the exercise of warrants within 60 days of February 1, 2022 by Dr. Pizzuti.</w:t>
      </w:r>
    </w:p>
    <w:p>
      <w:pPr>
        <w:spacing w:after="0" w:line="13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Consists of 80,631 ordinary shares that may be subscribed pursuant to the exercise of warrants within 60 days of February 1, 2022 by Dr. Punnonen.</w:t>
      </w:r>
    </w:p>
    <w:p>
      <w:pPr>
        <w:spacing w:after="0" w:line="150" w:lineRule="exact"/>
        <w:rPr>
          <w:rFonts w:ascii="Arial" w:cs="Arial" w:eastAsia="Arial" w:hAnsi="Arial"/>
          <w:sz w:val="15"/>
          <w:szCs w:val="15"/>
          <w:color w:val="auto"/>
        </w:rPr>
      </w:pPr>
    </w:p>
    <w:p>
      <w:pPr>
        <w:ind w:left="560" w:hanging="425"/>
        <w:spacing w:after="0"/>
        <w:tabs>
          <w:tab w:leader="none" w:pos="5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Consists of 50,481 ordinary shares that may be subscribed pursuant to the exercise of warrants within 60 days of February 1, 2022 by Mr. Rasmussen</w:t>
      </w:r>
    </w:p>
    <w:p>
      <w:pPr>
        <w:spacing w:after="0" w:line="150" w:lineRule="exact"/>
        <w:rPr>
          <w:rFonts w:ascii="Arial" w:cs="Arial" w:eastAsia="Arial" w:hAnsi="Arial"/>
          <w:sz w:val="15"/>
          <w:szCs w:val="15"/>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24,679 ordinary shares that may be subscribed pursuant to the exercise of warrants within 60 days of February 1, 2022 by Dr. Singel.</w:t>
      </w:r>
    </w:p>
    <w:p>
      <w:pPr>
        <w:spacing w:after="0" w:line="138" w:lineRule="exact"/>
        <w:rPr>
          <w:rFonts w:ascii="Arial" w:cs="Arial" w:eastAsia="Arial" w:hAnsi="Arial"/>
          <w:sz w:val="16"/>
          <w:szCs w:val="16"/>
          <w:color w:val="auto"/>
        </w:rPr>
      </w:pPr>
    </w:p>
    <w:p>
      <w:pPr>
        <w:ind w:left="560" w:hanging="425"/>
        <w:spacing w:after="0" w:line="291" w:lineRule="auto"/>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(i) 1,000 ordinary shares held by Mr. Smith and (ii) 148,859 ordinary shares that may be subscribed pursuant to the exercise of warrants within 60 days of February 1, 2022 by Mr. Smith.</w:t>
      </w:r>
    </w:p>
    <w:p>
      <w:pPr>
        <w:spacing w:after="0" w:line="7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Consists of 151,895 ordinary shares that may be subscribed pursuant to the exercise of warrants within 60 days of February 1, 2022 by Ms. Sønderbjerg.</w:t>
      </w:r>
    </w:p>
    <w:p>
      <w:pPr>
        <w:spacing w:after="0" w:line="150" w:lineRule="exact"/>
        <w:rPr>
          <w:rFonts w:ascii="Arial" w:cs="Arial" w:eastAsia="Arial" w:hAnsi="Arial"/>
          <w:sz w:val="15"/>
          <w:szCs w:val="15"/>
          <w:color w:val="auto"/>
        </w:rPr>
      </w:pPr>
    </w:p>
    <w:p>
      <w:pPr>
        <w:ind w:left="560" w:right="120" w:hanging="425"/>
        <w:spacing w:after="0" w:line="291" w:lineRule="auto"/>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(i) 129,172 ordinary shares that may be subscribed pursuant to the exercise of warrants within 60 days of February 1, 2022 by Dr. Sprogøe and (ii) 30 ADSs held by family members of Dr. Sprogøe.</w:t>
      </w:r>
    </w:p>
    <w:p>
      <w:pPr>
        <w:spacing w:after="0" w:line="78" w:lineRule="exact"/>
        <w:rPr>
          <w:rFonts w:ascii="Arial" w:cs="Arial" w:eastAsia="Arial" w:hAnsi="Arial"/>
          <w:sz w:val="16"/>
          <w:szCs w:val="16"/>
          <w:color w:val="auto"/>
        </w:rPr>
      </w:pPr>
    </w:p>
    <w:p>
      <w:pPr>
        <w:ind w:left="560" w:right="280" w:hanging="425"/>
        <w:spacing w:after="0" w:line="291" w:lineRule="auto"/>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(i) 62,412 ordinary shares that may be subscribed pursuant to the exercise of warrants within 60 days of February 1, 2022 by Dr. Volck and (ii) 230 ADSs held by family members of Dr. Volck.</w:t>
      </w:r>
    </w:p>
    <w:p>
      <w:pPr>
        <w:spacing w:after="0" w:line="7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89,512 ordinary shares that may be subscribed pursuant to the exercise of warrants within 60 days of February 1, 2022 by Dr. Cha.</w:t>
      </w:r>
    </w:p>
    <w:p>
      <w:pPr>
        <w:spacing w:after="0" w:line="13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44,617 ordinary shares that may be subscribed pursuant to the exercise of warrants within 60 days of February 1, 2022 by Ms. Bright.</w:t>
      </w:r>
    </w:p>
    <w:p>
      <w:pPr>
        <w:spacing w:after="0" w:line="138" w:lineRule="exact"/>
        <w:rPr>
          <w:rFonts w:ascii="Arial" w:cs="Arial" w:eastAsia="Arial" w:hAnsi="Arial"/>
          <w:sz w:val="16"/>
          <w:szCs w:val="16"/>
          <w:color w:val="auto"/>
        </w:rPr>
      </w:pPr>
    </w:p>
    <w:p>
      <w:pPr>
        <w:ind w:left="560" w:hanging="425"/>
        <w:spacing w:after="0" w:line="268" w:lineRule="auto"/>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(i) 89,512 ordinary shares that may be subscribed pursuant to the exercise of warrants within 60 days of February 1, 2022 by Dr. Healy, (ii) 1,480,800 ordinary shares and ADSs held by Sofinnova Venture Partners IX, L.P. (“SVP IX”). Sofinnova Management IX, L.L.C. (“SM IX”) is the general partner of SVP IX and may be deemed to have sole power to vote and sole power to dispose of shares directly owned by SVP IX. Dr. James I. Healy is the sole managing member of SM IX and may be deemed to have voting and dispositive power over the shares directly owned by each of SVP IX and SM IX. Dr. Healy disclaims beneficial ownership over the shares held by SVP IX and SM IX, except to the extent of his pecuniary interests therein. The address of SVP IX is c/o Sofinnova Ventures, Inc., 3000 Sand Hill Road, Bldg. 4, Suite 250, Menlo Park, California 94025.</w:t>
      </w:r>
    </w:p>
    <w:p>
      <w:pPr>
        <w:spacing w:after="0" w:line="99"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40,678 ordinary shares that may be subscribed pursuant to the exercise of warrants within 60 days of February 1, 2022 by Mr. Holtug.</w:t>
      </w:r>
    </w:p>
    <w:p>
      <w:pPr>
        <w:spacing w:after="0" w:line="138" w:lineRule="exact"/>
        <w:rPr>
          <w:rFonts w:ascii="Arial" w:cs="Arial" w:eastAsia="Arial" w:hAnsi="Arial"/>
          <w:sz w:val="16"/>
          <w:szCs w:val="16"/>
          <w:color w:val="auto"/>
        </w:rPr>
      </w:pPr>
    </w:p>
    <w:p>
      <w:pPr>
        <w:ind w:left="560" w:hanging="425"/>
        <w:spacing w:after="0"/>
        <w:tabs>
          <w:tab w:leader="none" w:pos="5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12,812 ordinary shares that may be subscribed pursuant to the exercise of warrants within 60 days of February 1, 2022 by Dr. Tordjman.</w:t>
      </w:r>
    </w:p>
    <w:p>
      <w:pPr>
        <w:spacing w:after="0" w:line="33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Record Holders</w:t>
      </w:r>
    </w:p>
    <w:p>
      <w:pPr>
        <w:spacing w:after="0" w:line="116" w:lineRule="exact"/>
        <w:rPr>
          <w:sz w:val="20"/>
          <w:szCs w:val="20"/>
          <w:color w:val="auto"/>
        </w:rPr>
      </w:pPr>
    </w:p>
    <w:p>
      <w:pPr>
        <w:ind w:left="140" w:right="60"/>
        <w:spacing w:after="0" w:line="253" w:lineRule="auto"/>
        <w:rPr>
          <w:sz w:val="20"/>
          <w:szCs w:val="20"/>
          <w:color w:val="auto"/>
        </w:rPr>
      </w:pPr>
      <w:r>
        <w:rPr>
          <w:rFonts w:ascii="Arial" w:cs="Arial" w:eastAsia="Arial" w:hAnsi="Arial"/>
          <w:sz w:val="18"/>
          <w:szCs w:val="18"/>
          <w:color w:val="auto"/>
        </w:rPr>
        <w:t>As of February 1, 2022, assuming that all of our ordinary shares represented by ADSs are held by residents of the United States, 100% of our outstanding ordinary shares were held in the United States by three holders of record and none of our outstanding ordinary shares were held outside of the United States. At such date, there were outstanding 55,529,610 ADSs, each representing one of our ordinary shares, and in the aggregate representing 97.5% of our outstanding ordinary shares. At such date, there were two holders of record registered with the Bank of New York Mellon, depositary of the ADSs. The actual number of holders is greater than these numbers of record holders and includes beneficial owners whose ADSs are held in street name by brokers and other nominees. This number of holders of record also does not include holders whose shares may be held in trust by other entities.</w:t>
      </w:r>
    </w:p>
    <w:p>
      <w:pPr>
        <w:spacing w:after="0" w:line="339" w:lineRule="exact"/>
        <w:rPr>
          <w:sz w:val="20"/>
          <w:szCs w:val="20"/>
          <w:color w:val="auto"/>
        </w:rPr>
      </w:pPr>
    </w:p>
    <w:p>
      <w:pPr>
        <w:ind w:left="560" w:hanging="425"/>
        <w:spacing w:after="0"/>
        <w:tabs>
          <w:tab w:leader="none" w:pos="5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0" w:lineRule="exact"/>
        <w:rPr>
          <w:sz w:val="20"/>
          <w:szCs w:val="20"/>
          <w:color w:val="auto"/>
        </w:rPr>
      </w:pPr>
    </w:p>
    <w:p>
      <w:pPr>
        <w:ind w:left="140" w:right="520"/>
        <w:spacing w:after="0" w:line="275"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2021 with any of our board members, our senior management, the owners of more than five percent of our share capital, and any other related parties.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85"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Employment Agreements and Warrant Grants</w:t>
      </w:r>
    </w:p>
    <w:p>
      <w:pPr>
        <w:spacing w:after="0" w:line="116" w:lineRule="exact"/>
        <w:rPr>
          <w:sz w:val="20"/>
          <w:szCs w:val="20"/>
          <w:color w:val="auto"/>
        </w:rPr>
      </w:pPr>
    </w:p>
    <w:p>
      <w:pPr>
        <w:ind w:left="140" w:right="180"/>
        <w:spacing w:after="0" w:line="285" w:lineRule="auto"/>
        <w:rPr>
          <w:sz w:val="20"/>
          <w:szCs w:val="20"/>
          <w:color w:val="auto"/>
        </w:rPr>
      </w:pPr>
      <w:r>
        <w:rPr>
          <w:rFonts w:ascii="Arial" w:cs="Arial" w:eastAsia="Arial" w:hAnsi="Arial"/>
          <w:sz w:val="17"/>
          <w:szCs w:val="17"/>
          <w:color w:val="auto"/>
        </w:rPr>
        <w:t>We have entered into employment agreements with, and issued warrants to, the members of our senior management and our independent board of directors. In addition, we are paying fees for board tenure and board committee tenure to the independent members of our board of directors. See Item 6.B. “Directors, Senior Management and Employees—Compensation” for more information.</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6" w:lineRule="exact"/>
        <w:rPr>
          <w:sz w:val="20"/>
          <w:szCs w:val="20"/>
          <w:color w:val="auto"/>
        </w:rPr>
      </w:pPr>
    </w:p>
    <w:p>
      <w:pPr>
        <w:ind w:left="140" w:right="240"/>
        <w:spacing w:after="0" w:line="306" w:lineRule="auto"/>
        <w:rPr>
          <w:sz w:val="20"/>
          <w:szCs w:val="20"/>
          <w:color w:val="auto"/>
        </w:rPr>
      </w:pPr>
      <w:r>
        <w:rPr>
          <w:rFonts w:ascii="Arial" w:cs="Arial" w:eastAsia="Arial" w:hAnsi="Arial"/>
          <w:sz w:val="17"/>
          <w:szCs w:val="17"/>
          <w:color w:val="auto"/>
        </w:rPr>
        <w:t>We have entered into indemnification agreements with our board members and members of our senior management. See Item 6.B. “Directors, Senior Management and Employees—Compensation—Insurance and Indemnification” for a description of these indemnification agreements.</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VISEN Pharmaceuticals</w:t>
      </w:r>
    </w:p>
    <w:p>
      <w:pPr>
        <w:spacing w:after="0" w:line="116" w:lineRule="exact"/>
        <w:rPr>
          <w:sz w:val="20"/>
          <w:szCs w:val="20"/>
          <w:color w:val="auto"/>
        </w:rPr>
      </w:pPr>
    </w:p>
    <w:p>
      <w:pPr>
        <w:ind w:left="140" w:right="100"/>
        <w:spacing w:after="0" w:line="258" w:lineRule="auto"/>
        <w:rPr>
          <w:sz w:val="20"/>
          <w:szCs w:val="20"/>
          <w:color w:val="auto"/>
        </w:rPr>
      </w:pPr>
      <w:r>
        <w:rPr>
          <w:rFonts w:ascii="Arial" w:cs="Arial" w:eastAsia="Arial" w:hAnsi="Arial"/>
          <w:sz w:val="18"/>
          <w:szCs w:val="18"/>
          <w:color w:val="auto"/>
        </w:rPr>
        <w:t>On January 8, 2021, we announced the completion of a Series B financing by VISEN Pharmaceuticals (“VISEN”), a company established in 2018 to develop, manufacture and commercialize innovative endocrinology therapies in the People’s Republic of China, including Hong Kong, Macau, and Taiwan, or Greater China. VISEN raised approximately $150 million in gross proceeds from certain investors in this financing, including $12.5 million from us.</w:t>
      </w:r>
    </w:p>
    <w:p>
      <w:pPr>
        <w:spacing w:after="0" w:line="186" w:lineRule="exact"/>
        <w:rPr>
          <w:sz w:val="20"/>
          <w:szCs w:val="20"/>
          <w:color w:val="auto"/>
        </w:rPr>
      </w:pPr>
    </w:p>
    <w:p>
      <w:pPr>
        <w:ind w:left="140" w:right="440"/>
        <w:spacing w:after="0" w:line="306" w:lineRule="auto"/>
        <w:rPr>
          <w:sz w:val="20"/>
          <w:szCs w:val="20"/>
          <w:color w:val="auto"/>
        </w:rPr>
      </w:pPr>
      <w:r>
        <w:rPr>
          <w:rFonts w:ascii="Arial" w:cs="Arial" w:eastAsia="Arial" w:hAnsi="Arial"/>
          <w:sz w:val="17"/>
          <w:szCs w:val="17"/>
          <w:color w:val="auto"/>
        </w:rPr>
        <w:t>In connection with the Company’s investment in VISEN, on January 8, 2021, we entered into an Amended and Restated Shareholders Agreement, amending and restating the Shareholders Agreement dated November 7, 2018, between us and the parties set forth therein.</w:t>
      </w:r>
    </w:p>
    <w:p>
      <w:pPr>
        <w:spacing w:after="0" w:line="147" w:lineRule="exact"/>
        <w:rPr>
          <w:sz w:val="20"/>
          <w:szCs w:val="20"/>
          <w:color w:val="auto"/>
        </w:rPr>
      </w:pPr>
    </w:p>
    <w:p>
      <w:pPr>
        <w:ind w:left="140" w:right="120"/>
        <w:spacing w:after="0" w:line="340" w:lineRule="auto"/>
        <w:rPr>
          <w:sz w:val="20"/>
          <w:szCs w:val="20"/>
          <w:color w:val="auto"/>
        </w:rPr>
      </w:pPr>
      <w:r>
        <w:rPr>
          <w:rFonts w:ascii="Arial" w:cs="Arial" w:eastAsia="Arial" w:hAnsi="Arial"/>
          <w:sz w:val="16"/>
          <w:szCs w:val="16"/>
          <w:color w:val="auto"/>
        </w:rPr>
        <w:t>We have provided research and development services to VISEN under our Rights Agreements which will be reimbursed by VISEN. Further, under our Rights Agreements and clinical supply agreements, we have provided and agreed to provide product supply to VISEN for use in Greater China.</w:t>
      </w:r>
    </w:p>
    <w:p>
      <w:pPr>
        <w:spacing w:after="0" w:line="268" w:lineRule="exact"/>
        <w:rPr>
          <w:sz w:val="20"/>
          <w:szCs w:val="20"/>
          <w:color w:val="auto"/>
        </w:rPr>
      </w:pPr>
    </w:p>
    <w:p>
      <w:pPr>
        <w:ind w:left="560" w:hanging="425"/>
        <w:spacing w:after="0"/>
        <w:tabs>
          <w:tab w:leader="none" w:pos="5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29" w:lineRule="exact"/>
        <w:rPr>
          <w:sz w:val="20"/>
          <w:szCs w:val="20"/>
          <w:color w:val="auto"/>
        </w:rPr>
      </w:pPr>
    </w:p>
    <w:p>
      <w:pPr>
        <w:ind w:left="560" w:hanging="425"/>
        <w:spacing w:after="0"/>
        <w:tabs>
          <w:tab w:leader="none" w:pos="5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the financial statements beginning on page F-1.</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Legal Proceedings</w:t>
      </w:r>
    </w:p>
    <w:p>
      <w:pPr>
        <w:spacing w:after="0" w:line="120" w:lineRule="exact"/>
        <w:rPr>
          <w:sz w:val="20"/>
          <w:szCs w:val="20"/>
          <w:color w:val="auto"/>
        </w:rPr>
      </w:pPr>
    </w:p>
    <w:p>
      <w:pPr>
        <w:ind w:left="140" w:right="180"/>
        <w:spacing w:after="0" w:line="310"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Dividends</w:t>
      </w:r>
    </w:p>
    <w:p>
      <w:pPr>
        <w:spacing w:after="0" w:line="120"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color w:val="auto"/>
        </w:rPr>
        <w:t>We do not at present plan to pay cash dividends on our ordinary shares. Under Danish law, the distribution of ordinary and extraordinary dividends requires the approval of a company’s shareholders at a company’s general meeting. Under the Danish Companies Act the general meeting may authorise the board of directors to resolve to distribute extraordinary dividends after presentation of a company’s first financial statements. The authorisation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extraordinary dividends.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85"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60" w:hanging="425"/>
        <w:spacing w:after="0"/>
        <w:tabs>
          <w:tab w:leader="none" w:pos="5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Note 21 “Subsequent Events” to the audited consolidated financial statements included elsewhere in this annual report.</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9" w:lineRule="exact"/>
        <w:rPr>
          <w:sz w:val="20"/>
          <w:szCs w:val="20"/>
          <w:color w:val="auto"/>
        </w:rPr>
      </w:pPr>
    </w:p>
    <w:p>
      <w:pPr>
        <w:ind w:left="560" w:hanging="425"/>
        <w:spacing w:after="0"/>
        <w:tabs>
          <w:tab w:leader="none" w:pos="5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120" w:lineRule="exact"/>
        <w:rPr>
          <w:sz w:val="20"/>
          <w:szCs w:val="20"/>
          <w:color w:val="auto"/>
        </w:rPr>
      </w:pPr>
    </w:p>
    <w:p>
      <w:pPr>
        <w:ind w:left="140" w:right="300"/>
        <w:spacing w:after="0" w:line="275" w:lineRule="auto"/>
        <w:rPr>
          <w:sz w:val="20"/>
          <w:szCs w:val="20"/>
          <w:color w:val="auto"/>
        </w:rPr>
      </w:pPr>
      <w:r>
        <w:rPr>
          <w:rFonts w:ascii="Arial" w:cs="Arial" w:eastAsia="Arial" w:hAnsi="Arial"/>
          <w:sz w:val="18"/>
          <w:szCs w:val="18"/>
          <w:color w:val="auto"/>
        </w:rPr>
        <w:t>The ADS have been listed on The Nasdaq Global Select Market under the symbol “ASND” since January 28, 2015. Prior to that date, there was no public trading market for ADSs or our ordinary shares.</w:t>
      </w:r>
    </w:p>
    <w:p>
      <w:pPr>
        <w:spacing w:after="0" w:line="315" w:lineRule="exact"/>
        <w:rPr>
          <w:sz w:val="20"/>
          <w:szCs w:val="20"/>
          <w:color w:val="auto"/>
        </w:rPr>
      </w:pPr>
    </w:p>
    <w:p>
      <w:pPr>
        <w:ind w:left="560" w:hanging="425"/>
        <w:spacing w:after="0"/>
        <w:tabs>
          <w:tab w:leader="none" w:pos="5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ADS have been listed on The Nasdaq Global Select Market under the symbol “ASND” since January 28, 2015.</w:t>
      </w:r>
    </w:p>
    <w:p>
      <w:pPr>
        <w:spacing w:after="0" w:line="367" w:lineRule="exact"/>
        <w:rPr>
          <w:sz w:val="20"/>
          <w:szCs w:val="20"/>
          <w:color w:val="auto"/>
        </w:rPr>
      </w:pPr>
    </w:p>
    <w:p>
      <w:pPr>
        <w:ind w:left="560" w:hanging="425"/>
        <w:spacing w:after="0"/>
        <w:tabs>
          <w:tab w:leader="none" w:pos="5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29" w:lineRule="exact"/>
        <w:rPr>
          <w:sz w:val="20"/>
          <w:szCs w:val="20"/>
          <w:color w:val="auto"/>
        </w:rPr>
      </w:pPr>
    </w:p>
    <w:p>
      <w:pPr>
        <w:ind w:left="560" w:hanging="425"/>
        <w:spacing w:after="0"/>
        <w:tabs>
          <w:tab w:leader="none" w:pos="5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right="7220" w:hanging="5"/>
        <w:spacing w:after="0" w:line="423" w:lineRule="auto"/>
        <w:tabs>
          <w:tab w:leader="none" w:pos="57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 Authorizations to Our Board of Directors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the date of this annual report, our board of directors is authorized to increase the share capital as follows:</w:t>
      </w:r>
    </w:p>
    <w:p>
      <w:pPr>
        <w:spacing w:after="0" w:line="129" w:lineRule="exact"/>
        <w:rPr>
          <w:sz w:val="20"/>
          <w:szCs w:val="20"/>
          <w:color w:val="auto"/>
        </w:rPr>
      </w:pPr>
    </w:p>
    <w:p>
      <w:pPr>
        <w:ind w:left="1100" w:right="80" w:hanging="426"/>
        <w:spacing w:after="0" w:line="262" w:lineRule="auto"/>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9,000,000 shares with pre-emptive subscription rights for existing shareholders in connection with cash contributions, provided, however, that the capital increases are carried out at market value. This authorization is valid until May 28, 2024.</w:t>
      </w:r>
    </w:p>
    <w:p>
      <w:pPr>
        <w:spacing w:after="0" w:line="88" w:lineRule="exact"/>
        <w:rPr>
          <w:rFonts w:ascii="Arial" w:cs="Arial" w:eastAsia="Arial" w:hAnsi="Arial"/>
          <w:sz w:val="18"/>
          <w:szCs w:val="18"/>
          <w:color w:val="auto"/>
        </w:rPr>
      </w:pPr>
    </w:p>
    <w:p>
      <w:pPr>
        <w:ind w:left="1100" w:hanging="426"/>
        <w:spacing w:after="0" w:line="258" w:lineRule="auto"/>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board of directors is authorized at one or more times to increase our share capital by up to nominal DKK 6,125,000 without pre-emptive subscription rights for existing shareholders. Capital increases according to this authorization can be carried out by our board of directors by way of contributions in kind, conversion of debt and/or cash contributions, and must be carried out at market price. This authorization is valid until May 27, 2026.</w:t>
      </w:r>
    </w:p>
    <w:p>
      <w:pPr>
        <w:spacing w:after="0" w:line="91" w:lineRule="exact"/>
        <w:rPr>
          <w:rFonts w:ascii="Arial" w:cs="Arial" w:eastAsia="Arial" w:hAnsi="Arial"/>
          <w:sz w:val="18"/>
          <w:szCs w:val="18"/>
          <w:color w:val="auto"/>
        </w:rPr>
      </w:pPr>
    </w:p>
    <w:p>
      <w:pPr>
        <w:ind w:left="1100" w:right="300" w:hanging="426"/>
        <w:spacing w:after="0" w:line="262" w:lineRule="auto"/>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board of directors is authorized to issue 597,037 warrants and to increase our share capital by up to 597,037 shares without pre-emptive subscription rights for existing shareholders in connection with the exercise, if any, of said warrants and to determine the terms and conditions thereof. This authorization is valid until May 28, 2025.</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80"/>
          </w:cols>
          <w:pgMar w:left="320" w:top="485" w:right="5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100" w:hanging="426"/>
        <w:spacing w:after="0" w:line="274" w:lineRule="auto"/>
        <w:tabs>
          <w:tab w:leader="none" w:pos="11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Our board of directors is, without pre-emptive rights for the existing shareholders, authorized to obtain loans against issuance of convertible notes which confer the right to subscribe up to 9,000,000 shares. The convertible notes shall be offered at a subscription price and a conversion price that correspond in aggregate to at least the market price of the shares at the time of the decision of our board of directors to issue the convertible notes. The loans shall be paid in cash and our board of directors shall determine the terms and conditions for the convertible notes. This authorization is valid until May 28, 2024.</w:t>
      </w:r>
    </w:p>
    <w:p>
      <w:pPr>
        <w:spacing w:after="0" w:line="81" w:lineRule="exact"/>
        <w:rPr>
          <w:rFonts w:ascii="Arial" w:cs="Arial" w:eastAsia="Arial" w:hAnsi="Arial"/>
          <w:sz w:val="17"/>
          <w:szCs w:val="17"/>
          <w:color w:val="auto"/>
        </w:rPr>
      </w:pPr>
    </w:p>
    <w:p>
      <w:pPr>
        <w:ind w:left="1100" w:right="120" w:hanging="426"/>
        <w:spacing w:after="0" w:line="256" w:lineRule="auto"/>
        <w:tabs>
          <w:tab w:leader="none" w:pos="11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board of directors is on one or more occasions authorized to issue 719,551 warrants to members of the executive management and employees, advisors and consultants of the company or our subsidiaries and to increase our share capital by up to 719,551 shares, without pre-emptive subscription rights for existing shareholders in connection with the exercise, if any, of said warrants and to determine the terms and conditions thereof. The exercise price for the warrants shall at least be equal to the market price of the shares at the time of issuance. This authorization is valid until May 27, 2026.</w:t>
      </w:r>
    </w:p>
    <w:p>
      <w:pPr>
        <w:spacing w:after="0" w:line="188" w:lineRule="exact"/>
        <w:rPr>
          <w:sz w:val="20"/>
          <w:szCs w:val="20"/>
          <w:color w:val="auto"/>
        </w:rPr>
      </w:pPr>
    </w:p>
    <w:p>
      <w:pPr>
        <w:ind w:left="140" w:right="160"/>
        <w:spacing w:after="0" w:line="340" w:lineRule="auto"/>
        <w:rPr>
          <w:sz w:val="20"/>
          <w:szCs w:val="20"/>
          <w:color w:val="auto"/>
        </w:rPr>
      </w:pPr>
      <w:r>
        <w:rPr>
          <w:rFonts w:ascii="Arial" w:cs="Arial" w:eastAsia="Arial" w:hAnsi="Arial"/>
          <w:sz w:val="16"/>
          <w:szCs w:val="16"/>
          <w:color w:val="auto"/>
        </w:rPr>
        <w:t>If our board of directors exercises its authorizations in full, and all warrants and convertible debt instruments are exercised fully (not including already issued warrants), then our share capital will amount to 82,379,270 shares consisting of 82,379,270 shares with a nominal value of DKK 1 each.</w:t>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Owners’ Register</w:t>
      </w:r>
    </w:p>
    <w:p>
      <w:pPr>
        <w:spacing w:after="0" w:line="120"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 xml:space="preserve">We are obligated to maintain an owners’ register (in Danish: </w:t>
      </w:r>
      <w:r>
        <w:rPr>
          <w:rFonts w:ascii="Arial" w:cs="Arial" w:eastAsia="Arial" w:hAnsi="Arial"/>
          <w:sz w:val="18"/>
          <w:szCs w:val="18"/>
          <w:i w:val="1"/>
          <w:iCs w:val="1"/>
          <w:color w:val="auto"/>
        </w:rPr>
        <w:t>ejerbog</w:t>
      </w:r>
      <w:r>
        <w:rPr>
          <w:rFonts w:ascii="Arial" w:cs="Arial" w:eastAsia="Arial" w:hAnsi="Arial"/>
          <w:sz w:val="18"/>
          <w:szCs w:val="18"/>
          <w:color w:val="auto"/>
        </w:rPr>
        <w:t>). The owners’ register is maintained by Computershare A/S (Company Registration (CVR) no. 27088899), our Danish share registrar and transfer agent. It is mandatory that the owners’ register is maintained within the European Union and that it is available to public authorities.</w:t>
      </w:r>
    </w:p>
    <w:p>
      <w:pPr>
        <w:spacing w:after="0" w:line="183"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10%, 15%, 20%, 25%, 50%, 90% or 100%, or 1/3 or 2/3 are reached or no longer reached.</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Articles of Association and Danish Corporate Law</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With respect to our articles of association, the following should be emphasized:</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Objects Clause</w:t>
      </w:r>
    </w:p>
    <w:p>
      <w:pPr>
        <w:spacing w:after="0" w:line="116"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Provisions Regarding the Board of Directors and the Executive Board</w:t>
      </w:r>
    </w:p>
    <w:p>
      <w:pPr>
        <w:spacing w:after="0" w:line="116" w:lineRule="exact"/>
        <w:rPr>
          <w:sz w:val="20"/>
          <w:szCs w:val="20"/>
          <w:color w:val="auto"/>
        </w:rPr>
      </w:pPr>
    </w:p>
    <w:p>
      <w:pPr>
        <w:ind w:left="140" w:right="100"/>
        <w:spacing w:after="0" w:line="286" w:lineRule="auto"/>
        <w:rPr>
          <w:sz w:val="20"/>
          <w:szCs w:val="20"/>
          <w:color w:val="auto"/>
        </w:rPr>
      </w:pPr>
      <w:r>
        <w:rPr>
          <w:rFonts w:ascii="Arial" w:cs="Arial" w:eastAsia="Arial" w:hAnsi="Arial"/>
          <w:sz w:val="16"/>
          <w:szCs w:val="16"/>
          <w:color w:val="auto"/>
        </w:rPr>
        <w:t>Pursuant to our articles of association, our board of directors shall be elected by our shareholders at the general meeting and shall be composed of not less than three and no more than ten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2021 for a term expiring at the annual general meeting to be held in 2023; and a second class of directors (“Class II”) who were elected at the annual general meeting held in 2020 for a term expiring at the annual general meeting to be held in 2022. On November 18, 2021 Rafaèle Tordjman, M.D., Ph.D., was elected as a new member of the board of directors in Class II for a term expiring at the annual general meeting to be held in 2022.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71" w:lineRule="exact"/>
        <w:rPr>
          <w:sz w:val="20"/>
          <w:szCs w:val="20"/>
          <w:color w:val="auto"/>
        </w:rPr>
      </w:pPr>
    </w:p>
    <w:p>
      <w:pPr>
        <w:ind w:left="140" w:right="100"/>
        <w:spacing w:after="0" w:line="275" w:lineRule="auto"/>
        <w:rPr>
          <w:sz w:val="20"/>
          <w:szCs w:val="20"/>
          <w:color w:val="auto"/>
        </w:rPr>
      </w:pPr>
      <w:r>
        <w:rPr>
          <w:rFonts w:ascii="Arial" w:cs="Arial" w:eastAsia="Arial" w:hAnsi="Arial"/>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85"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6" w:lineRule="exact"/>
        <w:rPr>
          <w:sz w:val="20"/>
          <w:szCs w:val="20"/>
          <w:color w:val="auto"/>
        </w:rPr>
      </w:pPr>
    </w:p>
    <w:p>
      <w:pPr>
        <w:ind w:left="140" w:right="500"/>
        <w:spacing w:after="0" w:line="340" w:lineRule="auto"/>
        <w:rPr>
          <w:sz w:val="20"/>
          <w:szCs w:val="20"/>
          <w:color w:val="auto"/>
        </w:rPr>
      </w:pPr>
      <w:r>
        <w:rPr>
          <w:rFonts w:ascii="Arial" w:cs="Arial" w:eastAsia="Arial" w:hAnsi="Arial"/>
          <w:sz w:val="16"/>
          <w:szCs w:val="16"/>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6" w:lineRule="exact"/>
        <w:rPr>
          <w:sz w:val="20"/>
          <w:szCs w:val="20"/>
          <w:color w:val="auto"/>
        </w:rPr>
      </w:pPr>
    </w:p>
    <w:p>
      <w:pPr>
        <w:jc w:val="both"/>
        <w:ind w:left="140" w:right="400"/>
        <w:spacing w:after="0" w:line="310" w:lineRule="auto"/>
        <w:rPr>
          <w:sz w:val="20"/>
          <w:szCs w:val="20"/>
          <w:color w:val="auto"/>
        </w:rPr>
      </w:pPr>
      <w:r>
        <w:rPr>
          <w:rFonts w:ascii="Arial" w:cs="Arial" w:eastAsia="Arial" w:hAnsi="Arial"/>
          <w:sz w:val="16"/>
          <w:szCs w:val="16"/>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48" w:lineRule="exact"/>
        <w:rPr>
          <w:sz w:val="20"/>
          <w:szCs w:val="20"/>
          <w:color w:val="auto"/>
        </w:rPr>
      </w:pPr>
    </w:p>
    <w:p>
      <w:pPr>
        <w:ind w:left="140" w:right="20"/>
        <w:spacing w:after="0" w:line="256" w:lineRule="auto"/>
        <w:rPr>
          <w:sz w:val="20"/>
          <w:szCs w:val="20"/>
          <w:color w:val="auto"/>
        </w:rPr>
      </w:pPr>
      <w:r>
        <w:rPr>
          <w:rFonts w:ascii="Arial" w:cs="Arial" w:eastAsia="Arial" w:hAnsi="Arial"/>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8" w:lineRule="exact"/>
        <w:rPr>
          <w:sz w:val="20"/>
          <w:szCs w:val="20"/>
          <w:color w:val="auto"/>
        </w:rPr>
      </w:pPr>
    </w:p>
    <w:p>
      <w:pPr>
        <w:ind w:left="140"/>
        <w:spacing w:after="0" w:line="275" w:lineRule="auto"/>
        <w:rPr>
          <w:sz w:val="20"/>
          <w:szCs w:val="20"/>
          <w:color w:val="auto"/>
        </w:rPr>
      </w:pPr>
      <w:r>
        <w:rPr>
          <w:rFonts w:ascii="Arial" w:cs="Arial" w:eastAsia="Arial" w:hAnsi="Arial"/>
          <w:sz w:val="18"/>
          <w:szCs w:val="18"/>
          <w:color w:val="auto"/>
        </w:rPr>
        <w:t>See “Item 10 E. Additional Information—Taxation” for a summary of certain tax consequences in respect of dividends or distributions to holders of our ordinary shares or the ADSs.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Pre-emptive Subscription Rights</w:t>
      </w:r>
    </w:p>
    <w:p>
      <w:pPr>
        <w:spacing w:after="0" w:line="116" w:lineRule="exact"/>
        <w:rPr>
          <w:sz w:val="20"/>
          <w:szCs w:val="20"/>
          <w:color w:val="auto"/>
        </w:rPr>
      </w:pPr>
    </w:p>
    <w:p>
      <w:pPr>
        <w:ind w:left="140" w:right="100"/>
        <w:spacing w:after="0" w:line="295" w:lineRule="auto"/>
        <w:rPr>
          <w:sz w:val="20"/>
          <w:szCs w:val="20"/>
          <w:color w:val="auto"/>
        </w:rPr>
      </w:pPr>
      <w:r>
        <w:rPr>
          <w:rFonts w:ascii="Arial" w:cs="Arial" w:eastAsia="Arial" w:hAnsi="Arial"/>
          <w:sz w:val="16"/>
          <w:szCs w:val="16"/>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61" w:lineRule="exact"/>
        <w:rPr>
          <w:sz w:val="20"/>
          <w:szCs w:val="20"/>
          <w:color w:val="auto"/>
        </w:rPr>
      </w:pPr>
    </w:p>
    <w:p>
      <w:pPr>
        <w:ind w:left="140" w:right="520"/>
        <w:spacing w:after="0" w:line="275"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Unless future issuances of new shares and/or pre-emptive rights are registered under the Securities Act or with any authority outside Denmark, U.S.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shareholders and shareholders in jurisdictions outside Denmark may be unable to exercise their pre-emptive subscription rights.</w:t>
      </w:r>
    </w:p>
    <w:p>
      <w:pPr>
        <w:spacing w:after="0" w:line="31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Rights on Liquidation</w:t>
      </w:r>
    </w:p>
    <w:p>
      <w:pPr>
        <w:spacing w:after="0" w:line="116" w:lineRule="exact"/>
        <w:rPr>
          <w:sz w:val="20"/>
          <w:szCs w:val="20"/>
          <w:color w:val="auto"/>
        </w:rPr>
      </w:pPr>
    </w:p>
    <w:p>
      <w:pPr>
        <w:ind w:left="140" w:right="280"/>
        <w:spacing w:after="0" w:line="275" w:lineRule="auto"/>
        <w:rPr>
          <w:sz w:val="20"/>
          <w:szCs w:val="20"/>
          <w:color w:val="auto"/>
        </w:rPr>
      </w:pPr>
      <w:r>
        <w:rPr>
          <w:rFonts w:ascii="Arial" w:cs="Arial" w:eastAsia="Arial" w:hAnsi="Arial"/>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Limitations on Holding of Shares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There are no limitations on the right to hold shares under the articles of association or Danish law.</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Liability to Capital Calls by Us</w:t>
      </w:r>
    </w:p>
    <w:p>
      <w:pPr>
        <w:spacing w:after="0" w:line="116"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color w:val="auto"/>
        </w:rPr>
        <w:t>Under our articles of association as well as the Danish Companies Act, our shareholders are not obligated to pay further amounts to us. All our shares are fully-paid.</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Sinking Fund Provisions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There are no sinking fund provisions or similar obligations relating to our ordinary shares.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20"/>
          </w:cols>
          <w:pgMar w:left="320" w:top="485" w:right="5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Disclosure Requirements</w:t>
      </w:r>
    </w:p>
    <w:p>
      <w:pPr>
        <w:spacing w:after="0" w:line="116"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10%, 15%, 20%, 25%, 50%, 90% or 100%, or 1/3 or 2/3 are reached or no longer reached. The notification shall be given within two weeks following the date when the limits are reached or are no longer reached.</w:t>
      </w:r>
    </w:p>
    <w:p>
      <w:pPr>
        <w:spacing w:after="0" w:line="186" w:lineRule="exact"/>
        <w:rPr>
          <w:sz w:val="20"/>
          <w:szCs w:val="20"/>
          <w:color w:val="auto"/>
        </w:rPr>
      </w:pPr>
    </w:p>
    <w:p>
      <w:pPr>
        <w:ind w:left="140"/>
        <w:spacing w:after="0" w:line="278" w:lineRule="auto"/>
        <w:rPr>
          <w:sz w:val="20"/>
          <w:szCs w:val="20"/>
          <w:color w:val="auto"/>
        </w:rPr>
      </w:pPr>
      <w:r>
        <w:rPr>
          <w:rFonts w:ascii="Arial" w:cs="Arial" w:eastAsia="Arial" w:hAnsi="Arial"/>
          <w:sz w:val="17"/>
          <w:szCs w:val="17"/>
          <w:color w:val="auto"/>
        </w:rPr>
        <w:t>The notification shall provide information on the date of the transfer, the full name and address of the shareholder or, in the case of undertakings, registered office, the number of shares and their nominal value and share classes as well as information about the basis on which the calculation of the holdings has been made. In the event that the shareholder is a non-resident company or citizen of Denmark, the notification shall include documentation, which clearly identifies the owner. The company shall cause the notification to be entered in the owners’ register.</w:t>
      </w:r>
    </w:p>
    <w:p>
      <w:pPr>
        <w:spacing w:after="0" w:line="170" w:lineRule="exact"/>
        <w:rPr>
          <w:sz w:val="20"/>
          <w:szCs w:val="20"/>
          <w:color w:val="auto"/>
        </w:rPr>
      </w:pPr>
    </w:p>
    <w:p>
      <w:pPr>
        <w:ind w:left="140" w:right="40"/>
        <w:spacing w:after="0" w:line="300" w:lineRule="auto"/>
        <w:rPr>
          <w:sz w:val="20"/>
          <w:szCs w:val="20"/>
          <w:color w:val="auto"/>
        </w:rPr>
      </w:pPr>
      <w:r>
        <w:rPr>
          <w:rFonts w:ascii="Arial" w:cs="Arial" w:eastAsia="Arial" w:hAnsi="Arial"/>
          <w:sz w:val="16"/>
          <w:szCs w:val="16"/>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legal status of the notification obligations is not fully clarified in relation to ADS holders and an ADS holder may be subject to such obligations.</w:t>
      </w:r>
    </w:p>
    <w:p>
      <w:pPr>
        <w:spacing w:after="0" w:line="35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6" w:lineRule="exact"/>
        <w:rPr>
          <w:sz w:val="20"/>
          <w:szCs w:val="20"/>
          <w:color w:val="auto"/>
        </w:rPr>
      </w:pPr>
    </w:p>
    <w:p>
      <w:pPr>
        <w:ind w:left="140" w:right="740"/>
        <w:spacing w:after="0" w:line="340" w:lineRule="auto"/>
        <w:rPr>
          <w:sz w:val="20"/>
          <w:szCs w:val="20"/>
          <w:color w:val="auto"/>
        </w:rPr>
      </w:pPr>
      <w:r>
        <w:rPr>
          <w:rFonts w:ascii="Arial" w:cs="Arial" w:eastAsia="Arial" w:hAnsi="Arial"/>
          <w:sz w:val="16"/>
          <w:szCs w:val="16"/>
          <w:color w:val="auto"/>
        </w:rPr>
        <w:t>The general meeting of shareholders is the highest authority in all matters, subject to the limitations provided by Danish law and the articles of association. The annual general meeting shall be held in the Greater Copenhagen area not later than the end of May in each year.</w:t>
      </w:r>
    </w:p>
    <w:p>
      <w:pPr>
        <w:spacing w:after="0" w:line="124" w:lineRule="exact"/>
        <w:rPr>
          <w:sz w:val="20"/>
          <w:szCs w:val="20"/>
          <w:color w:val="auto"/>
        </w:rPr>
      </w:pPr>
    </w:p>
    <w:p>
      <w:pPr>
        <w:ind w:left="140" w:right="40"/>
        <w:spacing w:after="0" w:line="340" w:lineRule="auto"/>
        <w:rPr>
          <w:sz w:val="20"/>
          <w:szCs w:val="20"/>
          <w:color w:val="auto"/>
        </w:rPr>
      </w:pPr>
      <w:r>
        <w:rPr>
          <w:rFonts w:ascii="Arial" w:cs="Arial" w:eastAsia="Arial" w:hAnsi="Arial"/>
          <w:sz w:val="16"/>
          <w:szCs w:val="16"/>
          <w:color w:val="auto"/>
        </w:rPr>
        <w:t>At the annual general meeting, the audited annual report is submitted for approval, together with the proposed application of profit/treatment of loss, the election of the board of directors and election of our auditors. In addition, the board of directors reports on our activities during the past year.</w:t>
      </w:r>
    </w:p>
    <w:p>
      <w:pPr>
        <w:spacing w:after="0" w:line="124" w:lineRule="exact"/>
        <w:rPr>
          <w:sz w:val="20"/>
          <w:szCs w:val="20"/>
          <w:color w:val="auto"/>
        </w:rPr>
      </w:pPr>
    </w:p>
    <w:p>
      <w:pPr>
        <w:ind w:left="140" w:right="340"/>
        <w:spacing w:after="0" w:line="262" w:lineRule="auto"/>
        <w:rPr>
          <w:sz w:val="20"/>
          <w:szCs w:val="20"/>
          <w:color w:val="auto"/>
        </w:rPr>
      </w:pPr>
      <w:r>
        <w:rPr>
          <w:rFonts w:ascii="Arial" w:cs="Arial" w:eastAsia="Arial" w:hAnsi="Arial"/>
          <w:sz w:val="18"/>
          <w:szCs w:val="18"/>
          <w:color w:val="auto"/>
        </w:rPr>
        <w:t>General meetings are convened by the board of directors with a minimum of two weeks’ notice and a maximum of four weeks’ notice. A convening notice will be forwarded to shareholders recorded in our owners’ register, who have requested such notification and by publication in the Danish Business Authority’s computerized information system and on the company’s website.</w:t>
      </w:r>
    </w:p>
    <w:p>
      <w:pPr>
        <w:spacing w:after="0" w:line="183" w:lineRule="exact"/>
        <w:rPr>
          <w:sz w:val="20"/>
          <w:szCs w:val="20"/>
          <w:color w:val="auto"/>
        </w:rPr>
      </w:pPr>
    </w:p>
    <w:p>
      <w:pPr>
        <w:ind w:left="140" w:right="60"/>
        <w:spacing w:after="0" w:line="275" w:lineRule="auto"/>
        <w:rPr>
          <w:sz w:val="20"/>
          <w:szCs w:val="20"/>
          <w:color w:val="auto"/>
        </w:rPr>
      </w:pPr>
      <w:r>
        <w:rPr>
          <w:rFonts w:ascii="Arial" w:cs="Arial" w:eastAsia="Arial" w:hAnsi="Arial"/>
          <w:sz w:val="18"/>
          <w:szCs w:val="18"/>
          <w:color w:val="auto"/>
        </w:rPr>
        <w:t>At the latest, two weeks before a general meeting (inclusive of the day of the general meeting), we shall make the following information and documents available on our webpage:</w:t>
      </w:r>
    </w:p>
    <w:p>
      <w:pPr>
        <w:spacing w:after="0" w:line="77" w:lineRule="exact"/>
        <w:rPr>
          <w:sz w:val="20"/>
          <w:szCs w:val="20"/>
          <w:color w:val="auto"/>
        </w:rPr>
      </w:pPr>
    </w:p>
    <w:p>
      <w:pPr>
        <w:ind w:left="1100" w:hanging="426"/>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convening notice,</w:t>
      </w:r>
    </w:p>
    <w:p>
      <w:pPr>
        <w:spacing w:after="0" w:line="129" w:lineRule="exact"/>
        <w:rPr>
          <w:rFonts w:ascii="Arial" w:cs="Arial" w:eastAsia="Arial" w:hAnsi="Arial"/>
          <w:sz w:val="18"/>
          <w:szCs w:val="18"/>
          <w:color w:val="auto"/>
        </w:rPr>
      </w:pPr>
    </w:p>
    <w:p>
      <w:pPr>
        <w:ind w:left="1100" w:right="240" w:hanging="426"/>
        <w:spacing w:after="0" w:line="275" w:lineRule="auto"/>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documents that shall be presented at the general meeting, which will in case of the annual general meeting include the annual report, and</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agenda and the complete proposals.</w:t>
      </w:r>
    </w:p>
    <w:p>
      <w:pPr>
        <w:spacing w:after="0" w:line="223" w:lineRule="exact"/>
        <w:rPr>
          <w:sz w:val="20"/>
          <w:szCs w:val="20"/>
          <w:color w:val="auto"/>
        </w:rPr>
      </w:pPr>
    </w:p>
    <w:p>
      <w:pPr>
        <w:ind w:left="140" w:right="160"/>
        <w:spacing w:after="0" w:line="292" w:lineRule="auto"/>
        <w:rPr>
          <w:sz w:val="20"/>
          <w:szCs w:val="20"/>
          <w:color w:val="auto"/>
        </w:rPr>
      </w:pPr>
      <w:r>
        <w:rPr>
          <w:rFonts w:ascii="Arial" w:cs="Arial" w:eastAsia="Arial" w:hAnsi="Arial"/>
          <w:sz w:val="16"/>
          <w:szCs w:val="16"/>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w:t>
      </w:r>
    </w:p>
    <w:p>
      <w:pPr>
        <w:spacing w:after="0" w:line="164" w:lineRule="exact"/>
        <w:rPr>
          <w:sz w:val="20"/>
          <w:szCs w:val="20"/>
          <w:color w:val="auto"/>
        </w:rPr>
      </w:pPr>
    </w:p>
    <w:p>
      <w:pPr>
        <w:ind w:left="140" w:right="140"/>
        <w:spacing w:after="0" w:line="340" w:lineRule="auto"/>
        <w:rPr>
          <w:sz w:val="20"/>
          <w:szCs w:val="20"/>
          <w:color w:val="auto"/>
        </w:rPr>
      </w:pPr>
      <w:r>
        <w:rPr>
          <w:rFonts w:ascii="Arial" w:cs="Arial" w:eastAsia="Arial" w:hAnsi="Arial"/>
          <w:sz w:val="16"/>
          <w:szCs w:val="16"/>
          <w:color w:val="auto"/>
        </w:rPr>
        <w:t>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24" w:lineRule="exact"/>
        <w:rPr>
          <w:sz w:val="20"/>
          <w:szCs w:val="20"/>
          <w:color w:val="auto"/>
        </w:rPr>
      </w:pPr>
    </w:p>
    <w:p>
      <w:pPr>
        <w:ind w:left="140" w:right="320"/>
        <w:spacing w:after="0" w:line="262" w:lineRule="auto"/>
        <w:rPr>
          <w:sz w:val="20"/>
          <w:szCs w:val="20"/>
          <w:color w:val="auto"/>
        </w:rPr>
      </w:pPr>
      <w:r>
        <w:rPr>
          <w:rFonts w:ascii="Arial" w:cs="Arial" w:eastAsia="Arial" w:hAnsi="Arial"/>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85"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Holders of ADSs are not entitled to directly receive notices or other materials or to attend or vote at general meetings.</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Resolutions in General Meetings</w:t>
      </w:r>
    </w:p>
    <w:p>
      <w:pPr>
        <w:spacing w:after="0" w:line="116" w:lineRule="exact"/>
        <w:rPr>
          <w:sz w:val="20"/>
          <w:szCs w:val="20"/>
          <w:color w:val="auto"/>
        </w:rPr>
      </w:pPr>
    </w:p>
    <w:p>
      <w:pPr>
        <w:ind w:left="140" w:right="80"/>
        <w:spacing w:after="0" w:line="295" w:lineRule="auto"/>
        <w:rPr>
          <w:sz w:val="20"/>
          <w:szCs w:val="20"/>
          <w:color w:val="auto"/>
        </w:rPr>
      </w:pPr>
      <w:r>
        <w:rPr>
          <w:rFonts w:ascii="Arial" w:cs="Arial" w:eastAsia="Arial" w:hAnsi="Arial"/>
          <w:sz w:val="16"/>
          <w:szCs w:val="16"/>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6" w:lineRule="exact"/>
        <w:rPr>
          <w:sz w:val="20"/>
          <w:szCs w:val="20"/>
          <w:color w:val="auto"/>
        </w:rPr>
      </w:pPr>
    </w:p>
    <w:p>
      <w:pPr>
        <w:jc w:val="both"/>
        <w:ind w:left="140" w:right="40"/>
        <w:spacing w:after="0" w:line="262" w:lineRule="auto"/>
        <w:rPr>
          <w:sz w:val="20"/>
          <w:szCs w:val="20"/>
          <w:color w:val="auto"/>
        </w:rPr>
      </w:pPr>
      <w:r>
        <w:rPr>
          <w:rFonts w:ascii="Arial" w:cs="Arial" w:eastAsia="Arial" w:hAnsi="Arial"/>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Squeeze Out</w:t>
      </w:r>
    </w:p>
    <w:p>
      <w:pPr>
        <w:spacing w:after="0" w:line="116"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According to Section 70 of the Danish Companies Act, shares in a company may be redeemed in full or in part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Danish Rules Intended to Prevent Market Abuse</w:t>
      </w:r>
    </w:p>
    <w:p>
      <w:pPr>
        <w:spacing w:after="0" w:line="116" w:lineRule="exact"/>
        <w:rPr>
          <w:sz w:val="20"/>
          <w:szCs w:val="20"/>
          <w:color w:val="auto"/>
        </w:rPr>
      </w:pPr>
    </w:p>
    <w:p>
      <w:pPr>
        <w:jc w:val="both"/>
        <w:ind w:left="140" w:right="20"/>
        <w:spacing w:after="0" w:line="271" w:lineRule="auto"/>
        <w:rPr>
          <w:sz w:val="20"/>
          <w:szCs w:val="20"/>
          <w:color w:val="auto"/>
        </w:rPr>
      </w:pPr>
      <w:r>
        <w:rPr>
          <w:rFonts w:ascii="Arial" w:cs="Arial" w:eastAsia="Arial" w:hAnsi="Arial"/>
          <w:sz w:val="17"/>
          <w:szCs w:val="17"/>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2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Limitation on Liability</w:t>
      </w:r>
    </w:p>
    <w:p>
      <w:pPr>
        <w:spacing w:after="0" w:line="120" w:lineRule="exact"/>
        <w:rPr>
          <w:sz w:val="20"/>
          <w:szCs w:val="20"/>
          <w:color w:val="auto"/>
        </w:rPr>
      </w:pPr>
    </w:p>
    <w:p>
      <w:pPr>
        <w:ind w:left="140" w:right="120"/>
        <w:spacing w:after="0" w:line="262" w:lineRule="auto"/>
        <w:rPr>
          <w:sz w:val="20"/>
          <w:szCs w:val="20"/>
          <w:color w:val="auto"/>
        </w:rPr>
      </w:pPr>
      <w:r>
        <w:rPr>
          <w:rFonts w:ascii="Arial" w:cs="Arial" w:eastAsia="Arial" w:hAnsi="Arial"/>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and to third-parties for acting in violation of the articles of association and Danish law.</w:t>
      </w:r>
    </w:p>
    <w:p>
      <w:pPr>
        <w:spacing w:after="0" w:line="183"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third-parties.</w:t>
      </w:r>
    </w:p>
    <w:p>
      <w:pPr>
        <w:spacing w:after="0" w:line="186" w:lineRule="exact"/>
        <w:rPr>
          <w:sz w:val="20"/>
          <w:szCs w:val="20"/>
          <w:color w:val="auto"/>
        </w:rPr>
      </w:pPr>
    </w:p>
    <w:p>
      <w:pPr>
        <w:ind w:left="140" w:right="100"/>
        <w:spacing w:after="0" w:line="274" w:lineRule="auto"/>
        <w:rPr>
          <w:sz w:val="20"/>
          <w:szCs w:val="20"/>
          <w:color w:val="auto"/>
        </w:rPr>
      </w:pPr>
      <w:r>
        <w:rPr>
          <w:rFonts w:ascii="Arial" w:cs="Arial" w:eastAsia="Arial" w:hAnsi="Arial"/>
          <w:sz w:val="17"/>
          <w:szCs w:val="17"/>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76" w:lineRule="exact"/>
        <w:rPr>
          <w:sz w:val="20"/>
          <w:szCs w:val="20"/>
          <w:color w:val="auto"/>
        </w:rPr>
      </w:pPr>
    </w:p>
    <w:p>
      <w:pPr>
        <w:ind w:left="140" w:right="80"/>
        <w:spacing w:after="0" w:line="278"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85"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Comparison of Danish Corporate Law and Our Articles of Association and Delaware Corporate Law</w:t>
      </w:r>
    </w:p>
    <w:p>
      <w:pPr>
        <w:spacing w:after="0" w:line="120" w:lineRule="exact"/>
        <w:rPr>
          <w:sz w:val="20"/>
          <w:szCs w:val="20"/>
          <w:color w:val="auto"/>
        </w:rPr>
      </w:pPr>
    </w:p>
    <w:p>
      <w:pPr>
        <w:ind w:left="140" w:right="180"/>
        <w:spacing w:after="0" w:line="278" w:lineRule="auto"/>
        <w:rPr>
          <w:sz w:val="20"/>
          <w:szCs w:val="20"/>
          <w:color w:val="auto"/>
        </w:rPr>
      </w:pPr>
      <w:r>
        <w:rPr>
          <w:rFonts w:ascii="Arial" w:cs="Arial" w:eastAsia="Arial" w:hAnsi="Arial"/>
          <w:sz w:val="17"/>
          <w:szCs w:val="17"/>
          <w:color w:val="auto"/>
        </w:rPr>
        <w:t>The following comparison between Danish corporate law, which applies to us, and Delaware corporate law, the law under which many publicly traded companies in the United States are incorporated, discusses additional matters not otherwise described in this prospectus.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Duties of Board Members</w:t>
      </w:r>
    </w:p>
    <w:p>
      <w:pPr>
        <w:spacing w:after="0" w:line="120" w:lineRule="exact"/>
        <w:rPr>
          <w:sz w:val="20"/>
          <w:szCs w:val="20"/>
          <w:color w:val="auto"/>
        </w:rPr>
      </w:pPr>
    </w:p>
    <w:p>
      <w:pPr>
        <w:ind w:left="140" w:right="40"/>
        <w:spacing w:after="0" w:line="262"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Public limited liability companies in Denmark are usually subject to a two-tier governance structure with the board of directors having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 responsibility for the overall supervision and strategic management of the company in question and with an executive board/management being responsible for the day-to-day operations.</w:t>
      </w:r>
    </w:p>
    <w:p>
      <w:pPr>
        <w:spacing w:after="0" w:line="183" w:lineRule="exact"/>
        <w:rPr>
          <w:sz w:val="20"/>
          <w:szCs w:val="20"/>
          <w:color w:val="auto"/>
        </w:rPr>
      </w:pPr>
    </w:p>
    <w:p>
      <w:pPr>
        <w:ind w:left="140"/>
        <w:spacing w:after="0" w:line="271" w:lineRule="auto"/>
        <w:rPr>
          <w:sz w:val="20"/>
          <w:szCs w:val="20"/>
          <w:color w:val="auto"/>
        </w:rPr>
      </w:pPr>
      <w:r>
        <w:rPr>
          <w:rFonts w:ascii="Arial" w:cs="Arial" w:eastAsia="Arial" w:hAnsi="Arial"/>
          <w:sz w:val="17"/>
          <w:szCs w:val="17"/>
          <w:color w:val="auto"/>
        </w:rPr>
        <w:t>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77" w:lineRule="exact"/>
        <w:rPr>
          <w:sz w:val="20"/>
          <w:szCs w:val="20"/>
          <w:color w:val="auto"/>
        </w:rPr>
      </w:pPr>
    </w:p>
    <w:p>
      <w:pPr>
        <w:ind w:left="140"/>
        <w:spacing w:after="0" w:line="290"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board of directors bears the ultimate responsibility for managing the business and affairs of a corporation. In discharging this function,</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a Delaware corporation owe fiduciary duties of care and loyalty to the corporation and to its stockholders. Delaware courts have decided that the directors of a Delaware corporation are required to exercise informed business judgement in the performance of their duties. Informed business judgement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Terms of the Members of Our Board of Directors</w:t>
      </w:r>
    </w:p>
    <w:p>
      <w:pPr>
        <w:spacing w:after="0" w:line="120" w:lineRule="exact"/>
        <w:rPr>
          <w:sz w:val="20"/>
          <w:szCs w:val="20"/>
          <w:color w:val="auto"/>
        </w:rPr>
      </w:pPr>
    </w:p>
    <w:p>
      <w:pPr>
        <w:ind w:left="140" w:right="60"/>
        <w:spacing w:after="0" w:line="278"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the members of the board of directors of a limited liability company are generally appointed for an individual term of one</w:t>
      </w:r>
      <w:r>
        <w:rPr>
          <w:rFonts w:ascii="Arial" w:cs="Arial" w:eastAsia="Arial" w:hAnsi="Arial"/>
          <w:sz w:val="17"/>
          <w:szCs w:val="17"/>
          <w:i w:val="1"/>
          <w:iCs w:val="1"/>
          <w:color w:val="auto"/>
        </w:rPr>
        <w:t xml:space="preserve"> </w:t>
      </w:r>
      <w:r>
        <w:rPr>
          <w:rFonts w:ascii="Arial" w:cs="Arial" w:eastAsia="Arial" w:hAnsi="Arial"/>
          <w:sz w:val="17"/>
          <w:szCs w:val="17"/>
          <w:color w:val="auto"/>
        </w:rPr>
        <w:t>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At the general meeting, shareholders are entitled at all times to dismiss a board member by a simple majority vote.</w:t>
      </w:r>
    </w:p>
    <w:p>
      <w:pPr>
        <w:spacing w:after="0" w:line="223" w:lineRule="exact"/>
        <w:rPr>
          <w:sz w:val="20"/>
          <w:szCs w:val="20"/>
          <w:color w:val="auto"/>
        </w:rPr>
      </w:pPr>
    </w:p>
    <w:p>
      <w:pPr>
        <w:ind w:left="140" w:right="120"/>
        <w:spacing w:after="0" w:line="258" w:lineRule="auto"/>
        <w:rPr>
          <w:sz w:val="20"/>
          <w:szCs w:val="20"/>
          <w:color w:val="auto"/>
        </w:rPr>
      </w:pPr>
      <w:r>
        <w:rPr>
          <w:rFonts w:ascii="Arial" w:cs="Arial" w:eastAsia="Arial" w:hAnsi="Arial"/>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6" w:lineRule="exact"/>
        <w:rPr>
          <w:sz w:val="20"/>
          <w:szCs w:val="20"/>
          <w:color w:val="auto"/>
        </w:rPr>
      </w:pPr>
    </w:p>
    <w:p>
      <w:pPr>
        <w:ind w:left="140" w:right="60"/>
        <w:spacing w:after="0" w:line="258" w:lineRule="auto"/>
        <w:rPr>
          <w:sz w:val="20"/>
          <w:szCs w:val="20"/>
          <w:color w:val="auto"/>
        </w:rPr>
      </w:pPr>
      <w:r>
        <w:rPr>
          <w:rFonts w:ascii="Arial" w:cs="Arial" w:eastAsia="Arial" w:hAnsi="Arial"/>
          <w:sz w:val="18"/>
          <w:szCs w:val="18"/>
          <w:color w:val="auto"/>
        </w:rPr>
        <w:t>Our company currently employs more than an average of 35 employees and has done so since 2016. Consequently, from 2018, our employees will be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86" w:lineRule="exact"/>
        <w:rPr>
          <w:sz w:val="20"/>
          <w:szCs w:val="20"/>
          <w:color w:val="auto"/>
        </w:rPr>
      </w:pPr>
    </w:p>
    <w:p>
      <w:pPr>
        <w:ind w:left="140" w:right="20"/>
        <w:spacing w:after="0" w:line="258" w:lineRule="auto"/>
        <w:rPr>
          <w:sz w:val="20"/>
          <w:szCs w:val="20"/>
          <w:color w:val="auto"/>
        </w:rPr>
      </w:pPr>
      <w:r>
        <w:rPr>
          <w:rFonts w:ascii="Arial" w:cs="Arial" w:eastAsia="Arial" w:hAnsi="Arial"/>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Ascendis Pharma Endocrinology, Inc., and Ascendis Pharma GmbH may only demand representation on our board of directors provided that our general meeting adopts a resolution to that effect.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85"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60"/>
        <w:spacing w:after="0" w:line="27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Delaware General Corporation Law generally provides for a one-year term for directors, but permits directorships to be divided into up</w:t>
      </w:r>
      <w:r>
        <w:rPr>
          <w:rFonts w:ascii="Arial" w:cs="Arial" w:eastAsia="Arial" w:hAnsi="Arial"/>
          <w:sz w:val="17"/>
          <w:szCs w:val="17"/>
          <w:i w:val="1"/>
          <w:iCs w:val="1"/>
          <w:color w:val="auto"/>
        </w:rPr>
        <w:t xml:space="preserve"> </w:t>
      </w:r>
      <w:r>
        <w:rPr>
          <w:rFonts w:ascii="Arial" w:cs="Arial" w:eastAsia="Arial" w:hAnsi="Arial"/>
          <w:sz w:val="17"/>
          <w:szCs w:val="17"/>
          <w:color w:val="auto"/>
        </w:rPr>
        <w:t>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Board Member Vacancies</w:t>
      </w:r>
    </w:p>
    <w:p>
      <w:pPr>
        <w:spacing w:after="0" w:line="120" w:lineRule="exact"/>
        <w:rPr>
          <w:sz w:val="20"/>
          <w:szCs w:val="20"/>
          <w:color w:val="auto"/>
        </w:rPr>
      </w:pPr>
    </w:p>
    <w:p>
      <w:pPr>
        <w:ind w:left="140" w:right="40"/>
        <w:spacing w:after="0" w:line="256"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in the event of a vacancy, new board members are elected by the shareholders in a general meeting. Thus,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will have to be convened to fill a vacancy on the board of directors. However, the board of directors may choose to wait to fill vacancies until the next annual general meeting of the company, provided that the number of the remaining board members is more than two, and provided that the remaining board members can still constitute a quorum. It is only a statutory requirement to convene a general meeting to fill vacancies if the number of remaining members on the board is less than three.</w:t>
      </w:r>
    </w:p>
    <w:p>
      <w:pPr>
        <w:spacing w:after="0" w:line="188" w:lineRule="exact"/>
        <w:rPr>
          <w:sz w:val="20"/>
          <w:szCs w:val="20"/>
          <w:color w:val="auto"/>
        </w:rPr>
      </w:pPr>
    </w:p>
    <w:p>
      <w:pPr>
        <w:ind w:left="140" w:right="120"/>
        <w:spacing w:after="0" w:line="258"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that vacancies and newly created directorships may be filled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Conflict-of-Interest Transactions</w:t>
      </w:r>
    </w:p>
    <w:p>
      <w:pPr>
        <w:spacing w:after="0" w:line="116" w:lineRule="exact"/>
        <w:rPr>
          <w:sz w:val="20"/>
          <w:szCs w:val="20"/>
          <w:color w:val="auto"/>
        </w:rPr>
      </w:pPr>
    </w:p>
    <w:p>
      <w:pPr>
        <w:ind w:left="140" w:right="360"/>
        <w:spacing w:after="0" w:line="275"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board members may not take part in any matter or decision-making that involves a subject or transaction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board member has a conflict of interest with us.</w:t>
      </w:r>
    </w:p>
    <w:p>
      <w:pPr>
        <w:spacing w:after="0" w:line="171" w:lineRule="exact"/>
        <w:rPr>
          <w:sz w:val="20"/>
          <w:szCs w:val="20"/>
          <w:color w:val="auto"/>
        </w:rPr>
      </w:pPr>
    </w:p>
    <w:p>
      <w:pPr>
        <w:ind w:left="140" w:right="260"/>
        <w:spacing w:after="0" w:line="27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generally permits transactions involving a Delaware corporation and an interested director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if:</w:t>
      </w:r>
    </w:p>
    <w:p>
      <w:pPr>
        <w:spacing w:after="0" w:line="77" w:lineRule="exact"/>
        <w:rPr>
          <w:sz w:val="20"/>
          <w:szCs w:val="20"/>
          <w:color w:val="auto"/>
        </w:rPr>
      </w:pPr>
    </w:p>
    <w:p>
      <w:pPr>
        <w:ind w:left="1100" w:hanging="426"/>
        <w:spacing w:after="0"/>
        <w:tabs>
          <w:tab w:leader="none" w:pos="11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material facts are disclosed as to the director’s relationship or interest and a majority of shares entitled to vote thereon consent; or</w:t>
      </w:r>
    </w:p>
    <w:p>
      <w:pPr>
        <w:spacing w:after="0" w:line="152" w:lineRule="exact"/>
        <w:rPr>
          <w:rFonts w:ascii="Arial" w:cs="Arial" w:eastAsia="Arial" w:hAnsi="Arial"/>
          <w:sz w:val="16"/>
          <w:szCs w:val="16"/>
          <w:color w:val="auto"/>
        </w:rPr>
      </w:pPr>
    </w:p>
    <w:p>
      <w:pPr>
        <w:ind w:left="1100" w:right="180" w:hanging="426"/>
        <w:spacing w:after="0" w:line="275" w:lineRule="auto"/>
        <w:tabs>
          <w:tab w:leader="none" w:pos="11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Proxy Voting by Board Members</w:t>
      </w:r>
    </w:p>
    <w:p>
      <w:pPr>
        <w:spacing w:after="0" w:line="116"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In the event that a board member in a Danish limited liability company is unable to participate in a board meeting, the elected alternate, if 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given access to participate in the board meeting. Unless the board of directors has decided otherwise, or as otherwise is set out in the articles of association, the board member in question may in special cases grant a power of attorney to another board member, provided that this is considered safe considering the agenda in question.</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Notice of Meeting</w:t>
      </w:r>
    </w:p>
    <w:p>
      <w:pPr>
        <w:spacing w:after="0" w:line="116" w:lineRule="exact"/>
        <w:rPr>
          <w:sz w:val="20"/>
          <w:szCs w:val="20"/>
          <w:color w:val="auto"/>
        </w:rPr>
      </w:pPr>
    </w:p>
    <w:p>
      <w:pPr>
        <w:ind w:left="140" w:right="20"/>
        <w:spacing w:after="0" w:line="278"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According to the Danish Companies Act, general meetings in limited liability companies shall be convened by the board of directors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minimum of two weeks’ notice and a maximum of four weeks’ notice as set forth in the articles of association. A convening notice shall be forwarded to shareholders recorded in the company’s owners’ register, who have requested such notification. There are specific requirements as to the information and documentation required to be disclosed in connection with the convening notice.</w:t>
      </w:r>
    </w:p>
    <w:p>
      <w:pPr>
        <w:spacing w:after="0" w:line="170" w:lineRule="exact"/>
        <w:rPr>
          <w:sz w:val="20"/>
          <w:szCs w:val="20"/>
          <w:color w:val="auto"/>
        </w:rPr>
      </w:pPr>
    </w:p>
    <w:p>
      <w:pPr>
        <w:ind w:left="140" w:right="40"/>
        <w:spacing w:after="0" w:line="262"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Delaware law, unless otherwise provided in the certificate of incorporation or bylaws, written notice of any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must be given to each stockholder entitled to vote at the meeting not less than ten nor more than 60 days before the date of the meeting and shall specify the place, date, hour, and purpose or purposes of the meeting.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85"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Voting Rights</w:t>
      </w:r>
    </w:p>
    <w:p>
      <w:pPr>
        <w:spacing w:after="0" w:line="116" w:lineRule="exact"/>
        <w:rPr>
          <w:sz w:val="20"/>
          <w:szCs w:val="20"/>
          <w:color w:val="auto"/>
        </w:rPr>
      </w:pPr>
    </w:p>
    <w:p>
      <w:pPr>
        <w:jc w:val="both"/>
        <w:ind w:left="140" w:right="600"/>
        <w:spacing w:after="0" w:line="262"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Each ordinary share confers the right to cast one vote at the general meeting of shareholders, unless the articles of association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Each holder of ordinary shares may cast as many votes as it holds shares. Shares that are held by the company or its direct or indirect subsidiaries do not confer the right to vote.</w:t>
      </w:r>
    </w:p>
    <w:p>
      <w:pPr>
        <w:spacing w:after="0" w:line="183" w:lineRule="exact"/>
        <w:rPr>
          <w:sz w:val="20"/>
          <w:szCs w:val="20"/>
          <w:color w:val="auto"/>
        </w:rPr>
      </w:pPr>
    </w:p>
    <w:p>
      <w:pPr>
        <w:ind w:left="140" w:right="100"/>
        <w:spacing w:after="0" w:line="256"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8" w:lineRule="exact"/>
        <w:rPr>
          <w:sz w:val="20"/>
          <w:szCs w:val="20"/>
          <w:color w:val="auto"/>
        </w:rPr>
      </w:pPr>
    </w:p>
    <w:p>
      <w:pPr>
        <w:ind w:left="140" w:right="220"/>
        <w:spacing w:after="0" w:line="295" w:lineRule="auto"/>
        <w:rPr>
          <w:sz w:val="20"/>
          <w:szCs w:val="20"/>
          <w:color w:val="auto"/>
        </w:rPr>
      </w:pPr>
      <w:r>
        <w:rPr>
          <w:rFonts w:ascii="Arial" w:cs="Arial" w:eastAsia="Arial" w:hAnsi="Arial"/>
          <w:sz w:val="16"/>
          <w:szCs w:val="16"/>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Shareholder Proposals</w:t>
      </w:r>
    </w:p>
    <w:p>
      <w:pPr>
        <w:spacing w:after="0" w:line="116" w:lineRule="exact"/>
        <w:rPr>
          <w:sz w:val="20"/>
          <w:szCs w:val="20"/>
          <w:color w:val="auto"/>
        </w:rPr>
      </w:pPr>
    </w:p>
    <w:p>
      <w:pPr>
        <w:ind w:left="140" w:right="100"/>
        <w:spacing w:after="0" w:line="258"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extraordinary general meetings of shareholders will be held whenever required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the appointed auditor.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6" w:lineRule="exact"/>
        <w:rPr>
          <w:sz w:val="20"/>
          <w:szCs w:val="20"/>
          <w:color w:val="auto"/>
        </w:rPr>
      </w:pPr>
    </w:p>
    <w:p>
      <w:pPr>
        <w:jc w:val="both"/>
        <w:ind w:left="140" w:right="320"/>
        <w:spacing w:after="0" w:line="262"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made in writing and forwarded at the latest six weeks prior thereto. In the event that the proposal is received at a later date, the board of directors will decide whether the proposal has been forwarded in due time to be included on the agenda.</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Delaware law does not specifically grant stockholders the right to bring business before an annual or special meeting of stockholders.</w:t>
      </w:r>
    </w:p>
    <w:p>
      <w:pPr>
        <w:spacing w:after="0" w:line="235" w:lineRule="exact"/>
        <w:rPr>
          <w:sz w:val="20"/>
          <w:szCs w:val="20"/>
          <w:color w:val="auto"/>
        </w:rPr>
      </w:pPr>
    </w:p>
    <w:p>
      <w:pPr>
        <w:ind w:left="140" w:right="800"/>
        <w:spacing w:after="0" w:line="340" w:lineRule="auto"/>
        <w:rPr>
          <w:sz w:val="20"/>
          <w:szCs w:val="20"/>
          <w:color w:val="auto"/>
        </w:rPr>
      </w:pPr>
      <w:r>
        <w:rPr>
          <w:rFonts w:ascii="Arial" w:cs="Arial" w:eastAsia="Arial" w:hAnsi="Arial"/>
          <w:sz w:val="16"/>
          <w:szCs w:val="16"/>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Action by Written Consent</w:t>
      </w:r>
    </w:p>
    <w:p>
      <w:pPr>
        <w:spacing w:after="0" w:line="116" w:lineRule="exact"/>
        <w:rPr>
          <w:sz w:val="20"/>
          <w:szCs w:val="20"/>
          <w:color w:val="auto"/>
        </w:rPr>
      </w:pPr>
    </w:p>
    <w:p>
      <w:pPr>
        <w:ind w:left="140"/>
        <w:spacing w:after="0" w:line="340"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permissible for shareholders to take action and pass resolutions by written consent in the event of unanimity;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this will normally not be the case in listed companies and for a listed company, this method of adopting resolutions is generally not feasible.</w:t>
      </w:r>
    </w:p>
    <w:p>
      <w:pPr>
        <w:spacing w:after="0" w:line="124" w:lineRule="exact"/>
        <w:rPr>
          <w:sz w:val="20"/>
          <w:szCs w:val="20"/>
          <w:color w:val="auto"/>
        </w:rPr>
      </w:pPr>
    </w:p>
    <w:p>
      <w:pPr>
        <w:ind w:left="140" w:right="520"/>
        <w:spacing w:after="0" w:line="27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Appraisal Rights</w:t>
      </w:r>
    </w:p>
    <w:p>
      <w:pPr>
        <w:spacing w:after="0" w:line="116" w:lineRule="exact"/>
        <w:rPr>
          <w:sz w:val="20"/>
          <w:szCs w:val="20"/>
          <w:color w:val="auto"/>
        </w:rPr>
      </w:pPr>
    </w:p>
    <w:p>
      <w:pPr>
        <w:ind w:left="140" w:right="440"/>
        <w:spacing w:after="0" w:line="275"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The concept of appraisal rights does not exist under Danish law, except in connection with statutory redemptions rights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Danish Companies Act.</w:t>
      </w:r>
    </w:p>
    <w:p>
      <w:pPr>
        <w:spacing w:after="0" w:line="171" w:lineRule="exact"/>
        <w:rPr>
          <w:sz w:val="20"/>
          <w:szCs w:val="20"/>
          <w:color w:val="auto"/>
        </w:rPr>
      </w:pPr>
    </w:p>
    <w:p>
      <w:pPr>
        <w:ind w:left="140" w:right="80"/>
        <w:spacing w:after="0" w:line="271" w:lineRule="auto"/>
        <w:rPr>
          <w:sz w:val="20"/>
          <w:szCs w:val="20"/>
          <w:color w:val="auto"/>
        </w:rPr>
      </w:pPr>
      <w:r>
        <w:rPr>
          <w:rFonts w:ascii="Arial" w:cs="Arial" w:eastAsia="Arial" w:hAnsi="Arial"/>
          <w:sz w:val="17"/>
          <w:szCs w:val="17"/>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85"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60"/>
        <w:spacing w:after="0" w:line="27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for stockholder appraisal rights, or the right to demand payment in cash of the judicially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fair value of the stockholder’s shares, in connection with certain mergers and consolidations.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Shareholder Suits</w:t>
      </w:r>
    </w:p>
    <w:p>
      <w:pPr>
        <w:spacing w:after="0" w:line="116" w:lineRule="exact"/>
        <w:rPr>
          <w:sz w:val="20"/>
          <w:szCs w:val="20"/>
          <w:color w:val="auto"/>
        </w:rPr>
      </w:pPr>
    </w:p>
    <w:p>
      <w:pPr>
        <w:ind w:left="140" w:right="100"/>
        <w:spacing w:after="0" w:line="310"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only a company itself can bring a civil action against a third-party; an individual shareholder does not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bring 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48" w:lineRule="exact"/>
        <w:rPr>
          <w:sz w:val="20"/>
          <w:szCs w:val="20"/>
          <w:color w:val="auto"/>
        </w:rPr>
      </w:pPr>
    </w:p>
    <w:p>
      <w:pPr>
        <w:ind w:left="140"/>
        <w:spacing w:after="0" w:line="271"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stockholder may bring a derivative action on behalf of the corporation to enforce the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Repurchase of Shares</w:t>
      </w:r>
    </w:p>
    <w:p>
      <w:pPr>
        <w:spacing w:after="0" w:line="116" w:lineRule="exact"/>
        <w:rPr>
          <w:sz w:val="20"/>
          <w:szCs w:val="20"/>
          <w:color w:val="auto"/>
        </w:rPr>
      </w:pPr>
    </w:p>
    <w:p>
      <w:pPr>
        <w:jc w:val="both"/>
        <w:ind w:left="140" w:right="20"/>
        <w:spacing w:after="0" w:line="287"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Danish limited liability companies may not subscribe for newly issued shares in their own capital. Such company may, however, according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w:t>
      </w:r>
    </w:p>
    <w:p>
      <w:pPr>
        <w:ind w:left="140" w:right="140" w:hanging="5"/>
        <w:spacing w:after="0" w:line="259" w:lineRule="auto"/>
        <w:tabs>
          <w:tab w:leader="none" w:pos="35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maximum value of the shares and (ii) the minimum and the highest amount that the company may pay for the shares. Shares may generally only be acquired using distributable reserves.</w:t>
      </w:r>
    </w:p>
    <w:p>
      <w:pPr>
        <w:spacing w:after="0" w:line="184" w:lineRule="exact"/>
        <w:rPr>
          <w:sz w:val="20"/>
          <w:szCs w:val="20"/>
          <w:color w:val="auto"/>
        </w:rPr>
      </w:pPr>
    </w:p>
    <w:p>
      <w:pPr>
        <w:ind w:left="140" w:right="20"/>
        <w:spacing w:after="0" w:line="27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corporation may purchase or redeem its own shares unless the capital of the corporation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Anti-takeover Provisions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possible to implement limited protective anti-takeover measures. Such provisions may include, among other things,</w:t>
      </w:r>
    </w:p>
    <w:p>
      <w:pPr>
        <w:spacing w:after="0" w:line="46" w:lineRule="exact"/>
        <w:rPr>
          <w:sz w:val="20"/>
          <w:szCs w:val="20"/>
          <w:color w:val="auto"/>
        </w:rPr>
      </w:pPr>
    </w:p>
    <w:p>
      <w:pPr>
        <w:ind w:left="340" w:hanging="205"/>
        <w:spacing w:after="0"/>
        <w:tabs>
          <w:tab w:leader="none" w:pos="3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different share classes with different voting rights, (ii) specific requirements to register the shares named in the company’s owners register and</w:t>
      </w:r>
    </w:p>
    <w:p>
      <w:pPr>
        <w:spacing w:after="0" w:line="19" w:lineRule="exact"/>
        <w:rPr>
          <w:rFonts w:ascii="Arial" w:cs="Arial" w:eastAsia="Arial" w:hAnsi="Arial"/>
          <w:sz w:val="17"/>
          <w:szCs w:val="17"/>
          <w:color w:val="auto"/>
        </w:rPr>
      </w:pPr>
    </w:p>
    <w:p>
      <w:pPr>
        <w:ind w:left="440" w:hanging="305"/>
        <w:spacing w:after="0"/>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notification requirements concerning participation in general meetings. The company has currently not adopted any such provisions.</w:t>
      </w:r>
    </w:p>
    <w:p>
      <w:pPr>
        <w:spacing w:after="0" w:line="209" w:lineRule="exact"/>
        <w:rPr>
          <w:sz w:val="20"/>
          <w:szCs w:val="20"/>
          <w:color w:val="auto"/>
        </w:rPr>
      </w:pPr>
    </w:p>
    <w:p>
      <w:pPr>
        <w:ind w:left="140" w:right="160"/>
        <w:spacing w:after="0" w:line="28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In addition to other aspects of Delaware law governing fiduciary duties of directors during a potential takeover, the Delaware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65" w:lineRule="exact"/>
        <w:rPr>
          <w:sz w:val="20"/>
          <w:szCs w:val="20"/>
          <w:color w:val="auto"/>
        </w:rPr>
      </w:pPr>
    </w:p>
    <w:p>
      <w:pPr>
        <w:ind w:left="140" w:right="100"/>
        <w:spacing w:after="0" w:line="262"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89" w:lineRule="exact"/>
        <w:rPr>
          <w:sz w:val="20"/>
          <w:szCs w:val="20"/>
          <w:color w:val="auto"/>
        </w:rPr>
      </w:pPr>
    </w:p>
    <w:p>
      <w:pPr>
        <w:ind w:left="1100" w:right="20" w:hanging="426"/>
        <w:spacing w:after="0" w:line="275" w:lineRule="auto"/>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77" w:lineRule="exact"/>
        <w:rPr>
          <w:rFonts w:ascii="Arial" w:cs="Arial" w:eastAsia="Arial" w:hAnsi="Arial"/>
          <w:sz w:val="18"/>
          <w:szCs w:val="18"/>
          <w:color w:val="auto"/>
        </w:rPr>
      </w:pPr>
    </w:p>
    <w:p>
      <w:pPr>
        <w:ind w:left="1100" w:right="20" w:hanging="426"/>
        <w:spacing w:after="0" w:line="262" w:lineRule="auto"/>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8" w:lineRule="exact"/>
        <w:rPr>
          <w:rFonts w:ascii="Arial" w:cs="Arial" w:eastAsia="Arial" w:hAnsi="Arial"/>
          <w:sz w:val="18"/>
          <w:szCs w:val="18"/>
          <w:color w:val="auto"/>
        </w:rPr>
      </w:pPr>
    </w:p>
    <w:p>
      <w:pPr>
        <w:ind w:left="1100" w:right="160" w:hanging="426"/>
        <w:spacing w:after="0" w:line="306" w:lineRule="auto"/>
        <w:tabs>
          <w:tab w:leader="none" w:pos="11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85"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20"/>
        <w:spacing w:after="0" w:line="258"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twelve months following its adoption.</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Inspection of Books and Records</w:t>
      </w:r>
    </w:p>
    <w:p>
      <w:pPr>
        <w:spacing w:after="0" w:line="116"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Section 150 of the Danish Companies Act, a shareholder may request an inspection of the company’s books regarding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86" w:lineRule="exact"/>
        <w:rPr>
          <w:sz w:val="20"/>
          <w:szCs w:val="20"/>
          <w:color w:val="auto"/>
        </w:rPr>
      </w:pPr>
    </w:p>
    <w:p>
      <w:pPr>
        <w:ind w:left="140" w:right="280"/>
        <w:spacing w:after="0" w:line="27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certain of the corporation’s books and records, for any proper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during the corporation’s usual hours of business.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Pre-emptive Rights</w:t>
      </w:r>
    </w:p>
    <w:p>
      <w:pPr>
        <w:spacing w:after="0" w:line="116" w:lineRule="exact"/>
        <w:rPr>
          <w:sz w:val="20"/>
          <w:szCs w:val="20"/>
          <w:color w:val="auto"/>
        </w:rPr>
      </w:pPr>
    </w:p>
    <w:p>
      <w:pPr>
        <w:ind w:left="140" w:right="80"/>
        <w:spacing w:after="0" w:line="300"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all shareholders have pre-emptive subscription rights in connection with capital increases that are carried out as cash</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56" w:lineRule="exact"/>
        <w:rPr>
          <w:sz w:val="20"/>
          <w:szCs w:val="20"/>
          <w:color w:val="auto"/>
        </w:rPr>
      </w:pPr>
    </w:p>
    <w:p>
      <w:pPr>
        <w:ind w:left="140" w:right="60"/>
        <w:spacing w:after="0" w:line="275" w:lineRule="auto"/>
        <w:rPr>
          <w:sz w:val="20"/>
          <w:szCs w:val="20"/>
          <w:color w:val="auto"/>
        </w:rPr>
      </w:pPr>
      <w:r>
        <w:rPr>
          <w:rFonts w:ascii="Arial" w:cs="Arial" w:eastAsia="Arial" w:hAnsi="Arial"/>
          <w:sz w:val="18"/>
          <w:szCs w:val="18"/>
          <w:color w:val="auto"/>
        </w:rPr>
        <w:t>The board of directors may resolve to increase the company’s share capital without pre-emptive subscription rights for existing shareholders pursuant to the authorizations described above under the caption “Authorizations to Our Board of Directors.”</w:t>
      </w:r>
    </w:p>
    <w:p>
      <w:pPr>
        <w:spacing w:after="0" w:line="171" w:lineRule="exact"/>
        <w:rPr>
          <w:sz w:val="20"/>
          <w:szCs w:val="20"/>
          <w:color w:val="auto"/>
        </w:rPr>
      </w:pPr>
    </w:p>
    <w:p>
      <w:pPr>
        <w:ind w:left="140" w:right="20"/>
        <w:spacing w:after="0" w:line="275" w:lineRule="auto"/>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71" w:lineRule="exact"/>
        <w:rPr>
          <w:sz w:val="20"/>
          <w:szCs w:val="20"/>
          <w:color w:val="auto"/>
        </w:rPr>
      </w:pPr>
    </w:p>
    <w:p>
      <w:pPr>
        <w:ind w:left="140" w:right="200"/>
        <w:spacing w:after="0" w:line="340"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convertible into such stock unless, and to the extent that, such rights are expressly provided for in the certificate of incorporation.</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Dividends</w:t>
      </w:r>
    </w:p>
    <w:p>
      <w:pPr>
        <w:spacing w:after="0" w:line="116" w:lineRule="exact"/>
        <w:rPr>
          <w:sz w:val="20"/>
          <w:szCs w:val="20"/>
          <w:color w:val="auto"/>
        </w:rPr>
      </w:pPr>
    </w:p>
    <w:p>
      <w:pPr>
        <w:ind w:left="140"/>
        <w:spacing w:after="0" w:line="268"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the distribution of ordinary and extraordinary dividends requires the approval of a company’s shareholders at a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meeting. Under the Danish Companies Act the general meeting may authorize the board of directors to resolve to distribute extraordinary dividends after presentation of a company’s first financial statements. The authorization may be subject to financial and time restrictions. The shareholders may not distribute dividends in excess of the recommendation from the board of directors and may only pay out dividends from the company’s distributable reserves, which are defined as results from operations carried forward and reserves that are not bound by law after deduction of loss carried forward. It is possible under Danish law to pay out extraordinary dividends.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w:t>
      </w:r>
    </w:p>
    <w:p>
      <w:pPr>
        <w:spacing w:after="0" w:line="185" w:lineRule="exact"/>
        <w:rPr>
          <w:sz w:val="20"/>
          <w:szCs w:val="20"/>
          <w:color w:val="auto"/>
        </w:rPr>
      </w:pPr>
    </w:p>
    <w:p>
      <w:pPr>
        <w:ind w:left="140" w:right="20"/>
        <w:spacing w:after="0" w:line="272"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Delaware corporation may pay dividends out of its surplus (the excess of net assets over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28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Shareholder Vote on Certain Reorganizations</w:t>
      </w:r>
    </w:p>
    <w:p>
      <w:pPr>
        <w:spacing w:after="0" w:line="116" w:lineRule="exact"/>
        <w:rPr>
          <w:sz w:val="20"/>
          <w:szCs w:val="20"/>
          <w:color w:val="auto"/>
        </w:rPr>
      </w:pPr>
    </w:p>
    <w:p>
      <w:pPr>
        <w:ind w:left="140" w:right="80"/>
        <w:spacing w:after="0" w:line="275"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all amendments to the articles of association shall be approved by the general meeting of shareholders with a minimum of</w:t>
      </w:r>
      <w:r>
        <w:rPr>
          <w:rFonts w:ascii="Arial" w:cs="Arial" w:eastAsia="Arial" w:hAnsi="Arial"/>
          <w:sz w:val="18"/>
          <w:szCs w:val="18"/>
          <w:i w:val="1"/>
          <w:iCs w:val="1"/>
          <w:color w:val="auto"/>
        </w:rPr>
        <w:t xml:space="preserve"> </w:t>
      </w:r>
      <w:r>
        <w:rPr>
          <w:rFonts w:ascii="Arial" w:cs="Arial" w:eastAsia="Arial" w:hAnsi="Arial"/>
          <w:sz w:val="18"/>
          <w:szCs w:val="18"/>
          <w:color w:val="auto"/>
        </w:rPr>
        <w:t>two-thirds of the votes cast and two-thirds of the represented share capital. The same applies to solvent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85"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60"/>
        <w:spacing w:after="0" w:line="256" w:lineRule="auto"/>
        <w:rPr>
          <w:sz w:val="20"/>
          <w:szCs w:val="20"/>
          <w:color w:val="auto"/>
        </w:rPr>
      </w:pPr>
      <w:r>
        <w:rPr>
          <w:rFonts w:ascii="Arial" w:cs="Arial" w:eastAsia="Arial" w:hAnsi="Arial"/>
          <w:sz w:val="18"/>
          <w:szCs w:val="18"/>
          <w:color w:val="auto"/>
        </w:rPr>
        <w:t>liquidations, mergers with the company as the discontinuing entity, mergers with the company as the continuing entity if shares are issued in connection therewith, demergers with the company as the transferor company and demergers with the company as the existing transferee if amendment of the articles of association for any purpose other than the adoption of the transferor company’s name or secondary name as the transferee company’s secondary name is required to be made. Under Danish law, it is debatable whether the shareholders must approve a decision to sell all or virtually all of the company’s business/assets.</w:t>
      </w:r>
    </w:p>
    <w:p>
      <w:pPr>
        <w:spacing w:after="0" w:line="188" w:lineRule="exact"/>
        <w:rPr>
          <w:sz w:val="20"/>
          <w:szCs w:val="20"/>
          <w:color w:val="auto"/>
        </w:rPr>
      </w:pPr>
    </w:p>
    <w:p>
      <w:pPr>
        <w:ind w:left="140" w:right="320"/>
        <w:spacing w:after="0" w:line="27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the vote of a majority of the outstanding shares of capital stock entitled to vote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0" w:lineRule="exact"/>
        <w:rPr>
          <w:sz w:val="20"/>
          <w:szCs w:val="20"/>
          <w:color w:val="auto"/>
        </w:rPr>
      </w:pPr>
    </w:p>
    <w:p>
      <w:pPr>
        <w:jc w:val="both"/>
        <w:ind w:left="140"/>
        <w:spacing w:after="0" w:line="290" w:lineRule="auto"/>
        <w:rPr>
          <w:sz w:val="20"/>
          <w:szCs w:val="20"/>
          <w:color w:val="auto"/>
        </w:rPr>
      </w:pPr>
      <w:r>
        <w:rPr>
          <w:rFonts w:ascii="Arial" w:cs="Arial" w:eastAsia="Arial" w:hAnsi="Arial"/>
          <w:sz w:val="16"/>
          <w:szCs w:val="16"/>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w:t>
      </w:r>
    </w:p>
    <w:p>
      <w:pPr>
        <w:ind w:left="140" w:right="100" w:hanging="5"/>
        <w:spacing w:after="0" w:line="251" w:lineRule="auto"/>
        <w:tabs>
          <w:tab w:leader="none" w:pos="39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Amendments to Governing Documents</w:t>
      </w:r>
    </w:p>
    <w:p>
      <w:pPr>
        <w:spacing w:after="0" w:line="116" w:lineRule="exact"/>
        <w:rPr>
          <w:sz w:val="20"/>
          <w:szCs w:val="20"/>
          <w:color w:val="auto"/>
        </w:rPr>
      </w:pPr>
    </w:p>
    <w:p>
      <w:pPr>
        <w:ind w:left="140" w:right="100"/>
        <w:spacing w:after="0" w:line="295"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All resolutions made by the general meeting may be adopted by a simple majority of the votes, subject only to the mandatory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61" w:lineRule="exact"/>
        <w:rPr>
          <w:sz w:val="20"/>
          <w:szCs w:val="20"/>
          <w:color w:val="auto"/>
        </w:rPr>
      </w:pPr>
    </w:p>
    <w:p>
      <w:pPr>
        <w:ind w:left="140" w:right="40"/>
        <w:spacing w:after="0" w:line="258"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 corporation’s certificate of incorporation may be amended only if adopted and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330" w:lineRule="exact"/>
        <w:rPr>
          <w:sz w:val="20"/>
          <w:szCs w:val="20"/>
          <w:color w:val="auto"/>
        </w:rPr>
      </w:pPr>
    </w:p>
    <w:p>
      <w:pPr>
        <w:ind w:left="560" w:hanging="425"/>
        <w:spacing w:after="0"/>
        <w:tabs>
          <w:tab w:leader="none" w:pos="5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0" w:lineRule="exact"/>
        <w:rPr>
          <w:sz w:val="20"/>
          <w:szCs w:val="20"/>
          <w:color w:val="auto"/>
        </w:rPr>
      </w:pPr>
    </w:p>
    <w:p>
      <w:pPr>
        <w:ind w:left="140" w:right="400"/>
        <w:spacing w:after="0" w:line="275" w:lineRule="auto"/>
        <w:rPr>
          <w:sz w:val="20"/>
          <w:szCs w:val="20"/>
          <w:color w:val="auto"/>
        </w:rPr>
      </w:pPr>
      <w:r>
        <w:rPr>
          <w:rFonts w:ascii="Arial" w:cs="Arial" w:eastAsia="Arial" w:hAnsi="Arial"/>
          <w:sz w:val="18"/>
          <w:szCs w:val="18"/>
          <w:color w:val="auto"/>
        </w:rPr>
        <w:t>Except as otherwise disclosed in this annual report (including the Exhibits), we are not currently party to any material contract, other than contracts entered into in the ordinary course of business.</w:t>
      </w:r>
    </w:p>
    <w:p>
      <w:pPr>
        <w:spacing w:after="0" w:line="315" w:lineRule="exact"/>
        <w:rPr>
          <w:sz w:val="20"/>
          <w:szCs w:val="20"/>
          <w:color w:val="auto"/>
        </w:rPr>
      </w:pPr>
    </w:p>
    <w:p>
      <w:pPr>
        <w:ind w:left="560" w:hanging="425"/>
        <w:spacing w:after="0"/>
        <w:tabs>
          <w:tab w:leader="none" w:pos="5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120" w:lineRule="exact"/>
        <w:rPr>
          <w:sz w:val="20"/>
          <w:szCs w:val="20"/>
          <w:color w:val="auto"/>
        </w:rPr>
      </w:pPr>
    </w:p>
    <w:p>
      <w:pPr>
        <w:jc w:val="both"/>
        <w:ind w:left="140" w:right="100"/>
        <w:spacing w:after="0" w:line="262" w:lineRule="auto"/>
        <w:rPr>
          <w:sz w:val="20"/>
          <w:szCs w:val="20"/>
          <w:color w:val="auto"/>
        </w:rPr>
      </w:pPr>
      <w:r>
        <w:rPr>
          <w:rFonts w:ascii="Arial" w:cs="Arial" w:eastAsia="Arial" w:hAnsi="Arial"/>
          <w:sz w:val="18"/>
          <w:szCs w:val="18"/>
          <w:color w:val="auto"/>
        </w:rPr>
        <w:t>There are no laws or regulation in Denmark that restrict the export or import of capital (except for certain investments in certain domains in accordance with applicable resolutions by the United Nations or the European Union), including, but not limited to, foreign exchange controls, or which affect the remittance of dividends, interest or other payments to non-resident holders of our ordinary shares.</w:t>
      </w:r>
    </w:p>
    <w:p>
      <w:pPr>
        <w:spacing w:after="0" w:line="327" w:lineRule="exact"/>
        <w:rPr>
          <w:sz w:val="20"/>
          <w:szCs w:val="20"/>
          <w:color w:val="auto"/>
        </w:rPr>
      </w:pPr>
    </w:p>
    <w:p>
      <w:pPr>
        <w:ind w:left="560" w:hanging="425"/>
        <w:spacing w:after="0"/>
        <w:tabs>
          <w:tab w:leader="none" w:pos="5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Danish Tax Considerations</w:t>
      </w:r>
    </w:p>
    <w:p>
      <w:pPr>
        <w:spacing w:after="0" w:line="120" w:lineRule="exact"/>
        <w:rPr>
          <w:sz w:val="20"/>
          <w:szCs w:val="20"/>
          <w:color w:val="auto"/>
        </w:rPr>
      </w:pPr>
    </w:p>
    <w:p>
      <w:pPr>
        <w:ind w:left="140" w:right="20"/>
        <w:spacing w:after="0" w:line="278" w:lineRule="auto"/>
        <w:rPr>
          <w:sz w:val="20"/>
          <w:szCs w:val="20"/>
          <w:color w:val="auto"/>
        </w:rPr>
      </w:pPr>
      <w:r>
        <w:rPr>
          <w:rFonts w:ascii="Arial" w:cs="Arial" w:eastAsia="Arial" w:hAnsi="Arial"/>
          <w:sz w:val="17"/>
          <w:szCs w:val="17"/>
          <w:i w:val="1"/>
          <w:iCs w:val="1"/>
          <w:color w:val="auto"/>
        </w:rPr>
        <w:t>The following discussion describes the material Danish tax consequences under present law of an investment in the ADSs (representing our ordinary shares). The summary is for general information only and does not purport to constitute exhaustive tax or legal advice. It is specifically noted that the summary does not address all possible tax consequences relating to an investment in the ADSs. The summary is based solely on the tax laws of Denmark in effect on the date of this annual report. Danish tax laws may be subject to change, possibly with retroactive effect.</w:t>
      </w:r>
    </w:p>
    <w:p>
      <w:pPr>
        <w:spacing w:after="0" w:line="170" w:lineRule="exact"/>
        <w:rPr>
          <w:sz w:val="20"/>
          <w:szCs w:val="20"/>
          <w:color w:val="auto"/>
        </w:rPr>
      </w:pPr>
    </w:p>
    <w:p>
      <w:pPr>
        <w:ind w:left="140" w:right="420"/>
        <w:spacing w:after="0" w:line="285" w:lineRule="auto"/>
        <w:rPr>
          <w:sz w:val="20"/>
          <w:szCs w:val="20"/>
          <w:color w:val="auto"/>
        </w:rPr>
      </w:pPr>
      <w:r>
        <w:rPr>
          <w:rFonts w:ascii="Arial" w:cs="Arial" w:eastAsia="Arial" w:hAnsi="Arial"/>
          <w:sz w:val="17"/>
          <w:szCs w:val="17"/>
          <w:color w:val="auto"/>
        </w:rPr>
        <w:t>The summary does not cover investors to whom special tax rules apply, and, therefore, may not be relevant, for example, to investors subject to the Danish Tax on Pension Yields Act (</w:t>
      </w:r>
      <w:r>
        <w:rPr>
          <w:rFonts w:ascii="Arial" w:cs="Arial" w:eastAsia="Arial" w:hAnsi="Arial"/>
          <w:sz w:val="17"/>
          <w:szCs w:val="17"/>
          <w:i w:val="1"/>
          <w:iCs w:val="1"/>
          <w:color w:val="auto"/>
        </w:rPr>
        <w:t>i.e.</w:t>
      </w:r>
      <w:r>
        <w:rPr>
          <w:rFonts w:ascii="Arial" w:cs="Arial" w:eastAsia="Arial" w:hAnsi="Arial"/>
          <w:sz w:val="17"/>
          <w:szCs w:val="17"/>
          <w:color w:val="auto"/>
        </w:rPr>
        <w:t>, pension savings), professional investors, certain institutional investors, insurance companies, pension companies, banks, stockbrokers and investors with tax liability on return on pension investments.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85"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summary does not cover taxation of individuals and companies who carry on a business of purchasing and selling shares. The summary only sets out the tax position of the direct owners of the ADSs and further assumes that the direct investors are the beneficial owners of the ADSs and any dividends thereon. Sales are assumed to be sales to a third party.</w:t>
      </w:r>
    </w:p>
    <w:p>
      <w:pPr>
        <w:spacing w:after="0" w:line="183"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color w:val="auto"/>
        </w:rPr>
        <w:t>Potential investors in the ADSs are advised to consult their tax advisors regarding the applicable tax consequences of acquiring, holding and disposing of the ADSs based on their particular circumstances.</w:t>
      </w:r>
    </w:p>
    <w:p>
      <w:pPr>
        <w:spacing w:after="0" w:line="171" w:lineRule="exact"/>
        <w:rPr>
          <w:sz w:val="20"/>
          <w:szCs w:val="20"/>
          <w:color w:val="auto"/>
        </w:rPr>
      </w:pPr>
    </w:p>
    <w:p>
      <w:pPr>
        <w:ind w:left="140" w:right="100"/>
        <w:spacing w:after="0" w:line="275" w:lineRule="auto"/>
        <w:rPr>
          <w:sz w:val="20"/>
          <w:szCs w:val="20"/>
          <w:color w:val="auto"/>
        </w:rPr>
      </w:pPr>
      <w:r>
        <w:rPr>
          <w:rFonts w:ascii="Arial" w:cs="Arial" w:eastAsia="Arial" w:hAnsi="Arial"/>
          <w:sz w:val="18"/>
          <w:szCs w:val="18"/>
          <w:color w:val="auto"/>
        </w:rPr>
        <w:t>Investors who may be affected by the tax laws of other jurisdictions should consult their tax advisors with respect to the tax consequences applicable to their particular circumstances as such consequences may differ significantly from those described herein.</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Taxation of Danish Tax Resident Holders of the ADSs</w:t>
      </w:r>
    </w:p>
    <w:p>
      <w:pPr>
        <w:spacing w:after="0" w:line="116"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It is currently not clear under the Danish tax legislation or case law how the listed ADSs are to be treated for tax purposes, and therefore no level of assurance can be given on this matter. For the purpose of the below comments, it is assumed that a holder of ADSs listed in the U.S. should be treated as holding non-listed shares in the company, as the company’s ordinary shares are not admitted to trading on a regulated market. However, recent communications from the Danish Tax authorities indicate that based on an individual analysis based on the actual facts and circumstances and terms and conditions of the depositary agreement, a holder of ADSs may not be treated as holding unlisted shares in the company for Danish tax purposes, which has hitherto been assumed when the underlying asset consists of an unlisted share. Furthermore, the communications from the Danish Tax authorities indicate if the holders of ADSs are not treated as holders of shares in the Danish company, then the depositary bank may be considered the holder of the ordinary shares in the company for Danish tax purposes.</w:t>
      </w:r>
    </w:p>
    <w:p>
      <w:pPr>
        <w:spacing w:after="0" w:line="178" w:lineRule="exact"/>
        <w:rPr>
          <w:sz w:val="20"/>
          <w:szCs w:val="20"/>
          <w:color w:val="auto"/>
        </w:rPr>
      </w:pPr>
    </w:p>
    <w:p>
      <w:pPr>
        <w:ind w:left="140" w:right="340"/>
        <w:spacing w:after="0" w:line="340" w:lineRule="auto"/>
        <w:rPr>
          <w:sz w:val="20"/>
          <w:szCs w:val="20"/>
          <w:color w:val="auto"/>
        </w:rPr>
      </w:pPr>
      <w:r>
        <w:rPr>
          <w:rFonts w:ascii="Arial" w:cs="Arial" w:eastAsia="Arial" w:hAnsi="Arial"/>
          <w:sz w:val="16"/>
          <w:szCs w:val="16"/>
          <w:color w:val="auto"/>
        </w:rPr>
        <w:t>However, the tax position and treatment of ADSs under Danish law are still unclear. In the event that the holders of ADSs are not treated as holding unlisted shares in the company, it is likely that they will be treated as either holding listed shares or financial instruments for tax purposes.</w:t>
      </w:r>
    </w:p>
    <w:p>
      <w:pPr>
        <w:spacing w:after="0" w:line="124" w:lineRule="exact"/>
        <w:rPr>
          <w:sz w:val="20"/>
          <w:szCs w:val="20"/>
          <w:color w:val="auto"/>
        </w:rPr>
      </w:pPr>
    </w:p>
    <w:p>
      <w:pPr>
        <w:jc w:val="both"/>
        <w:ind w:left="140" w:right="60"/>
        <w:spacing w:after="0" w:line="262" w:lineRule="auto"/>
        <w:rPr>
          <w:sz w:val="20"/>
          <w:szCs w:val="20"/>
          <w:color w:val="auto"/>
        </w:rPr>
      </w:pPr>
      <w:r>
        <w:rPr>
          <w:rFonts w:ascii="Arial" w:cs="Arial" w:eastAsia="Arial" w:hAnsi="Arial"/>
          <w:sz w:val="18"/>
          <w:szCs w:val="18"/>
          <w:color w:val="auto"/>
        </w:rPr>
        <w:t>As described above, the below summary assumes that the holders of ADSs listed in the U.S. should be treated as holding unlisted ordinary shares in the company for Danish tax purposes, but if this is not the case, then this will impact the Danish tax treatment of the holders of ADSs, including in respect of the taxation of dividends paid to holders of ADSs.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Sale of the ADSs (Individuals)</w:t>
      </w:r>
    </w:p>
    <w:p>
      <w:pPr>
        <w:spacing w:after="0" w:line="116" w:lineRule="exact"/>
        <w:rPr>
          <w:sz w:val="20"/>
          <w:szCs w:val="20"/>
          <w:color w:val="auto"/>
        </w:rPr>
      </w:pPr>
    </w:p>
    <w:p>
      <w:pPr>
        <w:ind w:left="140" w:right="20"/>
        <w:spacing w:after="0" w:line="258" w:lineRule="auto"/>
        <w:rPr>
          <w:sz w:val="20"/>
          <w:szCs w:val="20"/>
          <w:color w:val="auto"/>
        </w:rPr>
      </w:pPr>
      <w:r>
        <w:rPr>
          <w:rFonts w:ascii="Arial" w:cs="Arial" w:eastAsia="Arial" w:hAnsi="Arial"/>
          <w:sz w:val="18"/>
          <w:szCs w:val="18"/>
          <w:color w:val="auto"/>
        </w:rPr>
        <w:t>For individual investors in 2022, gains from the sale of shares are included in the computation of the annual share income subject to 27% tax on the first DKK 57,200 (for cohabiting spouses, a total of DKK 114,400) and at a rate of 42% on share income exceeding DKK 57,200 (for cohabiting spouses over DKK 114,400). Such amounts are subject to annual adjustment and include all share income (</w:t>
      </w:r>
      <w:r>
        <w:rPr>
          <w:rFonts w:ascii="Arial" w:cs="Arial" w:eastAsia="Arial" w:hAnsi="Arial"/>
          <w:sz w:val="18"/>
          <w:szCs w:val="18"/>
          <w:i w:val="1"/>
          <w:iCs w:val="1"/>
          <w:color w:val="auto"/>
        </w:rPr>
        <w:t>i.e.</w:t>
      </w:r>
      <w:r>
        <w:rPr>
          <w:rFonts w:ascii="Arial" w:cs="Arial" w:eastAsia="Arial" w:hAnsi="Arial"/>
          <w:sz w:val="18"/>
          <w:szCs w:val="18"/>
          <w:color w:val="auto"/>
        </w:rPr>
        <w:t>, all capital gains and dividends derived by the individual or cohabiting spouses, respectively).</w:t>
      </w:r>
    </w:p>
    <w:p>
      <w:pPr>
        <w:spacing w:after="0" w:line="186"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Gains and losses on the sale of shares are calculated as the difference between the purchase price and the sales price. The purchase price is generally determined using the average method (in Danish “gennemsnitsmetoden”) as a proportionate part of the aggregate purchase price for all the shareholder’s shares in the company.</w:t>
      </w:r>
    </w:p>
    <w:p>
      <w:pPr>
        <w:spacing w:after="0" w:line="183" w:lineRule="exact"/>
        <w:rPr>
          <w:sz w:val="20"/>
          <w:szCs w:val="20"/>
          <w:color w:val="auto"/>
        </w:rPr>
      </w:pPr>
    </w:p>
    <w:p>
      <w:pPr>
        <w:ind w:left="140" w:right="100"/>
        <w:spacing w:after="0" w:line="254" w:lineRule="auto"/>
        <w:rPr>
          <w:sz w:val="20"/>
          <w:szCs w:val="20"/>
          <w:color w:val="auto"/>
        </w:rPr>
      </w:pPr>
      <w:r>
        <w:rPr>
          <w:rFonts w:ascii="Arial" w:cs="Arial" w:eastAsia="Arial" w:hAnsi="Arial"/>
          <w:sz w:val="18"/>
          <w:szCs w:val="18"/>
          <w:color w:val="auto"/>
        </w:rPr>
        <w:t>As the ADSs, for the purpose of this tax description, are considered unlisted shares for Danish tax purposes, losses may be offset against other share income, (</w:t>
      </w:r>
      <w:r>
        <w:rPr>
          <w:rFonts w:ascii="Arial" w:cs="Arial" w:eastAsia="Arial" w:hAnsi="Arial"/>
          <w:sz w:val="18"/>
          <w:szCs w:val="18"/>
          <w:i w:val="1"/>
          <w:iCs w:val="1"/>
          <w:color w:val="auto"/>
        </w:rPr>
        <w:t>i.e.</w:t>
      </w:r>
      <w:r>
        <w:rPr>
          <w:rFonts w:ascii="Arial" w:cs="Arial" w:eastAsia="Arial" w:hAnsi="Arial"/>
          <w:sz w:val="18"/>
          <w:szCs w:val="18"/>
          <w:color w:val="auto"/>
        </w:rPr>
        <w:t>, received dividends and capital gains on the sale of shares). Unused losses will automatically be offset against a cohabiting spouse’s share income. In case the share income becomes negative, a negative tax on the share income will be calculated and offset against the individual’s other final taxes. Unused negative tax on share income will be offset against a cohabiting spouse’s final taxes. If the negative tax on share income cannot be offset against a cohabiting spouse’s final taxes, the negative tax can be carried forward indefinitely and offset against future year’s taxes. The tax treatment follows from the realization principle.</w:t>
      </w:r>
    </w:p>
    <w:p>
      <w:pPr>
        <w:spacing w:after="0" w:line="30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Sale of the ADSs (Companies)</w:t>
      </w:r>
    </w:p>
    <w:p>
      <w:pPr>
        <w:spacing w:after="0" w:line="116" w:lineRule="exact"/>
        <w:rPr>
          <w:sz w:val="20"/>
          <w:szCs w:val="20"/>
          <w:color w:val="auto"/>
        </w:rPr>
      </w:pPr>
    </w:p>
    <w:p>
      <w:pPr>
        <w:ind w:left="140" w:right="160"/>
        <w:spacing w:after="0" w:line="262" w:lineRule="auto"/>
        <w:rPr>
          <w:sz w:val="20"/>
          <w:szCs w:val="20"/>
          <w:color w:val="auto"/>
        </w:rPr>
      </w:pPr>
      <w:r>
        <w:rPr>
          <w:rFonts w:ascii="Arial" w:cs="Arial" w:eastAsia="Arial" w:hAnsi="Arial"/>
          <w:sz w:val="18"/>
          <w:szCs w:val="18"/>
          <w:color w:val="auto"/>
        </w:rPr>
        <w:t>For the purpose of taxation of sales of shares made by shareholders (Companies), a distinction is made between Subsidiary Shares, Group Shares, Tax-Exempt Portfolio Shares and Taxable Portfolio Shares (note that the ownership threshold described below is applied on the basis of the number of all shares issued by the company, and not on the basis of the number of the ADSs issued):</w:t>
      </w:r>
    </w:p>
    <w:p>
      <w:pPr>
        <w:spacing w:after="0" w:line="75" w:lineRule="exact"/>
        <w:rPr>
          <w:sz w:val="20"/>
          <w:szCs w:val="20"/>
          <w:color w:val="auto"/>
        </w:rPr>
      </w:pPr>
    </w:p>
    <w:p>
      <w:pPr>
        <w:jc w:val="center"/>
        <w:ind w:right="4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Shares”</w:t>
      </w:r>
      <w:r>
        <w:rPr>
          <w:rFonts w:ascii="Arial" w:cs="Arial" w:eastAsia="Arial" w:hAnsi="Arial"/>
          <w:sz w:val="18"/>
          <w:szCs w:val="18"/>
          <w:color w:val="auto"/>
        </w:rPr>
        <w:t xml:space="preserve"> are generally defined as shares owned by a shareholder holding at least 10% of the nominal share capital of the issuing company. 136</w:t>
      </w:r>
    </w:p>
    <w:p>
      <w:pPr>
        <w:sectPr>
          <w:pgSz w:w="11900" w:h="16838" w:orient="portrait"/>
          <w:cols w:equalWidth="0" w:num="1">
            <w:col w:w="11080"/>
          </w:cols>
          <w:pgMar w:left="320" w:top="485"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0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Group Shares</w:t>
      </w:r>
      <w:r>
        <w:rPr>
          <w:rFonts w:ascii="Arial" w:cs="Arial" w:eastAsia="Arial" w:hAnsi="Arial"/>
          <w:sz w:val="16"/>
          <w:szCs w:val="16"/>
          <w:color w:val="auto"/>
        </w:rPr>
        <w:t>” are generally defined as shares in a company in which the shareholder of the company and the issuing company are subject to Danish joint taxation or fulfill the requirements for international joint taxation under Danish law (</w:t>
      </w:r>
      <w:r>
        <w:rPr>
          <w:rFonts w:ascii="Arial" w:cs="Arial" w:eastAsia="Arial" w:hAnsi="Arial"/>
          <w:sz w:val="16"/>
          <w:szCs w:val="16"/>
          <w:i w:val="1"/>
          <w:iCs w:val="1"/>
          <w:color w:val="auto"/>
        </w:rPr>
        <w:t>i.e.</w:t>
      </w:r>
      <w:r>
        <w:rPr>
          <w:rFonts w:ascii="Arial" w:cs="Arial" w:eastAsia="Arial" w:hAnsi="Arial"/>
          <w:sz w:val="16"/>
          <w:szCs w:val="16"/>
          <w:color w:val="auto"/>
        </w:rPr>
        <w:t>, the company is controlled by the shareholder).</w:t>
      </w:r>
    </w:p>
    <w:p>
      <w:pPr>
        <w:spacing w:after="0" w:line="124" w:lineRule="exact"/>
        <w:rPr>
          <w:sz w:val="20"/>
          <w:szCs w:val="20"/>
          <w:color w:val="auto"/>
        </w:rPr>
      </w:pPr>
    </w:p>
    <w:p>
      <w:pPr>
        <w:ind w:left="140"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Tax-Exempt Portfolio Shares”</w:t>
      </w:r>
      <w:r>
        <w:rPr>
          <w:rFonts w:ascii="Arial" w:cs="Arial" w:eastAsia="Arial" w:hAnsi="Arial"/>
          <w:sz w:val="18"/>
          <w:szCs w:val="18"/>
          <w:color w:val="auto"/>
        </w:rPr>
        <w:t xml:space="preserve"> are defined as shares not admitted to trading on a regulated market owned by a shareholder holding less than 10% of the nominal share capital of the issuing company.</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Portfolio Shares”</w:t>
      </w:r>
      <w:r>
        <w:rPr>
          <w:rFonts w:ascii="Arial" w:cs="Arial" w:eastAsia="Arial" w:hAnsi="Arial"/>
          <w:sz w:val="18"/>
          <w:szCs w:val="18"/>
          <w:color w:val="auto"/>
        </w:rPr>
        <w:t xml:space="preserve"> are defined as shares that do not qualify as Subsidiary Shares, Group Shares or Tax-Exempt Portfolio Shares.</w:t>
      </w:r>
    </w:p>
    <w:p>
      <w:pPr>
        <w:spacing w:after="0" w:line="223" w:lineRule="exact"/>
        <w:rPr>
          <w:sz w:val="20"/>
          <w:szCs w:val="20"/>
          <w:color w:val="auto"/>
        </w:rPr>
      </w:pPr>
    </w:p>
    <w:p>
      <w:pPr>
        <w:ind w:left="140" w:right="460"/>
        <w:spacing w:after="0" w:line="275" w:lineRule="auto"/>
        <w:rPr>
          <w:sz w:val="20"/>
          <w:szCs w:val="20"/>
          <w:color w:val="auto"/>
        </w:rPr>
      </w:pPr>
      <w:r>
        <w:rPr>
          <w:rFonts w:ascii="Arial" w:cs="Arial" w:eastAsia="Arial" w:hAnsi="Arial"/>
          <w:sz w:val="18"/>
          <w:szCs w:val="18"/>
          <w:color w:val="auto"/>
        </w:rPr>
        <w:t>Gains or losses on disposal of Subsidiary Shares and Group Shares and Tax-Exempt Portfolio Shares are not included in the taxable income of the shareholder.</w:t>
      </w:r>
    </w:p>
    <w:p>
      <w:pPr>
        <w:spacing w:after="0" w:line="171"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color w:val="auto"/>
        </w:rPr>
        <w:t>Special rules apply with respect to Subsidiary Shares and Group Shares to prevent exemption through certain holding company structures just as other anti-avoidance rules may apply. These rules will not be described in further detail.</w:t>
      </w:r>
    </w:p>
    <w:p>
      <w:pPr>
        <w:spacing w:after="0" w:line="171" w:lineRule="exact"/>
        <w:rPr>
          <w:sz w:val="20"/>
          <w:szCs w:val="20"/>
          <w:color w:val="auto"/>
        </w:rPr>
      </w:pPr>
    </w:p>
    <w:p>
      <w:pPr>
        <w:ind w:left="140"/>
        <w:spacing w:after="0" w:line="340" w:lineRule="auto"/>
        <w:rPr>
          <w:sz w:val="20"/>
          <w:szCs w:val="20"/>
          <w:color w:val="auto"/>
        </w:rPr>
      </w:pPr>
      <w:r>
        <w:rPr>
          <w:rFonts w:ascii="Arial" w:cs="Arial" w:eastAsia="Arial" w:hAnsi="Arial"/>
          <w:sz w:val="16"/>
          <w:szCs w:val="16"/>
          <w:color w:val="auto"/>
        </w:rPr>
        <w:t>Capital gains from the sale of Taxable Portfolio Shares are taxable at a rate of 22% irrespective of ownership period. Losses on such shares are generally deductible. Gains and losses on Taxable Portfolio Shares are generally taxable according to the mark-to-market principle (in Danish “</w:t>
      </w:r>
      <w:r>
        <w:rPr>
          <w:rFonts w:ascii="Arial" w:cs="Arial" w:eastAsia="Arial" w:hAnsi="Arial"/>
          <w:sz w:val="16"/>
          <w:szCs w:val="16"/>
          <w:i w:val="1"/>
          <w:iCs w:val="1"/>
          <w:color w:val="auto"/>
        </w:rPr>
        <w:t>lagerprincippet</w:t>
      </w:r>
      <w:r>
        <w:rPr>
          <w:rFonts w:ascii="Arial" w:cs="Arial" w:eastAsia="Arial" w:hAnsi="Arial"/>
          <w:sz w:val="16"/>
          <w:szCs w:val="16"/>
          <w:color w:val="auto"/>
        </w:rPr>
        <w:t>”).</w:t>
      </w:r>
    </w:p>
    <w:p>
      <w:pPr>
        <w:spacing w:after="0" w:line="124" w:lineRule="exact"/>
        <w:rPr>
          <w:sz w:val="20"/>
          <w:szCs w:val="20"/>
          <w:color w:val="auto"/>
        </w:rPr>
      </w:pPr>
    </w:p>
    <w:p>
      <w:pPr>
        <w:ind w:left="140" w:right="440"/>
        <w:spacing w:after="0" w:line="262" w:lineRule="auto"/>
        <w:rPr>
          <w:sz w:val="20"/>
          <w:szCs w:val="20"/>
          <w:color w:val="auto"/>
        </w:rPr>
      </w:pPr>
      <w:r>
        <w:rPr>
          <w:rFonts w:ascii="Arial" w:cs="Arial" w:eastAsia="Arial" w:hAnsi="Arial"/>
          <w:sz w:val="18"/>
          <w:szCs w:val="18"/>
          <w:color w:val="auto"/>
        </w:rPr>
        <w:t>According to the mark-to-market principle, each year’s taxable gain or loss on Taxable Portfolio Shares is calculated as the difference between the market value of the shares at the beginning and end of the tax year. Thus, taxation will take place on an accrual basis even if no shares have been disposed of and no gains or losses have been realized.</w:t>
      </w:r>
    </w:p>
    <w:p>
      <w:pPr>
        <w:spacing w:after="0" w:line="183" w:lineRule="exact"/>
        <w:rPr>
          <w:sz w:val="20"/>
          <w:szCs w:val="20"/>
          <w:color w:val="auto"/>
        </w:rPr>
      </w:pPr>
    </w:p>
    <w:p>
      <w:pPr>
        <w:ind w:left="140" w:right="240"/>
        <w:spacing w:after="0" w:line="295" w:lineRule="auto"/>
        <w:rPr>
          <w:sz w:val="20"/>
          <w:szCs w:val="20"/>
          <w:color w:val="auto"/>
        </w:rPr>
      </w:pPr>
      <w:r>
        <w:rPr>
          <w:rFonts w:ascii="Arial" w:cs="Arial" w:eastAsia="Arial" w:hAnsi="Arial"/>
          <w:sz w:val="16"/>
          <w:szCs w:val="16"/>
          <w:color w:val="auto"/>
        </w:rPr>
        <w:t>If the Taxable Portfolio Shares are sold or otherwise disposed of before the end of the income year, the taxable income of that income year equals the difference between the value of the Taxable Portfolio Shares at the beginning of the income year and the value of the Taxable Portfolio Shares at realization. If the Taxable Portfolio Shares are acquired and realized in the same income year, the taxable income equals the difference between the acquisition sum and the realization sum. If the Taxable Portfolio Shares are acquired in the income year and not realized in the same income year, the taxable income equals the difference between the acquisition sum and the value of the shares at the end of the income years.</w:t>
      </w:r>
    </w:p>
    <w:p>
      <w:pPr>
        <w:spacing w:after="0" w:line="161" w:lineRule="exact"/>
        <w:rPr>
          <w:sz w:val="20"/>
          <w:szCs w:val="20"/>
          <w:color w:val="auto"/>
        </w:rPr>
      </w:pPr>
    </w:p>
    <w:p>
      <w:pPr>
        <w:ind w:left="140" w:right="280"/>
        <w:spacing w:after="0" w:line="306" w:lineRule="auto"/>
        <w:rPr>
          <w:sz w:val="20"/>
          <w:szCs w:val="20"/>
          <w:color w:val="auto"/>
        </w:rPr>
      </w:pPr>
      <w:r>
        <w:rPr>
          <w:rFonts w:ascii="Arial" w:cs="Arial" w:eastAsia="Arial" w:hAnsi="Arial"/>
          <w:sz w:val="17"/>
          <w:szCs w:val="17"/>
          <w:color w:val="auto"/>
        </w:rPr>
        <w:t>A change of status from Subsidiary Shares/Group Shares/Tax-Exempt Portfolio Shares to Taxable Portfolio Shares (or vice versa) is for tax purposes deemed to be a disposal of the shares and a reacquisition of the shares at market value at the time of change of status.</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Dividends (Individuals)</w:t>
      </w:r>
    </w:p>
    <w:p>
      <w:pPr>
        <w:spacing w:after="0" w:line="116"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As described above, it is uncertain if holders of ADSs for Danish tax purposes are treated as holders of the ordinary shares in the company. Therefore, it is highly uncertain if the actual distribution of dividends on ADSs to Danish investors are considered dividends for Danish tax purposes. However, if such distributions to Danish tax resident individual investors are treated as dividends, taxation as share income, as described above, will take place. All share income must be included when calculating whether the amounts described above are exceeded. Dividends paid to individuals are generally subject to 27% withholding tax.</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Dividends (Companies)</w:t>
      </w:r>
    </w:p>
    <w:p>
      <w:pPr>
        <w:spacing w:after="0" w:line="116" w:lineRule="exact"/>
        <w:rPr>
          <w:sz w:val="20"/>
          <w:szCs w:val="20"/>
          <w:color w:val="auto"/>
        </w:rPr>
      </w:pPr>
    </w:p>
    <w:p>
      <w:pPr>
        <w:ind w:left="140" w:right="260"/>
        <w:spacing w:after="0" w:line="275" w:lineRule="auto"/>
        <w:rPr>
          <w:sz w:val="20"/>
          <w:szCs w:val="20"/>
          <w:color w:val="auto"/>
        </w:rPr>
      </w:pPr>
      <w:r>
        <w:rPr>
          <w:rFonts w:ascii="Arial" w:cs="Arial" w:eastAsia="Arial" w:hAnsi="Arial"/>
          <w:sz w:val="18"/>
          <w:szCs w:val="18"/>
          <w:color w:val="auto"/>
        </w:rPr>
        <w:t>For corporate investors, dividends paid (subject to the same uncertainty as described immediately above) on Subsidiary Shares and Group Shares are tax-exempt irrespective of ownership period.</w:t>
      </w:r>
    </w:p>
    <w:p>
      <w:pPr>
        <w:spacing w:after="0" w:line="171" w:lineRule="exact"/>
        <w:rPr>
          <w:sz w:val="20"/>
          <w:szCs w:val="20"/>
          <w:color w:val="auto"/>
        </w:rPr>
      </w:pPr>
    </w:p>
    <w:p>
      <w:pPr>
        <w:ind w:left="140" w:right="580"/>
        <w:spacing w:after="0" w:line="275" w:lineRule="auto"/>
        <w:rPr>
          <w:sz w:val="20"/>
          <w:szCs w:val="20"/>
          <w:color w:val="auto"/>
        </w:rPr>
      </w:pPr>
      <w:r>
        <w:rPr>
          <w:rFonts w:ascii="Arial" w:cs="Arial" w:eastAsia="Arial" w:hAnsi="Arial"/>
          <w:sz w:val="18"/>
          <w:szCs w:val="18"/>
          <w:color w:val="auto"/>
        </w:rPr>
        <w:t>Dividends paid on Tax-Exempt Portfolio Shares are partly taxable as 70% of the dividends received are included in the taxable income, which is equivalent to an effective taxation of 15.4% (70% of 22%) irrespective of ownership period.</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Dividends paid on Taxable Portfolio Shares are subject to the standard corporation tax rate of 22% irrespective of ownership period.</w:t>
      </w:r>
    </w:p>
    <w:p>
      <w:pPr>
        <w:spacing w:after="0" w:line="223" w:lineRule="exact"/>
        <w:rPr>
          <w:sz w:val="20"/>
          <w:szCs w:val="20"/>
          <w:color w:val="auto"/>
        </w:rPr>
      </w:pPr>
    </w:p>
    <w:p>
      <w:pPr>
        <w:ind w:left="140" w:right="100"/>
        <w:spacing w:after="0" w:line="340" w:lineRule="auto"/>
        <w:rPr>
          <w:sz w:val="20"/>
          <w:szCs w:val="20"/>
          <w:color w:val="auto"/>
        </w:rPr>
      </w:pPr>
      <w:r>
        <w:rPr>
          <w:rFonts w:ascii="Arial" w:cs="Arial" w:eastAsia="Arial" w:hAnsi="Arial"/>
          <w:sz w:val="16"/>
          <w:szCs w:val="16"/>
          <w:color w:val="auto"/>
        </w:rPr>
        <w:t>The actual withholding tax rate is as a starting point 27%, while it can be reduced (0%, 15.4%, 22%) if certain requirements are met. A claim for repayment can be made within two months or the excess tax will offset the corporation income tax for the year. The statute of limitations is three years.</w:t>
      </w:r>
    </w:p>
    <w:p>
      <w:pPr>
        <w:spacing w:after="0" w:line="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85"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Taxation of Shareholders Residing Outside Denmark</w:t>
      </w:r>
    </w:p>
    <w:p>
      <w:pPr>
        <w:spacing w:after="0" w:line="116" w:lineRule="exact"/>
        <w:rPr>
          <w:sz w:val="20"/>
          <w:szCs w:val="20"/>
          <w:color w:val="auto"/>
        </w:rPr>
      </w:pPr>
    </w:p>
    <w:p>
      <w:pPr>
        <w:ind w:left="140" w:right="40"/>
        <w:spacing w:after="0" w:line="270" w:lineRule="auto"/>
        <w:rPr>
          <w:sz w:val="20"/>
          <w:szCs w:val="20"/>
          <w:color w:val="auto"/>
        </w:rPr>
      </w:pPr>
      <w:r>
        <w:rPr>
          <w:rFonts w:ascii="Arial" w:cs="Arial" w:eastAsia="Arial" w:hAnsi="Arial"/>
          <w:sz w:val="17"/>
          <w:szCs w:val="17"/>
          <w:color w:val="auto"/>
        </w:rPr>
        <w:t>It is currently not clear under the Danish tax legislation or case law how the listed ADSs are to be treated for tax purposes, and therefore no level of assurance can be given on this matter. For the purpose of this summary, it is assumed that a holder of ADSs listed in the U.S. should be treated as holding non-listed shares in the company, as the company’s ordinary shares are not admitted to trading on a regulated market. However, recent communications from the Danish Tax authorities indicate that based on an individual analysis based on the actual facts and circumstances and terms and conditions of the depositary agreement, a holder of ADS’s may not be treated as holding unlisted shares in the company for Danish tax purposes, which has hitherto been assumed when the underlying asset consists of an unlisted share. Furthermore, the communications from the Danish Tax authorities indicate if the holders of ADSs are not treated as holders of shares in the Danish company, then the depositary bank may be considered the holder of the ordinary shares in the company for Danish tax purposes.</w:t>
      </w:r>
    </w:p>
    <w:p>
      <w:pPr>
        <w:spacing w:after="0" w:line="178" w:lineRule="exact"/>
        <w:rPr>
          <w:sz w:val="20"/>
          <w:szCs w:val="20"/>
          <w:color w:val="auto"/>
        </w:rPr>
      </w:pPr>
    </w:p>
    <w:p>
      <w:pPr>
        <w:ind w:left="140" w:right="360"/>
        <w:spacing w:after="0" w:line="340" w:lineRule="auto"/>
        <w:rPr>
          <w:sz w:val="20"/>
          <w:szCs w:val="20"/>
          <w:color w:val="auto"/>
        </w:rPr>
      </w:pPr>
      <w:r>
        <w:rPr>
          <w:rFonts w:ascii="Arial" w:cs="Arial" w:eastAsia="Arial" w:hAnsi="Arial"/>
          <w:sz w:val="16"/>
          <w:szCs w:val="16"/>
          <w:color w:val="auto"/>
        </w:rPr>
        <w:t>However, the tax position and treatment of ADSs under Danish law are still unclear. In the event that the holders of ADSs are not treated as holding unlisted shares in the company it is likely that they will be treated as either holding listed shares or financial instruments for tax purposes.</w:t>
      </w:r>
    </w:p>
    <w:p>
      <w:pPr>
        <w:spacing w:after="0" w:line="124" w:lineRule="exact"/>
        <w:rPr>
          <w:sz w:val="20"/>
          <w:szCs w:val="20"/>
          <w:color w:val="auto"/>
        </w:rPr>
      </w:pPr>
    </w:p>
    <w:p>
      <w:pPr>
        <w:jc w:val="both"/>
        <w:ind w:left="140" w:right="80"/>
        <w:spacing w:after="0" w:line="262" w:lineRule="auto"/>
        <w:rPr>
          <w:sz w:val="20"/>
          <w:szCs w:val="20"/>
          <w:color w:val="auto"/>
        </w:rPr>
      </w:pPr>
      <w:r>
        <w:rPr>
          <w:rFonts w:ascii="Arial" w:cs="Arial" w:eastAsia="Arial" w:hAnsi="Arial"/>
          <w:sz w:val="18"/>
          <w:szCs w:val="18"/>
          <w:color w:val="auto"/>
        </w:rPr>
        <w:t>As described above, the below summary assumes that the holders of ADSs listed in the U.S. should be treated as holding unlisted ordinary shares in the company for Danish tax purposes, but if this is not the case, then this will impact the Danish tax treatment of the holders of ADSs, including in respect of the taxation of dividends paid to holders of ADSs.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Sale of the ADSs (Individuals and Companies)</w:t>
      </w:r>
    </w:p>
    <w:p>
      <w:pPr>
        <w:spacing w:after="0" w:line="116" w:lineRule="exact"/>
        <w:rPr>
          <w:sz w:val="20"/>
          <w:szCs w:val="20"/>
          <w:color w:val="auto"/>
        </w:rPr>
      </w:pPr>
    </w:p>
    <w:p>
      <w:pPr>
        <w:ind w:left="140" w:right="120"/>
        <w:spacing w:after="0" w:line="340" w:lineRule="auto"/>
        <w:rPr>
          <w:sz w:val="20"/>
          <w:szCs w:val="20"/>
          <w:color w:val="auto"/>
        </w:rPr>
      </w:pPr>
      <w:r>
        <w:rPr>
          <w:rFonts w:ascii="Arial" w:cs="Arial" w:eastAsia="Arial" w:hAnsi="Arial"/>
          <w:sz w:val="16"/>
          <w:szCs w:val="16"/>
          <w:color w:val="auto"/>
        </w:rPr>
        <w:t>Holders of the ADSs not resident in Denmark are normally not subject to Danish taxation on any gains realized on the sale of ADSs, irrespective of the ownership period, subject to certain anti-avoidance rules seeking to prevent that taxable dividend payments are converted to tax exempt capital gains.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 Danish share transfer tax or stamp duties are payable on transfer of ADSs.</w:t>
      </w:r>
    </w:p>
    <w:p>
      <w:pPr>
        <w:spacing w:after="0" w:line="223" w:lineRule="exact"/>
        <w:rPr>
          <w:sz w:val="20"/>
          <w:szCs w:val="20"/>
          <w:color w:val="auto"/>
        </w:rPr>
      </w:pPr>
    </w:p>
    <w:p>
      <w:pPr>
        <w:ind w:left="140" w:right="300"/>
        <w:spacing w:after="0" w:line="306" w:lineRule="auto"/>
        <w:rPr>
          <w:sz w:val="20"/>
          <w:szCs w:val="20"/>
          <w:color w:val="auto"/>
        </w:rPr>
      </w:pPr>
      <w:r>
        <w:rPr>
          <w:rFonts w:ascii="Arial" w:cs="Arial" w:eastAsia="Arial" w:hAnsi="Arial"/>
          <w:sz w:val="17"/>
          <w:szCs w:val="17"/>
          <w:color w:val="auto"/>
        </w:rPr>
        <w:t>If an investor holds the ADSs in connection with a trade or business conducted from a permanent establishment in Denmark, gains on shares may be included in the taxable income of such activities pursuant to the rules applying to Danish tax residents as described above.</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Dividends (Individuals)</w:t>
      </w:r>
    </w:p>
    <w:p>
      <w:pPr>
        <w:spacing w:after="0" w:line="116" w:lineRule="exact"/>
        <w:rPr>
          <w:sz w:val="20"/>
          <w:szCs w:val="20"/>
          <w:color w:val="auto"/>
        </w:rPr>
      </w:pPr>
    </w:p>
    <w:p>
      <w:pPr>
        <w:jc w:val="both"/>
        <w:ind w:left="140" w:right="60"/>
        <w:spacing w:after="0" w:line="300" w:lineRule="auto"/>
        <w:rPr>
          <w:sz w:val="20"/>
          <w:szCs w:val="20"/>
          <w:color w:val="auto"/>
        </w:rPr>
      </w:pPr>
      <w:r>
        <w:rPr>
          <w:rFonts w:ascii="Arial" w:cs="Arial" w:eastAsia="Arial" w:hAnsi="Arial"/>
          <w:sz w:val="16"/>
          <w:szCs w:val="16"/>
          <w:color w:val="auto"/>
        </w:rPr>
        <w:t>As described above, it is uncertain if holders of ADSs for Danish tax purposes are treated as holders of the ordinary shares in the company. Therefore, it is highly uncertain if the holders of ADSs are entitled to apply for a refund of Danish withholding tax on dividends paid by the company. If the holders of ADSs are not entitled to apply for a refund of Danish withholding tax on dividends paid by the company, then the depositary bank may according to the recent communications from the Danish Tax authorities in certain circumstances be entitled to apply for a refund of Danish withholding tax.</w:t>
      </w:r>
    </w:p>
    <w:p>
      <w:pPr>
        <w:spacing w:after="0" w:line="156"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color w:val="auto"/>
        </w:rPr>
        <w:t>However, if the holders of ADSs for Danish purposes are treated as holders of the ordinary shares in the company and are entitled to apply for a refund of Danish withholding tax on dividends paid by the company, then the below should apply:</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Dividends paid to individuals are generally subject to 27% withholding tax.</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Non-residents of Denmark are not subject to additional Danish income tax in respect to dividends received on shares.</w:t>
      </w:r>
    </w:p>
    <w:p>
      <w:pPr>
        <w:spacing w:after="0" w:line="223" w:lineRule="exact"/>
        <w:rPr>
          <w:sz w:val="20"/>
          <w:szCs w:val="20"/>
          <w:color w:val="auto"/>
        </w:rPr>
      </w:pPr>
    </w:p>
    <w:p>
      <w:pPr>
        <w:jc w:val="both"/>
        <w:ind w:left="140" w:right="60"/>
        <w:spacing w:after="0" w:line="262" w:lineRule="auto"/>
        <w:rPr>
          <w:sz w:val="20"/>
          <w:szCs w:val="20"/>
          <w:color w:val="auto"/>
        </w:rPr>
      </w:pPr>
      <w:r>
        <w:rPr>
          <w:rFonts w:ascii="Arial" w:cs="Arial" w:eastAsia="Arial" w:hAnsi="Arial"/>
          <w:sz w:val="18"/>
          <w:szCs w:val="18"/>
          <w:color w:val="auto"/>
        </w:rPr>
        <w:t>If the holders of the ADSs are considered beneficial owners of the dividends according to the applicable double tax treaty between Denmark and the tax residence country of the ADS holder, the withholding tax rate under such double tax treaty may apply to the extent the tax residency of the ADS holder can be documented.</w:t>
      </w:r>
    </w:p>
    <w:p>
      <w:pPr>
        <w:spacing w:after="0" w:line="183" w:lineRule="exact"/>
        <w:rPr>
          <w:sz w:val="20"/>
          <w:szCs w:val="20"/>
          <w:color w:val="auto"/>
        </w:rPr>
      </w:pPr>
    </w:p>
    <w:p>
      <w:pPr>
        <w:jc w:val="both"/>
        <w:ind w:left="140" w:right="60"/>
        <w:spacing w:after="0" w:line="262" w:lineRule="auto"/>
        <w:rPr>
          <w:sz w:val="20"/>
          <w:szCs w:val="20"/>
          <w:color w:val="auto"/>
        </w:rPr>
      </w:pPr>
      <w:r>
        <w:rPr>
          <w:rFonts w:ascii="Arial" w:cs="Arial" w:eastAsia="Arial" w:hAnsi="Arial"/>
          <w:sz w:val="18"/>
          <w:szCs w:val="18"/>
          <w:color w:val="auto"/>
        </w:rPr>
        <w:t>For holders of ADSs (as beneficial owners of the dividends on the ordinary shares), if the withholding tax rate applied is higher than the applicable final tax rate (as reduced according to domestic law or an applicable double tax treaty) for the holder of ADSs, a request for a refund of Danish tax in excess hereof can be made in the following situations: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Reduction according to a tax treaty</w:t>
      </w:r>
    </w:p>
    <w:p>
      <w:pPr>
        <w:spacing w:after="0" w:line="116" w:lineRule="exact"/>
        <w:rPr>
          <w:sz w:val="20"/>
          <w:szCs w:val="20"/>
          <w:color w:val="auto"/>
        </w:rPr>
      </w:pPr>
    </w:p>
    <w:p>
      <w:pPr>
        <w:ind w:left="140"/>
        <w:spacing w:after="0" w:line="278" w:lineRule="auto"/>
        <w:rPr>
          <w:sz w:val="20"/>
          <w:szCs w:val="20"/>
          <w:color w:val="auto"/>
        </w:rPr>
      </w:pPr>
      <w:r>
        <w:rPr>
          <w:rFonts w:ascii="Arial" w:cs="Arial" w:eastAsia="Arial" w:hAnsi="Arial"/>
          <w:sz w:val="17"/>
          <w:szCs w:val="17"/>
          <w:color w:val="auto"/>
        </w:rPr>
        <w:t>In the event that the ADS holder is a resident of a state with which Denmark has entered into a tax treaty, the 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Switzerland and almost all members of the European Union. The tax treaty between Denmark and the United States generally provides for a 15% tax rate.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85"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Reduction according to Danish tax law</w:t>
      </w:r>
    </w:p>
    <w:p>
      <w:pPr>
        <w:spacing w:after="0" w:line="116" w:lineRule="exact"/>
        <w:rPr>
          <w:sz w:val="20"/>
          <w:szCs w:val="20"/>
          <w:color w:val="auto"/>
        </w:rPr>
      </w:pPr>
    </w:p>
    <w:p>
      <w:pPr>
        <w:ind w:left="140"/>
        <w:spacing w:after="0" w:line="254" w:lineRule="auto"/>
        <w:rPr>
          <w:sz w:val="20"/>
          <w:szCs w:val="20"/>
          <w:color w:val="auto"/>
        </w:rPr>
      </w:pPr>
      <w:r>
        <w:rPr>
          <w:rFonts w:ascii="Arial" w:cs="Arial" w:eastAsia="Arial" w:hAnsi="Arial"/>
          <w:sz w:val="18"/>
          <w:szCs w:val="18"/>
          <w:color w:val="auto"/>
        </w:rPr>
        <w:t>If the ADS holder holds less than 10% of the nominal share capital (in the form of ordinary shares in the company and not on the basis of the number of the ADSs issued) of the company and the ADS holder is tax resident in a state which has a tax treaty or an international agreement, convention or other administrative agreement on assistance in tax matters according to which the competent authority in the state of the ADS holder is obligated to exchange information with Denmark, dividends are subject to tax at a rate of 15%. If the ADS holder is tax resident outside the European Union, it is an additional requirement for eligibility for the 15% tax rate that the ADS holder together with related ADS holders holds less than 10% of the nominal share capital of the company.</w:t>
      </w:r>
    </w:p>
    <w:p>
      <w:pPr>
        <w:spacing w:after="0" w:line="192" w:lineRule="exact"/>
        <w:rPr>
          <w:sz w:val="20"/>
          <w:szCs w:val="20"/>
          <w:color w:val="auto"/>
        </w:rPr>
      </w:pPr>
    </w:p>
    <w:p>
      <w:pPr>
        <w:ind w:left="140" w:right="240"/>
        <w:spacing w:after="0" w:line="275" w:lineRule="auto"/>
        <w:rPr>
          <w:sz w:val="20"/>
          <w:szCs w:val="20"/>
          <w:color w:val="auto"/>
        </w:rPr>
      </w:pPr>
      <w:r>
        <w:rPr>
          <w:rFonts w:ascii="Arial" w:cs="Arial" w:eastAsia="Arial" w:hAnsi="Arial"/>
          <w:sz w:val="18"/>
          <w:szCs w:val="18"/>
          <w:color w:val="auto"/>
        </w:rPr>
        <w:t>Note that the reduced tax rate does not affect the withholding rate, which is why the holder must claim a refund as described above in order to benefit from the reduced rate.</w:t>
      </w:r>
    </w:p>
    <w:p>
      <w:pPr>
        <w:spacing w:after="0" w:line="171" w:lineRule="exact"/>
        <w:rPr>
          <w:sz w:val="20"/>
          <w:szCs w:val="20"/>
          <w:color w:val="auto"/>
        </w:rPr>
      </w:pPr>
    </w:p>
    <w:p>
      <w:pPr>
        <w:ind w:left="140" w:right="100"/>
        <w:spacing w:after="0" w:line="275" w:lineRule="auto"/>
        <w:rPr>
          <w:sz w:val="20"/>
          <w:szCs w:val="20"/>
          <w:color w:val="auto"/>
        </w:rPr>
      </w:pPr>
      <w:r>
        <w:rPr>
          <w:rFonts w:ascii="Arial" w:cs="Arial" w:eastAsia="Arial" w:hAnsi="Arial"/>
          <w:sz w:val="18"/>
          <w:szCs w:val="18"/>
          <w:color w:val="auto"/>
        </w:rPr>
        <w:t>Where a non-resident of Denmark holds shares which can be attributed to a permanent establishment in Denmark, dividends are taxable pursuant to the rules applying to Danish tax residents described above.</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Dividends (Companies)</w:t>
      </w:r>
    </w:p>
    <w:p>
      <w:pPr>
        <w:spacing w:after="0" w:line="116" w:lineRule="exact"/>
        <w:rPr>
          <w:sz w:val="20"/>
          <w:szCs w:val="20"/>
          <w:color w:val="auto"/>
        </w:rPr>
      </w:pPr>
    </w:p>
    <w:p>
      <w:pPr>
        <w:jc w:val="both"/>
        <w:ind w:left="140" w:right="60"/>
        <w:spacing w:after="0" w:line="300" w:lineRule="auto"/>
        <w:rPr>
          <w:sz w:val="20"/>
          <w:szCs w:val="20"/>
          <w:color w:val="auto"/>
        </w:rPr>
      </w:pPr>
      <w:r>
        <w:rPr>
          <w:rFonts w:ascii="Arial" w:cs="Arial" w:eastAsia="Arial" w:hAnsi="Arial"/>
          <w:sz w:val="16"/>
          <w:szCs w:val="16"/>
          <w:color w:val="auto"/>
        </w:rPr>
        <w:t>As described above, it is uncertain if holders of ADSs for Danish tax purposes are treated as holders of the ordinary shares in the company. Therefore, it is highly uncertain if the holders of ADSs are entitled to apply for a refund of Danish withholding tax on dividends paid by the company. If the holders of ADSs are not entitled to apply for a refund of Danish withholding tax on dividends paid by the company, then the depositary bank may according to the recent communications from the Danish Tax authorities in certain circumstances be entitled to apply for a refund of Danish withholding tax.</w:t>
      </w:r>
    </w:p>
    <w:p>
      <w:pPr>
        <w:spacing w:after="0" w:line="156"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color w:val="auto"/>
        </w:rPr>
        <w:t>However, if the holders of ADSs for Danish purposes are treated as holders of the ordinary shares in the company and are entitled to apply for a refund of Danish withholding tax on dividends paid by the company, then the below should apply:</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Dividends paid to companies are generally subject to 27% withholding tax.</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Non-residents of Denmark are not subject to additional income tax with respect to dividends received on shares.</w:t>
      </w:r>
    </w:p>
    <w:p>
      <w:pPr>
        <w:spacing w:after="0" w:line="223" w:lineRule="exact"/>
        <w:rPr>
          <w:sz w:val="20"/>
          <w:szCs w:val="20"/>
          <w:color w:val="auto"/>
        </w:rPr>
      </w:pPr>
    </w:p>
    <w:p>
      <w:pPr>
        <w:ind w:left="140" w:right="200"/>
        <w:spacing w:after="0" w:line="262" w:lineRule="auto"/>
        <w:rPr>
          <w:sz w:val="20"/>
          <w:szCs w:val="20"/>
          <w:color w:val="auto"/>
        </w:rPr>
      </w:pPr>
      <w:r>
        <w:rPr>
          <w:rFonts w:ascii="Arial" w:cs="Arial" w:eastAsia="Arial" w:hAnsi="Arial"/>
          <w:sz w:val="18"/>
          <w:szCs w:val="18"/>
          <w:color w:val="auto"/>
        </w:rPr>
        <w:t>If the investors of the ADSs are considered beneficial owners of the dividends according to the applicable double tax treaty between Denmark and the tax residence country of the ADS holder, the withholding tax rate under such double tax treaty may apply to the extent the tax residency of the ADS holder can be documented.</w:t>
      </w:r>
    </w:p>
    <w:p>
      <w:pPr>
        <w:spacing w:after="0" w:line="183" w:lineRule="exact"/>
        <w:rPr>
          <w:sz w:val="20"/>
          <w:szCs w:val="20"/>
          <w:color w:val="auto"/>
        </w:rPr>
      </w:pPr>
    </w:p>
    <w:p>
      <w:pPr>
        <w:ind w:left="140" w:right="200"/>
        <w:spacing w:after="0" w:line="262" w:lineRule="auto"/>
        <w:rPr>
          <w:sz w:val="20"/>
          <w:szCs w:val="20"/>
          <w:color w:val="auto"/>
        </w:rPr>
      </w:pPr>
      <w:r>
        <w:rPr>
          <w:rFonts w:ascii="Arial" w:cs="Arial" w:eastAsia="Arial" w:hAnsi="Arial"/>
          <w:sz w:val="18"/>
          <w:szCs w:val="18"/>
          <w:color w:val="auto"/>
        </w:rPr>
        <w:t>If the investors of the ADSs are considered beneficial owners of the dividends according to the applicable double tax treaty between Denmark and the tax residence country of the ADS holder, the withholding tax rate under such double tax treaty may apply to the extent the tax residency of the ADS holder can be documented.</w:t>
      </w:r>
    </w:p>
    <w:p>
      <w:pPr>
        <w:spacing w:after="0" w:line="183" w:lineRule="exact"/>
        <w:rPr>
          <w:sz w:val="20"/>
          <w:szCs w:val="20"/>
          <w:color w:val="auto"/>
        </w:rPr>
      </w:pPr>
    </w:p>
    <w:p>
      <w:pPr>
        <w:ind w:left="140" w:right="120"/>
        <w:spacing w:after="0" w:line="271" w:lineRule="auto"/>
        <w:rPr>
          <w:sz w:val="20"/>
          <w:szCs w:val="20"/>
          <w:color w:val="auto"/>
        </w:rPr>
      </w:pPr>
      <w:r>
        <w:rPr>
          <w:rFonts w:ascii="Arial" w:cs="Arial" w:eastAsia="Arial" w:hAnsi="Arial"/>
          <w:sz w:val="17"/>
          <w:szCs w:val="17"/>
          <w:color w:val="auto"/>
        </w:rPr>
        <w:t>Dividends from Subsidiary Shares are tax exempt provided that the taxation of the dividends is to be waived or reduced in accordance with the Parent-Subsidiary Directive (2011/96/EEC) or in accordance with a tax treaty with the jurisdiction in which the company investor is resident. If Denmark is to reduce taxation of dividends to a foreign company under a tax treaty, Denmark will not—as a matter of domestic law—exercise such right and will in general not impose any tax at all. Further, dividends from Group Shares—not also being Subsidiary Shares—are exempt from Danish tax provided the company investor is a resident of the European Union or the EEA and provided the taxation of dividends should have been waived or reduced in accordance with the Parent-Subsidiary Directive (2011/96/EEC) or in accordance with a tax treaty with the country in which the company investor is resident had the shares been Subsidiary Shares.</w:t>
      </w:r>
    </w:p>
    <w:p>
      <w:pPr>
        <w:spacing w:after="0" w:line="177" w:lineRule="exact"/>
        <w:rPr>
          <w:sz w:val="20"/>
          <w:szCs w:val="20"/>
          <w:color w:val="auto"/>
        </w:rPr>
      </w:pPr>
    </w:p>
    <w:p>
      <w:pPr>
        <w:ind w:left="140" w:right="180"/>
        <w:spacing w:after="0" w:line="258" w:lineRule="auto"/>
        <w:rPr>
          <w:sz w:val="20"/>
          <w:szCs w:val="20"/>
          <w:color w:val="auto"/>
        </w:rPr>
      </w:pPr>
      <w:r>
        <w:rPr>
          <w:rFonts w:ascii="Arial" w:cs="Arial" w:eastAsia="Arial" w:hAnsi="Arial"/>
          <w:sz w:val="18"/>
          <w:szCs w:val="18"/>
          <w:color w:val="auto"/>
        </w:rPr>
        <w:t>Dividends paid on both Tax-Exempt and Taxable Portfolio Shares are generally subject to tax at a rate of 22% irrespective of ownership period. While the actual withholding tax rate is as a starting point 27%, it can be reduced if certain requirements are met. If the withholding tax rate applied is higher than the applicable final tax rate for the ADS holder, a request for a refund of Danish tax in excess hereof can be made by the ADS holder in the following situations: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Reduction according to a tax treaty</w:t>
      </w:r>
    </w:p>
    <w:p>
      <w:pPr>
        <w:spacing w:after="0" w:line="116" w:lineRule="exact"/>
        <w:rPr>
          <w:sz w:val="20"/>
          <w:szCs w:val="20"/>
          <w:color w:val="auto"/>
        </w:rPr>
      </w:pPr>
    </w:p>
    <w:p>
      <w:pPr>
        <w:ind w:left="140" w:right="60"/>
        <w:spacing w:after="0" w:line="278" w:lineRule="auto"/>
        <w:rPr>
          <w:sz w:val="20"/>
          <w:szCs w:val="20"/>
          <w:color w:val="auto"/>
        </w:rPr>
      </w:pPr>
      <w:r>
        <w:rPr>
          <w:rFonts w:ascii="Arial" w:cs="Arial" w:eastAsia="Arial" w:hAnsi="Arial"/>
          <w:sz w:val="17"/>
          <w:szCs w:val="17"/>
          <w:color w:val="auto"/>
        </w:rPr>
        <w:t>In the event that the ADS holder is a resident of a state with which Denmark has entered into a tax treaty, the 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and almost all members of the European Union. The tax treaty between Denmark and the United States generally provides for a 15% rate.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85"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Reduction according to Danish tax law</w:t>
      </w:r>
    </w:p>
    <w:p>
      <w:pPr>
        <w:spacing w:after="0" w:line="116" w:lineRule="exact"/>
        <w:rPr>
          <w:sz w:val="20"/>
          <w:szCs w:val="20"/>
          <w:color w:val="auto"/>
        </w:rPr>
      </w:pPr>
    </w:p>
    <w:p>
      <w:pPr>
        <w:ind w:left="140" w:right="40"/>
        <w:spacing w:after="0" w:line="271" w:lineRule="auto"/>
        <w:rPr>
          <w:sz w:val="20"/>
          <w:szCs w:val="20"/>
          <w:color w:val="auto"/>
        </w:rPr>
      </w:pPr>
      <w:r>
        <w:rPr>
          <w:rFonts w:ascii="Arial" w:cs="Arial" w:eastAsia="Arial" w:hAnsi="Arial"/>
          <w:sz w:val="17"/>
          <w:szCs w:val="17"/>
          <w:color w:val="auto"/>
        </w:rPr>
        <w:t>If the ADS holder holds less than 10% of the nominal share capital (in the form of ordinary shares in the company and not on the basis of the number of the ADSs issued) in the company and the ADS holder is resident in a jurisdiction which has a tax treaty or an international agreement, convention or other administrative agreement on assistance in tax according to which the competent authority in the state of the ADS holder is obligated to exchange information with Denmark, dividends are generally subject to a tax rate of 15%. If the ADS holder is tax resident outside the European Union, it is an additional requirement for eligibility for the 15% tax rate that the ADS holder together with related ADS holders holds less than 10% of the nominal share capital of the company. Note that the reduced tax rate does not affect the withholding rate, hence, in this situation the ADS holder must also in this situation claim a refund as described above in order to benefit from the reduced rate.</w:t>
      </w:r>
    </w:p>
    <w:p>
      <w:pPr>
        <w:spacing w:after="0" w:line="177" w:lineRule="exact"/>
        <w:rPr>
          <w:sz w:val="20"/>
          <w:szCs w:val="20"/>
          <w:color w:val="auto"/>
        </w:rPr>
      </w:pPr>
    </w:p>
    <w:p>
      <w:pPr>
        <w:ind w:left="140" w:right="540"/>
        <w:spacing w:after="0" w:line="275" w:lineRule="auto"/>
        <w:rPr>
          <w:sz w:val="20"/>
          <w:szCs w:val="20"/>
          <w:color w:val="auto"/>
        </w:rPr>
      </w:pPr>
      <w:r>
        <w:rPr>
          <w:rFonts w:ascii="Arial" w:cs="Arial" w:eastAsia="Arial" w:hAnsi="Arial"/>
          <w:sz w:val="18"/>
          <w:szCs w:val="18"/>
          <w:color w:val="auto"/>
        </w:rPr>
        <w:t>Where a non-resident company of Denmark holds ADSs which can be attributed to a permanent establishment in Denmark, dividends are taxable pursuant to the rules applying to Danish tax residents described above.</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 Transfer Tax and Stamp Duties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 Danish share transfer tax or stamp duties are payable on transfer of the shares.</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120" w:lineRule="exact"/>
        <w:rPr>
          <w:sz w:val="20"/>
          <w:szCs w:val="20"/>
          <w:color w:val="auto"/>
        </w:rPr>
      </w:pPr>
    </w:p>
    <w:p>
      <w:pPr>
        <w:ind w:left="140"/>
        <w:spacing w:after="0" w:line="289" w:lineRule="auto"/>
        <w:rPr>
          <w:sz w:val="20"/>
          <w:szCs w:val="20"/>
          <w:color w:val="auto"/>
        </w:rPr>
      </w:pPr>
      <w:r>
        <w:rPr>
          <w:rFonts w:ascii="Arial" w:cs="Arial" w:eastAsia="Arial" w:hAnsi="Arial"/>
          <w:sz w:val="16"/>
          <w:szCs w:val="16"/>
          <w:color w:val="auto"/>
        </w:rPr>
        <w:t>The following discussion describes the material U.S. federal income tax consequences to U.S. Holders (as defined below) under present law of an investment in the ADSs. The effects of any applicable state or local laws, or other U.S. federal tax laws such as estate and gift tax laws, the alternative minimum tax, or the Medicare contribution tax on net investment income, are not discussed. This summary applies only to investors who hold the ADSs as capital assets (generally, property held for investment) and who have the U.S. dollar as their functional currency for U.S. federal income tax purposes. This discussion is based on the U.S. Internal Revenue Code of 1986, as amended, or the Code, U.S. Treasury regulations promulgated thereunder, or the Treasury Regulations, judicial decisions, published rulings and administrative pronouncements of the U.S. Internal Revenue Service, or the IRS, and the income tax treaty between the United States and Denmark, or the Treaty, all as in effect as of the date of this annual report. All of the foregoing authorities are subject to change, which change could apply retroactively and could affect the tax consequences described below.</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discussion does not address all U.S. federal income tax consequences relevant to a U.S. Holder’s particular circumstances or to U.S.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Holders subject to particular rules, including:</w:t>
      </w:r>
    </w:p>
    <w:p>
      <w:pPr>
        <w:spacing w:after="0" w:line="115" w:lineRule="exact"/>
        <w:rPr>
          <w:sz w:val="20"/>
          <w:szCs w:val="20"/>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29" w:lineRule="exact"/>
        <w:rPr>
          <w:rFonts w:ascii="Arial" w:cs="Arial" w:eastAsia="Arial" w:hAnsi="Arial"/>
          <w:sz w:val="18"/>
          <w:szCs w:val="18"/>
          <w:color w:val="auto"/>
        </w:rPr>
      </w:pPr>
    </w:p>
    <w:p>
      <w:pPr>
        <w:ind w:left="1100" w:right="600" w:hanging="426"/>
        <w:spacing w:after="0" w:line="275" w:lineRule="auto"/>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holding the ADSs as part of a hedge, straddle or other risk reduction strategy or as part of a conversion transaction or other integrated investment;</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29" w:lineRule="exact"/>
        <w:rPr>
          <w:rFonts w:ascii="Arial" w:cs="Arial" w:eastAsia="Arial" w:hAnsi="Arial"/>
          <w:sz w:val="18"/>
          <w:szCs w:val="18"/>
          <w:color w:val="auto"/>
        </w:rPr>
      </w:pPr>
    </w:p>
    <w:p>
      <w:pPr>
        <w:ind w:left="1100" w:right="240" w:hanging="426"/>
        <w:spacing w:after="0" w:line="275" w:lineRule="auto"/>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partnerships, S corporations or other entities or arrangements treated as partnerships or pass-through entities for U.S. federal income tax purposes;</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 acquired the ADSs pursuant to the exercise of any employee share option or otherwise as compensation;</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the company’s equity by vote or value;</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hold their ADSs through a permanent establishment or fixed base outside the United States; and</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deemed to sell the ADSs under the constructive sale provisions of the Code.</w:t>
      </w:r>
    </w:p>
    <w:p>
      <w:pPr>
        <w:spacing w:after="0" w:line="219" w:lineRule="exact"/>
        <w:rPr>
          <w:sz w:val="20"/>
          <w:szCs w:val="20"/>
          <w:color w:val="auto"/>
        </w:rPr>
      </w:pPr>
    </w:p>
    <w:p>
      <w:pPr>
        <w:ind w:left="140" w:right="140"/>
        <w:spacing w:after="0" w:line="265" w:lineRule="auto"/>
        <w:rPr>
          <w:sz w:val="20"/>
          <w:szCs w:val="20"/>
          <w:color w:val="auto"/>
        </w:rPr>
      </w:pPr>
      <w:r>
        <w:rPr>
          <w:rFonts w:ascii="Arial" w:cs="Arial" w:eastAsia="Arial" w:hAnsi="Arial"/>
          <w:sz w:val="18"/>
          <w:szCs w:val="18"/>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THE ADSs.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85"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220"/>
        <w:spacing w:after="0" w:line="275" w:lineRule="auto"/>
        <w:rPr>
          <w:sz w:val="20"/>
          <w:szCs w:val="20"/>
          <w:color w:val="auto"/>
        </w:rPr>
      </w:pPr>
      <w:r>
        <w:rPr>
          <w:rFonts w:ascii="Arial" w:cs="Arial" w:eastAsia="Arial" w:hAnsi="Arial"/>
          <w:sz w:val="18"/>
          <w:szCs w:val="18"/>
          <w:color w:val="auto"/>
        </w:rPr>
        <w:t>For purposes of this discussion, a “U.S. Holder” is a beneficial owner of the ADSs that, for U.S. federal income tax purposes, is or is treated as any of the following:</w:t>
      </w:r>
    </w:p>
    <w:p>
      <w:pPr>
        <w:spacing w:after="0" w:line="77" w:lineRule="exact"/>
        <w:rPr>
          <w:sz w:val="20"/>
          <w:szCs w:val="20"/>
          <w:color w:val="auto"/>
        </w:rPr>
      </w:pPr>
    </w:p>
    <w:p>
      <w:pPr>
        <w:ind w:left="1100" w:hanging="426"/>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9" w:lineRule="exact"/>
        <w:rPr>
          <w:rFonts w:ascii="Arial" w:cs="Arial" w:eastAsia="Arial" w:hAnsi="Arial"/>
          <w:sz w:val="18"/>
          <w:szCs w:val="18"/>
          <w:color w:val="auto"/>
        </w:rPr>
      </w:pPr>
    </w:p>
    <w:p>
      <w:pPr>
        <w:ind w:left="1100" w:right="300" w:hanging="426"/>
        <w:spacing w:after="0" w:line="275" w:lineRule="auto"/>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any state thereof, or the District of Columbia;</w:t>
      </w:r>
    </w:p>
    <w:p>
      <w:pPr>
        <w:spacing w:after="0" w:line="77" w:lineRule="exact"/>
        <w:rPr>
          <w:rFonts w:ascii="Arial" w:cs="Arial" w:eastAsia="Arial" w:hAnsi="Arial"/>
          <w:sz w:val="18"/>
          <w:szCs w:val="18"/>
          <w:color w:val="auto"/>
        </w:rPr>
      </w:pPr>
    </w:p>
    <w:p>
      <w:pPr>
        <w:ind w:left="1100" w:hanging="426"/>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29" w:lineRule="exact"/>
        <w:rPr>
          <w:rFonts w:ascii="Arial" w:cs="Arial" w:eastAsia="Arial" w:hAnsi="Arial"/>
          <w:sz w:val="18"/>
          <w:szCs w:val="18"/>
          <w:color w:val="auto"/>
        </w:rPr>
      </w:pPr>
    </w:p>
    <w:p>
      <w:pPr>
        <w:ind w:left="1100" w:hanging="426"/>
        <w:spacing w:after="0" w:line="262" w:lineRule="auto"/>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trust that (1) is subject to the supervision of a U.S. court and the control of one or more “United States persons” (within the meaning of Section 7701(a)(30) of the Code), or (2) has a valid election in effect under applicable Treasury Regulations to be treated as a United States person for U.S. federal income tax purposes.</w:t>
      </w:r>
    </w:p>
    <w:p>
      <w:pPr>
        <w:spacing w:after="0" w:line="183" w:lineRule="exact"/>
        <w:rPr>
          <w:sz w:val="20"/>
          <w:szCs w:val="20"/>
          <w:color w:val="auto"/>
        </w:rPr>
      </w:pPr>
    </w:p>
    <w:p>
      <w:pPr>
        <w:ind w:left="140" w:right="180"/>
        <w:spacing w:after="0" w:line="285" w:lineRule="auto"/>
        <w:rPr>
          <w:sz w:val="20"/>
          <w:szCs w:val="20"/>
          <w:color w:val="auto"/>
        </w:rPr>
      </w:pPr>
      <w:r>
        <w:rPr>
          <w:rFonts w:ascii="Arial" w:cs="Arial" w:eastAsia="Arial" w:hAnsi="Arial"/>
          <w:sz w:val="17"/>
          <w:szCs w:val="17"/>
          <w:color w:val="auto"/>
        </w:rPr>
        <w:t>If you are a partner in a partnership (or other entity or arrangement taxable as a partnership for U.S. federal income tax purposes) that holds the ADSs, your tax treatment generally will depend on your status and the activities of the partnership. Partnerships holding the ADSs and the partners in such partnerships should consult their tax advisors regarding the U.S. federal income tax consequences applicable to them.</w:t>
      </w:r>
    </w:p>
    <w:p>
      <w:pPr>
        <w:spacing w:after="0" w:line="165" w:lineRule="exact"/>
        <w:rPr>
          <w:sz w:val="20"/>
          <w:szCs w:val="20"/>
          <w:color w:val="auto"/>
        </w:rPr>
      </w:pPr>
    </w:p>
    <w:p>
      <w:pPr>
        <w:ind w:left="140" w:right="20"/>
        <w:spacing w:after="0" w:line="253"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the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underlying ordinary shares.</w:t>
      </w:r>
    </w:p>
    <w:p>
      <w:pPr>
        <w:spacing w:after="0" w:line="29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Taxation of Dividends and Other Distributions on the ADSs</w:t>
      </w:r>
    </w:p>
    <w:p>
      <w:pPr>
        <w:spacing w:after="0" w:line="116" w:lineRule="exact"/>
        <w:rPr>
          <w:sz w:val="20"/>
          <w:szCs w:val="20"/>
          <w:color w:val="auto"/>
        </w:rPr>
      </w:pPr>
    </w:p>
    <w:p>
      <w:pPr>
        <w:ind w:left="140"/>
        <w:spacing w:after="0" w:line="253" w:lineRule="auto"/>
        <w:rPr>
          <w:sz w:val="20"/>
          <w:szCs w:val="20"/>
          <w:color w:val="auto"/>
        </w:rPr>
      </w:pPr>
      <w:r>
        <w:rPr>
          <w:rFonts w:ascii="Arial" w:cs="Arial" w:eastAsia="Arial" w:hAnsi="Arial"/>
          <w:sz w:val="18"/>
          <w:szCs w:val="18"/>
          <w:color w:val="auto"/>
        </w:rPr>
        <w:t>Subject to the passive foreign investment company, or PFIC, rules discussed below, the gross amount of any distribution to you with respect to the ADSs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ADSs, and to the extent the amount of the distribution exceeds your tax basis, the excess will be taxed as capital gain. However, we do not intend to calculate our earnings and profits under U.S. federal income tax principles. Therefore, a U.S. Holder should expect a distribution will generally be reported as ordinary dividend income for such purposes. Any dividends will not be eligible for the dividends-received deduction allowed to corporations in respect of dividends received from other U.S. corporations.</w:t>
      </w:r>
    </w:p>
    <w:p>
      <w:pPr>
        <w:spacing w:after="0" w:line="192" w:lineRule="exact"/>
        <w:rPr>
          <w:sz w:val="20"/>
          <w:szCs w:val="20"/>
          <w:color w:val="auto"/>
        </w:rPr>
      </w:pPr>
    </w:p>
    <w:p>
      <w:pPr>
        <w:ind w:left="140" w:right="200"/>
        <w:spacing w:after="0" w:line="292" w:lineRule="auto"/>
        <w:rPr>
          <w:sz w:val="20"/>
          <w:szCs w:val="20"/>
          <w:color w:val="auto"/>
        </w:rPr>
      </w:pPr>
      <w:r>
        <w:rPr>
          <w:rFonts w:ascii="Arial" w:cs="Arial" w:eastAsia="Arial" w:hAnsi="Arial"/>
          <w:sz w:val="16"/>
          <w:szCs w:val="16"/>
          <w:color w:val="auto"/>
        </w:rPr>
        <w:t>If we are eligible for benefits under the Treaty, or if the ADSs are readily tradable on an established securities market in the United States, dividends a U.S. Holder receives from us generally will be “qualified dividend income.” If certain holding period and other requirements, including a requirement that we are not a PFIC in the year of the dividend or the immediately preceding year, are met, qualified dividend income of an individual or other non-corporate U.S. Holder generally will be subject to preferential tax rates. ADSs representing ordinary shares generally are considered for these purposes to be readily tradable on an established securities market in the United States if they are listed on The Nasdaq Global Select Market, as our ADSs currently are. You should consult your tax advisor regarding the availability of these preferential tax rates under your particular circumstances.</w:t>
      </w:r>
    </w:p>
    <w:p>
      <w:pPr>
        <w:spacing w:after="0" w:line="164" w:lineRule="exact"/>
        <w:rPr>
          <w:sz w:val="20"/>
          <w:szCs w:val="20"/>
          <w:color w:val="auto"/>
        </w:rPr>
      </w:pPr>
    </w:p>
    <w:p>
      <w:pPr>
        <w:ind w:left="140" w:right="60"/>
        <w:spacing w:after="0" w:line="254" w:lineRule="auto"/>
        <w:rPr>
          <w:sz w:val="20"/>
          <w:szCs w:val="20"/>
          <w:color w:val="auto"/>
        </w:rPr>
      </w:pPr>
      <w:r>
        <w:rPr>
          <w:rFonts w:ascii="Arial" w:cs="Arial" w:eastAsia="Arial" w:hAnsi="Arial"/>
          <w:sz w:val="18"/>
          <w:szCs w:val="18"/>
          <w:color w:val="auto"/>
        </w:rPr>
        <w:t>As discussed in “Taxation—Danish Tax Considerations,” payments of dividends by us may be subject to Danish withholding tax. The rate of withholding tax applicable to U.S. Holders that are eligible for benefits under the Treaty is reduced to a maximum of 15%. For U.S. federal income tax purposes, U.S. Holders will be treated as having received the amount of withheld Danish taxes, and as then having paid over the withheld taxes to the Danish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w:t>
      </w:r>
    </w:p>
    <w:p>
      <w:pPr>
        <w:spacing w:after="0" w:line="192" w:lineRule="exact"/>
        <w:rPr>
          <w:sz w:val="20"/>
          <w:szCs w:val="20"/>
          <w:color w:val="auto"/>
        </w:rPr>
      </w:pPr>
    </w:p>
    <w:p>
      <w:pPr>
        <w:ind w:left="140" w:right="180"/>
        <w:spacing w:after="0" w:line="275" w:lineRule="auto"/>
        <w:rPr>
          <w:sz w:val="20"/>
          <w:szCs w:val="20"/>
          <w:color w:val="auto"/>
        </w:rPr>
      </w:pPr>
      <w:r>
        <w:rPr>
          <w:rFonts w:ascii="Arial" w:cs="Arial" w:eastAsia="Arial" w:hAnsi="Arial"/>
          <w:sz w:val="18"/>
          <w:szCs w:val="18"/>
          <w:color w:val="auto"/>
        </w:rPr>
        <w:t>Dividends will generally constitute foreign source income for foreign tax credit limitation purposes. Subject to the discussion of the PFIC rules below, any tax withheld with respect to distributions on the ADSs at the rate applicable to a U.S. Holder may, subject to 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85"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60"/>
        <w:spacing w:after="0" w:line="253" w:lineRule="auto"/>
        <w:rPr>
          <w:sz w:val="20"/>
          <w:szCs w:val="20"/>
          <w:color w:val="auto"/>
        </w:rPr>
      </w:pPr>
      <w:r>
        <w:rPr>
          <w:rFonts w:ascii="Arial" w:cs="Arial" w:eastAsia="Arial" w:hAnsi="Arial"/>
          <w:sz w:val="18"/>
          <w:szCs w:val="18"/>
          <w:color w:val="auto"/>
        </w:rPr>
        <w:t>number of complex limitations, be claimed as a foreign tax credit against such U.S. Holder’s U.S. federal income tax liability or may be claimed as a deduction for U.S. federal income tax purposes. Any amount withheld in excess of the tax rate applicable to a U.S. Holder generally is not eligible to be claimed as a foreign tax credit, regardless of whether such amount is actually refunded or reclaimed. The limitation on foreign taxes eligible for credit is calculated separately with respect to specific classes of income. For this purpose, dividends distributed by us with respect to the ADSs generally will constitute “passive category income.”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Taxation of Disposition of the ADSs</w:t>
      </w:r>
    </w:p>
    <w:p>
      <w:pPr>
        <w:spacing w:after="0" w:line="116" w:lineRule="exact"/>
        <w:rPr>
          <w:sz w:val="20"/>
          <w:szCs w:val="20"/>
          <w:color w:val="auto"/>
        </w:rPr>
      </w:pPr>
    </w:p>
    <w:p>
      <w:pPr>
        <w:ind w:left="140"/>
        <w:spacing w:after="0" w:line="271" w:lineRule="auto"/>
        <w:rPr>
          <w:sz w:val="20"/>
          <w:szCs w:val="20"/>
          <w:color w:val="auto"/>
        </w:rPr>
      </w:pPr>
      <w:r>
        <w:rPr>
          <w:rFonts w:ascii="Arial" w:cs="Arial" w:eastAsia="Arial" w:hAnsi="Arial"/>
          <w:sz w:val="17"/>
          <w:szCs w:val="17"/>
          <w:color w:val="auto"/>
        </w:rPr>
        <w:t>Subject to the PFIC rules discussed below, you will recognize gain or loss on any sale, exchange or other taxable disposition of an ADS equal to the difference between the amount realized (in U.S. dollars) on the disposition of the ADS and your tax basis (in U.S. dollars) in the ADS. Any such gain or loss will be capital gain or loss, and will be long-term capital gain or loss if you have held the ADS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 source income or loss for foreign tax credit limitation purposes. You should consult your tax advisor regarding the proper treatment of gain or loss in your particular circumstances.</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6" w:lineRule="exact"/>
        <w:rPr>
          <w:sz w:val="20"/>
          <w:szCs w:val="20"/>
          <w:color w:val="auto"/>
        </w:rPr>
      </w:pPr>
    </w:p>
    <w:p>
      <w:pPr>
        <w:ind w:left="140" w:right="80"/>
        <w:spacing w:after="0" w:line="256" w:lineRule="auto"/>
        <w:rPr>
          <w:sz w:val="20"/>
          <w:szCs w:val="20"/>
          <w:color w:val="auto"/>
        </w:rPr>
      </w:pPr>
      <w:r>
        <w:rPr>
          <w:rFonts w:ascii="Arial" w:cs="Arial" w:eastAsia="Arial" w:hAnsi="Arial"/>
          <w:sz w:val="18"/>
          <w:szCs w:val="18"/>
          <w:color w:val="auto"/>
        </w:rPr>
        <w:t>Under the Code, the determination of PFIC status is fact-specific and generally cannot be made until after the close of the taxable year in question. Based on the market price of the ADSs and the value and composition of our income and assets, we do not believe we were a PFIC for U.S. federal income tax purposes for our taxable year ended December 31, 2021. However, the application of the PFIC rules is subject to uncertainty in several respects, and we cannot assure you we will not be a PFIC for any taxable year. A non-U.S. corporation will be considered a PFIC for any taxable year if either:</w:t>
      </w:r>
    </w:p>
    <w:p>
      <w:pPr>
        <w:spacing w:after="0" w:line="93" w:lineRule="exact"/>
        <w:rPr>
          <w:sz w:val="20"/>
          <w:szCs w:val="20"/>
          <w:color w:val="auto"/>
        </w:rPr>
      </w:pPr>
    </w:p>
    <w:p>
      <w:pPr>
        <w:ind w:left="1100" w:hanging="426"/>
        <w:spacing w:after="0"/>
        <w:tabs>
          <w:tab w:leader="none" w:pos="11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least 75% of its gross income for such taxable year is passive income, or</w:t>
      </w:r>
    </w:p>
    <w:p>
      <w:pPr>
        <w:spacing w:after="0" w:line="129" w:lineRule="exact"/>
        <w:rPr>
          <w:rFonts w:ascii="Arial" w:cs="Arial" w:eastAsia="Arial" w:hAnsi="Arial"/>
          <w:sz w:val="18"/>
          <w:szCs w:val="18"/>
          <w:color w:val="auto"/>
        </w:rPr>
      </w:pPr>
    </w:p>
    <w:p>
      <w:pPr>
        <w:ind w:left="1100" w:right="460" w:hanging="426"/>
        <w:spacing w:after="0" w:line="275" w:lineRule="auto"/>
        <w:tabs>
          <w:tab w:leader="none" w:pos="11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least 50% of the value of its assets (generally based on an average of the quarterly values of the assets) during such taxable year) is attributable to assets that produce or are held for the production of passive income.</w:t>
      </w:r>
    </w:p>
    <w:p>
      <w:pPr>
        <w:spacing w:after="0" w:line="171" w:lineRule="exact"/>
        <w:rPr>
          <w:sz w:val="20"/>
          <w:szCs w:val="20"/>
          <w:color w:val="auto"/>
        </w:rPr>
      </w:pPr>
    </w:p>
    <w:p>
      <w:pPr>
        <w:ind w:left="140" w:right="60"/>
        <w:spacing w:after="0" w:line="256" w:lineRule="auto"/>
        <w:rPr>
          <w:sz w:val="20"/>
          <w:szCs w:val="20"/>
          <w:color w:val="auto"/>
        </w:rPr>
      </w:pPr>
      <w:r>
        <w:rPr>
          <w:rFonts w:ascii="Arial" w:cs="Arial" w:eastAsia="Arial" w:hAnsi="Arial"/>
          <w:sz w:val="18"/>
          <w:szCs w:val="18"/>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88" w:lineRule="exact"/>
        <w:rPr>
          <w:sz w:val="20"/>
          <w:szCs w:val="20"/>
          <w:color w:val="auto"/>
        </w:rPr>
      </w:pPr>
    </w:p>
    <w:p>
      <w:pPr>
        <w:ind w:left="140" w:right="40"/>
        <w:spacing w:after="0" w:line="278" w:lineRule="auto"/>
        <w:rPr>
          <w:sz w:val="20"/>
          <w:szCs w:val="20"/>
          <w:color w:val="auto"/>
        </w:rPr>
      </w:pPr>
      <w:r>
        <w:rPr>
          <w:rFonts w:ascii="Arial" w:cs="Arial" w:eastAsia="Arial" w:hAnsi="Arial"/>
          <w:sz w:val="17"/>
          <w:szCs w:val="17"/>
          <w:color w:val="auto"/>
        </w:rPr>
        <w:t>A separate determination must be made each taxable year as to whether we are a PFIC (after the close of each such taxable year). Because the value of our assets for purposes of the asset test will generally be determined by reference to the market price of the ADSs, our PFIC status will depend in large part on the market price of the ADSs, which may fluctuate significantly. In addition, changes in the composition of our income or assets may cause us to become a PFIC. For these reasons, we cannot assure you we will not be a PFIC for any tax year.</w:t>
      </w:r>
    </w:p>
    <w:p>
      <w:pPr>
        <w:spacing w:after="0" w:line="170" w:lineRule="exact"/>
        <w:rPr>
          <w:sz w:val="20"/>
          <w:szCs w:val="20"/>
          <w:color w:val="auto"/>
        </w:rPr>
      </w:pPr>
    </w:p>
    <w:p>
      <w:pPr>
        <w:ind w:left="140" w:right="40"/>
        <w:spacing w:after="0" w:line="272" w:lineRule="auto"/>
        <w:rPr>
          <w:sz w:val="20"/>
          <w:szCs w:val="20"/>
          <w:color w:val="auto"/>
        </w:rPr>
      </w:pPr>
      <w:r>
        <w:rPr>
          <w:rFonts w:ascii="Arial" w:cs="Arial" w:eastAsia="Arial" w:hAnsi="Arial"/>
          <w:sz w:val="17"/>
          <w:szCs w:val="17"/>
          <w:color w:val="auto"/>
        </w:rPr>
        <w:t>If we are a PFIC for any year during which you hold the ADSs, we generally will continue to be treated as a PFIC with respect to you for all succeeding years during which you hold the ADSs, regardless of whether we continue to meet the income or asset tests described above,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w:t>
      </w:r>
    </w:p>
    <w:p>
      <w:pPr>
        <w:spacing w:after="0" w:line="177" w:lineRule="exact"/>
        <w:rPr>
          <w:sz w:val="20"/>
          <w:szCs w:val="20"/>
          <w:color w:val="auto"/>
        </w:rPr>
      </w:pPr>
    </w:p>
    <w:p>
      <w:pPr>
        <w:ind w:left="140" w:right="100"/>
        <w:spacing w:after="0" w:line="295" w:lineRule="auto"/>
        <w:rPr>
          <w:sz w:val="20"/>
          <w:szCs w:val="20"/>
          <w:color w:val="auto"/>
        </w:rPr>
      </w:pPr>
      <w:r>
        <w:rPr>
          <w:rFonts w:ascii="Arial" w:cs="Arial" w:eastAsia="Arial" w:hAnsi="Arial"/>
          <w:sz w:val="16"/>
          <w:szCs w:val="16"/>
          <w:color w:val="auto"/>
        </w:rPr>
        <w:t>For each taxable year we are treated as a PFIC with respect to you, you will be subject to special tax rules with respect to any “excess distribution” (as defined below)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w:t>
      </w:r>
    </w:p>
    <w:p>
      <w:pPr>
        <w:spacing w:after="0" w:line="67" w:lineRule="exact"/>
        <w:rPr>
          <w:sz w:val="20"/>
          <w:szCs w:val="20"/>
          <w:color w:val="auto"/>
        </w:rPr>
      </w:pPr>
    </w:p>
    <w:p>
      <w:pPr>
        <w:ind w:left="5480" w:right="3060" w:hanging="4806"/>
        <w:spacing w:after="0" w:line="447" w:lineRule="auto"/>
        <w:tabs>
          <w:tab w:leader="none" w:pos="10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the ADSs, 142</w:t>
      </w:r>
    </w:p>
    <w:p>
      <w:pPr>
        <w:sectPr>
          <w:pgSz w:w="11900" w:h="16838" w:orient="portrait"/>
          <w:cols w:equalWidth="0" w:num="1">
            <w:col w:w="11120"/>
          </w:cols>
          <w:pgMar w:left="320" w:top="485"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40" w:hanging="426"/>
        <w:spacing w:after="0" w:line="275" w:lineRule="auto"/>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before the first taxable year in your holding period in which we were a PFIC, will be treated as ordinary income, and</w:t>
      </w:r>
    </w:p>
    <w:p>
      <w:pPr>
        <w:spacing w:after="0" w:line="77" w:lineRule="exact"/>
        <w:rPr>
          <w:rFonts w:ascii="Arial" w:cs="Arial" w:eastAsia="Arial" w:hAnsi="Arial"/>
          <w:sz w:val="18"/>
          <w:szCs w:val="18"/>
          <w:color w:val="auto"/>
        </w:rPr>
      </w:pPr>
    </w:p>
    <w:p>
      <w:pPr>
        <w:ind w:left="1100" w:hanging="426"/>
        <w:spacing w:after="0" w:line="275" w:lineRule="auto"/>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income tax rate in effect for that year and the interest charge generally applicable to underpayments of tax will be imposed on the resulting tax attributable to each such year.</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Gains (but not losses) realized on the sale of the ADSs cannot be treated as capital gains, even if you hold the ADSs as capital assets.</w:t>
      </w:r>
    </w:p>
    <w:p>
      <w:pPr>
        <w:spacing w:after="0" w:line="223"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color w:val="auto"/>
        </w:rPr>
        <w:t>If we are treated as a PFIC with respect to you for any taxable year, to the extent we own directly or indirectly equity in any non-U.S. corporations that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lower-tier PFICs.</w:t>
      </w:r>
    </w:p>
    <w:p>
      <w:pPr>
        <w:spacing w:after="0" w:line="161" w:lineRule="exact"/>
        <w:rPr>
          <w:sz w:val="20"/>
          <w:szCs w:val="20"/>
          <w:color w:val="auto"/>
        </w:rPr>
      </w:pPr>
    </w:p>
    <w:p>
      <w:pPr>
        <w:ind w:left="140" w:right="20"/>
        <w:spacing w:after="0" w:line="267" w:lineRule="auto"/>
        <w:rPr>
          <w:sz w:val="20"/>
          <w:szCs w:val="20"/>
          <w:color w:val="auto"/>
        </w:rPr>
      </w:pPr>
      <w:r>
        <w:rPr>
          <w:rFonts w:ascii="Arial" w:cs="Arial" w:eastAsia="Arial" w:hAnsi="Arial"/>
          <w:sz w:val="17"/>
          <w:szCs w:val="17"/>
          <w:color w:val="auto"/>
        </w:rPr>
        <w:t>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that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“Taxation of Disposition of the ADSs.”</w:t>
      </w:r>
    </w:p>
    <w:p>
      <w:pPr>
        <w:spacing w:after="0" w:line="186" w:lineRule="exact"/>
        <w:rPr>
          <w:sz w:val="20"/>
          <w:szCs w:val="20"/>
          <w:color w:val="auto"/>
        </w:rPr>
      </w:pPr>
    </w:p>
    <w:p>
      <w:pPr>
        <w:ind w:left="140" w:right="20"/>
        <w:spacing w:after="0" w:line="287" w:lineRule="auto"/>
        <w:rPr>
          <w:sz w:val="20"/>
          <w:szCs w:val="20"/>
          <w:color w:val="auto"/>
        </w:rPr>
      </w:pPr>
      <w:r>
        <w:rPr>
          <w:rFonts w:ascii="Arial" w:cs="Arial" w:eastAsia="Arial" w:hAnsi="Arial"/>
          <w:sz w:val="16"/>
          <w:szCs w:val="16"/>
          <w:color w:val="auto"/>
        </w:rPr>
        <w:t xml:space="preserve">The “mark-to-market” election is available only for “marketable stock,” which is stock that is traded in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on at least 15 days during each calendar quarter, or regularly traded, on a qualified exchange or other market, as defined in applicable Treasury Regulations. Any trades that have as their principal purpose meeting this requirement will be disregarded. The ADSs are listed on The Nasdaq Global Select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The “mark-to-market” election may not be available with respect to the shares of lower-tier PFICs that are treated as owned by you. Consequently, you could be subject to the PFIC rules with respect to income of the lower-tier PFICs the value of which already had been taken into account indirectly via “mark-to-market” adjustments. A U.S. Holder should consult its tax advisors as to the availability and desirability of a “mark-to-market” election, as well as the impact of such election on interests in any lower-tier PFICs.</w:t>
      </w:r>
    </w:p>
    <w:p>
      <w:pPr>
        <w:spacing w:after="0" w:line="167" w:lineRule="exact"/>
        <w:rPr>
          <w:sz w:val="20"/>
          <w:szCs w:val="20"/>
          <w:color w:val="auto"/>
        </w:rPr>
      </w:pPr>
    </w:p>
    <w:p>
      <w:pPr>
        <w:ind w:left="140" w:right="140"/>
        <w:spacing w:after="0" w:line="262" w:lineRule="auto"/>
        <w:rPr>
          <w:sz w:val="20"/>
          <w:szCs w:val="20"/>
          <w:color w:val="auto"/>
        </w:rPr>
      </w:pPr>
      <w:r>
        <w:rPr>
          <w:rFonts w:ascii="Arial" w:cs="Arial" w:eastAsia="Arial" w:hAnsi="Arial"/>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83" w:lineRule="exact"/>
        <w:rPr>
          <w:sz w:val="20"/>
          <w:szCs w:val="20"/>
          <w:color w:val="auto"/>
        </w:rPr>
      </w:pPr>
    </w:p>
    <w:p>
      <w:pPr>
        <w:ind w:left="140" w:right="120"/>
        <w:spacing w:after="0" w:line="292" w:lineRule="auto"/>
        <w:rPr>
          <w:sz w:val="20"/>
          <w:szCs w:val="20"/>
          <w:color w:val="auto"/>
        </w:rPr>
      </w:pPr>
      <w:r>
        <w:rPr>
          <w:rFonts w:ascii="Arial" w:cs="Arial" w:eastAsia="Arial" w:hAnsi="Arial"/>
          <w:sz w:val="16"/>
          <w:szCs w:val="16"/>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 taking into account the uncertainty as to whether we are currently treated as or may become a PFIC.</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85"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right="380"/>
        <w:spacing w:after="0" w:line="280" w:lineRule="auto"/>
        <w:rPr>
          <w:sz w:val="20"/>
          <w:szCs w:val="20"/>
          <w:color w:val="auto"/>
        </w:rPr>
      </w:pPr>
      <w:r>
        <w:rPr>
          <w:rFonts w:ascii="Arial" w:cs="Arial" w:eastAsia="Arial" w:hAnsi="Arial"/>
          <w:sz w:val="18"/>
          <w:szCs w:val="18"/>
          <w:b w:val="1"/>
          <w:bCs w:val="1"/>
          <w:color w:val="auto"/>
        </w:rPr>
        <w:t>YOU ARE STRONGLY URGED TO CONSULT YOUR TAX ADVISOR REGARDING THE APPLICATION OF THE PFIC RULES TO YOUR INVESTMENT IN THE ADSs.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6" w:lineRule="exact"/>
        <w:rPr>
          <w:sz w:val="20"/>
          <w:szCs w:val="20"/>
          <w:color w:val="auto"/>
        </w:rPr>
      </w:pPr>
    </w:p>
    <w:p>
      <w:pPr>
        <w:ind w:left="140"/>
        <w:spacing w:after="0" w:line="285" w:lineRule="auto"/>
        <w:rPr>
          <w:sz w:val="20"/>
          <w:szCs w:val="20"/>
          <w:color w:val="auto"/>
        </w:rPr>
      </w:pPr>
      <w:r>
        <w:rPr>
          <w:rFonts w:ascii="Arial" w:cs="Arial" w:eastAsia="Arial" w:hAnsi="Arial"/>
          <w:sz w:val="17"/>
          <w:szCs w:val="17"/>
          <w:color w:val="auto"/>
        </w:rPr>
        <w:t>Distributions with respect to the ADSs and proceeds from the sale, exchange or other disposition of the ADSs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w:t>
      </w:r>
    </w:p>
    <w:p>
      <w:pPr>
        <w:spacing w:after="0" w:line="70" w:lineRule="exact"/>
        <w:rPr>
          <w:sz w:val="20"/>
          <w:szCs w:val="20"/>
          <w:color w:val="auto"/>
        </w:rPr>
      </w:pPr>
    </w:p>
    <w:p>
      <w:pPr>
        <w:ind w:left="1100" w:hanging="426"/>
        <w:spacing w:after="0"/>
        <w:tabs>
          <w:tab w:leader="none" w:pos="11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fails to furnish the holder’s taxpayer identification number, which for an individual is ordinarily his or her social security number;</w:t>
      </w:r>
    </w:p>
    <w:p>
      <w:pPr>
        <w:spacing w:after="0" w:line="140" w:lineRule="exact"/>
        <w:rPr>
          <w:rFonts w:ascii="Arial" w:cs="Arial" w:eastAsia="Arial" w:hAnsi="Arial"/>
          <w:sz w:val="17"/>
          <w:szCs w:val="17"/>
          <w:color w:val="auto"/>
        </w:rPr>
      </w:pPr>
    </w:p>
    <w:p>
      <w:pPr>
        <w:ind w:left="1100" w:hanging="426"/>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furnishes an incorrect taxpayer identification number;</w:t>
      </w:r>
    </w:p>
    <w:p>
      <w:pPr>
        <w:spacing w:after="0" w:line="129" w:lineRule="exact"/>
        <w:rPr>
          <w:rFonts w:ascii="Arial" w:cs="Arial" w:eastAsia="Arial" w:hAnsi="Arial"/>
          <w:sz w:val="18"/>
          <w:szCs w:val="18"/>
          <w:color w:val="auto"/>
        </w:rPr>
      </w:pPr>
    </w:p>
    <w:p>
      <w:pPr>
        <w:ind w:left="1100" w:hanging="426"/>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is notified by the IRS that the holder previously failed to properly report payments of interest or dividends; or</w:t>
      </w:r>
    </w:p>
    <w:p>
      <w:pPr>
        <w:spacing w:after="0" w:line="129" w:lineRule="exact"/>
        <w:rPr>
          <w:rFonts w:ascii="Arial" w:cs="Arial" w:eastAsia="Arial" w:hAnsi="Arial"/>
          <w:sz w:val="18"/>
          <w:szCs w:val="18"/>
          <w:color w:val="auto"/>
        </w:rPr>
      </w:pPr>
    </w:p>
    <w:p>
      <w:pPr>
        <w:ind w:left="1100" w:right="320" w:hanging="426"/>
        <w:spacing w:after="0" w:line="275" w:lineRule="auto"/>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71" w:lineRule="exact"/>
        <w:rPr>
          <w:sz w:val="20"/>
          <w:szCs w:val="20"/>
          <w:color w:val="auto"/>
        </w:rPr>
      </w:pPr>
    </w:p>
    <w:p>
      <w:pPr>
        <w:jc w:val="both"/>
        <w:ind w:left="140" w:right="180"/>
        <w:spacing w:after="0" w:line="310"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6"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color w:val="auto"/>
        </w:rPr>
        <w:t>Tax return disclosure obligations (and related penalties for failure to disclose) apply to certain U.S. Holders who hold certain specified foreign financial assets in excess of certain thresholds. The definition of specified foreign financial assets includes not only financial accounts maintained in foreign financial institutions, but also may include the ADSs. U.S. Holders should consult their tax advisors regarding the possible implications of these tax return disclosure obligations.</w:t>
      </w:r>
    </w:p>
    <w:p>
      <w:pPr>
        <w:spacing w:after="0" w:line="330" w:lineRule="exact"/>
        <w:rPr>
          <w:sz w:val="20"/>
          <w:szCs w:val="20"/>
          <w:color w:val="auto"/>
        </w:rPr>
      </w:pPr>
    </w:p>
    <w:p>
      <w:pPr>
        <w:ind w:left="560" w:hanging="425"/>
        <w:spacing w:after="0"/>
        <w:tabs>
          <w:tab w:leader="none" w:pos="5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0" w:lineRule="exact"/>
        <w:rPr>
          <w:sz w:val="20"/>
          <w:szCs w:val="20"/>
          <w:color w:val="auto"/>
        </w:rPr>
      </w:pPr>
    </w:p>
    <w:p>
      <w:pPr>
        <w:ind w:left="140" w:right="20"/>
        <w:spacing w:after="0" w:line="253" w:lineRule="auto"/>
        <w:rPr>
          <w:sz w:val="20"/>
          <w:szCs w:val="20"/>
          <w:color w:val="auto"/>
        </w:rPr>
      </w:pPr>
      <w:r>
        <w:rPr>
          <w:rFonts w:ascii="Arial" w:cs="Arial" w:eastAsia="Arial" w:hAnsi="Arial"/>
          <w:sz w:val="18"/>
          <w:szCs w:val="18"/>
          <w:color w:val="auto"/>
        </w:rPr>
        <w:t>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The SEC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major shareholders are exempt from the reporting and short-swing profit recovery provisions contained in Section 16 of the Exchange Act.</w:t>
      </w:r>
    </w:p>
    <w:p>
      <w:pPr>
        <w:spacing w:after="0" w:line="339" w:lineRule="exact"/>
        <w:rPr>
          <w:sz w:val="20"/>
          <w:szCs w:val="20"/>
          <w:color w:val="auto"/>
        </w:rPr>
      </w:pPr>
    </w:p>
    <w:p>
      <w:pPr>
        <w:ind w:left="560" w:hanging="425"/>
        <w:spacing w:after="0"/>
        <w:tabs>
          <w:tab w:leader="none" w:pos="5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“Item 5 Operating and Financial Review and Prospects—Quantitative and Qualitative Disclosures about Market Risk.”</w:t>
      </w:r>
    </w:p>
    <w:p>
      <w:pPr>
        <w:spacing w:after="0" w:line="1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85"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29" w:lineRule="exact"/>
        <w:rPr>
          <w:sz w:val="20"/>
          <w:szCs w:val="20"/>
          <w:color w:val="auto"/>
        </w:rPr>
      </w:pPr>
    </w:p>
    <w:p>
      <w:pPr>
        <w:ind w:left="560" w:hanging="425"/>
        <w:spacing w:after="0"/>
        <w:tabs>
          <w:tab w:leader="none" w:pos="5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120" w:lineRule="exact"/>
        <w:rPr>
          <w:sz w:val="20"/>
          <w:szCs w:val="20"/>
          <w:color w:val="auto"/>
        </w:rPr>
      </w:pPr>
    </w:p>
    <w:p>
      <w:pPr>
        <w:ind w:left="140" w:right="160"/>
        <w:spacing w:after="0" w:line="256" w:lineRule="auto"/>
        <w:rPr>
          <w:sz w:val="20"/>
          <w:szCs w:val="20"/>
          <w:color w:val="auto"/>
        </w:rPr>
      </w:pPr>
      <w:r>
        <w:rPr>
          <w:rFonts w:ascii="Arial" w:cs="Arial" w:eastAsia="Arial" w:hAnsi="Arial"/>
          <w:sz w:val="18"/>
          <w:szCs w:val="18"/>
          <w:color w:val="auto"/>
        </w:rPr>
        <w:t>The Bank of New York Mellon, as depositary, registers and delivers American Depositary Shares, also referred to as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8" w:lineRule="exact"/>
        <w:rPr>
          <w:sz w:val="20"/>
          <w:szCs w:val="20"/>
          <w:color w:val="auto"/>
        </w:rPr>
      </w:pPr>
    </w:p>
    <w:p>
      <w:pPr>
        <w:ind w:left="140" w:right="780"/>
        <w:spacing w:after="0" w:line="275" w:lineRule="auto"/>
        <w:rPr>
          <w:sz w:val="20"/>
          <w:szCs w:val="20"/>
          <w:color w:val="auto"/>
        </w:rPr>
      </w:pPr>
      <w:r>
        <w:rPr>
          <w:rFonts w:ascii="Arial" w:cs="Arial" w:eastAsia="Arial" w:hAnsi="Arial"/>
          <w:sz w:val="18"/>
          <w:szCs w:val="18"/>
          <w:color w:val="auto"/>
        </w:rPr>
        <w:t>A deposit agreement among us, the depositary and you the ADS holders sets out ADS holder rights as well as the rights and obligations of the depositary. A copy of the deposit agreement is incorporated by reference as an exhibit to this annual report.</w:t>
      </w:r>
    </w:p>
    <w:p>
      <w:pPr>
        <w:spacing w:after="0" w:line="27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Fees and Expenses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Pursuant to the terms of the deposit agreement, the holders of ADSs will be required to pay the following fees:</w:t>
      </w:r>
    </w:p>
    <w:p>
      <w:pPr>
        <w:sectPr>
          <w:pgSz w:w="11900" w:h="16838" w:orient="portrait"/>
          <w:cols w:equalWidth="0" w:num="1">
            <w:col w:w="11100"/>
          </w:cols>
          <w:pgMar w:left="320" w:top="485" w:right="479" w:bottom="1440" w:gutter="0" w:footer="0" w:header="0"/>
        </w:sectPr>
      </w:pPr>
    </w:p>
    <w:p>
      <w:pPr>
        <w:spacing w:after="0" w:line="250"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Persons depositing or withdrawing ordinary shares or ADSs must pay:</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$5.00 (or less) per 100 ADSs (or portion of 100ADSs)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For:</w:t>
      </w:r>
    </w:p>
    <w:p>
      <w:pPr>
        <w:spacing w:after="0" w:line="23" w:lineRule="exact"/>
        <w:rPr>
          <w:sz w:val="20"/>
          <w:szCs w:val="20"/>
          <w:color w:val="auto"/>
        </w:rPr>
      </w:pPr>
    </w:p>
    <w:p>
      <w:pPr>
        <w:ind w:left="267" w:right="460" w:hanging="267"/>
        <w:spacing w:after="0" w:line="259" w:lineRule="auto"/>
        <w:tabs>
          <w:tab w:leader="none" w:pos="2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Issue of ADSs, including issues resulting from a distribution of ordinary shares or rights or other property</w:t>
      </w:r>
    </w:p>
    <w:p>
      <w:pPr>
        <w:spacing w:after="0" w:line="90" w:lineRule="exact"/>
        <w:rPr>
          <w:rFonts w:ascii="Arial" w:cs="Arial" w:eastAsia="Arial" w:hAnsi="Arial"/>
          <w:sz w:val="18"/>
          <w:szCs w:val="18"/>
          <w:color w:val="auto"/>
        </w:rPr>
      </w:pPr>
    </w:p>
    <w:p>
      <w:pPr>
        <w:ind w:left="267" w:right="60" w:hanging="267"/>
        <w:spacing w:after="0" w:line="275" w:lineRule="auto"/>
        <w:tabs>
          <w:tab w:leader="none" w:pos="2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91" w:lineRule="exact"/>
        <w:rPr>
          <w:sz w:val="20"/>
          <w:szCs w:val="20"/>
          <w:color w:val="auto"/>
        </w:rPr>
      </w:pPr>
    </w:p>
    <w:p>
      <w:pPr>
        <w:sectPr>
          <w:pgSz w:w="11900" w:h="16838" w:orient="portrait"/>
          <w:cols w:equalWidth="0" w:num="2">
            <w:col w:w="5340" w:space="513"/>
            <w:col w:w="5247"/>
          </w:cols>
          <w:pgMar w:left="320" w:top="485" w:right="479" w:bottom="1440" w:gutter="0" w:footer="0" w:header="0"/>
          <w:type w:val="continuous"/>
        </w:sectPr>
      </w:pPr>
    </w:p>
    <w:p>
      <w:pPr>
        <w:ind w:left="140"/>
        <w:spacing w:after="0"/>
        <w:rPr>
          <w:sz w:val="20"/>
          <w:szCs w:val="20"/>
          <w:color w:val="auto"/>
        </w:rPr>
      </w:pPr>
      <w:r>
        <w:rPr>
          <w:rFonts w:ascii="Arial" w:cs="Arial" w:eastAsia="Arial" w:hAnsi="Arial"/>
          <w:sz w:val="18"/>
          <w:szCs w:val="18"/>
          <w:color w:val="auto"/>
        </w:rPr>
        <w:t>$0.05 (or less) per ADS</w:t>
      </w:r>
    </w:p>
    <w:p>
      <w:pPr>
        <w:spacing w:after="0" w:line="143" w:lineRule="exact"/>
        <w:rPr>
          <w:sz w:val="20"/>
          <w:szCs w:val="20"/>
          <w:color w:val="auto"/>
        </w:rPr>
      </w:pPr>
    </w:p>
    <w:p>
      <w:pPr>
        <w:jc w:val="both"/>
        <w:ind w:left="140"/>
        <w:spacing w:after="0" w:line="255"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shares had been deposited for issue of ADSs</w:t>
      </w:r>
    </w:p>
    <w:p>
      <w:pPr>
        <w:ind w:left="140" w:right="2440"/>
        <w:spacing w:after="0" w:line="415" w:lineRule="auto"/>
        <w:rPr>
          <w:sz w:val="20"/>
          <w:szCs w:val="20"/>
          <w:color w:val="auto"/>
        </w:rPr>
      </w:pPr>
      <w:r>
        <w:rPr>
          <w:rFonts w:ascii="Arial" w:cs="Arial" w:eastAsia="Arial" w:hAnsi="Arial"/>
          <w:sz w:val="18"/>
          <w:szCs w:val="18"/>
          <w:color w:val="auto"/>
        </w:rPr>
        <w:t>$0.05 (or less) per ADS per calendar year Registration or transfer fees</w:t>
      </w:r>
    </w:p>
    <w:p>
      <w:pPr>
        <w:spacing w:after="0" w:line="20" w:lineRule="exact"/>
        <w:rPr>
          <w:sz w:val="20"/>
          <w:szCs w:val="20"/>
          <w:color w:val="auto"/>
        </w:rPr>
      </w:pPr>
      <w:r>
        <w:rPr>
          <w:sz w:val="20"/>
          <w:szCs w:val="20"/>
          <w:color w:val="auto"/>
        </w:rPr>
        <w:br w:type="column"/>
      </w:r>
    </w:p>
    <w:p>
      <w:pPr>
        <w:ind w:left="247" w:hanging="247"/>
        <w:spacing w:after="0"/>
        <w:tabs>
          <w:tab w:leader="none" w:pos="2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cash distribution to you</w:t>
      </w:r>
    </w:p>
    <w:p>
      <w:pPr>
        <w:spacing w:after="0" w:line="223" w:lineRule="exact"/>
        <w:rPr>
          <w:rFonts w:ascii="Arial" w:cs="Arial" w:eastAsia="Arial" w:hAnsi="Arial"/>
          <w:sz w:val="18"/>
          <w:szCs w:val="18"/>
          <w:color w:val="auto"/>
        </w:rPr>
      </w:pPr>
    </w:p>
    <w:p>
      <w:pPr>
        <w:ind w:left="267" w:hanging="267"/>
        <w:spacing w:after="0" w:line="275" w:lineRule="auto"/>
        <w:tabs>
          <w:tab w:leader="none" w:pos="2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Distribution of securities distributed to holders of deposited securities which are distributed by the depositary to you</w:t>
      </w:r>
    </w:p>
    <w:p>
      <w:pPr>
        <w:spacing w:after="0" w:line="90" w:lineRule="exact"/>
        <w:rPr>
          <w:rFonts w:ascii="Arial" w:cs="Arial" w:eastAsia="Arial" w:hAnsi="Arial"/>
          <w:sz w:val="18"/>
          <w:szCs w:val="18"/>
          <w:color w:val="auto"/>
        </w:rPr>
      </w:pPr>
    </w:p>
    <w:p>
      <w:pPr>
        <w:ind w:left="247" w:hanging="247"/>
        <w:spacing w:after="0"/>
        <w:tabs>
          <w:tab w:leader="none" w:pos="2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142" w:lineRule="exact"/>
        <w:rPr>
          <w:rFonts w:ascii="Arial" w:cs="Arial" w:eastAsia="Arial" w:hAnsi="Arial"/>
          <w:sz w:val="18"/>
          <w:szCs w:val="18"/>
          <w:color w:val="auto"/>
        </w:rPr>
      </w:pPr>
    </w:p>
    <w:p>
      <w:pPr>
        <w:ind w:left="267" w:hanging="267"/>
        <w:spacing w:after="0" w:line="262" w:lineRule="auto"/>
        <w:tabs>
          <w:tab w:leader="none" w:pos="24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Transfer and registration of ordinary shares on our share register to or from the name of the depositary or its agent when you deposit or withdraw shares</w:t>
      </w:r>
    </w:p>
    <w:p>
      <w:pPr>
        <w:spacing w:after="0" w:line="102" w:lineRule="exact"/>
        <w:rPr>
          <w:sz w:val="20"/>
          <w:szCs w:val="20"/>
          <w:color w:val="auto"/>
        </w:rPr>
      </w:pPr>
    </w:p>
    <w:p>
      <w:pPr>
        <w:sectPr>
          <w:pgSz w:w="11900" w:h="16838" w:orient="portrait"/>
          <w:cols w:equalWidth="0" w:num="2">
            <w:col w:w="5560" w:space="293"/>
            <w:col w:w="5247"/>
          </w:cols>
          <w:pgMar w:left="320" w:top="485" w:right="479" w:bottom="1440" w:gutter="0" w:footer="0" w:header="0"/>
          <w:type w:val="continuous"/>
        </w:sectPr>
      </w:pPr>
    </w:p>
    <w:p>
      <w:pPr>
        <w:ind w:left="140"/>
        <w:spacing w:after="0"/>
        <w:tabs>
          <w:tab w:leader="none" w:pos="5840" w:val="left"/>
          <w:tab w:leader="none" w:pos="6080" w:val="left"/>
        </w:tabs>
        <w:rPr>
          <w:sz w:val="20"/>
          <w:szCs w:val="20"/>
          <w:color w:val="auto"/>
        </w:rPr>
      </w:pPr>
      <w:r>
        <w:rPr>
          <w:rFonts w:ascii="Arial" w:cs="Arial" w:eastAsia="Arial" w:hAnsi="Arial"/>
          <w:sz w:val="18"/>
          <w:szCs w:val="18"/>
          <w:color w:val="auto"/>
        </w:rPr>
        <w:t>Expenses of the depositary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Cable, telex and facsimile transmissions (when expressly provided in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the deposit agreement)</w:t>
      </w:r>
    </w:p>
    <w:p>
      <w:pPr>
        <w:sectPr>
          <w:pgSz w:w="11900" w:h="16838" w:orient="portrait"/>
          <w:cols w:equalWidth="0" w:num="1">
            <w:col w:w="11100"/>
          </w:cols>
          <w:pgMar w:left="320" w:top="485" w:right="47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Taxes and other governmental charges the depositary or the custodian have to pay on any ADS or share underlying an ADS, for example, share transfer taxes, stamp duty or withholding taxes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47" w:hanging="247"/>
        <w:spacing w:after="0"/>
        <w:tabs>
          <w:tab w:leader="none" w:pos="24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Converting foreign currency to U.S. dollars</w:t>
      </w:r>
    </w:p>
    <w:p>
      <w:pPr>
        <w:spacing w:after="0" w:line="165" w:lineRule="exact"/>
        <w:rPr>
          <w:rFonts w:ascii="Arial" w:cs="Arial" w:eastAsia="Arial" w:hAnsi="Arial"/>
          <w:sz w:val="16"/>
          <w:szCs w:val="16"/>
          <w:color w:val="auto"/>
        </w:rPr>
      </w:pPr>
    </w:p>
    <w:p>
      <w:pPr>
        <w:ind w:left="247" w:hanging="247"/>
        <w:spacing w:after="0"/>
        <w:tabs>
          <w:tab w:leader="none" w:pos="2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572" w:lineRule="exact"/>
        <w:rPr>
          <w:sz w:val="20"/>
          <w:szCs w:val="20"/>
          <w:color w:val="auto"/>
        </w:rPr>
      </w:pPr>
    </w:p>
    <w:p>
      <w:pPr>
        <w:sectPr>
          <w:pgSz w:w="11900" w:h="16838" w:orient="portrait"/>
          <w:cols w:equalWidth="0" w:num="2">
            <w:col w:w="5700" w:space="153"/>
            <w:col w:w="5247"/>
          </w:cols>
          <w:pgMar w:left="320" w:top="485" w:right="479" w:bottom="1440" w:gutter="0" w:footer="0" w:header="0"/>
          <w:type w:val="continuous"/>
        </w:sectPr>
      </w:pPr>
    </w:p>
    <w:p>
      <w:pPr>
        <w:ind w:left="140"/>
        <w:spacing w:after="0"/>
        <w:tabs>
          <w:tab w:leader="none" w:pos="5840" w:val="left"/>
          <w:tab w:leader="none" w:pos="6080" w:val="left"/>
        </w:tabs>
        <w:rPr>
          <w:sz w:val="20"/>
          <w:szCs w:val="20"/>
          <w:color w:val="auto"/>
        </w:rPr>
      </w:pPr>
      <w:r>
        <w:rPr>
          <w:rFonts w:ascii="Arial" w:cs="Arial" w:eastAsia="Arial" w:hAnsi="Arial"/>
          <w:sz w:val="18"/>
          <w:szCs w:val="18"/>
          <w:color w:val="auto"/>
        </w:rPr>
        <w:t>Any charges incurred by the depositary or its agents for servicing the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deposited securities</w:t>
      </w:r>
    </w:p>
    <w:p>
      <w:pPr>
        <w:spacing w:after="0" w:line="209" w:lineRule="exact"/>
        <w:rPr>
          <w:sz w:val="20"/>
          <w:szCs w:val="20"/>
          <w:color w:val="auto"/>
        </w:rPr>
      </w:pPr>
    </w:p>
    <w:p>
      <w:pPr>
        <w:ind w:left="140" w:right="420"/>
        <w:spacing w:after="0" w:line="27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w:t>
      </w:r>
    </w:p>
    <w:p>
      <w:pPr>
        <w:sectPr>
          <w:pgSz w:w="11900" w:h="16838" w:orient="portrait"/>
          <w:cols w:equalWidth="0" w:num="1">
            <w:col w:w="11100"/>
          </w:cols>
          <w:pgMar w:left="320" w:top="485" w:right="479" w:bottom="1440" w:gutter="0" w:footer="0" w:header="0"/>
          <w:type w:val="continuous"/>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00"/>
          </w:cols>
          <w:pgMar w:left="320" w:top="485" w:right="47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line="300" w:lineRule="auto"/>
        <w:rPr>
          <w:sz w:val="20"/>
          <w:szCs w:val="20"/>
          <w:color w:val="auto"/>
        </w:rPr>
      </w:pPr>
      <w:r>
        <w:rPr>
          <w:rFonts w:ascii="Arial" w:cs="Arial" w:eastAsia="Arial" w:hAnsi="Arial"/>
          <w:sz w:val="16"/>
          <w:szCs w:val="16"/>
          <w:color w:val="auto"/>
        </w:rPr>
        <w:t>investors by deducting those fees from the amounts distributed or by selling a portion of distributable property to pay the fees. The depositary may collect its annual fee for depositary services by deduction from cash distributions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56" w:lineRule="exact"/>
        <w:rPr>
          <w:sz w:val="20"/>
          <w:szCs w:val="20"/>
          <w:color w:val="auto"/>
        </w:rPr>
      </w:pPr>
    </w:p>
    <w:p>
      <w:pPr>
        <w:ind w:left="140" w:right="20"/>
        <w:spacing w:after="0" w:line="258" w:lineRule="auto"/>
        <w:rPr>
          <w:sz w:val="20"/>
          <w:szCs w:val="20"/>
          <w:color w:val="auto"/>
        </w:rPr>
      </w:pPr>
      <w:r>
        <w:rPr>
          <w:rFonts w:ascii="Arial" w:cs="Arial" w:eastAsia="Arial" w:hAnsi="Arial"/>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50"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 to the Rights of Security Holders and Use of Proceeds</w:t>
      </w:r>
    </w:p>
    <w:p>
      <w:pPr>
        <w:spacing w:after="0" w:line="129" w:lineRule="exact"/>
        <w:rPr>
          <w:sz w:val="20"/>
          <w:szCs w:val="20"/>
          <w:color w:val="auto"/>
        </w:rPr>
      </w:pPr>
    </w:p>
    <w:p>
      <w:pPr>
        <w:ind w:left="560" w:hanging="425"/>
        <w:spacing w:after="0"/>
        <w:tabs>
          <w:tab w:leader="none" w:pos="5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Modifications to the Rights of Securities Holders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560" w:hanging="425"/>
        <w:spacing w:after="0"/>
        <w:tabs>
          <w:tab w:leader="none" w:pos="5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 and Procedures</w:t>
      </w:r>
    </w:p>
    <w:p>
      <w:pPr>
        <w:spacing w:after="0" w:line="129" w:lineRule="exact"/>
        <w:rPr>
          <w:sz w:val="20"/>
          <w:szCs w:val="20"/>
          <w:color w:val="auto"/>
        </w:rPr>
      </w:pPr>
    </w:p>
    <w:p>
      <w:pPr>
        <w:ind w:left="560" w:hanging="425"/>
        <w:spacing w:after="0"/>
        <w:tabs>
          <w:tab w:leader="none" w:pos="5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7" w:lineRule="exact"/>
        <w:rPr>
          <w:sz w:val="20"/>
          <w:szCs w:val="20"/>
          <w:color w:val="auto"/>
        </w:rPr>
      </w:pPr>
    </w:p>
    <w:p>
      <w:pPr>
        <w:ind w:left="140" w:right="140"/>
        <w:spacing w:after="0" w:line="285" w:lineRule="auto"/>
        <w:rPr>
          <w:sz w:val="20"/>
          <w:szCs w:val="20"/>
          <w:color w:val="auto"/>
        </w:rPr>
      </w:pPr>
      <w:r>
        <w:rPr>
          <w:rFonts w:ascii="Arial" w:cs="Arial" w:eastAsia="Arial" w:hAnsi="Arial"/>
          <w:sz w:val="17"/>
          <w:szCs w:val="17"/>
          <w:color w:val="auto"/>
        </w:rPr>
        <w:t>Our chief executive officer and principal financial and accounting officers, after evaluating the effectiveness of our disclosure controls and procedures (as defined in Rule 13a-15(e) under the Exchange Act) as of December 31, 2021, have concluded that based on the evaluation of these controls and procedures required by Rule 13a-15(b) of the Exchange Act, our disclosure controls and procedures were effective.</w:t>
      </w:r>
    </w:p>
    <w:p>
      <w:pPr>
        <w:spacing w:after="0" w:line="309" w:lineRule="exact"/>
        <w:rPr>
          <w:sz w:val="20"/>
          <w:szCs w:val="20"/>
          <w:color w:val="auto"/>
        </w:rPr>
      </w:pPr>
    </w:p>
    <w:p>
      <w:pPr>
        <w:ind w:left="560" w:hanging="425"/>
        <w:spacing w:after="0"/>
        <w:tabs>
          <w:tab w:leader="none" w:pos="5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0" w:lineRule="exact"/>
        <w:rPr>
          <w:sz w:val="20"/>
          <w:szCs w:val="20"/>
          <w:color w:val="auto"/>
        </w:rPr>
      </w:pPr>
    </w:p>
    <w:p>
      <w:pPr>
        <w:ind w:left="140" w:right="660"/>
        <w:spacing w:after="0" w:line="27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and for its assessment of the effectiveness of internal control over financial reporting.</w:t>
      </w:r>
    </w:p>
    <w:p>
      <w:pPr>
        <w:spacing w:after="0" w:line="171"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color w:val="auto"/>
        </w:rPr>
        <w:t>Internal control over financial reporting is defined in rules 13a-15(f) and 15d-15(f) under the Exchange Act as a process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audited consolidated financial statements.</w:t>
      </w:r>
    </w:p>
    <w:p>
      <w:pPr>
        <w:spacing w:after="0" w:line="178" w:lineRule="exact"/>
        <w:rPr>
          <w:sz w:val="20"/>
          <w:szCs w:val="20"/>
          <w:color w:val="auto"/>
        </w:rPr>
      </w:pPr>
    </w:p>
    <w:p>
      <w:pPr>
        <w:ind w:left="140" w:right="140"/>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ind w:left="140" w:right="20"/>
        <w:spacing w:after="0" w:line="310"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2021. This assessment was performed under the directions and supervision of our Chief Executive Officer and our principal financial and accounting officers and based on the criteria established in Internal Control—Integrated Framework (2013) issued by the Committee of Sponsoring Organizations (COSO) of the Treadway Commission.</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40"/>
          </w:cols>
          <w:pgMar w:left="320" w:top="485" w:right="5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40"/>
        <w:spacing w:after="0" w:line="254" w:lineRule="auto"/>
        <w:rPr>
          <w:sz w:val="20"/>
          <w:szCs w:val="20"/>
          <w:color w:val="auto"/>
        </w:rPr>
      </w:pPr>
      <w:r>
        <w:rPr>
          <w:rFonts w:ascii="Arial" w:cs="Arial" w:eastAsia="Arial" w:hAnsi="Arial"/>
          <w:sz w:val="18"/>
          <w:szCs w:val="18"/>
          <w:color w:val="auto"/>
        </w:rPr>
        <w:t>A material weakness is a control deficiency, or a combination of control deficiencies in internal control over financial reporting, such that there is a reasonable possibility that a material misstatement of the annual or interim financial statements will not be prevented or detected. These control deficiencies could result in a misstatement of the financial statement accounts or related disclosures that would result in a material misstatement in the annual or interim consolidated financial statements that would not be prevented or detected on a timely basis. Based on management’s assessment of those criteria, management has concluded that the design and operating effectiveness of our internal control over financial reporting was effective as of December 31, 2021.</w:t>
      </w:r>
    </w:p>
    <w:p>
      <w:pPr>
        <w:spacing w:after="0" w:line="192" w:lineRule="exact"/>
        <w:rPr>
          <w:sz w:val="20"/>
          <w:szCs w:val="20"/>
          <w:color w:val="auto"/>
        </w:rPr>
      </w:pPr>
    </w:p>
    <w:p>
      <w:pPr>
        <w:ind w:left="140" w:right="180"/>
        <w:spacing w:after="0" w:line="262" w:lineRule="auto"/>
        <w:rPr>
          <w:sz w:val="20"/>
          <w:szCs w:val="20"/>
          <w:color w:val="auto"/>
        </w:rPr>
      </w:pPr>
      <w:r>
        <w:rPr>
          <w:rFonts w:ascii="Arial" w:cs="Arial" w:eastAsia="Arial" w:hAnsi="Arial"/>
          <w:sz w:val="18"/>
          <w:szCs w:val="18"/>
          <w:color w:val="auto"/>
        </w:rPr>
        <w:t>The effectiveness of the Company’s internal control over financial reporting has been audited by Deloitte Statsautoriseret Revisionspartnerselskab, our independent registered public accounting firm, as stated in their report on the Company’s financial statements and internal control over financial reporting as of December 31, 2021, which is included under Item 18 below.</w:t>
      </w:r>
    </w:p>
    <w:p>
      <w:pPr>
        <w:spacing w:after="0" w:line="327" w:lineRule="exact"/>
        <w:rPr>
          <w:sz w:val="20"/>
          <w:szCs w:val="20"/>
          <w:color w:val="auto"/>
        </w:rPr>
      </w:pPr>
    </w:p>
    <w:p>
      <w:pPr>
        <w:ind w:left="560" w:hanging="425"/>
        <w:spacing w:after="0"/>
        <w:tabs>
          <w:tab w:leader="none" w:pos="5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20" w:lineRule="exact"/>
        <w:rPr>
          <w:sz w:val="20"/>
          <w:szCs w:val="20"/>
          <w:color w:val="auto"/>
        </w:rPr>
      </w:pPr>
    </w:p>
    <w:p>
      <w:pPr>
        <w:ind w:left="140" w:right="1280"/>
        <w:spacing w:after="0" w:line="340" w:lineRule="auto"/>
        <w:rPr>
          <w:sz w:val="20"/>
          <w:szCs w:val="20"/>
          <w:color w:val="auto"/>
        </w:rPr>
      </w:pPr>
      <w:r>
        <w:rPr>
          <w:rFonts w:ascii="Arial" w:cs="Arial" w:eastAsia="Arial" w:hAnsi="Arial"/>
          <w:sz w:val="16"/>
          <w:szCs w:val="16"/>
          <w:color w:val="auto"/>
        </w:rPr>
        <w:t>The effectiveness of our internal control over financial reporting as of December 31, 2021 has been audited by Deloitte Statsautoriseret Revisionspartnerselskab, an independent registered public accounting firm, as stated in their report, which appears in Item 18 below.</w:t>
      </w:r>
    </w:p>
    <w:p>
      <w:pPr>
        <w:spacing w:after="0" w:line="268" w:lineRule="exact"/>
        <w:rPr>
          <w:sz w:val="20"/>
          <w:szCs w:val="20"/>
          <w:color w:val="auto"/>
        </w:rPr>
      </w:pPr>
    </w:p>
    <w:p>
      <w:pPr>
        <w:ind w:left="560" w:hanging="425"/>
        <w:spacing w:after="0"/>
        <w:tabs>
          <w:tab w:leader="none" w:pos="5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0" w:lineRule="exact"/>
        <w:rPr>
          <w:sz w:val="20"/>
          <w:szCs w:val="20"/>
          <w:color w:val="auto"/>
        </w:rPr>
      </w:pPr>
    </w:p>
    <w:p>
      <w:pPr>
        <w:ind w:left="140" w:right="80"/>
        <w:spacing w:after="0" w:line="271" w:lineRule="auto"/>
        <w:rPr>
          <w:sz w:val="20"/>
          <w:szCs w:val="20"/>
          <w:color w:val="auto"/>
        </w:rPr>
      </w:pPr>
      <w:r>
        <w:rPr>
          <w:rFonts w:ascii="Arial" w:cs="Arial" w:eastAsia="Arial" w:hAnsi="Arial"/>
          <w:sz w:val="17"/>
          <w:szCs w:val="17"/>
          <w:color w:val="auto"/>
        </w:rPr>
        <w:t>During the year ended December 31, 2021, the Company completed a company-wide implementation of a new enterprise resource planning system, encompassing all areas of accounting and financial reporting, including procurement, revenue recognition, and inventory management. The implementation involved changes in systems, processes and internal controls, and accordingly, these changes have required changes in our system of internal control over financial reporting. In addition, we added controls related to the commercialization of TransCon hGH, including controls related inventory costing and inventory management and controls related to commercial sales activities. There has been no other changes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321"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0" w:lineRule="exact"/>
        <w:rPr>
          <w:sz w:val="20"/>
          <w:szCs w:val="20"/>
          <w:color w:val="auto"/>
        </w:rPr>
      </w:pPr>
    </w:p>
    <w:p>
      <w:pPr>
        <w:ind w:left="140" w:right="200"/>
        <w:spacing w:after="0" w:line="275" w:lineRule="auto"/>
        <w:rPr>
          <w:sz w:val="20"/>
          <w:szCs w:val="20"/>
          <w:color w:val="auto"/>
        </w:rPr>
      </w:pPr>
      <w:r>
        <w:rPr>
          <w:rFonts w:ascii="Arial" w:cs="Arial" w:eastAsia="Arial" w:hAnsi="Arial"/>
          <w:sz w:val="18"/>
          <w:szCs w:val="18"/>
          <w:color w:val="auto"/>
        </w:rPr>
        <w:t>Mr. Lars Holtug, an independent director and a member of the Audit Committee, qualifies as an “audit committee financial expert,” as defined in Item 16A(b) of Form 20-F and as determined by our board of directors.</w:t>
      </w:r>
    </w:p>
    <w:p>
      <w:pPr>
        <w:spacing w:after="0" w:line="315"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0" w:lineRule="exact"/>
        <w:rPr>
          <w:sz w:val="20"/>
          <w:szCs w:val="20"/>
          <w:color w:val="auto"/>
        </w:rPr>
      </w:pPr>
    </w:p>
    <w:p>
      <w:pPr>
        <w:ind w:left="140" w:right="120"/>
        <w:spacing w:after="0" w:line="256" w:lineRule="auto"/>
        <w:rPr>
          <w:sz w:val="20"/>
          <w:szCs w:val="20"/>
          <w:color w:val="auto"/>
        </w:rPr>
      </w:pPr>
      <w:r>
        <w:rPr>
          <w:rFonts w:ascii="Arial" w:cs="Arial" w:eastAsia="Arial" w:hAnsi="Arial"/>
          <w:sz w:val="18"/>
          <w:szCs w:val="18"/>
          <w:color w:val="auto"/>
        </w:rPr>
        <w:t>We have adopted a code of business conduct and ethics that applies to all of our employees, members of our senior management and members of our board of directors, including those members of our senior management responsible for financial reporting. Our code of ethics is posted on our company website at: http://www.ascendispharma.com. We will disclose any substantive amendments to the code of business conduct and ethics, or any waiver of its provisions, on our website. The reference to our website does not constitute incorporation by reference of the information contained at or available through our website.</w:t>
      </w:r>
    </w:p>
    <w:p>
      <w:pPr>
        <w:spacing w:after="0" w:line="331"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0" w:lineRule="exact"/>
        <w:rPr>
          <w:sz w:val="20"/>
          <w:szCs w:val="20"/>
          <w:color w:val="auto"/>
        </w:rPr>
      </w:pPr>
    </w:p>
    <w:p>
      <w:pPr>
        <w:ind w:left="140" w:right="280"/>
        <w:spacing w:after="0" w:line="275" w:lineRule="auto"/>
        <w:rPr>
          <w:sz w:val="20"/>
          <w:szCs w:val="20"/>
          <w:color w:val="auto"/>
        </w:rPr>
      </w:pPr>
      <w:r>
        <w:rPr>
          <w:rFonts w:ascii="Arial" w:cs="Arial" w:eastAsia="Arial" w:hAnsi="Arial"/>
          <w:sz w:val="18"/>
          <w:szCs w:val="18"/>
          <w:color w:val="auto"/>
        </w:rPr>
        <w:t>The following table sets forth, for each of the years indicated, the fees billed by our independent public accountants and the percentage of each of the fees out of the total amount billed by the accountants.</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280" w:type="dxa"/>
            <w:vAlign w:val="bottom"/>
          </w:tcPr>
          <w:p>
            <w:pPr>
              <w:spacing w:after="0"/>
              <w:rPr>
                <w:sz w:val="14"/>
                <w:szCs w:val="14"/>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6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220" w:type="dxa"/>
            <w:vAlign w:val="bottom"/>
            <w:gridSpan w:val="4"/>
          </w:tcPr>
          <w:p>
            <w:pPr>
              <w:jc w:val="center"/>
              <w:ind w:right="60"/>
              <w:spacing w:after="0" w:line="14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5960" w:type="dxa"/>
            <w:vAlign w:val="bottom"/>
            <w:gridSpan w:val="3"/>
          </w:tcPr>
          <w:p>
            <w:pPr>
              <w:jc w:val="center"/>
              <w:ind w:left="5355"/>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112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2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w w:val="94"/>
              </w:rPr>
              <w:t>EUR’000</w:t>
            </w:r>
          </w:p>
        </w:tc>
        <w:tc>
          <w:tcPr>
            <w:tcW w:w="3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9"/>
              </w:rPr>
              <w:t>%89</w:t>
            </w:r>
          </w:p>
        </w:tc>
        <w:tc>
          <w:tcPr>
            <w:tcW w:w="2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w w:val="94"/>
              </w:rPr>
              <w:t>EUR’000</w:t>
            </w:r>
          </w:p>
        </w:tc>
        <w:tc>
          <w:tcPr>
            <w:tcW w:w="320" w:type="dxa"/>
            <w:vAlign w:val="bottom"/>
            <w:tcBorders>
              <w:top w:val="single" w:sz="8" w:color="auto"/>
            </w:tcBorders>
          </w:tcPr>
          <w:p>
            <w:pPr>
              <w:jc w:val="right"/>
              <w:ind w:right="14"/>
              <w:spacing w:after="0" w:line="141"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5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Tax Fees</w:t>
            </w: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5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120" w:type="dxa"/>
            <w:vAlign w:val="bottom"/>
            <w:vMerge w:val="restart"/>
          </w:tcPr>
          <w:p>
            <w:pPr>
              <w:jc w:val="right"/>
              <w:ind w:right="2615"/>
              <w:spacing w:after="0"/>
              <w:rPr>
                <w:sz w:val="20"/>
                <w:szCs w:val="20"/>
                <w:color w:val="auto"/>
              </w:rPr>
            </w:pPr>
            <w:r>
              <w:rPr>
                <w:rFonts w:ascii="Arial" w:cs="Arial" w:eastAsia="Arial" w:hAnsi="Arial"/>
                <w:sz w:val="18"/>
                <w:szCs w:val="18"/>
                <w:color w:val="auto"/>
              </w:rPr>
              <w:t>147</w:t>
            </w: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0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140" w:right="20"/>
        <w:spacing w:after="0" w:line="313"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are defined as the standard audit work that needs to be performed each year to issue opinions on our consolidated financial statements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issue reports on our local statutory financial statements. Also included are services that can only be provided by our auditor, such as reviews of quarterly financial results, consents and comfort letters and any other audit services required for SEC or other regulatory filings.</w:t>
      </w:r>
    </w:p>
    <w:p>
      <w:pPr>
        <w:spacing w:after="0" w:line="141" w:lineRule="exact"/>
        <w:rPr>
          <w:sz w:val="20"/>
          <w:szCs w:val="20"/>
          <w:color w:val="auto"/>
        </w:rPr>
      </w:pPr>
    </w:p>
    <w:p>
      <w:pPr>
        <w:ind w:left="140" w:right="140"/>
        <w:spacing w:after="0" w:line="280" w:lineRule="auto"/>
        <w:rPr>
          <w:sz w:val="20"/>
          <w:szCs w:val="20"/>
          <w:color w:val="auto"/>
        </w:rPr>
      </w:pPr>
      <w:r>
        <w:rPr>
          <w:rFonts w:ascii="Arial" w:cs="Arial" w:eastAsia="Arial" w:hAnsi="Arial"/>
          <w:sz w:val="18"/>
          <w:szCs w:val="18"/>
          <w:b w:val="1"/>
          <w:bCs w:val="1"/>
          <w:color w:val="auto"/>
        </w:rPr>
        <w:t xml:space="preserve">Audit Related Fees </w:t>
      </w:r>
      <w:r>
        <w:rPr>
          <w:rFonts w:ascii="Arial" w:cs="Arial" w:eastAsia="Arial" w:hAnsi="Arial"/>
          <w:sz w:val="18"/>
          <w:szCs w:val="18"/>
          <w:color w:val="auto"/>
        </w:rPr>
        <w:t>include those other assurance services provided by the independent auditor but not restricted to those that can only be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auditor signing the audit report.</w:t>
      </w:r>
    </w:p>
    <w:p>
      <w:pPr>
        <w:spacing w:after="0" w:line="163" w:lineRule="exact"/>
        <w:rPr>
          <w:sz w:val="20"/>
          <w:szCs w:val="20"/>
          <w:color w:val="auto"/>
        </w:rPr>
      </w:pPr>
    </w:p>
    <w:p>
      <w:pPr>
        <w:ind w:left="140" w:right="420"/>
        <w:spacing w:after="0" w:line="280" w:lineRule="auto"/>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relate to the aggregate fees billed in each of the last two fiscal years for professional services rendered by the principal accountant for tax</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tax advice, and tax planning.</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are any additional amounts billed for products and services provided by the principal accountant.</w:t>
      </w:r>
    </w:p>
    <w:p>
      <w:pPr>
        <w:spacing w:after="0" w:line="33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Pre-Approval Policies and Procedures for Non-Audit Services</w:t>
      </w:r>
    </w:p>
    <w:p>
      <w:pPr>
        <w:spacing w:after="0" w:line="116" w:lineRule="exact"/>
        <w:rPr>
          <w:sz w:val="20"/>
          <w:szCs w:val="20"/>
          <w:color w:val="auto"/>
        </w:rPr>
      </w:pPr>
    </w:p>
    <w:p>
      <w:pPr>
        <w:ind w:left="140" w:right="620"/>
        <w:spacing w:after="0" w:line="275" w:lineRule="auto"/>
        <w:rPr>
          <w:sz w:val="20"/>
          <w:szCs w:val="20"/>
          <w:color w:val="auto"/>
        </w:rPr>
      </w:pPr>
      <w:r>
        <w:rPr>
          <w:rFonts w:ascii="Arial" w:cs="Arial" w:eastAsia="Arial" w:hAnsi="Arial"/>
          <w:sz w:val="18"/>
          <w:szCs w:val="18"/>
          <w:color w:val="auto"/>
        </w:rPr>
        <w:t>Our Audit Committee has adopted a policy pursuant to which we will not engage our auditors to perform any non-audit services unless the audit committee pre-approves the service.</w:t>
      </w:r>
    </w:p>
    <w:p>
      <w:pPr>
        <w:spacing w:after="0" w:line="315"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0" w:lineRule="exact"/>
        <w:rPr>
          <w:sz w:val="20"/>
          <w:szCs w:val="20"/>
          <w:color w:val="auto"/>
        </w:rPr>
      </w:pPr>
    </w:p>
    <w:p>
      <w:pPr>
        <w:ind w:left="140" w:right="380"/>
        <w:spacing w:after="0" w:line="275" w:lineRule="auto"/>
        <w:rPr>
          <w:sz w:val="20"/>
          <w:szCs w:val="20"/>
          <w:color w:val="auto"/>
        </w:rPr>
      </w:pPr>
      <w:r>
        <w:rPr>
          <w:rFonts w:ascii="Arial" w:cs="Arial" w:eastAsia="Arial" w:hAnsi="Arial"/>
          <w:sz w:val="18"/>
          <w:szCs w:val="18"/>
          <w:color w:val="auto"/>
        </w:rPr>
        <w:t>In 2021, we made the following purchases of ADSs in connection with covering our obligations under our RSU program, as described in “Item 6— Directors, Senior Management and Employees—B. Compensation—RSU Program.”</w:t>
      </w:r>
    </w:p>
    <w:p>
      <w:pPr>
        <w:spacing w:after="0" w:line="171" w:lineRule="exact"/>
        <w:rPr>
          <w:sz w:val="20"/>
          <w:szCs w:val="20"/>
          <w:color w:val="auto"/>
        </w:rPr>
      </w:pPr>
    </w:p>
    <w:p>
      <w:pPr>
        <w:ind w:left="140"/>
        <w:spacing w:after="0" w:line="310" w:lineRule="auto"/>
        <w:rPr>
          <w:sz w:val="20"/>
          <w:szCs w:val="20"/>
          <w:color w:val="auto"/>
        </w:rPr>
      </w:pPr>
      <w:r>
        <w:rPr>
          <w:rFonts w:ascii="Arial" w:cs="Arial" w:eastAsia="Arial" w:hAnsi="Arial"/>
          <w:sz w:val="16"/>
          <w:szCs w:val="16"/>
          <w:color w:val="auto"/>
        </w:rPr>
        <w:t>In September 2021, our Board of Directors authorized the Share Repurchase Program pursuant to which we could repurchase up to USD $25 million worth of our ADSs during the period started November 1, 2021 and ended December 31, 2021. We publically announced the Share Repurchase Program on September 29, 2021. During the year ended December 31, 2021, we repurchased 154,837 ADSs pursuant to the Share Repurchase Program.</w:t>
      </w:r>
    </w:p>
    <w:p>
      <w:pPr>
        <w:spacing w:after="0" w:line="148" w:lineRule="exact"/>
        <w:rPr>
          <w:sz w:val="20"/>
          <w:szCs w:val="20"/>
          <w:color w:val="auto"/>
        </w:rPr>
      </w:pPr>
    </w:p>
    <w:p>
      <w:pPr>
        <w:ind w:left="140" w:right="20"/>
        <w:spacing w:after="0" w:line="275" w:lineRule="auto"/>
        <w:rPr>
          <w:sz w:val="20"/>
          <w:szCs w:val="20"/>
          <w:color w:val="auto"/>
        </w:rPr>
      </w:pPr>
      <w:r>
        <w:rPr>
          <w:rFonts w:ascii="Arial" w:cs="Arial" w:eastAsia="Arial" w:hAnsi="Arial"/>
          <w:sz w:val="18"/>
          <w:szCs w:val="18"/>
          <w:color w:val="auto"/>
        </w:rPr>
        <w:t>The table below is a summary of the shares repurchased by us during the 2021 fiscal year. All ADSs were repurchased pursuant to the Share Repurchase Program.</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Weighted Average</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 Number of</w:t>
            </w:r>
          </w:p>
        </w:tc>
        <w:tc>
          <w:tcPr>
            <w:tcW w:w="1320" w:type="dxa"/>
            <w:vAlign w:val="bottom"/>
            <w:gridSpan w:val="3"/>
            <w:vMerge w:val="continue"/>
          </w:tcPr>
          <w:p>
            <w:pPr>
              <w:spacing w:after="0"/>
              <w:rPr>
                <w:sz w:val="12"/>
                <w:szCs w:val="12"/>
                <w:color w:val="auto"/>
              </w:rPr>
            </w:pPr>
          </w:p>
        </w:tc>
        <w:tc>
          <w:tcPr>
            <w:tcW w:w="15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ADSs Purchased</w:t>
            </w:r>
          </w:p>
        </w:tc>
        <w:tc>
          <w:tcPr>
            <w:tcW w:w="1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8"/>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4"/>
              </w:rPr>
              <w:t>Price Paid per</w:t>
            </w:r>
          </w:p>
        </w:tc>
        <w:tc>
          <w:tcPr>
            <w:tcW w:w="15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3"/>
              </w:rPr>
              <w:t>as Part of Publicly</w:t>
            </w:r>
          </w:p>
        </w:tc>
        <w:tc>
          <w:tcPr>
            <w:tcW w:w="1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Be Purchased Under the</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6"/>
                <w:szCs w:val="16"/>
                <w:color w:val="auto"/>
              </w:rPr>
            </w:pPr>
          </w:p>
        </w:tc>
        <w:tc>
          <w:tcPr>
            <w:tcW w:w="1400" w:type="dxa"/>
            <w:vAlign w:val="bottom"/>
          </w:tcPr>
          <w:p>
            <w:pPr>
              <w:ind w:left="180"/>
              <w:spacing w:after="0"/>
              <w:rPr>
                <w:sz w:val="20"/>
                <w:szCs w:val="20"/>
                <w:color w:val="auto"/>
              </w:rPr>
            </w:pPr>
            <w:r>
              <w:rPr>
                <w:rFonts w:ascii="Arial" w:cs="Arial" w:eastAsia="Arial" w:hAnsi="Arial"/>
                <w:sz w:val="14"/>
                <w:szCs w:val="14"/>
                <w:b w:val="1"/>
                <w:bCs w:val="1"/>
                <w:color w:val="auto"/>
              </w:rPr>
              <w:t>ADSs Purchased</w:t>
            </w: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ADS (US$)*</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Announced Programs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 2021 – November 9, 2021</w:t>
            </w:r>
          </w:p>
        </w:tc>
        <w:tc>
          <w:tcPr>
            <w:tcW w:w="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154,837</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154,837</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Total value includes fees and costs associated with the Repurchase Program.</w:t>
      </w:r>
    </w:p>
    <w:p>
      <w:pPr>
        <w:spacing w:after="0" w:line="373"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0" w:lineRule="exact"/>
        <w:rPr>
          <w:sz w:val="20"/>
          <w:szCs w:val="20"/>
          <w:color w:val="auto"/>
        </w:rPr>
      </w:pPr>
    </w:p>
    <w:p>
      <w:pPr>
        <w:ind w:left="140" w:right="20"/>
        <w:spacing w:after="0" w:line="295" w:lineRule="auto"/>
        <w:rPr>
          <w:sz w:val="20"/>
          <w:szCs w:val="20"/>
          <w:color w:val="auto"/>
        </w:rPr>
      </w:pPr>
      <w:r>
        <w:rPr>
          <w:rFonts w:ascii="Arial" w:cs="Arial" w:eastAsia="Arial" w:hAnsi="Arial"/>
          <w:sz w:val="16"/>
          <w:szCs w:val="16"/>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In addition to the home country practices described under “Item 6 C. Directors, Senior Management and Employees—Board Practices”, the home country practices followed by our company in lieu of Nasdaq rules are described below:</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85"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100" w:right="240" w:hanging="426"/>
        <w:spacing w:after="0" w:line="262" w:lineRule="auto"/>
        <w:tabs>
          <w:tab w:leader="none" w:pos="11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do not intend to follow Nasdaq’s quorum requirements applicable to meetings of shareholders. In accordance with Danish corporate law and generally accepted business practice, our articles of association do not provide quorum requirements generally applicable to general meetings of shareholders.</w:t>
      </w:r>
    </w:p>
    <w:p>
      <w:pPr>
        <w:spacing w:after="0" w:line="88" w:lineRule="exact"/>
        <w:rPr>
          <w:rFonts w:ascii="Arial" w:cs="Arial" w:eastAsia="Arial" w:hAnsi="Arial"/>
          <w:sz w:val="18"/>
          <w:szCs w:val="18"/>
          <w:color w:val="auto"/>
        </w:rPr>
      </w:pPr>
    </w:p>
    <w:p>
      <w:pPr>
        <w:ind w:left="1100" w:right="40" w:hanging="426"/>
        <w:spacing w:after="0" w:line="258" w:lineRule="auto"/>
        <w:tabs>
          <w:tab w:leader="none" w:pos="11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do not intend to follow Nasdaq’s requirements regarding the provision of proxy statements for general meetings of shareholders. Danish corporate law does not have a regulatory regime for the solicitation of proxies and the solicitation of proxies is not a generally accepted business practice in Denmark. We do intend to provide shareholders with an agenda and other relevant documents for the general meeting of shareholders.</w:t>
      </w:r>
    </w:p>
    <w:p>
      <w:pPr>
        <w:spacing w:after="0" w:line="91" w:lineRule="exact"/>
        <w:rPr>
          <w:rFonts w:ascii="Arial" w:cs="Arial" w:eastAsia="Arial" w:hAnsi="Arial"/>
          <w:sz w:val="18"/>
          <w:szCs w:val="18"/>
          <w:color w:val="auto"/>
        </w:rPr>
      </w:pPr>
    </w:p>
    <w:p>
      <w:pPr>
        <w:ind w:left="1100" w:right="20" w:hanging="426"/>
        <w:spacing w:after="0" w:line="289" w:lineRule="auto"/>
        <w:tabs>
          <w:tab w:leader="none" w:pos="11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We do not intend to follow Nasdaq’s requirements regarding shareholder approval for certain issuances of securities under Nasdaq Rule 5635. Pursuant to Danish corporate law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We intend to take all actions necessary for us to maintain compliance as a foreign private issuer under the applicable corporate governance requirements of the Sarbanes-Oxley Act of 2002, the rules adopted by the SEC and Nasdaq’s listing standards. As a Danish company not listed on a regulated market within the EU/EEA, we do not need to comply with the Danish corporate governance principles nor do we need to explain any deviation from these provisions in our Danish statutory annual report.</w:t>
      </w:r>
    </w:p>
    <w:p>
      <w:pPr>
        <w:spacing w:after="0" w:line="70" w:lineRule="exact"/>
        <w:rPr>
          <w:rFonts w:ascii="Arial" w:cs="Arial" w:eastAsia="Arial" w:hAnsi="Arial"/>
          <w:sz w:val="16"/>
          <w:szCs w:val="16"/>
          <w:color w:val="auto"/>
        </w:rPr>
      </w:pPr>
    </w:p>
    <w:p>
      <w:pPr>
        <w:ind w:left="1100" w:hanging="426"/>
        <w:spacing w:after="0" w:line="274" w:lineRule="auto"/>
        <w:tabs>
          <w:tab w:leader="none" w:pos="11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We do not intend to follow Nasdaq’s requirements regarding shareholder approval for all equity compensation plans. Generally, Nasdaq Rule 5635(c) requires each issuer to obtain shareholder approval of all equity compensation plans (including warrant incentive plans) and material amendments to such plans. However, pursuant to Nasdaq Rule 5615(a)(3), we have elected to follow our home country’s practices (in this case, being Danish practices) in lieu of the requirements of Nasdaq Rule 5635(c). Our home country practices do not require us to obtain a shareholders’ approval for amendments to our existing warrant incentive program.</w:t>
      </w:r>
    </w:p>
    <w:p>
      <w:pPr>
        <w:spacing w:after="0" w:line="176" w:lineRule="exact"/>
        <w:rPr>
          <w:sz w:val="20"/>
          <w:szCs w:val="20"/>
          <w:color w:val="auto"/>
        </w:rPr>
      </w:pPr>
    </w:p>
    <w:p>
      <w:pPr>
        <w:ind w:left="140" w:right="40"/>
        <w:spacing w:after="0" w:line="310" w:lineRule="auto"/>
        <w:rPr>
          <w:sz w:val="20"/>
          <w:szCs w:val="20"/>
          <w:color w:val="auto"/>
        </w:rPr>
      </w:pPr>
      <w:r>
        <w:rPr>
          <w:rFonts w:ascii="Arial" w:cs="Arial" w:eastAsia="Arial" w:hAnsi="Arial"/>
          <w:sz w:val="16"/>
          <w:szCs w:val="16"/>
          <w:color w:val="auto"/>
        </w:rPr>
        <w:t>Because we are a foreign private issuer, our members of our board of directors, executive board members and senior management are not subject to short-swing profit and insider trading reporting obligations under section 16 of the U.S. Securities Exchange Act of 1934, as amended, or the Exchange Act. They will, however, be subject to the obligations to report changes in share ownership under section 13 of the Exchange Act and related SEC rules.</w:t>
      </w:r>
    </w:p>
    <w:p>
      <w:pPr>
        <w:spacing w:after="0" w:line="292"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16I</w:t>
      </w:r>
      <w:r>
        <w:rPr>
          <w:sz w:val="20"/>
          <w:szCs w:val="20"/>
          <w:color w:val="auto"/>
        </w:rPr>
        <w:tab/>
      </w:r>
      <w:r>
        <w:rPr>
          <w:rFonts w:ascii="Arial" w:cs="Arial" w:eastAsia="Arial" w:hAnsi="Arial"/>
          <w:sz w:val="15"/>
          <w:szCs w:val="15"/>
          <w:b w:val="1"/>
          <w:bCs w:val="1"/>
          <w:color w:val="auto"/>
        </w:rPr>
        <w:t>Disclosure Regarding Foreign Jurisdictions that Prevent Inspections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85"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right"/>
        <w:ind w:right="4159"/>
        <w:spacing w:after="0"/>
        <w:rPr>
          <w:sz w:val="20"/>
          <w:szCs w:val="20"/>
          <w:color w:val="auto"/>
        </w:rPr>
      </w:pPr>
      <w:r>
        <w:rPr>
          <w:rFonts w:ascii="Arial" w:cs="Arial" w:eastAsia="Arial" w:hAnsi="Arial"/>
          <w:sz w:val="18"/>
          <w:szCs w:val="18"/>
          <w:b w:val="1"/>
          <w:bCs w:val="1"/>
          <w:color w:val="auto"/>
        </w:rPr>
        <w:t>PART III</w:t>
      </w:r>
    </w:p>
    <w:p>
      <w:pPr>
        <w:spacing w:after="0" w:line="250"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“Item 18 Financial Statements.”</w:t>
      </w:r>
    </w:p>
    <w:p>
      <w:pPr>
        <w:spacing w:after="0" w:line="36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139"/>
          </w:cols>
          <w:pgMar w:left="320" w:top="485"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ASCENDIS PHARMA A/S</w:t>
      </w: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3"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3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ind w:left="520"/>
              <w:spacing w:after="0"/>
              <w:rPr>
                <w:sz w:val="20"/>
                <w:szCs w:val="20"/>
                <w:color w:val="auto"/>
              </w:rPr>
            </w:pPr>
            <w:r>
              <w:rPr>
                <w:rFonts w:ascii="Arial" w:cs="Arial" w:eastAsia="Arial" w:hAnsi="Arial"/>
                <w:sz w:val="14"/>
                <w:szCs w:val="14"/>
                <w:b w:val="1"/>
                <w:bCs w:val="1"/>
                <w:color w:val="auto"/>
                <w:w w:val="83"/>
              </w:rPr>
              <w:t>Page</w:t>
            </w:r>
          </w:p>
        </w:tc>
      </w:tr>
      <w:tr>
        <w:trPr>
          <w:trHeight w:val="189"/>
        </w:trPr>
        <w:tc>
          <w:tcPr>
            <w:tcW w:w="10100" w:type="dxa"/>
            <w:vAlign w:val="bottom"/>
            <w:gridSpan w:val="7"/>
          </w:tcPr>
          <w:p>
            <w:pPr>
              <w:spacing w:after="0" w:line="189" w:lineRule="exact"/>
              <w:rPr>
                <w:rFonts w:ascii="Arial" w:cs="Arial" w:eastAsia="Arial" w:hAnsi="Arial"/>
                <w:sz w:val="18"/>
                <w:szCs w:val="18"/>
                <w:color w:val="0000EE"/>
              </w:rPr>
            </w:pPr>
            <w:hyperlink w:anchor="page155">
              <w:r>
                <w:rPr>
                  <w:rFonts w:ascii="Arial" w:cs="Arial" w:eastAsia="Arial" w:hAnsi="Arial"/>
                  <w:sz w:val="18"/>
                  <w:szCs w:val="18"/>
                  <w:color w:val="0000EE"/>
                </w:rPr>
                <w:t>Reports of Independent Registered Public Accounting Firm</w:t>
              </w:r>
            </w:hyperlink>
          </w:p>
        </w:tc>
        <w:tc>
          <w:tcPr>
            <w:tcW w:w="820" w:type="dxa"/>
            <w:vAlign w:val="bottom"/>
          </w:tcPr>
          <w:p>
            <w:pPr>
              <w:ind w:left="580"/>
              <w:spacing w:after="0" w:line="189" w:lineRule="exact"/>
              <w:rPr>
                <w:sz w:val="20"/>
                <w:szCs w:val="20"/>
                <w:color w:val="auto"/>
              </w:rPr>
            </w:pPr>
            <w:r>
              <w:rPr>
                <w:rFonts w:ascii="Arial" w:cs="Arial" w:eastAsia="Arial" w:hAnsi="Arial"/>
                <w:sz w:val="18"/>
                <w:szCs w:val="18"/>
                <w:color w:val="auto"/>
                <w:w w:val="81"/>
              </w:rPr>
              <w:t>F-2</w:t>
            </w:r>
          </w:p>
        </w:tc>
      </w:tr>
      <w:tr>
        <w:trPr>
          <w:trHeight w:val="20"/>
        </w:trPr>
        <w:tc>
          <w:tcPr>
            <w:tcW w:w="34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5"/>
        </w:trPr>
        <w:tc>
          <w:tcPr>
            <w:tcW w:w="10100" w:type="dxa"/>
            <w:vAlign w:val="bottom"/>
            <w:gridSpan w:val="7"/>
          </w:tcPr>
          <w:p>
            <w:pPr>
              <w:spacing w:after="0" w:line="195"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Consolidated Statements of Profit or Loss and Other Comprehensive Income for the Years Ended December 31, 2021, 2020 and 2019</w:t>
              </w:r>
            </w:hyperlink>
          </w:p>
        </w:tc>
        <w:tc>
          <w:tcPr>
            <w:tcW w:w="820" w:type="dxa"/>
            <w:vAlign w:val="bottom"/>
          </w:tcPr>
          <w:p>
            <w:pPr>
              <w:ind w:left="580"/>
              <w:spacing w:after="0" w:line="195" w:lineRule="exact"/>
              <w:rPr>
                <w:sz w:val="20"/>
                <w:szCs w:val="20"/>
                <w:color w:val="auto"/>
              </w:rPr>
            </w:pPr>
            <w:r>
              <w:rPr>
                <w:rFonts w:ascii="Arial" w:cs="Arial" w:eastAsia="Arial" w:hAnsi="Arial"/>
                <w:sz w:val="18"/>
                <w:szCs w:val="18"/>
                <w:color w:val="auto"/>
                <w:w w:val="81"/>
              </w:rPr>
              <w:t>F-4</w:t>
            </w:r>
          </w:p>
        </w:tc>
      </w:tr>
      <w:tr>
        <w:trPr>
          <w:trHeight w:val="195"/>
        </w:trPr>
        <w:tc>
          <w:tcPr>
            <w:tcW w:w="9580" w:type="dxa"/>
            <w:vAlign w:val="bottom"/>
            <w:tcBorders>
              <w:top w:val="single" w:sz="8" w:color="0000EE"/>
            </w:tcBorders>
            <w:gridSpan w:val="6"/>
          </w:tcPr>
          <w:p>
            <w:pPr>
              <w:spacing w:after="0" w:line="195" w:lineRule="exact"/>
              <w:rPr>
                <w:rFonts w:ascii="Arial" w:cs="Arial" w:eastAsia="Arial" w:hAnsi="Arial"/>
                <w:sz w:val="18"/>
                <w:szCs w:val="18"/>
                <w:color w:val="0000EE"/>
              </w:rPr>
            </w:pPr>
            <w:hyperlink w:anchor="page158">
              <w:r>
                <w:rPr>
                  <w:rFonts w:ascii="Arial" w:cs="Arial" w:eastAsia="Arial" w:hAnsi="Arial"/>
                  <w:sz w:val="18"/>
                  <w:szCs w:val="18"/>
                  <w:color w:val="0000EE"/>
                </w:rPr>
                <w:t>Consolidated Statements of Financial Position as of December 31, 2021 and 2020</w:t>
              </w:r>
            </w:hyperlink>
          </w:p>
        </w:tc>
        <w:tc>
          <w:tcPr>
            <w:tcW w:w="520" w:type="dxa"/>
            <w:vAlign w:val="bottom"/>
          </w:tcPr>
          <w:p>
            <w:pPr>
              <w:spacing w:after="0"/>
              <w:rPr>
                <w:sz w:val="16"/>
                <w:szCs w:val="16"/>
                <w:color w:val="auto"/>
              </w:rPr>
            </w:pPr>
          </w:p>
        </w:tc>
        <w:tc>
          <w:tcPr>
            <w:tcW w:w="820" w:type="dxa"/>
            <w:vAlign w:val="bottom"/>
          </w:tcPr>
          <w:p>
            <w:pPr>
              <w:ind w:left="580"/>
              <w:spacing w:after="0" w:line="195" w:lineRule="exact"/>
              <w:rPr>
                <w:sz w:val="20"/>
                <w:szCs w:val="20"/>
                <w:color w:val="auto"/>
              </w:rPr>
            </w:pPr>
            <w:r>
              <w:rPr>
                <w:rFonts w:ascii="Arial" w:cs="Arial" w:eastAsia="Arial" w:hAnsi="Arial"/>
                <w:sz w:val="18"/>
                <w:szCs w:val="18"/>
                <w:color w:val="auto"/>
                <w:w w:val="81"/>
              </w:rPr>
              <w:t>F-5</w:t>
            </w:r>
          </w:p>
        </w:tc>
      </w:tr>
      <w:tr>
        <w:trPr>
          <w:trHeight w:val="20"/>
        </w:trPr>
        <w:tc>
          <w:tcPr>
            <w:tcW w:w="340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5"/>
        </w:trPr>
        <w:tc>
          <w:tcPr>
            <w:tcW w:w="10100" w:type="dxa"/>
            <w:vAlign w:val="bottom"/>
            <w:gridSpan w:val="7"/>
          </w:tcPr>
          <w:p>
            <w:pPr>
              <w:spacing w:after="0" w:line="195" w:lineRule="exact"/>
              <w:rPr>
                <w:rFonts w:ascii="Arial" w:cs="Arial" w:eastAsia="Arial" w:hAnsi="Arial"/>
                <w:sz w:val="18"/>
                <w:szCs w:val="18"/>
                <w:color w:val="0000EE"/>
              </w:rPr>
            </w:pPr>
            <w:hyperlink w:anchor="page159">
              <w:r>
                <w:rPr>
                  <w:rFonts w:ascii="Arial" w:cs="Arial" w:eastAsia="Arial" w:hAnsi="Arial"/>
                  <w:sz w:val="18"/>
                  <w:szCs w:val="18"/>
                  <w:color w:val="0000EE"/>
                </w:rPr>
                <w:t>Consolidated Statements of Changes in Equity at December 31, 2021, 2020 and 2019</w:t>
              </w:r>
            </w:hyperlink>
          </w:p>
        </w:tc>
        <w:tc>
          <w:tcPr>
            <w:tcW w:w="820" w:type="dxa"/>
            <w:vAlign w:val="bottom"/>
          </w:tcPr>
          <w:p>
            <w:pPr>
              <w:ind w:left="580"/>
              <w:spacing w:after="0" w:line="195" w:lineRule="exact"/>
              <w:rPr>
                <w:sz w:val="20"/>
                <w:szCs w:val="20"/>
                <w:color w:val="auto"/>
              </w:rPr>
            </w:pPr>
            <w:r>
              <w:rPr>
                <w:rFonts w:ascii="Arial" w:cs="Arial" w:eastAsia="Arial" w:hAnsi="Arial"/>
                <w:sz w:val="18"/>
                <w:szCs w:val="18"/>
                <w:color w:val="auto"/>
                <w:w w:val="81"/>
              </w:rPr>
              <w:t>F-6</w:t>
            </w:r>
          </w:p>
        </w:tc>
      </w:tr>
      <w:tr>
        <w:trPr>
          <w:trHeight w:val="20"/>
        </w:trPr>
        <w:tc>
          <w:tcPr>
            <w:tcW w:w="340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5"/>
        </w:trPr>
        <w:tc>
          <w:tcPr>
            <w:tcW w:w="10100" w:type="dxa"/>
            <w:vAlign w:val="bottom"/>
            <w:gridSpan w:val="7"/>
          </w:tcPr>
          <w:p>
            <w:pPr>
              <w:spacing w:after="0" w:line="195" w:lineRule="exact"/>
              <w:rPr>
                <w:rFonts w:ascii="Arial" w:cs="Arial" w:eastAsia="Arial" w:hAnsi="Arial"/>
                <w:sz w:val="18"/>
                <w:szCs w:val="18"/>
                <w:color w:val="0000EE"/>
              </w:rPr>
            </w:pPr>
            <w:hyperlink w:anchor="page160">
              <w:r>
                <w:rPr>
                  <w:rFonts w:ascii="Arial" w:cs="Arial" w:eastAsia="Arial" w:hAnsi="Arial"/>
                  <w:sz w:val="18"/>
                  <w:szCs w:val="18"/>
                  <w:color w:val="0000EE"/>
                </w:rPr>
                <w:t>Consolidated Cash Flow Statements for the Years Ended December 31, 2021, 2020 and 2019</w:t>
              </w:r>
            </w:hyperlink>
          </w:p>
        </w:tc>
        <w:tc>
          <w:tcPr>
            <w:tcW w:w="820" w:type="dxa"/>
            <w:vAlign w:val="bottom"/>
          </w:tcPr>
          <w:p>
            <w:pPr>
              <w:ind w:left="580"/>
              <w:spacing w:after="0" w:line="195" w:lineRule="exact"/>
              <w:rPr>
                <w:sz w:val="20"/>
                <w:szCs w:val="20"/>
                <w:color w:val="auto"/>
              </w:rPr>
            </w:pPr>
            <w:r>
              <w:rPr>
                <w:rFonts w:ascii="Arial" w:cs="Arial" w:eastAsia="Arial" w:hAnsi="Arial"/>
                <w:sz w:val="18"/>
                <w:szCs w:val="18"/>
                <w:color w:val="auto"/>
                <w:w w:val="81"/>
              </w:rPr>
              <w:t>F-7</w:t>
            </w:r>
          </w:p>
        </w:tc>
      </w:tr>
      <w:tr>
        <w:trPr>
          <w:trHeight w:val="195"/>
        </w:trPr>
        <w:tc>
          <w:tcPr>
            <w:tcW w:w="6660" w:type="dxa"/>
            <w:vAlign w:val="bottom"/>
            <w:tcBorders>
              <w:top w:val="single" w:sz="8" w:color="0000EE"/>
            </w:tcBorders>
            <w:gridSpan w:val="5"/>
          </w:tcPr>
          <w:p>
            <w:pPr>
              <w:spacing w:after="0" w:line="195" w:lineRule="exact"/>
              <w:rPr>
                <w:rFonts w:ascii="Arial" w:cs="Arial" w:eastAsia="Arial" w:hAnsi="Arial"/>
                <w:sz w:val="18"/>
                <w:szCs w:val="18"/>
                <w:color w:val="0000EE"/>
              </w:rPr>
            </w:pPr>
            <w:hyperlink w:anchor="page161">
              <w:r>
                <w:rPr>
                  <w:rFonts w:ascii="Arial" w:cs="Arial" w:eastAsia="Arial" w:hAnsi="Arial"/>
                  <w:sz w:val="18"/>
                  <w:szCs w:val="18"/>
                  <w:color w:val="0000EE"/>
                </w:rPr>
                <w:t>Notes to the Consolidated Financial Statements</w:t>
              </w:r>
            </w:hyperlink>
          </w:p>
        </w:tc>
        <w:tc>
          <w:tcPr>
            <w:tcW w:w="3440" w:type="dxa"/>
            <w:vAlign w:val="bottom"/>
            <w:gridSpan w:val="2"/>
          </w:tcPr>
          <w:p>
            <w:pPr>
              <w:spacing w:after="0"/>
              <w:rPr>
                <w:sz w:val="16"/>
                <w:szCs w:val="16"/>
                <w:color w:val="auto"/>
              </w:rPr>
            </w:pPr>
          </w:p>
        </w:tc>
        <w:tc>
          <w:tcPr>
            <w:tcW w:w="820" w:type="dxa"/>
            <w:vAlign w:val="bottom"/>
          </w:tcPr>
          <w:p>
            <w:pPr>
              <w:ind w:left="580"/>
              <w:spacing w:after="0" w:line="195" w:lineRule="exact"/>
              <w:rPr>
                <w:sz w:val="20"/>
                <w:szCs w:val="20"/>
                <w:color w:val="auto"/>
              </w:rPr>
            </w:pPr>
            <w:r>
              <w:rPr>
                <w:rFonts w:ascii="Arial" w:cs="Arial" w:eastAsia="Arial" w:hAnsi="Arial"/>
                <w:sz w:val="18"/>
                <w:szCs w:val="18"/>
                <w:color w:val="auto"/>
                <w:w w:val="81"/>
              </w:rPr>
              <w:t>F-8</w:t>
            </w:r>
          </w:p>
        </w:tc>
      </w:tr>
      <w:tr>
        <w:trPr>
          <w:trHeight w:val="384"/>
        </w:trPr>
        <w:tc>
          <w:tcPr>
            <w:tcW w:w="340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5840" w:type="dxa"/>
            <w:vAlign w:val="bottom"/>
            <w:gridSpan w:val="5"/>
          </w:tcPr>
          <w:p>
            <w:pPr>
              <w:ind w:left="1100"/>
              <w:spacing w:after="0"/>
              <w:rPr>
                <w:sz w:val="20"/>
                <w:szCs w:val="20"/>
                <w:color w:val="auto"/>
              </w:rPr>
            </w:pPr>
            <w:r>
              <w:rPr>
                <w:rFonts w:ascii="Arial" w:cs="Arial" w:eastAsia="Arial" w:hAnsi="Arial"/>
                <w:sz w:val="18"/>
                <w:szCs w:val="18"/>
                <w:color w:val="auto"/>
              </w:rPr>
              <w:t>F-1</w:t>
            </w:r>
          </w:p>
        </w:tc>
        <w:tc>
          <w:tcPr>
            <w:tcW w:w="820" w:type="dxa"/>
            <w:vAlign w:val="bottom"/>
          </w:tcPr>
          <w:p>
            <w:pPr>
              <w:spacing w:after="0"/>
              <w:rPr>
                <w:sz w:val="24"/>
                <w:szCs w:val="24"/>
                <w:color w:val="auto"/>
              </w:rPr>
            </w:pPr>
          </w:p>
        </w:tc>
      </w:tr>
    </w:tbl>
    <w:p>
      <w:pPr>
        <w:sectPr>
          <w:pgSz w:w="11900" w:h="16838" w:orient="portrait"/>
          <w:cols w:equalWidth="0" w:num="1">
            <w:col w:w="11060"/>
          </w:cols>
          <w:pgMar w:left="320" w:top="485"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204470</wp:posOffset>
            </wp:positionV>
            <wp:extent cx="1452245" cy="273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52245" cy="27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0" w:right="4760"/>
        <w:spacing w:after="0" w:line="40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Board of Directors of Ascendis Pharma A/S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0" w:lineRule="exact"/>
        <w:rPr>
          <w:sz w:val="20"/>
          <w:szCs w:val="20"/>
          <w:color w:val="auto"/>
        </w:rPr>
      </w:pPr>
    </w:p>
    <w:p>
      <w:pPr>
        <w:ind w:left="180"/>
        <w:spacing w:after="0" w:line="254" w:lineRule="auto"/>
        <w:rPr>
          <w:sz w:val="20"/>
          <w:szCs w:val="20"/>
          <w:color w:val="auto"/>
        </w:rPr>
      </w:pPr>
      <w:r>
        <w:rPr>
          <w:rFonts w:ascii="Arial" w:cs="Arial" w:eastAsia="Arial" w:hAnsi="Arial"/>
          <w:sz w:val="18"/>
          <w:szCs w:val="18"/>
          <w:color w:val="auto"/>
        </w:rPr>
        <w:t xml:space="preserve">We have audited the accompanying consolidated statements of financial position of Ascendis Pharma A/S and subsidiaries (the “Company”) as of December 31, 2021 and 2020, the related consolidated statements of profit or loss and other comprehensive income, the consolidated statements of changes in equity, and the consolidated cash flow statements for each of the three years in the period ended December 31, 2021, and the related notes (collectively referred to as the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92" w:lineRule="exact"/>
        <w:rPr>
          <w:sz w:val="20"/>
          <w:szCs w:val="20"/>
          <w:color w:val="auto"/>
        </w:rPr>
      </w:pPr>
    </w:p>
    <w:p>
      <w:pPr>
        <w:ind w:left="180" w:right="100"/>
        <w:spacing w:after="0" w:line="256"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International Financial Reporting Standards as issued by the International Accounting Standards Board.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Basis for Opinions</w:t>
      </w:r>
    </w:p>
    <w:p>
      <w:pPr>
        <w:spacing w:after="0" w:line="120" w:lineRule="exact"/>
        <w:rPr>
          <w:sz w:val="20"/>
          <w:szCs w:val="20"/>
          <w:color w:val="auto"/>
        </w:rPr>
      </w:pPr>
    </w:p>
    <w:p>
      <w:pPr>
        <w:ind w:left="180" w:right="100"/>
        <w:spacing w:after="0" w:line="272"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left="180" w:right="380"/>
        <w:spacing w:after="0" w:line="26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3" w:lineRule="exact"/>
        <w:rPr>
          <w:sz w:val="20"/>
          <w:szCs w:val="20"/>
          <w:color w:val="auto"/>
        </w:rPr>
      </w:pPr>
    </w:p>
    <w:p>
      <w:pPr>
        <w:ind w:left="180" w:right="20"/>
        <w:spacing w:after="0" w:line="290"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0" w:lineRule="exact"/>
        <w:rPr>
          <w:sz w:val="20"/>
          <w:szCs w:val="20"/>
          <w:color w:val="auto"/>
        </w:rPr>
      </w:pPr>
    </w:p>
    <w:p>
      <w:pPr>
        <w:ind w:left="180"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280" w:top="485" w:right="5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right="40"/>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Critical Audit Matter</w:t>
      </w:r>
    </w:p>
    <w:p>
      <w:pPr>
        <w:spacing w:after="0" w:line="120" w:lineRule="exact"/>
        <w:rPr>
          <w:sz w:val="20"/>
          <w:szCs w:val="20"/>
          <w:color w:val="auto"/>
        </w:rPr>
      </w:pPr>
    </w:p>
    <w:p>
      <w:pPr>
        <w:ind w:left="180" w:right="340"/>
        <w:spacing w:after="0" w:line="290"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ind w:left="180" w:right="60" w:hanging="5"/>
        <w:spacing w:after="0" w:line="254" w:lineRule="auto"/>
        <w:tabs>
          <w:tab w:leader="none" w:pos="43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3" w:lineRule="exact"/>
        <w:rPr>
          <w:sz w:val="20"/>
          <w:szCs w:val="20"/>
          <w:color w:val="auto"/>
        </w:rPr>
      </w:pPr>
    </w:p>
    <w:p>
      <w:pPr>
        <w:ind w:left="180" w:right="1000"/>
        <w:spacing w:after="0" w:line="376" w:lineRule="auto"/>
        <w:rPr>
          <w:sz w:val="20"/>
          <w:szCs w:val="20"/>
          <w:color w:val="auto"/>
        </w:rPr>
      </w:pPr>
      <w:r>
        <w:rPr>
          <w:rFonts w:ascii="Arial" w:cs="Arial" w:eastAsia="Arial" w:hAnsi="Arial"/>
          <w:sz w:val="18"/>
          <w:szCs w:val="18"/>
          <w:b w:val="1"/>
          <w:bCs w:val="1"/>
          <w:color w:val="auto"/>
        </w:rPr>
        <w:t xml:space="preserve">Prepayments, Trade Payables and Accrued Expenses - Clinical Trial Accruals — Refer to Notes 2 and 3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left="180"/>
        <w:spacing w:after="0" w:line="258" w:lineRule="auto"/>
        <w:rPr>
          <w:sz w:val="20"/>
          <w:szCs w:val="20"/>
          <w:color w:val="auto"/>
        </w:rPr>
      </w:pPr>
      <w:r>
        <w:rPr>
          <w:rFonts w:ascii="Arial" w:cs="Arial" w:eastAsia="Arial" w:hAnsi="Arial"/>
          <w:sz w:val="18"/>
          <w:szCs w:val="18"/>
          <w:color w:val="auto"/>
        </w:rPr>
        <w:t>The Company recognises the costs that it incurs for clinical trial activities as research and development expenses based on its evaluation of its vendors’ progress toward completion of specific tasks. Payment timing may differ significantly from the period in which the costs are recognised as an expense, resulting in clinical trial accruals or prepaid expenses being recognised within Prepayments or Trade Payables and Accrued Expenses in the Statement of Financial Position.</w:t>
      </w:r>
    </w:p>
    <w:p>
      <w:pPr>
        <w:spacing w:after="0" w:line="186" w:lineRule="exact"/>
        <w:rPr>
          <w:sz w:val="20"/>
          <w:szCs w:val="20"/>
          <w:color w:val="auto"/>
        </w:rPr>
      </w:pPr>
    </w:p>
    <w:p>
      <w:pPr>
        <w:ind w:left="180" w:right="300"/>
        <w:spacing w:after="0" w:line="256" w:lineRule="auto"/>
        <w:rPr>
          <w:sz w:val="20"/>
          <w:szCs w:val="20"/>
          <w:color w:val="auto"/>
        </w:rPr>
      </w:pPr>
      <w:r>
        <w:rPr>
          <w:rFonts w:ascii="Arial" w:cs="Arial" w:eastAsia="Arial" w:hAnsi="Arial"/>
          <w:sz w:val="18"/>
          <w:szCs w:val="18"/>
          <w:color w:val="auto"/>
        </w:rPr>
        <w:t>In estimating the vendors’ progress toward completion of specific tasks, the Company uses data such as patient enrolment, clinical site activations or vendor information of actual costs incurred. This data is obtained through reports from or discussions with Company personnel and outside service providers as to the progress or state of completion of trials, or the completion of services. Costs that are paid in advance are deferred as a prepaid expense and amortised over the service period as the services are provided. Costs for services provided that have not yet been paid are recognised as accruals.</w:t>
      </w:r>
    </w:p>
    <w:p>
      <w:pPr>
        <w:spacing w:after="0" w:line="188" w:lineRule="exact"/>
        <w:rPr>
          <w:sz w:val="20"/>
          <w:szCs w:val="20"/>
          <w:color w:val="auto"/>
        </w:rPr>
      </w:pPr>
    </w:p>
    <w:p>
      <w:pPr>
        <w:ind w:left="180" w:right="80"/>
        <w:spacing w:after="0" w:line="262" w:lineRule="auto"/>
        <w:rPr>
          <w:sz w:val="20"/>
          <w:szCs w:val="20"/>
          <w:color w:val="auto"/>
        </w:rPr>
      </w:pPr>
      <w:r>
        <w:rPr>
          <w:rFonts w:ascii="Arial" w:cs="Arial" w:eastAsia="Arial" w:hAnsi="Arial"/>
          <w:sz w:val="18"/>
          <w:szCs w:val="18"/>
          <w:color w:val="auto"/>
        </w:rPr>
        <w:t>We identified clinical trial accruals as a critical audit matter due to the number of ongoing clinical trial activities, the subjectivity involved in estimating clinical trial accruals, and because auditing the clinical trial accruals involves judgement in assessing the progress of the research and development activities relative to the costs incurred.</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audit procedures related to clinical trial accruals included the following, among others:</w:t>
      </w:r>
    </w:p>
    <w:p>
      <w:pPr>
        <w:spacing w:after="0" w:line="129" w:lineRule="exact"/>
        <w:rPr>
          <w:sz w:val="20"/>
          <w:szCs w:val="20"/>
          <w:color w:val="auto"/>
        </w:rPr>
      </w:pPr>
    </w:p>
    <w:p>
      <w:pPr>
        <w:ind w:left="1580" w:hanging="315"/>
        <w:spacing w:after="0"/>
        <w:tabs>
          <w:tab w:leader="none" w:pos="1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tested the effectiveness of controls over clinical trial accruals;</w:t>
      </w:r>
    </w:p>
    <w:p>
      <w:pPr>
        <w:spacing w:after="0" w:line="129" w:lineRule="exact"/>
        <w:rPr>
          <w:rFonts w:ascii="Arial" w:cs="Arial" w:eastAsia="Arial" w:hAnsi="Arial"/>
          <w:sz w:val="18"/>
          <w:szCs w:val="18"/>
          <w:color w:val="auto"/>
        </w:rPr>
      </w:pPr>
    </w:p>
    <w:p>
      <w:pPr>
        <w:ind w:left="1580" w:hanging="315"/>
        <w:spacing w:after="0"/>
        <w:tabs>
          <w:tab w:leader="none" w:pos="1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obtained and read selected contract research organisation agreements, as well as amendments thereto;</w:t>
      </w:r>
    </w:p>
    <w:p>
      <w:pPr>
        <w:spacing w:after="0" w:line="129" w:lineRule="exact"/>
        <w:rPr>
          <w:rFonts w:ascii="Arial" w:cs="Arial" w:eastAsia="Arial" w:hAnsi="Arial"/>
          <w:sz w:val="18"/>
          <w:szCs w:val="18"/>
          <w:color w:val="auto"/>
        </w:rPr>
      </w:pPr>
    </w:p>
    <w:p>
      <w:pPr>
        <w:ind w:left="1580" w:right="100" w:hanging="315"/>
        <w:spacing w:after="0" w:line="262" w:lineRule="auto"/>
        <w:tabs>
          <w:tab w:leader="none" w:pos="1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evaluated publicly available information (such as press releases and investor presentations) and Board of Directors’ materials regarding the status of clinical trial activities and compared this information to the judgements applied in recording the accruals and prepaid expenses;</w:t>
      </w:r>
    </w:p>
    <w:p>
      <w:pPr>
        <w:spacing w:after="0" w:line="88" w:lineRule="exact"/>
        <w:rPr>
          <w:rFonts w:ascii="Arial" w:cs="Arial" w:eastAsia="Arial" w:hAnsi="Arial"/>
          <w:sz w:val="18"/>
          <w:szCs w:val="18"/>
          <w:color w:val="auto"/>
        </w:rPr>
      </w:pPr>
    </w:p>
    <w:p>
      <w:pPr>
        <w:ind w:left="1580" w:right="300" w:hanging="315"/>
        <w:spacing w:after="0" w:line="275" w:lineRule="auto"/>
        <w:tabs>
          <w:tab w:leader="none" w:pos="1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a selection of contracts, we compared the amount of accrual or prepaid expenses at the end of the prior period to current year activity and evaluated the appropriateness of the Company’s estimation methodology;</w:t>
      </w:r>
    </w:p>
    <w:p>
      <w:pPr>
        <w:spacing w:after="0" w:line="77" w:lineRule="exact"/>
        <w:rPr>
          <w:rFonts w:ascii="Arial" w:cs="Arial" w:eastAsia="Arial" w:hAnsi="Arial"/>
          <w:sz w:val="18"/>
          <w:szCs w:val="18"/>
          <w:color w:val="auto"/>
        </w:rPr>
      </w:pPr>
    </w:p>
    <w:p>
      <w:pPr>
        <w:ind w:left="1580" w:right="120" w:hanging="315"/>
        <w:spacing w:after="0" w:line="275" w:lineRule="auto"/>
        <w:tabs>
          <w:tab w:leader="none" w:pos="1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a selection of open purchase orders, we assessed management’s judgements and estimates in determining whether an accrual or prepaid expense should be recorded; and</w:t>
      </w:r>
    </w:p>
    <w:p>
      <w:pPr>
        <w:spacing w:after="0" w:line="77" w:lineRule="exact"/>
        <w:rPr>
          <w:rFonts w:ascii="Arial" w:cs="Arial" w:eastAsia="Arial" w:hAnsi="Arial"/>
          <w:sz w:val="18"/>
          <w:szCs w:val="18"/>
          <w:color w:val="auto"/>
        </w:rPr>
      </w:pPr>
    </w:p>
    <w:p>
      <w:pPr>
        <w:ind w:left="1580" w:right="240" w:hanging="315"/>
        <w:spacing w:after="0" w:line="275" w:lineRule="auto"/>
        <w:tabs>
          <w:tab w:leader="none" w:pos="1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made selections of specific amounts recognised as research and development expenses as well as those recognised as accruals and prepaid expenses and performed the following procedures:</w:t>
      </w:r>
    </w:p>
    <w:p>
      <w:pPr>
        <w:spacing w:after="0" w:line="77" w:lineRule="exact"/>
        <w:rPr>
          <w:rFonts w:ascii="Arial" w:cs="Arial" w:eastAsia="Arial" w:hAnsi="Arial"/>
          <w:sz w:val="18"/>
          <w:szCs w:val="18"/>
          <w:color w:val="auto"/>
        </w:rPr>
      </w:pPr>
    </w:p>
    <w:p>
      <w:pPr>
        <w:ind w:left="2240" w:hanging="531"/>
        <w:spacing w:after="0"/>
        <w:tabs>
          <w:tab w:leader="none" w:pos="2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We assessed management’s estimate of the vendors’ progress with Company clinical operations personnel;</w:t>
      </w:r>
    </w:p>
    <w:p>
      <w:pPr>
        <w:spacing w:after="0" w:line="129" w:lineRule="exact"/>
        <w:rPr>
          <w:rFonts w:ascii="Arial" w:cs="Arial" w:eastAsia="Arial" w:hAnsi="Arial"/>
          <w:sz w:val="18"/>
          <w:szCs w:val="18"/>
          <w:color w:val="auto"/>
        </w:rPr>
      </w:pPr>
    </w:p>
    <w:p>
      <w:pPr>
        <w:ind w:left="2240" w:right="280" w:hanging="531"/>
        <w:spacing w:after="0" w:line="340" w:lineRule="auto"/>
        <w:tabs>
          <w:tab w:leader="none" w:pos="22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We obtained the related statement of work, purchase order, or other supporting documentation (such as communications between the Company and vendors) and evaluated management’s judgments compared to the evidence obtained; and</w:t>
      </w:r>
    </w:p>
    <w:p>
      <w:pPr>
        <w:spacing w:after="0" w:line="30" w:lineRule="exact"/>
        <w:rPr>
          <w:rFonts w:ascii="Arial" w:cs="Arial" w:eastAsia="Arial" w:hAnsi="Arial"/>
          <w:sz w:val="16"/>
          <w:szCs w:val="16"/>
          <w:color w:val="auto"/>
        </w:rPr>
      </w:pPr>
    </w:p>
    <w:p>
      <w:pPr>
        <w:ind w:left="2240" w:right="500" w:hanging="531"/>
        <w:spacing w:after="0" w:line="275" w:lineRule="auto"/>
        <w:tabs>
          <w:tab w:leader="none" w:pos="2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We obtained the listing of all contracts related to research and development expenses to evaluate the completeness of accruals and prepaid expenses.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Deloitte Statsautoriseret Revisionspartnerselskab</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Copenhagen, Denmark</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2, 2022</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served as the Company’s auditor since 2007.</w:t>
      </w:r>
    </w:p>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280" w:top="485"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Profit or Loss and Other Comprehensive Income for the Years Ended December 31</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Notes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651"/>
              <w:spacing w:after="0"/>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 of Profit or Loss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Revenue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4,255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6, 11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4"/>
              </w:rPr>
              <w:t>6, 11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160,180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profit/(loss)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(451,792)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(330,620)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(226,719)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Share of profit/(loss) of associate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(8,113)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Finance expenses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17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before tax</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(383,944)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(419,174)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(218,250)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Tax on profit/(loss) for the year</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profit/(loss) for the year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(383,577)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(418,955)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(218,016)</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(383,577)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(418,955)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earnings/(loss) per share</w:t>
            </w:r>
          </w:p>
        </w:tc>
        <w:tc>
          <w:tcPr>
            <w:tcW w:w="9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(7.00)  €</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line="216" w:lineRule="exact"/>
              <w:rPr>
                <w:sz w:val="20"/>
                <w:szCs w:val="20"/>
                <w:color w:val="auto"/>
              </w:rPr>
            </w:pPr>
            <w:r>
              <w:rPr>
                <w:rFonts w:ascii="Arial" w:cs="Arial" w:eastAsia="Arial" w:hAnsi="Arial"/>
                <w:sz w:val="17"/>
                <w:szCs w:val="17"/>
                <w:color w:val="auto"/>
              </w:rPr>
              <w:t xml:space="preserve">Weighted average number of shares used for calculation (basic and diluted) </w:t>
            </w:r>
            <w:r>
              <w:rPr>
                <w:rFonts w:ascii="Arial" w:cs="Arial" w:eastAsia="Arial" w:hAnsi="Arial"/>
                <w:sz w:val="24"/>
                <w:szCs w:val="24"/>
                <w:color w:val="auto"/>
                <w:vertAlign w:val="superscript"/>
              </w:rPr>
              <w:t>(1)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54,771,763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50,616,528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46,506,862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(EUR’000)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 of Comprehensive Income</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Net profit/(loss) for the year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(383,577)</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(418,955)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(218,016)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for the year, net of tax</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(379,722)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(418,997)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(218,053)</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(379,722)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(418,997)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560" w:right="240" w:hanging="425"/>
        <w:spacing w:after="0" w:line="244" w:lineRule="auto"/>
        <w:tabs>
          <w:tab w:leader="none" w:pos="560" w:val="left"/>
        </w:tabs>
        <w:numPr>
          <w:ilvl w:val="0"/>
          <w:numId w:val="158"/>
        </w:numPr>
        <w:rPr>
          <w:rFonts w:ascii="Arial" w:cs="Arial" w:eastAsia="Arial" w:hAnsi="Arial"/>
          <w:sz w:val="18"/>
          <w:szCs w:val="18"/>
          <w:color w:val="auto"/>
        </w:rPr>
      </w:pPr>
      <w:r>
        <w:rPr>
          <w:rFonts w:ascii="Arial" w:cs="Arial" w:eastAsia="Arial" w:hAnsi="Arial"/>
          <w:sz w:val="16"/>
          <w:szCs w:val="16"/>
          <w:color w:val="auto"/>
        </w:rPr>
        <w:t>A total of 7,085,073 warrants outstanding as of December 31, 2021 (a total of 6,148,004 warrants and 5,820,211 warrants outstanding as of December 31, 2020 and 2019, respectively) can potentially dilute earnings per share in the future but have not been included in the calculation of diluted earnings per share because they are antidilutive for the periods presented.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85"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Financial Position as of December 31,</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Notes</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rPr>
              <w:t>(EUR’000)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640" w:type="dxa"/>
            <w:vAlign w:val="bottom"/>
            <w:gridSpan w:val="2"/>
            <w:shd w:val="clear" w:color="auto" w:fill="CCEEFF"/>
          </w:tcPr>
          <w:p>
            <w:pPr>
              <w:jc w:val="center"/>
              <w:ind w:left="3870"/>
              <w:spacing w:after="0"/>
              <w:rPr>
                <w:sz w:val="20"/>
                <w:szCs w:val="20"/>
                <w:color w:val="auto"/>
              </w:rPr>
            </w:pPr>
            <w:r>
              <w:rPr>
                <w:rFonts w:ascii="Arial" w:cs="Arial" w:eastAsia="Arial" w:hAnsi="Arial"/>
                <w:sz w:val="18"/>
                <w:szCs w:val="18"/>
                <w:b w:val="1"/>
                <w:bCs w:val="1"/>
                <w:color w:val="auto"/>
                <w:w w:val="89"/>
              </w:rPr>
              <w:t>5, 10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640" w:type="dxa"/>
            <w:vAlign w:val="bottom"/>
            <w:gridSpan w:val="2"/>
          </w:tcPr>
          <w:p>
            <w:pPr>
              <w:jc w:val="center"/>
              <w:ind w:left="3870"/>
              <w:spacing w:after="0"/>
              <w:rPr>
                <w:sz w:val="20"/>
                <w:szCs w:val="20"/>
                <w:color w:val="auto"/>
              </w:rPr>
            </w:pPr>
            <w:r>
              <w:rPr>
                <w:rFonts w:ascii="Arial" w:cs="Arial" w:eastAsia="Arial" w:hAnsi="Arial"/>
                <w:sz w:val="18"/>
                <w:szCs w:val="18"/>
                <w:b w:val="1"/>
                <w:bCs w:val="1"/>
                <w:color w:val="auto"/>
                <w:w w:val="89"/>
              </w:rPr>
              <w:t>5, 11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6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receivables</w:t>
            </w:r>
          </w:p>
        </w:tc>
        <w:tc>
          <w:tcPr>
            <w:tcW w:w="464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6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279,035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239,660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Inventories</w:t>
            </w:r>
          </w:p>
        </w:tc>
        <w:tc>
          <w:tcPr>
            <w:tcW w:w="4640" w:type="dxa"/>
            <w:vAlign w:val="bottom"/>
            <w:gridSpan w:val="2"/>
          </w:tcPr>
          <w:p>
            <w:pPr>
              <w:jc w:val="center"/>
              <w:ind w:left="3890"/>
              <w:spacing w:after="0"/>
              <w:rPr>
                <w:sz w:val="20"/>
                <w:szCs w:val="20"/>
                <w:color w:val="auto"/>
              </w:rPr>
            </w:pPr>
            <w:r>
              <w:rPr>
                <w:rFonts w:ascii="Arial" w:cs="Arial" w:eastAsia="Arial" w:hAnsi="Arial"/>
                <w:sz w:val="18"/>
                <w:szCs w:val="18"/>
                <w:b w:val="1"/>
                <w:bCs w:val="1"/>
                <w:color w:val="auto"/>
                <w:w w:val="89"/>
              </w:rPr>
              <w:t>13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640" w:type="dxa"/>
            <w:vAlign w:val="bottom"/>
            <w:gridSpan w:val="2"/>
            <w:shd w:val="clear" w:color="auto" w:fill="CCEEFF"/>
          </w:tcPr>
          <w:p>
            <w:pPr>
              <w:jc w:val="center"/>
              <w:ind w:left="3890"/>
              <w:spacing w:after="0"/>
              <w:rPr>
                <w:sz w:val="20"/>
                <w:szCs w:val="20"/>
                <w:color w:val="auto"/>
              </w:rPr>
            </w:pPr>
            <w:r>
              <w:rPr>
                <w:rFonts w:ascii="Arial" w:cs="Arial" w:eastAsia="Arial" w:hAnsi="Arial"/>
                <w:sz w:val="18"/>
                <w:szCs w:val="18"/>
                <w:b w:val="1"/>
                <w:bCs w:val="1"/>
                <w:color w:val="auto"/>
                <w:w w:val="89"/>
              </w:rPr>
              <w:t>17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tax receivables</w:t>
            </w:r>
          </w:p>
        </w:tc>
        <w:tc>
          <w:tcPr>
            <w:tcW w:w="3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640" w:type="dxa"/>
            <w:vAlign w:val="bottom"/>
            <w:gridSpan w:val="2"/>
            <w:shd w:val="clear" w:color="auto" w:fill="CCEEFF"/>
          </w:tcPr>
          <w:p>
            <w:pPr>
              <w:jc w:val="center"/>
              <w:ind w:left="3890"/>
              <w:spacing w:after="0"/>
              <w:rPr>
                <w:sz w:val="20"/>
                <w:szCs w:val="20"/>
                <w:color w:val="auto"/>
              </w:rPr>
            </w:pPr>
            <w:r>
              <w:rPr>
                <w:rFonts w:ascii="Arial" w:cs="Arial" w:eastAsia="Arial" w:hAnsi="Arial"/>
                <w:sz w:val="18"/>
                <w:szCs w:val="18"/>
                <w:b w:val="1"/>
                <w:bCs w:val="1"/>
                <w:color w:val="auto"/>
                <w:w w:val="89"/>
              </w:rPr>
              <w:t>17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Prepayments</w:t>
            </w:r>
          </w:p>
        </w:tc>
        <w:tc>
          <w:tcPr>
            <w:tcW w:w="3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640" w:type="dxa"/>
            <w:vAlign w:val="bottom"/>
            <w:gridSpan w:val="2"/>
            <w:shd w:val="clear" w:color="auto" w:fill="CCEEFF"/>
          </w:tcPr>
          <w:p>
            <w:pPr>
              <w:jc w:val="center"/>
              <w:ind w:left="3890"/>
              <w:spacing w:after="0"/>
              <w:rPr>
                <w:sz w:val="20"/>
                <w:szCs w:val="20"/>
                <w:color w:val="auto"/>
              </w:rPr>
            </w:pPr>
            <w:r>
              <w:rPr>
                <w:rFonts w:ascii="Arial" w:cs="Arial" w:eastAsia="Arial" w:hAnsi="Arial"/>
                <w:sz w:val="18"/>
                <w:szCs w:val="18"/>
                <w:b w:val="1"/>
                <w:bCs w:val="1"/>
                <w:color w:val="auto"/>
                <w:w w:val="89"/>
              </w:rPr>
              <w:t>17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235,797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40" w:type="dxa"/>
            <w:vAlign w:val="bottom"/>
            <w:gridSpan w:val="2"/>
          </w:tcPr>
          <w:p>
            <w:pPr>
              <w:jc w:val="center"/>
              <w:ind w:left="3890"/>
              <w:spacing w:after="0"/>
              <w:rPr>
                <w:sz w:val="20"/>
                <w:szCs w:val="20"/>
                <w:color w:val="auto"/>
              </w:rPr>
            </w:pPr>
            <w:r>
              <w:rPr>
                <w:rFonts w:ascii="Arial" w:cs="Arial" w:eastAsia="Arial" w:hAnsi="Arial"/>
                <w:sz w:val="18"/>
                <w:szCs w:val="18"/>
                <w:b w:val="1"/>
                <w:bCs w:val="1"/>
                <w:color w:val="auto"/>
                <w:w w:val="89"/>
              </w:rPr>
              <w:t>17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446,267</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584,517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805,886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740,133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1,084,921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979,793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4640" w:type="dxa"/>
            <w:vAlign w:val="bottom"/>
            <w:gridSpan w:val="2"/>
            <w:shd w:val="clear" w:color="auto" w:fill="CCEEFF"/>
          </w:tcPr>
          <w:p>
            <w:pPr>
              <w:jc w:val="center"/>
              <w:ind w:left="3890"/>
              <w:spacing w:after="0"/>
              <w:rPr>
                <w:sz w:val="20"/>
                <w:szCs w:val="20"/>
                <w:color w:val="auto"/>
              </w:rPr>
            </w:pPr>
            <w:r>
              <w:rPr>
                <w:rFonts w:ascii="Arial" w:cs="Arial" w:eastAsia="Arial" w:hAnsi="Arial"/>
                <w:sz w:val="18"/>
                <w:szCs w:val="18"/>
                <w:b w:val="1"/>
                <w:bCs w:val="1"/>
                <w:color w:val="auto"/>
                <w:w w:val="89"/>
              </w:rPr>
              <w:t>17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Distributable equity</w:t>
            </w:r>
          </w:p>
        </w:tc>
        <w:tc>
          <w:tcPr>
            <w:tcW w:w="3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875,989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831,494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883,635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838,711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3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640" w:type="dxa"/>
            <w:vAlign w:val="bottom"/>
            <w:gridSpan w:val="2"/>
            <w:shd w:val="clear" w:color="auto" w:fill="CCEEFF"/>
          </w:tcPr>
          <w:p>
            <w:pPr>
              <w:jc w:val="center"/>
              <w:ind w:left="3870"/>
              <w:spacing w:after="0"/>
              <w:rPr>
                <w:sz w:val="20"/>
                <w:szCs w:val="20"/>
                <w:color w:val="auto"/>
              </w:rPr>
            </w:pPr>
            <w:r>
              <w:rPr>
                <w:rFonts w:ascii="Arial" w:cs="Arial" w:eastAsia="Arial" w:hAnsi="Arial"/>
                <w:sz w:val="18"/>
                <w:szCs w:val="18"/>
                <w:b w:val="1"/>
                <w:bCs w:val="1"/>
                <w:color w:val="auto"/>
                <w:w w:val="87"/>
              </w:rPr>
              <w:t>14, 17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Contract liabilities</w:t>
            </w:r>
          </w:p>
        </w:tc>
        <w:tc>
          <w:tcPr>
            <w:tcW w:w="4640" w:type="dxa"/>
            <w:vAlign w:val="bottom"/>
            <w:gridSpan w:val="2"/>
          </w:tcPr>
          <w:p>
            <w:pPr>
              <w:jc w:val="center"/>
              <w:ind w:left="3890"/>
              <w:spacing w:after="0"/>
              <w:rPr>
                <w:sz w:val="20"/>
                <w:szCs w:val="20"/>
                <w:color w:val="auto"/>
              </w:rPr>
            </w:pPr>
            <w:r>
              <w:rPr>
                <w:rFonts w:ascii="Arial" w:cs="Arial" w:eastAsia="Arial" w:hAnsi="Arial"/>
                <w:sz w:val="18"/>
                <w:szCs w:val="18"/>
                <w:b w:val="1"/>
                <w:bCs w:val="1"/>
                <w:color w:val="auto"/>
                <w:w w:val="89"/>
              </w:rPr>
              <w:t>15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100,930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Lease liabilities</w:t>
            </w:r>
          </w:p>
        </w:tc>
        <w:tc>
          <w:tcPr>
            <w:tcW w:w="4640" w:type="dxa"/>
            <w:vAlign w:val="bottom"/>
            <w:gridSpan w:val="2"/>
          </w:tcPr>
          <w:p>
            <w:pPr>
              <w:jc w:val="center"/>
              <w:ind w:left="3870"/>
              <w:spacing w:after="0"/>
              <w:rPr>
                <w:sz w:val="20"/>
                <w:szCs w:val="20"/>
                <w:color w:val="auto"/>
              </w:rPr>
            </w:pPr>
            <w:r>
              <w:rPr>
                <w:rFonts w:ascii="Arial" w:cs="Arial" w:eastAsia="Arial" w:hAnsi="Arial"/>
                <w:sz w:val="18"/>
                <w:szCs w:val="18"/>
                <w:b w:val="1"/>
                <w:bCs w:val="1"/>
                <w:color w:val="auto"/>
                <w:w w:val="87"/>
              </w:rPr>
              <w:t>14, 17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640" w:type="dxa"/>
            <w:vAlign w:val="bottom"/>
            <w:gridSpan w:val="2"/>
            <w:shd w:val="clear" w:color="auto" w:fill="CCEEFF"/>
          </w:tcPr>
          <w:p>
            <w:pPr>
              <w:jc w:val="center"/>
              <w:ind w:left="3890"/>
              <w:spacing w:after="0"/>
              <w:rPr>
                <w:sz w:val="20"/>
                <w:szCs w:val="20"/>
                <w:color w:val="auto"/>
              </w:rPr>
            </w:pPr>
            <w:r>
              <w:rPr>
                <w:rFonts w:ascii="Arial" w:cs="Arial" w:eastAsia="Arial" w:hAnsi="Arial"/>
                <w:sz w:val="18"/>
                <w:szCs w:val="18"/>
                <w:b w:val="1"/>
                <w:bCs w:val="1"/>
                <w:color w:val="auto"/>
                <w:w w:val="89"/>
              </w:rPr>
              <w:t>15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4640" w:type="dxa"/>
            <w:vAlign w:val="bottom"/>
            <w:gridSpan w:val="2"/>
          </w:tcPr>
          <w:p>
            <w:pPr>
              <w:jc w:val="center"/>
              <w:ind w:left="3890"/>
              <w:spacing w:after="0"/>
              <w:rPr>
                <w:sz w:val="20"/>
                <w:szCs w:val="20"/>
                <w:color w:val="auto"/>
              </w:rPr>
            </w:pPr>
            <w:r>
              <w:rPr>
                <w:rFonts w:ascii="Arial" w:cs="Arial" w:eastAsia="Arial" w:hAnsi="Arial"/>
                <w:sz w:val="18"/>
                <w:szCs w:val="18"/>
                <w:b w:val="1"/>
                <w:bCs w:val="1"/>
                <w:color w:val="auto"/>
                <w:w w:val="89"/>
              </w:rPr>
              <w:t>17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tax payables</w:t>
            </w:r>
          </w:p>
        </w:tc>
        <w:tc>
          <w:tcPr>
            <w:tcW w:w="3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100,356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201,286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141,082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3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1,084,921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979,793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60" w:type="dxa"/>
            <w:vAlign w:val="bottom"/>
            <w:gridSpan w:val="3"/>
            <w:vMerge w:val="restart"/>
          </w:tcPr>
          <w:p>
            <w:pPr>
              <w:ind w:left="1340"/>
              <w:spacing w:after="0"/>
              <w:rPr>
                <w:sz w:val="20"/>
                <w:szCs w:val="20"/>
                <w:color w:val="auto"/>
              </w:rPr>
            </w:pPr>
            <w:r>
              <w:rPr>
                <w:rFonts w:ascii="Arial" w:cs="Arial" w:eastAsia="Arial" w:hAnsi="Arial"/>
                <w:sz w:val="18"/>
                <w:szCs w:val="18"/>
                <w:color w:val="auto"/>
              </w:rPr>
              <w:t>F-5</w:t>
            </w: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6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5"/>
              </w:rPr>
              <w:t>Distributable Equity</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Foreign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Share-based</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Treasury</w:t>
            </w: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4"/>
              </w:rPr>
              <w:t>Currency</w:t>
            </w: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Translation</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Payment</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Premium</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Deficit</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(EUR ‘000)</w:t>
            </w: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2019</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84"/>
              </w:rPr>
              <w:t>5,659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625,250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42,445</w:t>
            </w:r>
          </w:p>
        </w:tc>
        <w:tc>
          <w:tcPr>
            <w:tcW w:w="13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(393,307)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Loss for the year</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(218,016)</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2"/>
              </w:rPr>
              <w:t>Other comprehensive income/(loss), net of tax</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income/(loss)</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(218,016)</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37,486</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784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528,548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(31,701)</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2019</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84"/>
              </w:rPr>
              <w:t>6,443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1,122,097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79,931</w:t>
            </w:r>
          </w:p>
        </w:tc>
        <w:tc>
          <w:tcPr>
            <w:tcW w:w="13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(611,323)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Loss for the year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gridSpan w:val="2"/>
            <w:vMerge w:val="continue"/>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(418,955)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(418,955)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2"/>
              </w:rPr>
              <w:t>Other comprehensive income/(loss), net of tax</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income/(loss)</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(418,955)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53,170</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774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638,023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638,797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(31,373)</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(31,373)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2020</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84"/>
              </w:rPr>
              <w:t>7,217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1,728,747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133,101</w:t>
            </w:r>
          </w:p>
        </w:tc>
        <w:tc>
          <w:tcPr>
            <w:tcW w:w="13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(1,030,278)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Loss for the year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gridSpan w:val="2"/>
            <w:vMerge w:val="continue"/>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(383,577)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(383,577)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2"/>
              </w:rPr>
              <w:t>Other comprehensive income/(loss), net of tax</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income/(loss)</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(383,577)</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66,830</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66,830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(21,605)</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(21,605)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Capital increase</w:t>
            </w:r>
          </w:p>
        </w:tc>
        <w:tc>
          <w:tcPr>
            <w:tcW w:w="860" w:type="dxa"/>
            <w:vAlign w:val="bottom"/>
          </w:tcPr>
          <w:p>
            <w:pPr>
              <w:ind w:left="600"/>
              <w:spacing w:after="0"/>
              <w:rPr>
                <w:sz w:val="20"/>
                <w:szCs w:val="20"/>
                <w:color w:val="auto"/>
              </w:rPr>
            </w:pPr>
            <w:r>
              <w:rPr>
                <w:rFonts w:ascii="Arial" w:cs="Arial" w:eastAsia="Arial" w:hAnsi="Arial"/>
                <w:sz w:val="18"/>
                <w:szCs w:val="18"/>
                <w:color w:val="auto"/>
                <w:w w:val="79"/>
              </w:rPr>
              <w:t>429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398,966</w:t>
            </w:r>
          </w:p>
        </w:tc>
        <w:tc>
          <w:tcPr>
            <w:tcW w:w="22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399,395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(19,974)</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(19,974)</w:t>
            </w: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Equity at December 31, 2021</w:t>
            </w:r>
          </w:p>
        </w:tc>
        <w:tc>
          <w:tcPr>
            <w:tcW w:w="8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84"/>
              </w:rPr>
              <w:t>7,646</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2,107,739</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0"/>
              </w:rPr>
              <w:t>(21,605)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3,779</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199,931</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(1,413,855</w:t>
            </w:r>
          </w:p>
        </w:tc>
        <w:tc>
          <w:tcPr>
            <w:tcW w:w="220" w:type="dxa"/>
            <w:vAlign w:val="bottom"/>
          </w:tcPr>
          <w:p>
            <w:pPr>
              <w:jc w:val="right"/>
              <w:ind w:right="141"/>
              <w:spacing w:after="0"/>
              <w:rPr>
                <w:sz w:val="20"/>
                <w:szCs w:val="20"/>
                <w:color w:val="auto"/>
              </w:rPr>
            </w:pPr>
            <w:r>
              <w:rPr>
                <w:rFonts w:ascii="Arial" w:cs="Arial" w:eastAsia="Arial" w:hAnsi="Arial"/>
                <w:sz w:val="8"/>
                <w:szCs w:val="8"/>
                <w:b w:val="1"/>
                <w:bCs w:val="1"/>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Cash Flow Statements for the year Ended December 31</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Notes</w:t>
            </w: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86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Net profit/(loss) for the year</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(383,577)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(418,955)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(218,016)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(59,718)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80,842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Increase/(decrease) in provisions</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1,193</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items: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Non-cash consideration regarding revenue</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(2,365)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(3,499)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profit/(loss) of associate</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(12,041)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Share-based payment</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66,830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53,170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38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(75,405)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Prepayments</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(11,238)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(6,357)</w:t>
            </w:r>
          </w:p>
        </w:tc>
        <w:tc>
          <w:tcPr>
            <w:tcW w:w="880" w:type="dxa"/>
            <w:vAlign w:val="bottom"/>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liabilities (deferred income)</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Trade payables, accrued expenses and other payables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39,186</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generated from/(used in) operations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(419,657)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(272,465)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(184,996)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Finance income received</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paid</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taxes received/(paid)</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from/(used in) operating activities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(417,649)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(271,548)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(175,936)</w:t>
            </w:r>
          </w:p>
        </w:tc>
        <w:tc>
          <w:tcPr>
            <w:tcW w:w="0" w:type="dxa"/>
            <w:vAlign w:val="bottom"/>
          </w:tcPr>
          <w:p>
            <w:pPr>
              <w:spacing w:after="0"/>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(23,704)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(19,860)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Reimbursement for acquisition of property, plant and equipment</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Development expenditures (software)</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(1,692)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(226,038)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(537,752)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Settlement of marketable securities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149,880</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263,051</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from/(used in) investing activities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(110,579)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(291,199)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(5,159)</w:t>
            </w:r>
          </w:p>
        </w:tc>
        <w:tc>
          <w:tcPr>
            <w:tcW w:w="0" w:type="dxa"/>
            <w:vAlign w:val="bottom"/>
          </w:tcPr>
          <w:p>
            <w:pPr>
              <w:spacing w:after="0"/>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Payment of principal portion of lease liabilities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Proceeds from exercise of warrants</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11,537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26,882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follow-on public offerings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367,884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580,542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Acquisitions of treasury shares, net of transaction costs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(21,605)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from/(used in) financing activities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351,387</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602,650</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(176,841)</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39,903</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584,517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598,106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1"/>
              </w:rPr>
              <w:t>Effect of exchange rate changes on balances held in foreign currencies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38,591</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(53,492)</w:t>
            </w:r>
          </w:p>
        </w:tc>
        <w:tc>
          <w:tcPr>
            <w:tcW w:w="880" w:type="dxa"/>
            <w:vAlign w:val="bottom"/>
          </w:tcPr>
          <w:p>
            <w:pPr>
              <w:jc w:val="right"/>
              <w:spacing w:after="0"/>
              <w:rPr>
                <w:sz w:val="20"/>
                <w:szCs w:val="20"/>
                <w:color w:val="auto"/>
              </w:rPr>
            </w:pPr>
            <w:r>
              <w:rPr>
                <w:rFonts w:ascii="Arial" w:cs="Arial" w:eastAsia="Arial" w:hAnsi="Arial"/>
                <w:sz w:val="18"/>
                <w:szCs w:val="18"/>
                <w:color w:val="auto"/>
              </w:rPr>
              <w:t>7,746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446,267</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584,517</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Bank deposits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441,736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581,872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2,645</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446,267</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584,517</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600" w:type="dxa"/>
            <w:vAlign w:val="bottom"/>
            <w:gridSpan w:val="3"/>
            <w:vMerge w:val="restart"/>
          </w:tcPr>
          <w:p>
            <w:pPr>
              <w:ind w:left="160"/>
              <w:spacing w:after="0"/>
              <w:rPr>
                <w:sz w:val="20"/>
                <w:szCs w:val="20"/>
                <w:color w:val="auto"/>
              </w:rPr>
            </w:pPr>
            <w:r>
              <w:rPr>
                <w:rFonts w:ascii="Arial" w:cs="Arial" w:eastAsia="Arial" w:hAnsi="Arial"/>
                <w:sz w:val="18"/>
                <w:szCs w:val="18"/>
                <w:color w:val="auto"/>
              </w:rPr>
              <w:t>F-7</w:t>
            </w: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0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1—General Information</w:t>
      </w:r>
    </w:p>
    <w:p>
      <w:pPr>
        <w:spacing w:after="0" w:line="120" w:lineRule="exact"/>
        <w:rPr>
          <w:sz w:val="20"/>
          <w:szCs w:val="20"/>
          <w:color w:val="auto"/>
        </w:rPr>
      </w:pPr>
    </w:p>
    <w:p>
      <w:pPr>
        <w:ind w:left="140" w:right="120"/>
        <w:spacing w:after="0" w:line="262" w:lineRule="auto"/>
        <w:rPr>
          <w:sz w:val="20"/>
          <w:szCs w:val="20"/>
          <w:color w:val="auto"/>
        </w:rPr>
      </w:pPr>
      <w:r>
        <w:rPr>
          <w:rFonts w:ascii="Arial" w:cs="Arial" w:eastAsia="Arial" w:hAnsi="Arial"/>
          <w:sz w:val="18"/>
          <w:szCs w:val="18"/>
          <w:color w:val="auto"/>
        </w:rPr>
        <w:t>Ascendis Pharma A/S, together with its subsidiaries, is applying its innovative TransCon technologies to build a leading, fully integrated, global biopharmaceutical company. Ascendis Pharma A/S was incorporated in 2006 and is headquartered in Hellerup, Denmark. Unless the context otherwise requires, references to the “Company,” “we,” “us,” and “our”, refer to Ascendis Pharma A/S and its subsidiaries.</w:t>
      </w:r>
    </w:p>
    <w:p>
      <w:pPr>
        <w:spacing w:after="0" w:line="183" w:lineRule="exact"/>
        <w:rPr>
          <w:sz w:val="20"/>
          <w:szCs w:val="20"/>
          <w:color w:val="auto"/>
        </w:rPr>
      </w:pPr>
    </w:p>
    <w:p>
      <w:pPr>
        <w:ind w:left="140" w:right="60"/>
        <w:spacing w:after="0" w:line="275" w:lineRule="auto"/>
        <w:rPr>
          <w:sz w:val="20"/>
          <w:szCs w:val="20"/>
          <w:color w:val="auto"/>
        </w:rPr>
      </w:pPr>
      <w:r>
        <w:rPr>
          <w:rFonts w:ascii="Arial" w:cs="Arial" w:eastAsia="Arial" w:hAnsi="Arial"/>
          <w:sz w:val="18"/>
          <w:szCs w:val="18"/>
          <w:color w:val="auto"/>
        </w:rPr>
        <w:t>The address of the Company’s registered office is Tuborg Boulevard 12, DK-2900 Hellerup, Denmark. The Company’s registration number in Denmark is 29918791.</w:t>
      </w:r>
    </w:p>
    <w:p>
      <w:pPr>
        <w:spacing w:after="0" w:line="171" w:lineRule="exact"/>
        <w:rPr>
          <w:sz w:val="20"/>
          <w:szCs w:val="20"/>
          <w:color w:val="auto"/>
        </w:rPr>
      </w:pPr>
    </w:p>
    <w:p>
      <w:pPr>
        <w:ind w:left="140" w:right="40"/>
        <w:spacing w:after="0" w:line="306" w:lineRule="auto"/>
        <w:rPr>
          <w:sz w:val="20"/>
          <w:szCs w:val="20"/>
          <w:color w:val="auto"/>
        </w:rPr>
      </w:pPr>
      <w:r>
        <w:rPr>
          <w:rFonts w:ascii="Arial" w:cs="Arial" w:eastAsia="Arial" w:hAnsi="Arial"/>
          <w:sz w:val="17"/>
          <w:szCs w:val="17"/>
          <w:color w:val="auto"/>
        </w:rPr>
        <w:t>On February 2, 2015, the Company completed an initial public offering (“IPO”), which resulted in the listing of American Depositary Shares (“ADSs”), representing the Company’s ordinary shares, under the symbol “ASND” in the United States on The Nasdaq Global Select Market.</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Company’s Board of Directors approved these consolidated financial statements on March 2, 2022.</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6" w:lineRule="exact"/>
        <w:rPr>
          <w:sz w:val="20"/>
          <w:szCs w:val="20"/>
          <w:color w:val="auto"/>
        </w:rPr>
      </w:pPr>
    </w:p>
    <w:p>
      <w:pPr>
        <w:ind w:left="140" w:right="560"/>
        <w:spacing w:after="0" w:line="275" w:lineRule="auto"/>
        <w:rPr>
          <w:sz w:val="20"/>
          <w:szCs w:val="20"/>
          <w:color w:val="auto"/>
        </w:rPr>
      </w:pPr>
      <w:r>
        <w:rPr>
          <w:rFonts w:ascii="Arial" w:cs="Arial" w:eastAsia="Arial" w:hAnsi="Arial"/>
          <w:sz w:val="18"/>
          <w:szCs w:val="18"/>
          <w:color w:val="auto"/>
        </w:rPr>
        <w:t>The consolidated financial statements are prepared in accordance with the International Financial Reporting Standards (“IFRS”), as issued by the International Accounting Standards Board (“IASB”), and as adopted by the European Union (“EU”).</w:t>
      </w:r>
    </w:p>
    <w:p>
      <w:pPr>
        <w:spacing w:after="0" w:line="171" w:lineRule="exact"/>
        <w:rPr>
          <w:sz w:val="20"/>
          <w:szCs w:val="20"/>
          <w:color w:val="auto"/>
        </w:rPr>
      </w:pPr>
    </w:p>
    <w:p>
      <w:pPr>
        <w:ind w:left="140" w:right="500"/>
        <w:spacing w:after="0" w:line="262" w:lineRule="auto"/>
        <w:rPr>
          <w:sz w:val="20"/>
          <w:szCs w:val="20"/>
          <w:color w:val="auto"/>
        </w:rPr>
      </w:pPr>
      <w:r>
        <w:rPr>
          <w:rFonts w:ascii="Arial" w:cs="Arial" w:eastAsia="Arial" w:hAnsi="Arial"/>
          <w:sz w:val="18"/>
          <w:szCs w:val="18"/>
          <w:color w:val="auto"/>
        </w:rPr>
        <w:t>The accounting policies applied when preparing the consolidated financial statements are described in detail below and are applied for all entities. Significant accounting judgements and sources of estimation uncertainties used when exercising the accounting policies are described in Note 3 “Significant Accounting Judgements and Estimates”.</w:t>
      </w:r>
    </w:p>
    <w:p>
      <w:pPr>
        <w:spacing w:after="0" w:line="183" w:lineRule="exact"/>
        <w:rPr>
          <w:sz w:val="20"/>
          <w:szCs w:val="20"/>
          <w:color w:val="auto"/>
        </w:rPr>
      </w:pPr>
    </w:p>
    <w:p>
      <w:pPr>
        <w:ind w:left="140" w:right="560"/>
        <w:spacing w:after="0" w:line="275" w:lineRule="auto"/>
        <w:rPr>
          <w:sz w:val="20"/>
          <w:szCs w:val="20"/>
          <w:color w:val="auto"/>
        </w:rPr>
      </w:pPr>
      <w:r>
        <w:rPr>
          <w:rFonts w:ascii="Arial" w:cs="Arial" w:eastAsia="Arial" w:hAnsi="Arial"/>
          <w:sz w:val="18"/>
          <w:szCs w:val="18"/>
          <w:color w:val="auto"/>
        </w:rPr>
        <w:t>These consolidated financial statements have been prepared under the historical cost convention, apart from certain financial instruments that are measured at fair value at initial recognition.</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Accounting Policies and Disclosures</w:t>
      </w:r>
    </w:p>
    <w:p>
      <w:pPr>
        <w:spacing w:after="0" w:line="116" w:lineRule="exact"/>
        <w:rPr>
          <w:sz w:val="20"/>
          <w:szCs w:val="20"/>
          <w:color w:val="auto"/>
        </w:rPr>
      </w:pPr>
    </w:p>
    <w:p>
      <w:pPr>
        <w:ind w:left="140" w:right="60"/>
        <w:spacing w:after="0" w:line="262" w:lineRule="auto"/>
        <w:rPr>
          <w:sz w:val="20"/>
          <w:szCs w:val="20"/>
          <w:color w:val="auto"/>
        </w:rPr>
      </w:pPr>
      <w:r>
        <w:rPr>
          <w:rFonts w:ascii="Arial" w:cs="Arial" w:eastAsia="Arial" w:hAnsi="Arial"/>
          <w:sz w:val="18"/>
          <w:szCs w:val="18"/>
          <w:color w:val="auto"/>
        </w:rPr>
        <w:t>Several amendments to and interpretations of IFRS applied for the first time in 2021, which has not had an impact on the accounting policies applied by the Company. Thus, the accounting policies applied when preparing these consolidated financial statements have been applied consistently to all the periods presented.</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Going Concern</w:t>
      </w:r>
    </w:p>
    <w:p>
      <w:pPr>
        <w:spacing w:after="0" w:line="116" w:lineRule="exact"/>
        <w:rPr>
          <w:sz w:val="20"/>
          <w:szCs w:val="20"/>
          <w:color w:val="auto"/>
        </w:rPr>
      </w:pPr>
    </w:p>
    <w:p>
      <w:pPr>
        <w:ind w:left="140" w:right="200"/>
        <w:spacing w:after="0" w:line="262" w:lineRule="auto"/>
        <w:rPr>
          <w:sz w:val="20"/>
          <w:szCs w:val="20"/>
          <w:color w:val="auto"/>
        </w:rPr>
      </w:pPr>
      <w:r>
        <w:rPr>
          <w:rFonts w:ascii="Arial" w:cs="Arial" w:eastAsia="Arial" w:hAnsi="Arial"/>
          <w:sz w:val="18"/>
          <w:szCs w:val="18"/>
          <w:color w:val="auto"/>
        </w:rPr>
        <w:t>The Company’s Board of Directors has, at the time of approving the consolidated financial statements, a reasonable expectation that the Company has adequate resources to continue in operational existence for the foreseeable future. Thus, the Company continues to adopt the going concern basis of accounting in preparing the consolidated financial statements.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6"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The consolidated financial statements include the parent company, Ascendis Pharma A/S, and all enterprises over which the parent company has control. Control of an enterprise exists when the Company has exposure, or rights to, variable returns from its involvement with the enterprise and has the ability to control those returns through its power over the enterprise. Accordingly, the consolidated financial statements include Ascendis Pharma A/S and the subsidiaries listed in Note 19 “Investment in Group Enterprises”.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16" w:lineRule="exact"/>
        <w:rPr>
          <w:sz w:val="20"/>
          <w:szCs w:val="20"/>
          <w:color w:val="auto"/>
        </w:rPr>
      </w:pPr>
    </w:p>
    <w:p>
      <w:pPr>
        <w:ind w:left="140" w:right="180"/>
        <w:spacing w:after="0" w:line="275" w:lineRule="auto"/>
        <w:rPr>
          <w:sz w:val="20"/>
          <w:szCs w:val="20"/>
          <w:color w:val="auto"/>
        </w:rPr>
      </w:pPr>
      <w:r>
        <w:rPr>
          <w:rFonts w:ascii="Arial" w:cs="Arial" w:eastAsia="Arial" w:hAnsi="Arial"/>
          <w:sz w:val="18"/>
          <w:szCs w:val="18"/>
          <w:color w:val="auto"/>
        </w:rPr>
        <w:t>Subsidiaries, which are enterprises the Company control at the reporting date, are fully consolidated from the date upon which control is transferred to the Company. They are deconsolidated from the date control ceases.</w:t>
      </w:r>
    </w:p>
    <w:p>
      <w:pPr>
        <w:spacing w:after="0" w:line="171" w:lineRule="exact"/>
        <w:rPr>
          <w:sz w:val="20"/>
          <w:szCs w:val="20"/>
          <w:color w:val="auto"/>
        </w:rPr>
      </w:pPr>
    </w:p>
    <w:p>
      <w:pPr>
        <w:ind w:left="140" w:right="580"/>
        <w:spacing w:after="0" w:line="275" w:lineRule="auto"/>
        <w:rPr>
          <w:sz w:val="20"/>
          <w:szCs w:val="20"/>
          <w:color w:val="auto"/>
        </w:rPr>
      </w:pPr>
      <w:r>
        <w:rPr>
          <w:rFonts w:ascii="Arial" w:cs="Arial" w:eastAsia="Arial" w:hAnsi="Arial"/>
          <w:sz w:val="18"/>
          <w:szCs w:val="18"/>
          <w:color w:val="auto"/>
        </w:rPr>
        <w:t>Control over an enterprise is reassessed if facts and circumstances indicate that there are changes to one or more of the three elements of control, respectively:</w:t>
      </w:r>
    </w:p>
    <w:p>
      <w:pPr>
        <w:spacing w:after="0" w:line="77" w:lineRule="exact"/>
        <w:rPr>
          <w:sz w:val="20"/>
          <w:szCs w:val="20"/>
          <w:color w:val="auto"/>
        </w:rPr>
      </w:pPr>
    </w:p>
    <w:p>
      <w:pPr>
        <w:ind w:left="1540" w:hanging="315"/>
        <w:spacing w:after="0"/>
        <w:tabs>
          <w:tab w:leader="none" w:pos="1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contractual arrangement(s) with the other vote holders of the enterprise;</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Company’s voting rights and potential voting rights; and</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85"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580" w:hanging="315"/>
        <w:spacing w:after="0"/>
        <w:tabs>
          <w:tab w:leader="none" w:pos="15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w:t>
      </w:r>
    </w:p>
    <w:p>
      <w:pPr>
        <w:spacing w:after="0" w:line="223" w:lineRule="exact"/>
        <w:rPr>
          <w:sz w:val="20"/>
          <w:szCs w:val="20"/>
          <w:color w:val="auto"/>
        </w:rPr>
      </w:pPr>
    </w:p>
    <w:p>
      <w:pPr>
        <w:ind w:left="180" w:right="40"/>
        <w:spacing w:after="0" w:line="275" w:lineRule="auto"/>
        <w:rPr>
          <w:sz w:val="20"/>
          <w:szCs w:val="20"/>
          <w:color w:val="auto"/>
        </w:rPr>
      </w:pPr>
      <w:r>
        <w:rPr>
          <w:rFonts w:ascii="Arial" w:cs="Arial" w:eastAsia="Arial" w:hAnsi="Arial"/>
          <w:sz w:val="18"/>
          <w:szCs w:val="18"/>
          <w:color w:val="auto"/>
        </w:rPr>
        <w:t>All intra-group assets and liabilities, equity, income, expenses and cash flows relating to transactions between group enterprises are eliminated in full on consolidation.</w:t>
      </w:r>
    </w:p>
    <w:p>
      <w:pPr>
        <w:spacing w:after="0" w:line="171" w:lineRule="exact"/>
        <w:rPr>
          <w:sz w:val="20"/>
          <w:szCs w:val="20"/>
          <w:color w:val="auto"/>
        </w:rPr>
      </w:pPr>
    </w:p>
    <w:p>
      <w:pPr>
        <w:ind w:left="180" w:right="400"/>
        <w:spacing w:after="0" w:line="275" w:lineRule="auto"/>
        <w:rPr>
          <w:sz w:val="20"/>
          <w:szCs w:val="20"/>
          <w:color w:val="auto"/>
        </w:rPr>
      </w:pPr>
      <w:r>
        <w:rPr>
          <w:rFonts w:ascii="Arial" w:cs="Arial" w:eastAsia="Arial" w:hAnsi="Arial"/>
          <w:sz w:val="18"/>
          <w:szCs w:val="18"/>
          <w:color w:val="auto"/>
        </w:rPr>
        <w:t>Subsidiaries apply accounting policies in line with the Company’s accounting policies. When necessary, adjustments are made to bring the entities’ accounting policies in line with those of the Company.</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in Associates</w:t>
      </w:r>
    </w:p>
    <w:p>
      <w:pPr>
        <w:spacing w:after="0" w:line="116" w:lineRule="exact"/>
        <w:rPr>
          <w:sz w:val="20"/>
          <w:szCs w:val="20"/>
          <w:color w:val="auto"/>
        </w:rPr>
      </w:pPr>
    </w:p>
    <w:p>
      <w:pPr>
        <w:ind w:left="180" w:right="140"/>
        <w:spacing w:after="0" w:line="258" w:lineRule="auto"/>
        <w:rPr>
          <w:sz w:val="20"/>
          <w:szCs w:val="20"/>
          <w:color w:val="auto"/>
        </w:rPr>
      </w:pPr>
      <w:r>
        <w:rPr>
          <w:rFonts w:ascii="Arial" w:cs="Arial" w:eastAsia="Arial" w:hAnsi="Arial"/>
          <w:sz w:val="18"/>
          <w:szCs w:val="18"/>
          <w:color w:val="auto"/>
        </w:rPr>
        <w:t>An associate is an entity over which the Company has significant influence over financial and operational decisions but without having control or joint control. The Company’s associate is accounted for using the equity method. Under the equity method, the associate is initially recognized at cost. Thereafter, the carrying amount of the investment is adjusted to recognize changes in the Company’s share of net assets of the associate since the acquisition or establishment date.</w:t>
      </w:r>
    </w:p>
    <w:p>
      <w:pPr>
        <w:spacing w:after="0" w:line="186" w:lineRule="exact"/>
        <w:rPr>
          <w:sz w:val="20"/>
          <w:szCs w:val="20"/>
          <w:color w:val="auto"/>
        </w:rPr>
      </w:pPr>
    </w:p>
    <w:p>
      <w:pPr>
        <w:ind w:left="180" w:right="160"/>
        <w:spacing w:after="0" w:line="258" w:lineRule="auto"/>
        <w:rPr>
          <w:sz w:val="20"/>
          <w:szCs w:val="20"/>
          <w:color w:val="auto"/>
        </w:rPr>
      </w:pPr>
      <w:r>
        <w:rPr>
          <w:rFonts w:ascii="Arial" w:cs="Arial" w:eastAsia="Arial" w:hAnsi="Arial"/>
          <w:sz w:val="18"/>
          <w:szCs w:val="18"/>
          <w:color w:val="auto"/>
        </w:rPr>
        <w:t>The consolidated statements of profit or loss include the Company’s share of result after tax of the associate after any adjustments made to bring the associates accounting policies in line with those of the Company. Transactions between the associate and the Company are eliminated proportionally according to the Company’s interest in the associate. Unrealized gains and losses resulting from transactions between the Company and its associate is eliminated to the extent of the Company’s interest in the associate.</w:t>
      </w:r>
    </w:p>
    <w:p>
      <w:pPr>
        <w:spacing w:after="0" w:line="186" w:lineRule="exact"/>
        <w:rPr>
          <w:sz w:val="20"/>
          <w:szCs w:val="20"/>
          <w:color w:val="auto"/>
        </w:rPr>
      </w:pPr>
    </w:p>
    <w:p>
      <w:pPr>
        <w:ind w:left="180" w:right="40"/>
        <w:spacing w:after="0" w:line="262" w:lineRule="auto"/>
        <w:rPr>
          <w:sz w:val="20"/>
          <w:szCs w:val="20"/>
          <w:color w:val="auto"/>
        </w:rPr>
      </w:pPr>
      <w:r>
        <w:rPr>
          <w:rFonts w:ascii="Arial" w:cs="Arial" w:eastAsia="Arial" w:hAnsi="Arial"/>
          <w:sz w:val="18"/>
          <w:szCs w:val="18"/>
          <w:color w:val="auto"/>
        </w:rPr>
        <w:t>On each reporting date, the Company determines whether there is objective evidence that the associate is impaired. If there is such evidence, the amount of impairment is calculated as the difference between the recoverable amount of the associate and its carrying amount. Any impairment loss is recognized in the consolidated statements of profit or loss.</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Functional and Presentation Currency</w:t>
      </w:r>
    </w:p>
    <w:p>
      <w:pPr>
        <w:spacing w:after="0" w:line="116" w:lineRule="exact"/>
        <w:rPr>
          <w:sz w:val="20"/>
          <w:szCs w:val="20"/>
          <w:color w:val="auto"/>
        </w:rPr>
      </w:pPr>
    </w:p>
    <w:p>
      <w:pPr>
        <w:jc w:val="both"/>
        <w:ind w:left="180" w:right="380"/>
        <w:spacing w:after="0" w:line="262" w:lineRule="auto"/>
        <w:rPr>
          <w:sz w:val="20"/>
          <w:szCs w:val="20"/>
          <w:color w:val="auto"/>
        </w:rPr>
      </w:pPr>
      <w:r>
        <w:rPr>
          <w:rFonts w:ascii="Arial" w:cs="Arial" w:eastAsia="Arial" w:hAnsi="Arial"/>
          <w:sz w:val="18"/>
          <w:szCs w:val="18"/>
          <w:color w:val="auto"/>
        </w:rPr>
        <w:t>Items included in the consolidated financial statements are measured using the functional currency of each group entity. Functional currency is the currency of the primary economic environment in which the entity operates. The consolidated financial statements are presented in Euros (“EUR”), which is also the functional currency of the parent company.</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Translation of Transactions and Balances</w:t>
      </w:r>
    </w:p>
    <w:p>
      <w:pPr>
        <w:spacing w:after="0" w:line="116" w:lineRule="exact"/>
        <w:rPr>
          <w:sz w:val="20"/>
          <w:szCs w:val="20"/>
          <w:color w:val="auto"/>
        </w:rPr>
      </w:pPr>
    </w:p>
    <w:p>
      <w:pPr>
        <w:ind w:left="180" w:right="80"/>
        <w:spacing w:after="0" w:line="262" w:lineRule="auto"/>
        <w:rPr>
          <w:sz w:val="20"/>
          <w:szCs w:val="20"/>
          <w:color w:val="auto"/>
        </w:rPr>
      </w:pPr>
      <w:r>
        <w:rPr>
          <w:rFonts w:ascii="Arial" w:cs="Arial" w:eastAsia="Arial" w:hAnsi="Arial"/>
          <w:sz w:val="18"/>
          <w:szCs w:val="18"/>
          <w:color w:val="auto"/>
        </w:rPr>
        <w:t>On initial recognition, transactions in currencies other than the individual entity’s functional currency are translated applying the exchange rate in effect at the date of the transaction. Receivables, payables and other monetary items denominated in foreign currencies that have not been settled at the reporting date are translated using the exchange rate in effect at the reporting date.</w:t>
      </w:r>
    </w:p>
    <w:p>
      <w:pPr>
        <w:spacing w:after="0" w:line="183" w:lineRule="exact"/>
        <w:rPr>
          <w:sz w:val="20"/>
          <w:szCs w:val="20"/>
          <w:color w:val="auto"/>
        </w:rPr>
      </w:pPr>
    </w:p>
    <w:p>
      <w:pPr>
        <w:ind w:left="180"/>
        <w:spacing w:after="0" w:line="310" w:lineRule="auto"/>
        <w:rPr>
          <w:sz w:val="20"/>
          <w:szCs w:val="20"/>
          <w:color w:val="auto"/>
        </w:rPr>
      </w:pPr>
      <w:r>
        <w:rPr>
          <w:rFonts w:ascii="Arial" w:cs="Arial" w:eastAsia="Arial" w:hAnsi="Arial"/>
          <w:sz w:val="16"/>
          <w:szCs w:val="16"/>
          <w:color w:val="auto"/>
        </w:rPr>
        <w:t>Exchange rate differences that arise between the rate at the transaction date and the rate in effect at the payment date, or the rate at the reporting date, are recognized in profit or loss as finance income or finance expenses. Property, plant and equipment, intangible assets and other non-monetary items that are measured in terms of historical cost in a foreign currency are translated using the exchange rates as of the dates of the initial transactions.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Currency Translation of Group Enterprises</w:t>
      </w:r>
    </w:p>
    <w:p>
      <w:pPr>
        <w:spacing w:after="0" w:line="116" w:lineRule="exact"/>
        <w:rPr>
          <w:sz w:val="20"/>
          <w:szCs w:val="20"/>
          <w:color w:val="auto"/>
        </w:rPr>
      </w:pPr>
    </w:p>
    <w:p>
      <w:pPr>
        <w:ind w:left="180" w:right="100"/>
        <w:spacing w:after="0" w:line="254" w:lineRule="auto"/>
        <w:rPr>
          <w:sz w:val="20"/>
          <w:szCs w:val="20"/>
          <w:color w:val="auto"/>
        </w:rPr>
      </w:pPr>
      <w:r>
        <w:rPr>
          <w:rFonts w:ascii="Arial" w:cs="Arial" w:eastAsia="Arial" w:hAnsi="Arial"/>
          <w:sz w:val="18"/>
          <w:szCs w:val="18"/>
          <w:color w:val="auto"/>
        </w:rPr>
        <w:t>When subsidiaries or associates present their financial statements in a functional currency other than EUR, their statements of profit or loss are translated at average exchange rates. Balance sheet items are translated using the exchange rates at the reporting date. Exchange rate differences arising from translation of foreign entities’ balance sheet items at the beginning of the year to the reporting date exchange rates as well as from translation of statements of profit or loss from average rates to the exchange rates at the reporting date are recognized in other comprehensive income. Similarly, exchange rate differences arising from changes that have been made directly in a foreign subsidiary’s equity are recognized in other comprehensive income.</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6" w:lineRule="exact"/>
        <w:rPr>
          <w:sz w:val="20"/>
          <w:szCs w:val="20"/>
          <w:color w:val="auto"/>
        </w:rPr>
      </w:pPr>
    </w:p>
    <w:p>
      <w:pPr>
        <w:ind w:left="180" w:right="40"/>
        <w:spacing w:after="0" w:line="275" w:lineRule="auto"/>
        <w:rPr>
          <w:sz w:val="20"/>
          <w:szCs w:val="20"/>
          <w:color w:val="auto"/>
        </w:rPr>
      </w:pPr>
      <w:r>
        <w:rPr>
          <w:rFonts w:ascii="Arial" w:cs="Arial" w:eastAsia="Arial" w:hAnsi="Arial"/>
          <w:sz w:val="18"/>
          <w:szCs w:val="18"/>
          <w:color w:val="auto"/>
        </w:rPr>
        <w:t>Newly acquired or newly established subsidiaries are recognized in the consolidated financial statements from the time of acquiring or establishing such enterprises. Time of acquisition is the date on which the Company obtains control over the enterprise.</w:t>
      </w:r>
    </w:p>
    <w:p>
      <w:pPr>
        <w:spacing w:after="0" w:line="171" w:lineRule="exact"/>
        <w:rPr>
          <w:sz w:val="20"/>
          <w:szCs w:val="20"/>
          <w:color w:val="auto"/>
        </w:rPr>
      </w:pPr>
    </w:p>
    <w:p>
      <w:pPr>
        <w:ind w:left="180" w:right="220"/>
        <w:spacing w:after="0" w:line="275" w:lineRule="auto"/>
        <w:rPr>
          <w:sz w:val="20"/>
          <w:szCs w:val="20"/>
          <w:color w:val="auto"/>
        </w:rPr>
      </w:pPr>
      <w:r>
        <w:rPr>
          <w:rFonts w:ascii="Arial" w:cs="Arial" w:eastAsia="Arial" w:hAnsi="Arial"/>
          <w:sz w:val="18"/>
          <w:szCs w:val="18"/>
          <w:color w:val="auto"/>
        </w:rPr>
        <w:t>When acquiring new enterprises over which the Company obtains control, the acquisition method is applied. Under this method, assets, liabilities and contingent liabilities of these enterprises are identified and measured at fair value as of the acquisition date.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280" w:top="485"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right="240"/>
        <w:spacing w:after="0" w:line="275" w:lineRule="auto"/>
        <w:rPr>
          <w:sz w:val="20"/>
          <w:szCs w:val="20"/>
          <w:color w:val="auto"/>
        </w:rPr>
      </w:pPr>
      <w:r>
        <w:rPr>
          <w:rFonts w:ascii="Arial" w:cs="Arial" w:eastAsia="Arial" w:hAnsi="Arial"/>
          <w:sz w:val="18"/>
          <w:szCs w:val="18"/>
          <w:color w:val="auto"/>
        </w:rPr>
        <w:t>Restructuring costs are only recognized in the pre-acquisition balance sheet if they constitute a liability of the acquired enterprise. Allowance is made for the tax effect of the adjustments made.</w:t>
      </w:r>
    </w:p>
    <w:p>
      <w:pPr>
        <w:spacing w:after="0" w:line="171" w:lineRule="exact"/>
        <w:rPr>
          <w:sz w:val="20"/>
          <w:szCs w:val="20"/>
          <w:color w:val="auto"/>
        </w:rPr>
      </w:pPr>
    </w:p>
    <w:p>
      <w:pPr>
        <w:ind w:left="180" w:right="300"/>
        <w:spacing w:after="0" w:line="275" w:lineRule="auto"/>
        <w:rPr>
          <w:sz w:val="20"/>
          <w:szCs w:val="20"/>
          <w:color w:val="auto"/>
        </w:rPr>
      </w:pPr>
      <w:r>
        <w:rPr>
          <w:rFonts w:ascii="Arial" w:cs="Arial" w:eastAsia="Arial" w:hAnsi="Arial"/>
          <w:sz w:val="18"/>
          <w:szCs w:val="18"/>
          <w:color w:val="auto"/>
        </w:rPr>
        <w:t>The acquisition price for an enterprise consists of the fair value of the consideration paid for the acquired enterprise. Costs that are attributable to the acquisition of the enterprise are recognized in the consolidated statement of profit or loss when incurred.</w:t>
      </w:r>
    </w:p>
    <w:p>
      <w:pPr>
        <w:spacing w:after="0" w:line="171" w:lineRule="exact"/>
        <w:rPr>
          <w:sz w:val="20"/>
          <w:szCs w:val="20"/>
          <w:color w:val="auto"/>
        </w:rPr>
      </w:pPr>
    </w:p>
    <w:p>
      <w:pPr>
        <w:ind w:left="180" w:right="40"/>
        <w:spacing w:after="0" w:line="275" w:lineRule="auto"/>
        <w:rPr>
          <w:sz w:val="20"/>
          <w:szCs w:val="20"/>
          <w:color w:val="auto"/>
        </w:rPr>
      </w:pPr>
      <w:r>
        <w:rPr>
          <w:rFonts w:ascii="Arial" w:cs="Arial" w:eastAsia="Arial" w:hAnsi="Arial"/>
          <w:sz w:val="18"/>
          <w:szCs w:val="18"/>
          <w:color w:val="auto"/>
        </w:rPr>
        <w:t>The excess of the consideration transferred, the amount of any non-controlling interest in the acquiree and the acquisition date fair value of any previous equity interest in the acquiree over the fair value of the identifiable net assets acquired are all recorded as goodwill.</w:t>
      </w:r>
    </w:p>
    <w:p>
      <w:pPr>
        <w:spacing w:after="0" w:line="171" w:lineRule="exact"/>
        <w:rPr>
          <w:sz w:val="20"/>
          <w:szCs w:val="20"/>
          <w:color w:val="auto"/>
        </w:rPr>
      </w:pPr>
    </w:p>
    <w:p>
      <w:pPr>
        <w:jc w:val="both"/>
        <w:ind w:left="180" w:right="60"/>
        <w:spacing w:after="0" w:line="262" w:lineRule="auto"/>
        <w:rPr>
          <w:sz w:val="20"/>
          <w:szCs w:val="20"/>
          <w:color w:val="auto"/>
        </w:rPr>
      </w:pPr>
      <w:r>
        <w:rPr>
          <w:rFonts w:ascii="Arial" w:cs="Arial" w:eastAsia="Arial" w:hAnsi="Arial"/>
          <w:sz w:val="18"/>
          <w:szCs w:val="18"/>
          <w:color w:val="auto"/>
        </w:rPr>
        <w:t>Goodwill is subject to an annual impairment test. Impairment is calculated as the difference between the recoverable amount of the cash-generating unit that the goodwill relates to, and its carrying amount. Any impairment loss is recognized in the consolidated statement of profit or loss in a separate line item.</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from Commercial Sale of Products</w:t>
      </w:r>
    </w:p>
    <w:p>
      <w:pPr>
        <w:spacing w:after="0" w:line="116" w:lineRule="exact"/>
        <w:rPr>
          <w:sz w:val="20"/>
          <w:szCs w:val="20"/>
          <w:color w:val="auto"/>
        </w:rPr>
      </w:pPr>
    </w:p>
    <w:p>
      <w:pPr>
        <w:ind w:left="180" w:right="120"/>
        <w:spacing w:after="0" w:line="275" w:lineRule="auto"/>
        <w:rPr>
          <w:sz w:val="20"/>
          <w:szCs w:val="20"/>
          <w:color w:val="auto"/>
        </w:rPr>
      </w:pPr>
      <w:r>
        <w:rPr>
          <w:rFonts w:ascii="Arial" w:cs="Arial" w:eastAsia="Arial" w:hAnsi="Arial"/>
          <w:sz w:val="18"/>
          <w:szCs w:val="18"/>
          <w:color w:val="auto"/>
        </w:rPr>
        <w:t>Revenue is recognized when the customer has obtained control of the goods and it is probable that the Company will collect the consideration to which it is entitled for transferring the goods. Control is transferred upon delivery.</w:t>
      </w:r>
    </w:p>
    <w:p>
      <w:pPr>
        <w:spacing w:after="0" w:line="171" w:lineRule="exact"/>
        <w:rPr>
          <w:sz w:val="20"/>
          <w:szCs w:val="20"/>
          <w:color w:val="auto"/>
        </w:rPr>
      </w:pPr>
    </w:p>
    <w:p>
      <w:pPr>
        <w:ind w:left="180"/>
        <w:spacing w:after="0" w:line="271" w:lineRule="auto"/>
        <w:rPr>
          <w:sz w:val="20"/>
          <w:szCs w:val="20"/>
          <w:color w:val="auto"/>
        </w:rPr>
      </w:pPr>
      <w:r>
        <w:rPr>
          <w:rFonts w:ascii="Arial" w:cs="Arial" w:eastAsia="Arial" w:hAnsi="Arial"/>
          <w:sz w:val="17"/>
          <w:szCs w:val="17"/>
          <w:color w:val="auto"/>
        </w:rPr>
        <w:t>Revenue is measured at the contractual sales price, reflecting the consideration received or receivable from customers, net of value added taxes, and provisions for a variety of sales deductions including prompt pay discounts, shelf stock adjustments and applicable sales rebates attributed to various commercial arrangements, managed healthcare organizations, and government programs such as Medicaid and the 340B Drug Pricing Program (chargebacks), and co-pay arrangements. In addition, goods are principally sold under a “sale-or-return” basis, where customers may return products in line with the Company’s return policy. Sales deductions and product returns are considered variable consideration and are estimated at the time of sale using the expected value method. The amount of variable consideration that is included in the transaction price may be constrained and is included in the net contractual price only to the extent that it is probable that a significant reversal will not occur.</w:t>
      </w:r>
    </w:p>
    <w:p>
      <w:pPr>
        <w:spacing w:after="0" w:line="177" w:lineRule="exact"/>
        <w:rPr>
          <w:sz w:val="20"/>
          <w:szCs w:val="20"/>
          <w:color w:val="auto"/>
        </w:rPr>
      </w:pPr>
    </w:p>
    <w:p>
      <w:pPr>
        <w:ind w:left="180" w:right="420"/>
        <w:spacing w:after="0" w:line="306" w:lineRule="auto"/>
        <w:rPr>
          <w:sz w:val="20"/>
          <w:szCs w:val="20"/>
          <w:color w:val="auto"/>
        </w:rPr>
      </w:pPr>
      <w:r>
        <w:rPr>
          <w:rFonts w:ascii="Arial" w:cs="Arial" w:eastAsia="Arial" w:hAnsi="Arial"/>
          <w:sz w:val="17"/>
          <w:szCs w:val="17"/>
          <w:color w:val="auto"/>
        </w:rPr>
        <w:t>Unsettled sales rebates and product returns are recognized as provisions when timing or amount is uncertain. Payable amounts that are absolute are recognized as other liabilities. Sales discounts and rebates that are payable to customers are off-set in trade receivables.</w:t>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Revenue</w:t>
      </w:r>
    </w:p>
    <w:p>
      <w:pPr>
        <w:spacing w:after="0" w:line="116" w:lineRule="exact"/>
        <w:rPr>
          <w:sz w:val="20"/>
          <w:szCs w:val="20"/>
          <w:color w:val="auto"/>
        </w:rPr>
      </w:pPr>
    </w:p>
    <w:p>
      <w:pPr>
        <w:jc w:val="both"/>
        <w:ind w:left="180" w:right="340"/>
        <w:spacing w:after="0" w:line="285" w:lineRule="auto"/>
        <w:rPr>
          <w:sz w:val="20"/>
          <w:szCs w:val="20"/>
          <w:color w:val="auto"/>
        </w:rPr>
      </w:pPr>
      <w:r>
        <w:rPr>
          <w:rFonts w:ascii="Arial" w:cs="Arial" w:eastAsia="Arial" w:hAnsi="Arial"/>
          <w:sz w:val="17"/>
          <w:szCs w:val="17"/>
          <w:color w:val="auto"/>
        </w:rPr>
        <w:t>Other revenue is primarily generated from collaboration and license agreements. In addition, other revenue is generated from feasibility studies for potential partners to evaluate if TransCon technologies enable certain advantages for their product candidates of interest. Such feasibility studies are often structured as short-term agreements with fixed fees for the work that the Company performs.</w:t>
      </w:r>
    </w:p>
    <w:p>
      <w:pPr>
        <w:spacing w:after="0" w:line="165" w:lineRule="exact"/>
        <w:rPr>
          <w:sz w:val="20"/>
          <w:szCs w:val="20"/>
          <w:color w:val="auto"/>
        </w:rPr>
      </w:pPr>
    </w:p>
    <w:p>
      <w:pPr>
        <w:ind w:left="180" w:right="640"/>
        <w:spacing w:after="0" w:line="340" w:lineRule="auto"/>
        <w:rPr>
          <w:sz w:val="20"/>
          <w:szCs w:val="20"/>
          <w:color w:val="auto"/>
        </w:rPr>
      </w:pPr>
      <w:r>
        <w:rPr>
          <w:rFonts w:ascii="Arial" w:cs="Arial" w:eastAsia="Arial" w:hAnsi="Arial"/>
          <w:sz w:val="16"/>
          <w:szCs w:val="16"/>
          <w:color w:val="auto"/>
        </w:rPr>
        <w:t>When contracts with customers are entered into, the goods and/or services promised in the contract are assessed to identify distinct performance obligations. A promise in the agreement is considered a distinct performance obligation if both of the following criteria are met:</w:t>
      </w:r>
    </w:p>
    <w:p>
      <w:pPr>
        <w:spacing w:after="0" w:line="30" w:lineRule="exact"/>
        <w:rPr>
          <w:sz w:val="20"/>
          <w:szCs w:val="20"/>
          <w:color w:val="auto"/>
        </w:rPr>
      </w:pPr>
    </w:p>
    <w:p>
      <w:pPr>
        <w:ind w:left="1580" w:right="160" w:hanging="315"/>
        <w:spacing w:after="0" w:line="275" w:lineRule="auto"/>
        <w:tabs>
          <w:tab w:leader="none" w:pos="15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 and</w:t>
      </w:r>
    </w:p>
    <w:p>
      <w:pPr>
        <w:spacing w:after="0" w:line="77" w:lineRule="exact"/>
        <w:rPr>
          <w:rFonts w:ascii="Arial" w:cs="Arial" w:eastAsia="Arial" w:hAnsi="Arial"/>
          <w:sz w:val="18"/>
          <w:szCs w:val="18"/>
          <w:color w:val="auto"/>
        </w:rPr>
      </w:pPr>
    </w:p>
    <w:p>
      <w:pPr>
        <w:ind w:left="1580" w:right="440" w:hanging="315"/>
        <w:spacing w:after="0" w:line="275" w:lineRule="auto"/>
        <w:tabs>
          <w:tab w:leader="none" w:pos="15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71" w:lineRule="exact"/>
        <w:rPr>
          <w:sz w:val="20"/>
          <w:szCs w:val="20"/>
          <w:color w:val="auto"/>
        </w:rPr>
      </w:pPr>
    </w:p>
    <w:p>
      <w:pPr>
        <w:ind w:left="180" w:right="240"/>
        <w:spacing w:after="0" w:line="262" w:lineRule="auto"/>
        <w:rPr>
          <w:sz w:val="20"/>
          <w:szCs w:val="20"/>
          <w:color w:val="auto"/>
        </w:rPr>
      </w:pPr>
      <w:r>
        <w:rPr>
          <w:rFonts w:ascii="Arial" w:cs="Arial" w:eastAsia="Arial" w:hAnsi="Arial"/>
          <w:sz w:val="18"/>
          <w:szCs w:val="18"/>
          <w:color w:val="auto"/>
        </w:rPr>
        <w:t>Under collaboration, license, and other agreements that contain multiple promises to the customer, the promises are identified and accounted for as separate performance obligations if these are distinct. If promises are not distinct, those goods or services are combined with other promised goods or services until a bundle of goods or services that is distinct is identified.</w:t>
      </w:r>
    </w:p>
    <w:p>
      <w:pPr>
        <w:spacing w:after="0" w:line="183" w:lineRule="exact"/>
        <w:rPr>
          <w:sz w:val="20"/>
          <w:szCs w:val="20"/>
          <w:color w:val="auto"/>
        </w:rPr>
      </w:pPr>
    </w:p>
    <w:p>
      <w:pPr>
        <w:ind w:left="180"/>
        <w:spacing w:after="0" w:line="254" w:lineRule="auto"/>
        <w:rPr>
          <w:sz w:val="20"/>
          <w:szCs w:val="20"/>
          <w:color w:val="auto"/>
        </w:rPr>
      </w:pPr>
      <w:r>
        <w:rPr>
          <w:rFonts w:ascii="Arial" w:cs="Arial" w:eastAsia="Arial" w:hAnsi="Arial"/>
          <w:sz w:val="18"/>
          <w:szCs w:val="18"/>
          <w:color w:val="auto"/>
        </w:rPr>
        <w:t>The transaction price in the contract is measured at fair value and reflects the consideration the Company expects to be entitled to in exchange for those goods or services. In the transaction price, variable consideration, including milestone payments, is only included to the extent that it is highly probable that a significant reversal in the amount of cumulative revenue recognized will not occur when the uncertainty associated with the variable consideration is subsequently resolved. The transaction price is allocated to each performance obligation according to their stand-alone selling prices and is recognized when control of the goods or services are transferred to the customer, either over time or at a point in time, depending on the specific terms and conditions in the contracts.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revenue is stated net of value added taxes, and discounts.</w:t>
      </w:r>
    </w:p>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280" w:top="485"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6" w:lineRule="exact"/>
        <w:rPr>
          <w:sz w:val="20"/>
          <w:szCs w:val="20"/>
          <w:color w:val="auto"/>
        </w:rPr>
      </w:pPr>
    </w:p>
    <w:p>
      <w:pPr>
        <w:ind w:left="180" w:right="240"/>
        <w:spacing w:after="0" w:line="300" w:lineRule="auto"/>
        <w:rPr>
          <w:sz w:val="20"/>
          <w:szCs w:val="20"/>
          <w:color w:val="auto"/>
        </w:rPr>
      </w:pPr>
      <w:r>
        <w:rPr>
          <w:rFonts w:ascii="Arial" w:cs="Arial" w:eastAsia="Arial" w:hAnsi="Arial"/>
          <w:sz w:val="16"/>
          <w:szCs w:val="16"/>
          <w:color w:val="auto"/>
        </w:rPr>
        <w:t>Research and development costs consist primarily of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the Company’s intellectual property portfolio, and depreciation of non-current assets used in research and development activities.</w:t>
      </w:r>
    </w:p>
    <w:p>
      <w:pPr>
        <w:spacing w:after="0" w:line="156" w:lineRule="exact"/>
        <w:rPr>
          <w:sz w:val="20"/>
          <w:szCs w:val="20"/>
          <w:color w:val="auto"/>
        </w:rPr>
      </w:pPr>
    </w:p>
    <w:p>
      <w:pPr>
        <w:ind w:left="180" w:right="20"/>
        <w:spacing w:after="0" w:line="262" w:lineRule="auto"/>
        <w:rPr>
          <w:sz w:val="20"/>
          <w:szCs w:val="20"/>
          <w:color w:val="auto"/>
        </w:rPr>
      </w:pPr>
      <w:r>
        <w:rPr>
          <w:rFonts w:ascii="Arial" w:cs="Arial" w:eastAsia="Arial" w:hAnsi="Arial"/>
          <w:sz w:val="18"/>
          <w:szCs w:val="18"/>
          <w:color w:val="auto"/>
        </w:rPr>
        <w:t>Research costs are incurred at the early stages of the drug development cycle from the initial drug discovery and include a variety of preclinical research activities in order to assess potential drug candidates in non-human subjects, prior to filing an Investigational New Drug Application (“IND”), or equivalent. Research costs are recognized in the consolidated statement of profit or loss when incurred.</w:t>
      </w:r>
    </w:p>
    <w:p>
      <w:pPr>
        <w:spacing w:after="0" w:line="183" w:lineRule="exact"/>
        <w:rPr>
          <w:sz w:val="20"/>
          <w:szCs w:val="20"/>
          <w:color w:val="auto"/>
        </w:rPr>
      </w:pPr>
    </w:p>
    <w:p>
      <w:pPr>
        <w:ind w:left="180"/>
        <w:spacing w:after="0" w:line="272" w:lineRule="auto"/>
        <w:rPr>
          <w:sz w:val="20"/>
          <w:szCs w:val="20"/>
          <w:color w:val="auto"/>
        </w:rPr>
      </w:pPr>
      <w:r>
        <w:rPr>
          <w:rFonts w:ascii="Arial" w:cs="Arial" w:eastAsia="Arial" w:hAnsi="Arial"/>
          <w:sz w:val="17"/>
          <w:szCs w:val="17"/>
          <w:color w:val="auto"/>
        </w:rPr>
        <w:t>Development activities relate to activities following an IND, or equivalent, and typically involves a single product candidate undergoing a series of studies to illustrate its safety profile and effect on human beings prior to obtaining the necessary approval from the appropriate authorities. Development activities comprise drug candidates undergoing clinical trials starting in phase I (first time drug is administrated in a small group of humans), and further into Phase II and III, which include administration of drugs in large patient groups. Following, and depending on clinical trial results, a Biologic License Application (“BLA”) may be submitted to the authorities, to apply for marketing approval, which, with a positive outcome will permit the Company to market and sell the drug products. Long-term extension trials may be ongoing following submission of a BLA.</w:t>
      </w:r>
    </w:p>
    <w:p>
      <w:pPr>
        <w:spacing w:after="0" w:line="177" w:lineRule="exact"/>
        <w:rPr>
          <w:sz w:val="20"/>
          <w:szCs w:val="20"/>
          <w:color w:val="auto"/>
        </w:rPr>
      </w:pPr>
    </w:p>
    <w:p>
      <w:pPr>
        <w:ind w:left="180" w:right="20"/>
        <w:spacing w:after="0" w:line="262" w:lineRule="auto"/>
        <w:rPr>
          <w:sz w:val="20"/>
          <w:szCs w:val="20"/>
          <w:color w:val="auto"/>
        </w:rPr>
      </w:pPr>
      <w:r>
        <w:rPr>
          <w:rFonts w:ascii="Arial" w:cs="Arial" w:eastAsia="Arial" w:hAnsi="Arial"/>
          <w:sz w:val="18"/>
          <w:szCs w:val="18"/>
          <w:color w:val="auto"/>
        </w:rPr>
        <w:t>Development costs also include manufacturing costs related to validation batches, or process performance qualification batches on development product candidates, and write-downs of inventories manufactured for late-stage development product candidates prior to marketing approval being obtained (pre-launch inventories).</w:t>
      </w:r>
    </w:p>
    <w:p>
      <w:pPr>
        <w:spacing w:after="0" w:line="183" w:lineRule="exact"/>
        <w:rPr>
          <w:sz w:val="20"/>
          <w:szCs w:val="20"/>
          <w:color w:val="auto"/>
        </w:rPr>
      </w:pPr>
    </w:p>
    <w:p>
      <w:pPr>
        <w:ind w:left="180" w:right="80"/>
        <w:spacing w:after="0" w:line="310" w:lineRule="auto"/>
        <w:rPr>
          <w:sz w:val="20"/>
          <w:szCs w:val="20"/>
          <w:color w:val="auto"/>
        </w:rPr>
      </w:pPr>
      <w:r>
        <w:rPr>
          <w:rFonts w:ascii="Arial" w:cs="Arial" w:eastAsia="Arial" w:hAnsi="Arial"/>
          <w:sz w:val="16"/>
          <w:szCs w:val="16"/>
          <w:color w:val="auto"/>
        </w:rPr>
        <w:t>Due to the risk related to the development of pharmaceutical products, the Company cannot estimate the future economic benefits associated with individual development activities with sufficient certainty until the development activities have been finalized and the necessary market approval of the final product has been obtained. As a consequence, all development costs are recognized in the consolidated statement of profit or loss when incurred.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6" w:lineRule="exact"/>
        <w:rPr>
          <w:sz w:val="20"/>
          <w:szCs w:val="20"/>
          <w:color w:val="auto"/>
        </w:rPr>
      </w:pPr>
    </w:p>
    <w:p>
      <w:pPr>
        <w:ind w:left="180" w:right="240"/>
        <w:spacing w:after="0" w:line="285" w:lineRule="auto"/>
        <w:rPr>
          <w:sz w:val="20"/>
          <w:szCs w:val="20"/>
          <w:color w:val="auto"/>
        </w:rPr>
      </w:pPr>
      <w:r>
        <w:rPr>
          <w:rFonts w:ascii="Arial" w:cs="Arial" w:eastAsia="Arial" w:hAnsi="Arial"/>
          <w:sz w:val="17"/>
          <w:szCs w:val="17"/>
          <w:color w:val="auto"/>
        </w:rPr>
        <w:t>Selling, general and administrative expenses comprise salaries and other personnel costs including pension and share-based payment, office supplies, cost of facilities, professional fees, and depreciation of non-current assets related to such activities, and commercial activities. Selling, general and administrative expenses are recognized in the consolidated statement of profit or loss when incurred.</w:t>
      </w: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Incentive Programs</w:t>
      </w:r>
    </w:p>
    <w:p>
      <w:pPr>
        <w:spacing w:after="0" w:line="116" w:lineRule="exact"/>
        <w:rPr>
          <w:sz w:val="20"/>
          <w:szCs w:val="20"/>
          <w:color w:val="auto"/>
        </w:rPr>
      </w:pPr>
    </w:p>
    <w:p>
      <w:pPr>
        <w:ind w:left="180" w:right="100"/>
        <w:spacing w:after="0" w:line="275" w:lineRule="auto"/>
        <w:rPr>
          <w:sz w:val="20"/>
          <w:szCs w:val="20"/>
          <w:color w:val="auto"/>
        </w:rPr>
      </w:pPr>
      <w:r>
        <w:rPr>
          <w:rFonts w:ascii="Arial" w:cs="Arial" w:eastAsia="Arial" w:hAnsi="Arial"/>
          <w:sz w:val="18"/>
          <w:szCs w:val="18"/>
          <w:color w:val="auto"/>
        </w:rPr>
        <w:t>Share-based incentive programs comprise warrant programs and Restricted Stock Unit programs (“RSU-programs”) and are classified as equity-settled share-based payment transactions.</w:t>
      </w:r>
    </w:p>
    <w:p>
      <w:pPr>
        <w:spacing w:after="0" w:line="171" w:lineRule="exact"/>
        <w:rPr>
          <w:sz w:val="20"/>
          <w:szCs w:val="20"/>
          <w:color w:val="auto"/>
        </w:rPr>
      </w:pPr>
    </w:p>
    <w:p>
      <w:pPr>
        <w:ind w:left="180"/>
        <w:spacing w:after="0" w:line="262" w:lineRule="auto"/>
        <w:rPr>
          <w:sz w:val="20"/>
          <w:szCs w:val="20"/>
          <w:color w:val="auto"/>
        </w:rPr>
      </w:pPr>
      <w:r>
        <w:rPr>
          <w:rFonts w:ascii="Arial" w:cs="Arial" w:eastAsia="Arial" w:hAnsi="Arial"/>
          <w:sz w:val="18"/>
          <w:szCs w:val="18"/>
          <w:color w:val="auto"/>
        </w:rPr>
        <w:t>The cost of equity-settled transactions is determined by the fair value at the date of grant. For warrant programs, the fair value of each warrant granted is determined using the Black-Scholes valuation model. For RSU-programs, the fair value of each RSU granted is equal to the average share price on the date of grant of the underlying ADS.</w:t>
      </w:r>
    </w:p>
    <w:p>
      <w:pPr>
        <w:spacing w:after="0" w:line="183" w:lineRule="exact"/>
        <w:rPr>
          <w:sz w:val="20"/>
          <w:szCs w:val="20"/>
          <w:color w:val="auto"/>
        </w:rPr>
      </w:pPr>
    </w:p>
    <w:p>
      <w:pPr>
        <w:ind w:left="180" w:right="100"/>
        <w:spacing w:after="0" w:line="258" w:lineRule="auto"/>
        <w:rPr>
          <w:sz w:val="20"/>
          <w:szCs w:val="20"/>
          <w:color w:val="auto"/>
        </w:rPr>
      </w:pPr>
      <w:r>
        <w:rPr>
          <w:rFonts w:ascii="Arial" w:cs="Arial" w:eastAsia="Arial" w:hAnsi="Arial"/>
          <w:sz w:val="18"/>
          <w:szCs w:val="18"/>
          <w:color w:val="auto"/>
        </w:rPr>
        <w:t>The cost is recognized together with a corresponding increase in equity over the period in which the performance and/or service conditions are fulfilled (i.e., the vesting period). The fair value determined at the grant date of the equity-settled share-based payment is expensed on a straight-line basis over the vesting period for each tranche, based on the best estimate of the number of equity instruments that will ultimately vest. No expense is recognized for grants that do not ultimately vest.</w:t>
      </w:r>
    </w:p>
    <w:p>
      <w:pPr>
        <w:spacing w:after="0" w:line="186" w:lineRule="exact"/>
        <w:rPr>
          <w:sz w:val="20"/>
          <w:szCs w:val="20"/>
          <w:color w:val="auto"/>
        </w:rPr>
      </w:pPr>
    </w:p>
    <w:p>
      <w:pPr>
        <w:ind w:left="180" w:right="180"/>
        <w:spacing w:after="0" w:line="275" w:lineRule="auto"/>
        <w:rPr>
          <w:sz w:val="20"/>
          <w:szCs w:val="20"/>
          <w:color w:val="auto"/>
        </w:rPr>
      </w:pPr>
      <w:r>
        <w:rPr>
          <w:rFonts w:ascii="Arial" w:cs="Arial" w:eastAsia="Arial" w:hAnsi="Arial"/>
          <w:sz w:val="18"/>
          <w:szCs w:val="18"/>
          <w:color w:val="auto"/>
        </w:rPr>
        <w:t>Where an equity-settled grant is cancelled other than upon forfeiture when vesting conditions are not satisfied, the grant is treated as if it vested on the date of the cancellation, and any expense not yet recognized for the grant is recognized immediately.</w:t>
      </w:r>
    </w:p>
    <w:p>
      <w:pPr>
        <w:spacing w:after="0" w:line="171" w:lineRule="exact"/>
        <w:rPr>
          <w:sz w:val="20"/>
          <w:szCs w:val="20"/>
          <w:color w:val="auto"/>
        </w:rPr>
      </w:pPr>
    </w:p>
    <w:p>
      <w:pPr>
        <w:ind w:left="180" w:right="360"/>
        <w:spacing w:after="0" w:line="256" w:lineRule="auto"/>
        <w:rPr>
          <w:sz w:val="20"/>
          <w:szCs w:val="20"/>
          <w:color w:val="auto"/>
        </w:rPr>
      </w:pPr>
      <w:r>
        <w:rPr>
          <w:rFonts w:ascii="Arial" w:cs="Arial" w:eastAsia="Arial" w:hAnsi="Arial"/>
          <w:sz w:val="18"/>
          <w:szCs w:val="18"/>
          <w:color w:val="auto"/>
        </w:rPr>
        <w:t>Where the terms and conditions for an equity-settled grant is modified, the services measured at the grant date fair value over the vesting period are recognized, subject to performance and/or service conditions that was specified at the initial grant date(s). Additionally, at the date of modification, unvested grants are re-measured and any increase in the total fair value is recognized over the vesting period. If a new grant is substituted for the cancelled grant and designated as a replacement grant on the date that it is granted, the cancelled and new grants are treated as if they were a modification of the original grant.</w:t>
      </w:r>
    </w:p>
    <w:p>
      <w:pPr>
        <w:spacing w:after="0" w:line="188" w:lineRule="exact"/>
        <w:rPr>
          <w:sz w:val="20"/>
          <w:szCs w:val="20"/>
          <w:color w:val="auto"/>
        </w:rPr>
      </w:pPr>
    </w:p>
    <w:p>
      <w:pPr>
        <w:ind w:left="180" w:right="540"/>
        <w:spacing w:after="0" w:line="340" w:lineRule="auto"/>
        <w:rPr>
          <w:sz w:val="20"/>
          <w:szCs w:val="20"/>
          <w:color w:val="auto"/>
        </w:rPr>
      </w:pPr>
      <w:r>
        <w:rPr>
          <w:rFonts w:ascii="Arial" w:cs="Arial" w:eastAsia="Arial" w:hAnsi="Arial"/>
          <w:sz w:val="16"/>
          <w:szCs w:val="16"/>
          <w:color w:val="auto"/>
        </w:rPr>
        <w:t>Any social security contributions payable in connection with the grant or exercise of the warrants are recognized as expenses when incurred. The assumptions used for estimating the fair value of share-based payment transactions are disclosed in Note 7 “Share-based Payment”.</w:t>
      </w:r>
    </w:p>
    <w:p>
      <w:pPr>
        <w:spacing w:after="0" w:line="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280" w:top="485"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Finance Income and Expenses</w:t>
      </w:r>
    </w:p>
    <w:p>
      <w:pPr>
        <w:spacing w:after="0" w:line="116" w:lineRule="exact"/>
        <w:rPr>
          <w:sz w:val="20"/>
          <w:szCs w:val="20"/>
          <w:color w:val="auto"/>
        </w:rPr>
      </w:pPr>
    </w:p>
    <w:p>
      <w:pPr>
        <w:ind w:left="140" w:right="620"/>
        <w:spacing w:after="0" w:line="275" w:lineRule="auto"/>
        <w:rPr>
          <w:sz w:val="20"/>
          <w:szCs w:val="20"/>
          <w:color w:val="auto"/>
        </w:rPr>
      </w:pPr>
      <w:r>
        <w:rPr>
          <w:rFonts w:ascii="Arial" w:cs="Arial" w:eastAsia="Arial" w:hAnsi="Arial"/>
          <w:sz w:val="18"/>
          <w:szCs w:val="18"/>
          <w:color w:val="auto"/>
        </w:rPr>
        <w:t>Finance income and expenses comprise interest income and expenses and realized and unrealized exchange rate gains and losses on transactions denominated in foreign currencies.</w:t>
      </w:r>
    </w:p>
    <w:p>
      <w:pPr>
        <w:spacing w:after="0" w:line="171" w:lineRule="exact"/>
        <w:rPr>
          <w:sz w:val="20"/>
          <w:szCs w:val="20"/>
          <w:color w:val="auto"/>
        </w:rPr>
      </w:pPr>
    </w:p>
    <w:p>
      <w:pPr>
        <w:ind w:left="140" w:right="40"/>
        <w:spacing w:after="0" w:line="262" w:lineRule="auto"/>
        <w:rPr>
          <w:sz w:val="20"/>
          <w:szCs w:val="20"/>
          <w:color w:val="auto"/>
        </w:rPr>
      </w:pPr>
      <w:r>
        <w:rPr>
          <w:rFonts w:ascii="Arial" w:cs="Arial" w:eastAsia="Arial" w:hAnsi="Arial"/>
          <w:sz w:val="18"/>
          <w:szCs w:val="18"/>
          <w:color w:val="auto"/>
        </w:rPr>
        <w:t>Interest income and interest expenses are stated on an accrual basis using the principal and the effective interest rate. The effective interest rate is the discount rate that is used to discount expected future cash payments or receipts through the expected life of the financial asset or financial liability to the amortized cost (the carrying amount) of such asset or liability.</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116" w:lineRule="exact"/>
        <w:rPr>
          <w:sz w:val="20"/>
          <w:szCs w:val="20"/>
          <w:color w:val="auto"/>
        </w:rPr>
      </w:pPr>
    </w:p>
    <w:p>
      <w:pPr>
        <w:ind w:left="140" w:right="220"/>
        <w:spacing w:after="0" w:line="278" w:lineRule="auto"/>
        <w:rPr>
          <w:sz w:val="20"/>
          <w:szCs w:val="20"/>
          <w:color w:val="auto"/>
        </w:rPr>
      </w:pPr>
      <w:r>
        <w:rPr>
          <w:rFonts w:ascii="Arial" w:cs="Arial" w:eastAsia="Arial" w:hAnsi="Arial"/>
          <w:sz w:val="17"/>
          <w:szCs w:val="17"/>
          <w:color w:val="auto"/>
        </w:rPr>
        <w:t>Tax for the year, which consists of current tax for the year and changes in deferred tax, is recognized in the consolidated statement of profit or loss by the portion attributable to the profit or loss for the year and recognized directly in equity or other comprehensive income by the portion attributable to entries directly in equity and in other comprehensive income. The current tax payable or receivable is recognized in the consolidated statement of financial position, stated as tax computed on this year’s taxable income, adjusted for prepaid tax.</w:t>
      </w:r>
    </w:p>
    <w:p>
      <w:pPr>
        <w:spacing w:after="0" w:line="170" w:lineRule="exact"/>
        <w:rPr>
          <w:sz w:val="20"/>
          <w:szCs w:val="20"/>
          <w:color w:val="auto"/>
        </w:rPr>
      </w:pPr>
    </w:p>
    <w:p>
      <w:pPr>
        <w:ind w:left="140" w:right="200"/>
        <w:spacing w:after="0" w:line="258" w:lineRule="auto"/>
        <w:rPr>
          <w:sz w:val="20"/>
          <w:szCs w:val="20"/>
          <w:color w:val="auto"/>
        </w:rPr>
      </w:pPr>
      <w:r>
        <w:rPr>
          <w:rFonts w:ascii="Arial" w:cs="Arial" w:eastAsia="Arial" w:hAnsi="Arial"/>
          <w:sz w:val="18"/>
          <w:szCs w:val="18"/>
          <w:color w:val="auto"/>
        </w:rPr>
        <w:t>When computing the current tax for the year, the tax rates and tax rules enacted or substantially enacted at the reporting date are used. Current tax payable is based on taxable profit or loss for the year. Taxable profit or loss differs from net profit or loss as reported in the consolidated statements of profit or loss because it excludes items of income or expense that are taxable or deductible in prior or future years. In addition, taxable profit or loss excludes items that are never taxable or deductible.</w:t>
      </w:r>
    </w:p>
    <w:p>
      <w:pPr>
        <w:spacing w:after="0" w:line="186" w:lineRule="exact"/>
        <w:rPr>
          <w:sz w:val="20"/>
          <w:szCs w:val="20"/>
          <w:color w:val="auto"/>
        </w:rPr>
      </w:pPr>
    </w:p>
    <w:p>
      <w:pPr>
        <w:ind w:left="140" w:right="160"/>
        <w:spacing w:after="0" w:line="258" w:lineRule="auto"/>
        <w:rPr>
          <w:sz w:val="20"/>
          <w:szCs w:val="20"/>
          <w:color w:val="auto"/>
        </w:rPr>
      </w:pPr>
      <w:r>
        <w:rPr>
          <w:rFonts w:ascii="Arial" w:cs="Arial" w:eastAsia="Arial" w:hAnsi="Arial"/>
          <w:sz w:val="18"/>
          <w:szCs w:val="18"/>
          <w:color w:val="auto"/>
        </w:rPr>
        <w:t>Deferred tax is recognized according to the balance sheet liability method of all temporary differences between carrying amounts and tax-based values of assets and liabilities, apart from deferred tax on all temporary differences occurring on initial recognition of goodwill or on initial recognition of a transaction which is not a business combination, and for which the temporary difference found at the time of initial recognition neither affects profit or loss nor taxable income.</w:t>
      </w:r>
    </w:p>
    <w:p>
      <w:pPr>
        <w:spacing w:after="0" w:line="186" w:lineRule="exact"/>
        <w:rPr>
          <w:sz w:val="20"/>
          <w:szCs w:val="20"/>
          <w:color w:val="auto"/>
        </w:rPr>
      </w:pPr>
    </w:p>
    <w:p>
      <w:pPr>
        <w:jc w:val="both"/>
        <w:ind w:left="140"/>
        <w:spacing w:after="0" w:line="340" w:lineRule="auto"/>
        <w:rPr>
          <w:sz w:val="20"/>
          <w:szCs w:val="20"/>
          <w:color w:val="auto"/>
        </w:rPr>
      </w:pPr>
      <w:r>
        <w:rPr>
          <w:rFonts w:ascii="Arial" w:cs="Arial" w:eastAsia="Arial" w:hAnsi="Arial"/>
          <w:sz w:val="16"/>
          <w:szCs w:val="16"/>
          <w:color w:val="auto"/>
        </w:rPr>
        <w:t>Deferred tax liabilities are recognized on all temporary differences related to investments in subsidiaries and/or associates, unless the Company is able to control when the deferred tax is realized, and it is probable that the deferred tax will not become due and payable as current tax in the foreseeable future.</w:t>
      </w:r>
    </w:p>
    <w:p>
      <w:pPr>
        <w:spacing w:after="0" w:line="124" w:lineRule="exact"/>
        <w:rPr>
          <w:sz w:val="20"/>
          <w:szCs w:val="20"/>
          <w:color w:val="auto"/>
        </w:rPr>
      </w:pPr>
    </w:p>
    <w:p>
      <w:pPr>
        <w:ind w:left="140" w:right="140"/>
        <w:spacing w:after="0" w:line="256" w:lineRule="auto"/>
        <w:rPr>
          <w:sz w:val="20"/>
          <w:szCs w:val="20"/>
          <w:color w:val="auto"/>
        </w:rPr>
      </w:pPr>
      <w:r>
        <w:rPr>
          <w:rFonts w:ascii="Arial" w:cs="Arial" w:eastAsia="Arial" w:hAnsi="Arial"/>
          <w:sz w:val="18"/>
          <w:szCs w:val="18"/>
          <w:color w:val="auto"/>
        </w:rPr>
        <w:t>Deferred tax assets, including the tax base of tax loss carry forwards, are recognized in the statement of financial position at their estimated realizable value, either as a set-off against deferred tax liabilities or as net tax assets for offset against future positive taxable income. Deferred tax assets are only offset against deferred tax liabilities if the entity has a legally enforceable right to offset, and the deferred tax assets and deferred tax liabilities relate to income taxes levied by the same tax jurisdiction. Deferred tax is calculated based on the planned use of each asset and the settlement of each liability, respectively.</w:t>
      </w:r>
    </w:p>
    <w:p>
      <w:pPr>
        <w:spacing w:after="0" w:line="188" w:lineRule="exact"/>
        <w:rPr>
          <w:sz w:val="20"/>
          <w:szCs w:val="20"/>
          <w:color w:val="auto"/>
        </w:rPr>
      </w:pPr>
    </w:p>
    <w:p>
      <w:pPr>
        <w:ind w:left="140" w:right="20"/>
        <w:spacing w:after="0" w:line="295" w:lineRule="auto"/>
        <w:rPr>
          <w:sz w:val="20"/>
          <w:szCs w:val="20"/>
          <w:color w:val="auto"/>
        </w:rPr>
      </w:pPr>
      <w:r>
        <w:rPr>
          <w:rFonts w:ascii="Arial" w:cs="Arial" w:eastAsia="Arial" w:hAnsi="Arial"/>
          <w:sz w:val="16"/>
          <w:szCs w:val="16"/>
          <w:color w:val="auto"/>
        </w:rPr>
        <w:t>Deferred tax is measured using the tax rates and tax rules in the relevant countries that, based on acts in force or acts in reality in force at the reporting date are expected to apply when the deferred tax is expected to crystallize as current tax. Changes in deferred tax resulting from changed tax rates or tax rules are recognized in the consolidated statement of profit or loss unless the deferred tax is attributable to transactions previously recognized directly in equity or other comprehensive income. In the latter case, such changes are also recognized in equity or other comprehensive income. On every reporting date, it is assessed whether sufficient taxable income is likely to arise in the future for the deferred tax asset to be utilized.</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Goodwill</w:t>
      </w:r>
    </w:p>
    <w:p>
      <w:pPr>
        <w:spacing w:after="0" w:line="116" w:lineRule="exact"/>
        <w:rPr>
          <w:sz w:val="20"/>
          <w:szCs w:val="20"/>
          <w:color w:val="auto"/>
        </w:rPr>
      </w:pPr>
    </w:p>
    <w:p>
      <w:pPr>
        <w:ind w:left="140" w:right="400"/>
        <w:spacing w:after="0" w:line="275" w:lineRule="auto"/>
        <w:rPr>
          <w:sz w:val="20"/>
          <w:szCs w:val="20"/>
          <w:color w:val="auto"/>
        </w:rPr>
      </w:pPr>
      <w:r>
        <w:rPr>
          <w:rFonts w:ascii="Arial" w:cs="Arial" w:eastAsia="Arial" w:hAnsi="Arial"/>
          <w:sz w:val="18"/>
          <w:szCs w:val="18"/>
          <w:color w:val="auto"/>
        </w:rPr>
        <w:t>Goodwill acquired in a business combination is initially measured at cost, being the excess of the aggregate of the consideration transferred and the amount recognized for non-controlling interests over the net identifiable assets acquired and liabilities assumed.</w:t>
      </w:r>
    </w:p>
    <w:p>
      <w:pPr>
        <w:spacing w:after="0" w:line="171" w:lineRule="exact"/>
        <w:rPr>
          <w:sz w:val="20"/>
          <w:szCs w:val="20"/>
          <w:color w:val="auto"/>
        </w:rPr>
      </w:pPr>
    </w:p>
    <w:p>
      <w:pPr>
        <w:ind w:left="140" w:right="200"/>
        <w:spacing w:after="0" w:line="256" w:lineRule="auto"/>
        <w:rPr>
          <w:sz w:val="20"/>
          <w:szCs w:val="20"/>
          <w:color w:val="auto"/>
        </w:rPr>
      </w:pPr>
      <w:r>
        <w:rPr>
          <w:rFonts w:ascii="Arial" w:cs="Arial" w:eastAsia="Arial" w:hAnsi="Arial"/>
          <w:sz w:val="18"/>
          <w:szCs w:val="18"/>
          <w:color w:val="auto"/>
        </w:rPr>
        <w:t>After initial recognition, goodwill is measured at cost less any accumulated impairment losses. Goodwill is not amortized but is subject to impairment testing at least on a yearly basis. For the purpose of impairment testing, goodwill acquired in a business combination is allocated to each of the cash-generating units, or group of cash-generating units, that are expected to benefit from the synergies of the combination. Each cash-generating unit or group of cash-generating units to which goodwill is allocated represent the lowest level within the Company at which the goodwill is monitored for internal management purposes.</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Software</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Software assets comprise administrative applications and serve general purposes to support the Company’s operations.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85"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right="400"/>
        <w:spacing w:after="0" w:line="290" w:lineRule="auto"/>
        <w:rPr>
          <w:sz w:val="20"/>
          <w:szCs w:val="20"/>
          <w:color w:val="auto"/>
        </w:rPr>
      </w:pPr>
      <w:r>
        <w:rPr>
          <w:rFonts w:ascii="Arial" w:cs="Arial" w:eastAsia="Arial" w:hAnsi="Arial"/>
          <w:sz w:val="16"/>
          <w:szCs w:val="16"/>
          <w:color w:val="auto"/>
        </w:rPr>
        <w:t>Development costs that are directly attributable to the design, customization, implementation, and testing of identifiable and unique software assets controlled by the Company are recognized as intangible assets from the time that; (1) the software asset is clearly defined and identifiable;</w:t>
      </w:r>
    </w:p>
    <w:p>
      <w:pPr>
        <w:ind w:left="180" w:hanging="5"/>
        <w:spacing w:after="0" w:line="252" w:lineRule="auto"/>
        <w:tabs>
          <w:tab w:leader="none" w:pos="43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technological feasibility, adequate resources to complete, and an internal use of the software asset can be demonstrated; (3) the expenditure attributable to the software asset can be measured reliably; and (4) the Company has the intention to use the software asset internally. The Company does not capitalize software with no alternative use, or where economic benefit depends on marketing approvals of drug candidates and where marketing approvals have not been obtained.</w:t>
      </w:r>
    </w:p>
    <w:p>
      <w:pPr>
        <w:spacing w:after="0" w:line="192" w:lineRule="exact"/>
        <w:rPr>
          <w:sz w:val="20"/>
          <w:szCs w:val="20"/>
          <w:color w:val="auto"/>
        </w:rPr>
      </w:pPr>
    </w:p>
    <w:p>
      <w:pPr>
        <w:ind w:left="180" w:right="100"/>
        <w:spacing w:after="0" w:line="295" w:lineRule="auto"/>
        <w:rPr>
          <w:sz w:val="20"/>
          <w:szCs w:val="20"/>
          <w:color w:val="auto"/>
        </w:rPr>
      </w:pPr>
      <w:r>
        <w:rPr>
          <w:rFonts w:ascii="Arial" w:cs="Arial" w:eastAsia="Arial" w:hAnsi="Arial"/>
          <w:sz w:val="16"/>
          <w:szCs w:val="16"/>
          <w:color w:val="auto"/>
        </w:rPr>
        <w:t>Following initial recognition of the development expenditure as an asset, the asset is carried at cost less any accumulated amortization and accumulated impairment losses. Amortization of the asset begins when the development is complete, and the asset is available for use. Software assets are amortized over the period of expected future benefits. Amortization is recognized in research and development costs, and selling, general and administrative expenses, as appropriate. During the period of development, the asset is tested for impairment, at least annually, or if there are indications that the asset is impaired. Expenditures, that do not meet the criteria above are recognized as an expense as incurred.</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6" w:lineRule="exact"/>
        <w:rPr>
          <w:sz w:val="20"/>
          <w:szCs w:val="20"/>
          <w:color w:val="auto"/>
        </w:rPr>
      </w:pPr>
    </w:p>
    <w:p>
      <w:pPr>
        <w:ind w:left="180" w:right="440"/>
        <w:spacing w:after="0" w:line="275" w:lineRule="auto"/>
        <w:rPr>
          <w:sz w:val="20"/>
          <w:szCs w:val="20"/>
          <w:color w:val="auto"/>
        </w:rPr>
      </w:pPr>
      <w:r>
        <w:rPr>
          <w:rFonts w:ascii="Arial" w:cs="Arial" w:eastAsia="Arial" w:hAnsi="Arial"/>
          <w:sz w:val="18"/>
          <w:szCs w:val="18"/>
          <w:color w:val="auto"/>
        </w:rPr>
        <w:t>Property, plant and equipment primarily comprises leasehold improvements, office facilities, and process equipment and tools which are located at CMOs. Property, plant and equipment also includes right-of-use assets. Refer to the separate section “Leases”.</w:t>
      </w:r>
    </w:p>
    <w:p>
      <w:pPr>
        <w:spacing w:after="0" w:line="171" w:lineRule="exact"/>
        <w:rPr>
          <w:sz w:val="20"/>
          <w:szCs w:val="20"/>
          <w:color w:val="auto"/>
        </w:rPr>
      </w:pPr>
    </w:p>
    <w:p>
      <w:pPr>
        <w:ind w:left="180" w:right="80"/>
        <w:spacing w:after="0" w:line="274" w:lineRule="auto"/>
        <w:rPr>
          <w:sz w:val="20"/>
          <w:szCs w:val="20"/>
          <w:color w:val="auto"/>
        </w:rPr>
      </w:pPr>
      <w:r>
        <w:rPr>
          <w:rFonts w:ascii="Arial" w:cs="Arial" w:eastAsia="Arial" w:hAnsi="Arial"/>
          <w:sz w:val="17"/>
          <w:szCs w:val="17"/>
          <w:color w:val="auto"/>
        </w:rPr>
        <w:t>Property, plant and equipment is measured at cost less accumulated depreciation and impairment losses. Cost comprises the acquisition price, costs directly attributable to the acquisition and preparation costs of the asset until the time when it is ready to be used in operation. Subsequent costs are included in the carrying amount of the asset or recognized as a separate asset, as appropriate, only when it is probable that future economic benefits associated with the assets will flow to the Company and the costs of the items can be measured reliably. All repair and maintenance costs are charged to the consolidated statement of profit or loss during the financial periods in which they are incurred.</w:t>
      </w:r>
    </w:p>
    <w:p>
      <w:pPr>
        <w:spacing w:after="0" w:line="176" w:lineRule="exact"/>
        <w:rPr>
          <w:sz w:val="20"/>
          <w:szCs w:val="20"/>
          <w:color w:val="auto"/>
        </w:rPr>
      </w:pPr>
    </w:p>
    <w:p>
      <w:pPr>
        <w:ind w:left="180" w:right="500"/>
        <w:spacing w:after="0" w:line="285" w:lineRule="auto"/>
        <w:rPr>
          <w:sz w:val="20"/>
          <w:szCs w:val="20"/>
          <w:color w:val="auto"/>
        </w:rPr>
      </w:pPr>
      <w:r>
        <w:rPr>
          <w:rFonts w:ascii="Arial" w:cs="Arial" w:eastAsia="Arial" w:hAnsi="Arial"/>
          <w:sz w:val="17"/>
          <w:szCs w:val="17"/>
          <w:color w:val="auto"/>
        </w:rPr>
        <w:t>Plant and equipment acquired for research and development activities with alternative use, which is expected to be used for more than one year, is capitalized and depreciated over the estimated useful life as research and development costs. Plant and equipment acquired for research and development activities, which has no alternative use, is recognized as research and development costs when incurred.</w:t>
      </w:r>
    </w:p>
    <w:p>
      <w:pPr>
        <w:spacing w:after="0" w:line="165" w:lineRule="exact"/>
        <w:rPr>
          <w:sz w:val="20"/>
          <w:szCs w:val="20"/>
          <w:color w:val="auto"/>
        </w:rPr>
      </w:pPr>
    </w:p>
    <w:p>
      <w:pPr>
        <w:ind w:left="180" w:right="180"/>
        <w:spacing w:after="0" w:line="275" w:lineRule="auto"/>
        <w:rPr>
          <w:sz w:val="20"/>
          <w:szCs w:val="20"/>
          <w:color w:val="auto"/>
        </w:rPr>
      </w:pPr>
      <w:r>
        <w:rPr>
          <w:rFonts w:ascii="Arial" w:cs="Arial" w:eastAsia="Arial" w:hAnsi="Arial"/>
          <w:sz w:val="18"/>
          <w:szCs w:val="18"/>
          <w:color w:val="auto"/>
        </w:rPr>
        <w:t>If the acquisition or use of the asset involves an obligation to incur costs of decommissioning or restoration of the asset, the estimated related costs are recognized as a provision and as part of the relevant asset’s cost, respectively.</w:t>
      </w:r>
    </w:p>
    <w:p>
      <w:pPr>
        <w:spacing w:after="0" w:line="171" w:lineRule="exact"/>
        <w:rPr>
          <w:sz w:val="20"/>
          <w:szCs w:val="20"/>
          <w:color w:val="auto"/>
        </w:rPr>
      </w:pPr>
    </w:p>
    <w:p>
      <w:pPr>
        <w:ind w:left="180"/>
        <w:spacing w:after="0" w:line="300" w:lineRule="auto"/>
        <w:rPr>
          <w:sz w:val="20"/>
          <w:szCs w:val="20"/>
          <w:color w:val="auto"/>
        </w:rPr>
      </w:pPr>
      <w:r>
        <w:rPr>
          <w:rFonts w:ascii="Arial" w:cs="Arial" w:eastAsia="Arial" w:hAnsi="Arial"/>
          <w:sz w:val="16"/>
          <w:szCs w:val="16"/>
          <w:color w:val="auto"/>
        </w:rPr>
        <w:t>The basis for depreciation is cost less estimated residual value. The residual value is the estimated amount that would be earned if selling the asset today net of selling costs, assuming that the asset is of an age and a condition that is expected after the end of its useful life. Cost of a combined asset is divided into smaller components, with such significant components depreciated individually if their useful lives vary. Depreciation commences when the asset is available for use, which is when it is in the location and condition necessary for it to be capable of operating in the manner intended.</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280" w:top="485" w:right="47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92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20" w:type="dxa"/>
            <w:vAlign w:val="bottom"/>
          </w:tcPr>
          <w:p>
            <w:pPr>
              <w:spacing w:after="0"/>
              <w:rPr>
                <w:sz w:val="17"/>
                <w:szCs w:val="17"/>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32"/>
        </w:trPr>
        <w:tc>
          <w:tcPr>
            <w:tcW w:w="9260" w:type="dxa"/>
            <w:vAlign w:val="bottom"/>
            <w:gridSpan w:val="3"/>
          </w:tcPr>
          <w:p>
            <w:pPr>
              <w:ind w:left="180"/>
              <w:spacing w:after="0"/>
              <w:rPr>
                <w:sz w:val="20"/>
                <w:szCs w:val="20"/>
                <w:color w:val="auto"/>
              </w:rPr>
            </w:pPr>
            <w:r>
              <w:rPr>
                <w:rFonts w:ascii="Arial" w:cs="Arial" w:eastAsia="Arial" w:hAnsi="Arial"/>
                <w:sz w:val="18"/>
                <w:szCs w:val="18"/>
                <w:color w:val="auto"/>
                <w:w w:val="91"/>
              </w:rPr>
              <w:t>Depreciation is calculated on a straight-line basis, based on an asset’s expected useful life, being within the following ranges:</w:t>
            </w:r>
          </w:p>
        </w:tc>
        <w:tc>
          <w:tcPr>
            <w:tcW w:w="1020" w:type="dxa"/>
            <w:vAlign w:val="bottom"/>
          </w:tcPr>
          <w:p>
            <w:pPr>
              <w:spacing w:after="0"/>
              <w:rPr>
                <w:sz w:val="24"/>
                <w:szCs w:val="24"/>
                <w:color w:val="auto"/>
              </w:rPr>
            </w:pPr>
          </w:p>
        </w:tc>
      </w:tr>
      <w:tr>
        <w:trPr>
          <w:trHeight w:val="242"/>
        </w:trPr>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5"/>
        </w:trPr>
        <w:tc>
          <w:tcPr>
            <w:tcW w:w="106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 plant and machinery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5 - 10 years</w:t>
            </w:r>
          </w:p>
        </w:tc>
      </w:tr>
      <w:tr>
        <w:trPr>
          <w:trHeight w:val="215"/>
        </w:trPr>
        <w:tc>
          <w:tcPr>
            <w:tcW w:w="106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Other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5"/>
        </w:trPr>
        <w:tc>
          <w:tcPr>
            <w:tcW w:w="106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3 - 11 years</w:t>
            </w:r>
          </w:p>
        </w:tc>
      </w:tr>
      <w:tr>
        <w:trPr>
          <w:trHeight w:val="230"/>
        </w:trPr>
        <w:tc>
          <w:tcPr>
            <w:tcW w:w="106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1020" w:type="dxa"/>
            <w:vAlign w:val="bottom"/>
          </w:tcPr>
          <w:p>
            <w:pPr>
              <w:jc w:val="right"/>
              <w:spacing w:after="0"/>
              <w:rPr>
                <w:sz w:val="20"/>
                <w:szCs w:val="20"/>
                <w:color w:val="auto"/>
              </w:rPr>
            </w:pPr>
            <w:r>
              <w:rPr>
                <w:rFonts w:ascii="Arial" w:cs="Arial" w:eastAsia="Arial" w:hAnsi="Arial"/>
                <w:sz w:val="18"/>
                <w:szCs w:val="18"/>
                <w:color w:val="auto"/>
                <w:w w:val="98"/>
              </w:rPr>
              <w:t>2 - 11 years</w:t>
            </w:r>
          </w:p>
        </w:tc>
      </w:tr>
      <w:tr>
        <w:trPr>
          <w:trHeight w:val="416"/>
        </w:trPr>
        <w:tc>
          <w:tcPr>
            <w:tcW w:w="9260" w:type="dxa"/>
            <w:vAlign w:val="bottom"/>
            <w:gridSpan w:val="3"/>
          </w:tcPr>
          <w:p>
            <w:pPr>
              <w:ind w:left="180"/>
              <w:spacing w:after="0"/>
              <w:rPr>
                <w:sz w:val="20"/>
                <w:szCs w:val="20"/>
                <w:color w:val="auto"/>
              </w:rPr>
            </w:pPr>
            <w:r>
              <w:rPr>
                <w:rFonts w:ascii="Arial" w:cs="Arial" w:eastAsia="Arial" w:hAnsi="Arial"/>
                <w:sz w:val="18"/>
                <w:szCs w:val="18"/>
                <w:color w:val="auto"/>
              </w:rPr>
              <w:t>Depreciation methods, useful lives and residual amounts are reassessed at least annually.</w:t>
            </w:r>
          </w:p>
        </w:tc>
        <w:tc>
          <w:tcPr>
            <w:tcW w:w="1020" w:type="dxa"/>
            <w:vAlign w:val="bottom"/>
          </w:tcPr>
          <w:p>
            <w:pPr>
              <w:spacing w:after="0"/>
              <w:rPr>
                <w:sz w:val="24"/>
                <w:szCs w:val="24"/>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p>
    <w:p>
      <w:pPr>
        <w:ind w:left="180"/>
        <w:spacing w:after="0" w:line="262" w:lineRule="auto"/>
        <w:rPr>
          <w:sz w:val="20"/>
          <w:szCs w:val="20"/>
          <w:color w:val="auto"/>
        </w:rPr>
      </w:pPr>
      <w:r>
        <w:rPr>
          <w:rFonts w:ascii="Arial" w:cs="Arial" w:eastAsia="Arial" w:hAnsi="Arial"/>
          <w:sz w:val="18"/>
          <w:szCs w:val="18"/>
          <w:color w:val="auto"/>
        </w:rPr>
        <w:t>Property, plant and equipment is written down to the lower of recoverable amount and carrying amount, as described in the “Impairment” section below. Depreciation and impairment losses of property, plant and equipment is recognized in the consolidated statement of profit or loss as cost of sales, research and development costs or as selling, general and administrative expenses, as appropriate.</w:t>
      </w:r>
    </w:p>
    <w:p>
      <w:pPr>
        <w:spacing w:after="0" w:line="183" w:lineRule="exact"/>
        <w:rPr>
          <w:sz w:val="20"/>
          <w:szCs w:val="20"/>
          <w:color w:val="auto"/>
        </w:rPr>
      </w:pPr>
    </w:p>
    <w:p>
      <w:pPr>
        <w:ind w:left="180" w:right="100"/>
        <w:spacing w:after="0" w:line="275" w:lineRule="auto"/>
        <w:rPr>
          <w:sz w:val="20"/>
          <w:szCs w:val="20"/>
          <w:color w:val="auto"/>
        </w:rPr>
      </w:pPr>
      <w:r>
        <w:rPr>
          <w:rFonts w:ascii="Arial" w:cs="Arial" w:eastAsia="Arial" w:hAnsi="Arial"/>
          <w:sz w:val="18"/>
          <w:szCs w:val="18"/>
          <w:color w:val="auto"/>
        </w:rPr>
        <w:t>Gains and losses on disposal of property, plant and equipment are recognized in the consolidated statement of profit or loss at its net proceeds, as either other operating income or other operating expenses, as appropriate.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w:t>
      </w:r>
    </w:p>
    <w:p>
      <w:pPr>
        <w:spacing w:after="0" w:line="116" w:lineRule="exact"/>
        <w:rPr>
          <w:sz w:val="20"/>
          <w:szCs w:val="20"/>
          <w:color w:val="auto"/>
        </w:rPr>
      </w:pPr>
    </w:p>
    <w:p>
      <w:pPr>
        <w:ind w:left="180" w:right="740"/>
        <w:spacing w:after="0" w:line="262" w:lineRule="auto"/>
        <w:rPr>
          <w:sz w:val="20"/>
          <w:szCs w:val="20"/>
          <w:color w:val="auto"/>
        </w:rPr>
      </w:pPr>
      <w:r>
        <w:rPr>
          <w:rFonts w:ascii="Arial" w:cs="Arial" w:eastAsia="Arial" w:hAnsi="Arial"/>
          <w:sz w:val="18"/>
          <w:szCs w:val="18"/>
          <w:color w:val="auto"/>
        </w:rPr>
        <w:t>The recoverable amount of goodwill and development projects in progress (software assets) is estimated annually irrespective of any recorded indications of impairment. Property, plant and equipment and finite-lived intangible assets are reviewed for impairment whenever events or circumstances indicate that the carrying amount may not be recoverable.</w:t>
      </w:r>
    </w:p>
    <w:p>
      <w:pPr>
        <w:spacing w:after="0" w:line="183" w:lineRule="exact"/>
        <w:rPr>
          <w:sz w:val="20"/>
          <w:szCs w:val="20"/>
          <w:color w:val="auto"/>
        </w:rPr>
      </w:pPr>
    </w:p>
    <w:p>
      <w:pPr>
        <w:ind w:left="180" w:right="20"/>
        <w:spacing w:after="0" w:line="256" w:lineRule="auto"/>
        <w:rPr>
          <w:sz w:val="20"/>
          <w:szCs w:val="20"/>
          <w:color w:val="auto"/>
        </w:rPr>
      </w:pPr>
      <w:r>
        <w:rPr>
          <w:rFonts w:ascii="Arial" w:cs="Arial" w:eastAsia="Arial" w:hAnsi="Arial"/>
          <w:sz w:val="18"/>
          <w:szCs w:val="18"/>
          <w:color w:val="auto"/>
        </w:rPr>
        <w:t>An impairment loss is recognized for the amount by which the asset’s carrying amount exceeds its recoverable amount. The recoverable amount is the higher of an asset’s fair value less costs of disposal and value in use. For the purpose of assessing impairment, assets are grouped at the lowest levels for which there are largely independent cash inflows, or cash-generating units, which for goodwill represent the lowest level within the enterprise at which the goodwill is monitored for internal management purposes. Prior impairments of non-financial assets, other than goodwill, are reviewed for possible reversal at each reporting date.</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Inventories</w:t>
      </w:r>
    </w:p>
    <w:p>
      <w:pPr>
        <w:spacing w:after="0" w:line="116" w:lineRule="exact"/>
        <w:rPr>
          <w:sz w:val="20"/>
          <w:szCs w:val="20"/>
          <w:color w:val="auto"/>
        </w:rPr>
      </w:pPr>
    </w:p>
    <w:p>
      <w:pPr>
        <w:jc w:val="both"/>
        <w:ind w:left="180" w:right="180"/>
        <w:spacing w:after="0" w:line="262" w:lineRule="auto"/>
        <w:rPr>
          <w:sz w:val="20"/>
          <w:szCs w:val="20"/>
          <w:color w:val="auto"/>
        </w:rPr>
      </w:pPr>
      <w:r>
        <w:rPr>
          <w:rFonts w:ascii="Arial" w:cs="Arial" w:eastAsia="Arial" w:hAnsi="Arial"/>
          <w:sz w:val="18"/>
          <w:szCs w:val="18"/>
          <w:color w:val="auto"/>
        </w:rPr>
        <w:t>Inventories comprise raw materials, work in progress and finished goods. Work in progress and finished goods comprise service expenses incurred at CMOs, raw materials consumed, incremental storage and transportation, other direct materials, and a proportion of manufacturing overheads based on normal operation capacity.</w:t>
      </w:r>
    </w:p>
    <w:p>
      <w:pPr>
        <w:spacing w:after="0" w:line="183" w:lineRule="exact"/>
        <w:rPr>
          <w:sz w:val="20"/>
          <w:szCs w:val="20"/>
          <w:color w:val="auto"/>
        </w:rPr>
      </w:pPr>
    </w:p>
    <w:p>
      <w:pPr>
        <w:ind w:left="180" w:right="20"/>
        <w:spacing w:after="0" w:line="295" w:lineRule="auto"/>
        <w:rPr>
          <w:sz w:val="20"/>
          <w:szCs w:val="20"/>
          <w:color w:val="auto"/>
        </w:rPr>
      </w:pPr>
      <w:r>
        <w:rPr>
          <w:rFonts w:ascii="Arial" w:cs="Arial" w:eastAsia="Arial" w:hAnsi="Arial"/>
          <w:sz w:val="16"/>
          <w:szCs w:val="16"/>
          <w:color w:val="auto"/>
        </w:rPr>
        <w:t>Inventories are measured at the lower of cost incurred in bringing it to its present location and condition, and net realizable value. Net realizable value is the estimated selling price in the ordinary course of business, less estimated costs of completion and the estimated costs necessary to make the sale. Production processes are complex, where actual yields and consumptions are sensitive to a wide variety of manufacturing conditions. Work in progress and finished goods are measured under a standard cost method that takes into account normal levels of consumption, yields, labor, efficiency and capacity utilization. Standard cost variances are reviewed regularly and adjusted to ensure inventories approximate actual cost of production.</w:t>
      </w:r>
    </w:p>
    <w:p>
      <w:pPr>
        <w:spacing w:after="0" w:line="161" w:lineRule="exact"/>
        <w:rPr>
          <w:sz w:val="20"/>
          <w:szCs w:val="20"/>
          <w:color w:val="auto"/>
        </w:rPr>
      </w:pPr>
    </w:p>
    <w:p>
      <w:pPr>
        <w:jc w:val="both"/>
        <w:ind w:left="180" w:right="40"/>
        <w:spacing w:after="0" w:line="262" w:lineRule="auto"/>
        <w:rPr>
          <w:sz w:val="20"/>
          <w:szCs w:val="20"/>
          <w:color w:val="auto"/>
        </w:rPr>
      </w:pPr>
      <w:r>
        <w:rPr>
          <w:rFonts w:ascii="Arial" w:cs="Arial" w:eastAsia="Arial" w:hAnsi="Arial"/>
          <w:sz w:val="18"/>
          <w:szCs w:val="18"/>
          <w:color w:val="auto"/>
        </w:rPr>
        <w:t>If net realizable value is lower than cost, a write-down is recognized as the excess amount by which cost exceeds net realizable value, as part of cost of sales when incurred. The amount of reversal of write-down of inventories arising from an increase in net realizable value is recognized as a reduction in cost of sales in the period in which the reversal occurs.</w:t>
      </w:r>
    </w:p>
    <w:p>
      <w:pPr>
        <w:spacing w:after="0" w:line="183" w:lineRule="exact"/>
        <w:rPr>
          <w:sz w:val="20"/>
          <w:szCs w:val="20"/>
          <w:color w:val="auto"/>
        </w:rPr>
      </w:pPr>
    </w:p>
    <w:p>
      <w:pPr>
        <w:ind w:left="180" w:right="80"/>
        <w:spacing w:after="0" w:line="258" w:lineRule="auto"/>
        <w:rPr>
          <w:sz w:val="20"/>
          <w:szCs w:val="20"/>
          <w:color w:val="auto"/>
        </w:rPr>
      </w:pPr>
      <w:r>
        <w:rPr>
          <w:rFonts w:ascii="Arial" w:cs="Arial" w:eastAsia="Arial" w:hAnsi="Arial"/>
          <w:sz w:val="18"/>
          <w:szCs w:val="18"/>
          <w:color w:val="auto"/>
        </w:rPr>
        <w:t>Manufacturing of pre-launch inventories are initiated for late-stage product candidates where manufacturing costs are recognized as inventories. However, since pre-launch inventories are not realizable prior to obtaining marketing approval, pre-launch inventories are immediately written down to zero through research and development costs. If marketing approval is obtained, prior write-downs of pre-launch inventories are reversed through research and development costs.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inventories is recognized as part of cost of sales in the period in which the related revenue is recognized.</w:t>
      </w:r>
    </w:p>
    <w:p>
      <w:pPr>
        <w:spacing w:after="0" w:line="3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Receivables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Receivables comprise trade receivables, income tax receivables and other receivables.</w:t>
      </w:r>
    </w:p>
    <w:p>
      <w:pPr>
        <w:spacing w:after="0" w:line="223" w:lineRule="exact"/>
        <w:rPr>
          <w:sz w:val="20"/>
          <w:szCs w:val="20"/>
          <w:color w:val="auto"/>
        </w:rPr>
      </w:pPr>
    </w:p>
    <w:p>
      <w:pPr>
        <w:ind w:left="180" w:right="80"/>
        <w:spacing w:after="0" w:line="278" w:lineRule="auto"/>
        <w:rPr>
          <w:sz w:val="20"/>
          <w:szCs w:val="20"/>
          <w:color w:val="auto"/>
        </w:rPr>
      </w:pPr>
      <w:r>
        <w:rPr>
          <w:rFonts w:ascii="Arial" w:cs="Arial" w:eastAsia="Arial" w:hAnsi="Arial"/>
          <w:sz w:val="17"/>
          <w:szCs w:val="17"/>
          <w:color w:val="auto"/>
        </w:rPr>
        <w:t>Trade receivables are classified as financial assets at amortized cost, as these are held to collect contractual cash flows and thus give rise to cash flows representing solely payments of principal and interest. Trade receivables are initially recognized at their transaction price and subsequently measured at amortized cost. Income tax receivables, and other receivables related to deposits, VAT and other indirect taxes are measured at cost less impairment. Carrying amounts of receivables usually equals their nominal value less provision for impairments.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280" w:top="471"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Prepayments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Prepayments comprise advance payments relating to a future financial period. Prepayments are measured at cost.</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Marketable securities may comprise government bonds, treasury bills, commercial papers, and other securities traded on established markets.</w:t>
      </w:r>
    </w:p>
    <w:p>
      <w:pPr>
        <w:spacing w:after="0" w:line="235" w:lineRule="exact"/>
        <w:rPr>
          <w:sz w:val="20"/>
          <w:szCs w:val="20"/>
          <w:color w:val="auto"/>
        </w:rPr>
      </w:pPr>
    </w:p>
    <w:p>
      <w:pPr>
        <w:ind w:left="140" w:right="80"/>
        <w:spacing w:after="0" w:line="262" w:lineRule="auto"/>
        <w:rPr>
          <w:sz w:val="20"/>
          <w:szCs w:val="20"/>
          <w:color w:val="auto"/>
        </w:rPr>
      </w:pPr>
      <w:r>
        <w:rPr>
          <w:rFonts w:ascii="Arial" w:cs="Arial" w:eastAsia="Arial" w:hAnsi="Arial"/>
          <w:sz w:val="18"/>
          <w:szCs w:val="18"/>
          <w:color w:val="auto"/>
        </w:rPr>
        <w:t>At initial recognition (trade-date), contractual terms of individual securities are analyzed to determine whether these give rise on specified dates to cash flows that are solely payments of principal and interest on the principal outstanding. This assessment is referred to as the SPPI-test. All marketable securities held at the reporting date have passed the SPPI-test.</w:t>
      </w:r>
    </w:p>
    <w:p>
      <w:pPr>
        <w:spacing w:after="0" w:line="183" w:lineRule="exact"/>
        <w:rPr>
          <w:sz w:val="20"/>
          <w:szCs w:val="20"/>
          <w:color w:val="auto"/>
        </w:rPr>
      </w:pPr>
    </w:p>
    <w:p>
      <w:pPr>
        <w:ind w:left="140" w:right="80"/>
        <w:spacing w:after="0" w:line="278" w:lineRule="auto"/>
        <w:rPr>
          <w:sz w:val="20"/>
          <w:szCs w:val="20"/>
          <w:color w:val="auto"/>
        </w:rPr>
      </w:pPr>
      <w:r>
        <w:rPr>
          <w:rFonts w:ascii="Arial" w:cs="Arial" w:eastAsia="Arial" w:hAnsi="Arial"/>
          <w:sz w:val="17"/>
          <w:szCs w:val="17"/>
          <w:color w:val="auto"/>
        </w:rPr>
        <w:t>Marketable securities are initially recognized at fair value at trade-date, and subsequently measured at amortized cost under the effective interest method. Interest income is recognized as finance income in the consolidated statement of profit or loss. Marketable securities are subject to impairment test to accommodate expected credit loss. Gains and losses are recognized as finance income or expenses in the consolidated statement of profit or loss when the specific security or portfolio of securities is derecognized, modified or impaired.</w:t>
      </w:r>
    </w:p>
    <w:p>
      <w:pPr>
        <w:spacing w:after="0" w:line="170" w:lineRule="exact"/>
        <w:rPr>
          <w:sz w:val="20"/>
          <w:szCs w:val="20"/>
          <w:color w:val="auto"/>
        </w:rPr>
      </w:pPr>
    </w:p>
    <w:p>
      <w:pPr>
        <w:ind w:left="140" w:right="80"/>
        <w:spacing w:after="0" w:line="310" w:lineRule="auto"/>
        <w:rPr>
          <w:sz w:val="20"/>
          <w:szCs w:val="20"/>
          <w:color w:val="auto"/>
        </w:rPr>
      </w:pPr>
      <w:r>
        <w:rPr>
          <w:rFonts w:ascii="Arial" w:cs="Arial" w:eastAsia="Arial" w:hAnsi="Arial"/>
          <w:sz w:val="16"/>
          <w:szCs w:val="16"/>
          <w:color w:val="auto"/>
        </w:rPr>
        <w:t>Marketable securities, having maturity profiles of three months or less after the date of acquisition are presented as cash equivalents in the consolidated statements of financial position, where securities having maturities of more than three months after the date of acquisition are presented separately as marketable securities as current (i.e., those maturing within twelve months after the reporting date) or non-current assets, as appropriate.</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6" w:lineRule="exact"/>
        <w:rPr>
          <w:sz w:val="20"/>
          <w:szCs w:val="20"/>
          <w:color w:val="auto"/>
        </w:rPr>
      </w:pPr>
    </w:p>
    <w:p>
      <w:pPr>
        <w:ind w:left="140" w:right="120"/>
        <w:spacing w:after="0" w:line="306" w:lineRule="auto"/>
        <w:rPr>
          <w:sz w:val="20"/>
          <w:szCs w:val="20"/>
          <w:color w:val="auto"/>
        </w:rPr>
      </w:pPr>
      <w:r>
        <w:rPr>
          <w:rFonts w:ascii="Arial" w:cs="Arial" w:eastAsia="Arial" w:hAnsi="Arial"/>
          <w:sz w:val="17"/>
          <w:szCs w:val="17"/>
          <w:color w:val="auto"/>
        </w:rPr>
        <w:t>Cash and cash equivalents comprise cash and on-demand deposits with financial institutions, and highly liquid marketable securities with a maturity of three months or less after the date of acquisition (trade-date). Cash and cash equivalents are measured at amortized cost.</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Allowance for Expected Credit Losses on Financial Assets</w:t>
      </w:r>
    </w:p>
    <w:p>
      <w:pPr>
        <w:spacing w:after="0" w:line="116"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Financial assets comprise receivables (excluding receivables relating to VAT, other indirect tax and income tax), marketable securities and cash and cash equivalents. Impairment of financial assets is determined on the basis of a forward-looking Expected Credit Loss (“ECL”) Model. ECLs are based on the difference between the contractual cash flows due in accordance with the contract and the cash flows expected to be received, discounted by an approximation of the original effective interest rate.</w:t>
      </w:r>
    </w:p>
    <w:p>
      <w:pPr>
        <w:spacing w:after="0" w:line="186" w:lineRule="exact"/>
        <w:rPr>
          <w:sz w:val="20"/>
          <w:szCs w:val="20"/>
          <w:color w:val="auto"/>
        </w:rPr>
      </w:pPr>
    </w:p>
    <w:p>
      <w:pPr>
        <w:ind w:left="140" w:right="140"/>
        <w:spacing w:after="0" w:line="262" w:lineRule="auto"/>
        <w:rPr>
          <w:sz w:val="20"/>
          <w:szCs w:val="20"/>
          <w:color w:val="auto"/>
        </w:rPr>
      </w:pPr>
      <w:r>
        <w:rPr>
          <w:rFonts w:ascii="Arial" w:cs="Arial" w:eastAsia="Arial" w:hAnsi="Arial"/>
          <w:sz w:val="18"/>
          <w:szCs w:val="18"/>
          <w:color w:val="auto"/>
        </w:rPr>
        <w:t>For receivables, a simplified approach in calculating ECLs is applied. Therefore, changes in credit risks are not tracked, but instead, a loss allowance based on lifetime ECL is assessed at each reporting date. Lifetime ECLs are assessed on historical credit loss experience, adjusted for forward-looking factors specific to the counterparts and the economic environment.</w:t>
      </w:r>
    </w:p>
    <w:p>
      <w:pPr>
        <w:spacing w:after="0" w:line="183"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color w:val="auto"/>
        </w:rPr>
        <w:t>For cash, cash equivalents and marketable securities, ECLs are assessed for credit losses that result from default events that are possible within the next twelve months (12-month ECL). Credit risk is continuously tracked and monitored in order to identify significant deterioration. For those credit exposures for which there have been a significant increase in credit risk since initial recognition, an allowance is recognized for credit losses expected over the remaining life of the exposure, irrespective of the timing of the default.</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share capital comprises the nominal amount of the parent company’s ordinary shares, each at a nominal value of DKK 1, or approximately €0.13.</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All shares are fully paid.</w:t>
      </w:r>
    </w:p>
    <w:p>
      <w:pPr>
        <w:spacing w:after="0" w:line="209" w:lineRule="exact"/>
        <w:rPr>
          <w:sz w:val="20"/>
          <w:szCs w:val="20"/>
          <w:color w:val="auto"/>
        </w:rPr>
      </w:pPr>
    </w:p>
    <w:p>
      <w:pPr>
        <w:ind w:left="140" w:right="140"/>
        <w:spacing w:after="0" w:line="258" w:lineRule="auto"/>
        <w:rPr>
          <w:sz w:val="20"/>
          <w:szCs w:val="20"/>
          <w:color w:val="auto"/>
        </w:rPr>
      </w:pPr>
      <w:r>
        <w:rPr>
          <w:rFonts w:ascii="Arial" w:cs="Arial" w:eastAsia="Arial" w:hAnsi="Arial"/>
          <w:sz w:val="18"/>
          <w:szCs w:val="18"/>
          <w:color w:val="auto"/>
        </w:rPr>
        <w:t>Share premium comprises the amounts received, attributable to shareholders’ equity, in excess of the nominal amount of the shares issued at the parent company’s capital increases, reduced by any expenses directly attributable to the capital increases. Under Danish legislation, share premium is an unrestricted reserve that is available to be distributed as dividends to a company’s shareholders. Also, under Danish legislation, the share premium reserve can be used to offset accumulated deficits.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85"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right="80"/>
        <w:spacing w:after="0" w:line="285" w:lineRule="auto"/>
        <w:rPr>
          <w:sz w:val="20"/>
          <w:szCs w:val="20"/>
          <w:color w:val="auto"/>
        </w:rPr>
      </w:pPr>
      <w:r>
        <w:rPr>
          <w:rFonts w:ascii="Arial" w:cs="Arial" w:eastAsia="Arial" w:hAnsi="Arial"/>
          <w:sz w:val="17"/>
          <w:szCs w:val="17"/>
          <w:color w:val="auto"/>
        </w:rPr>
        <w:t>Treasury shares reserve comprise own equity instrument which are recognized at cost and included within equity. No gain or loss is recognized in profit or loss on the purchase, sale, transfer or cancellation of the Company’s own equity instruments. The treasury shares reserve is part of unrestricted reserves and accordingly, reduce the amount available to be distributed as dividends to the Company’s shareholders.</w:t>
      </w:r>
    </w:p>
    <w:p>
      <w:pPr>
        <w:spacing w:after="0" w:line="165" w:lineRule="exact"/>
        <w:rPr>
          <w:sz w:val="20"/>
          <w:szCs w:val="20"/>
          <w:color w:val="auto"/>
        </w:rPr>
      </w:pPr>
    </w:p>
    <w:p>
      <w:pPr>
        <w:ind w:left="180"/>
        <w:spacing w:after="0" w:line="278" w:lineRule="auto"/>
        <w:rPr>
          <w:sz w:val="20"/>
          <w:szCs w:val="20"/>
          <w:color w:val="auto"/>
        </w:rPr>
      </w:pPr>
      <w:r>
        <w:rPr>
          <w:rFonts w:ascii="Arial" w:cs="Arial" w:eastAsia="Arial" w:hAnsi="Arial"/>
          <w:sz w:val="17"/>
          <w:szCs w:val="17"/>
          <w:color w:val="auto"/>
        </w:rPr>
        <w:t>Foreign currency translation reserve includes exchange rate adjustments relating to the translation of the results and net assets of foreign operations from their functional currencies to the presentation currency. The accumulated reserve of a foreign operation is reclassified to the consolidated statement of profit or loss at the time the Company loses control, and thus cease to consolidate such foreign operation. The foreign currency translation reserve is an unrestricted reserve that is available to be distributed as dividends to the Company’s shareholders.</w:t>
      </w:r>
    </w:p>
    <w:p>
      <w:pPr>
        <w:spacing w:after="0" w:line="170" w:lineRule="exact"/>
        <w:rPr>
          <w:sz w:val="20"/>
          <w:szCs w:val="20"/>
          <w:color w:val="auto"/>
        </w:rPr>
      </w:pPr>
    </w:p>
    <w:p>
      <w:pPr>
        <w:ind w:left="180" w:right="80"/>
        <w:spacing w:after="0" w:line="262" w:lineRule="auto"/>
        <w:rPr>
          <w:sz w:val="20"/>
          <w:szCs w:val="20"/>
          <w:color w:val="auto"/>
        </w:rPr>
      </w:pPr>
      <w:r>
        <w:rPr>
          <w:rFonts w:ascii="Arial" w:cs="Arial" w:eastAsia="Arial" w:hAnsi="Arial"/>
          <w:sz w:val="18"/>
          <w:szCs w:val="18"/>
          <w:color w:val="auto"/>
        </w:rPr>
        <w:t>Share-based payment reserve represents the corresponding entries to the share-based payment recognized in the consolidated statement of profit or loss, arising from warrant programs and restricted stock units programs. The share-based payments reserve is an unrestricted reserve that is available to be distributed as dividends to the Company’s shareholders.</w:t>
      </w:r>
    </w:p>
    <w:p>
      <w:pPr>
        <w:spacing w:after="0" w:line="183" w:lineRule="exact"/>
        <w:rPr>
          <w:sz w:val="20"/>
          <w:szCs w:val="20"/>
          <w:color w:val="auto"/>
        </w:rPr>
      </w:pPr>
    </w:p>
    <w:p>
      <w:pPr>
        <w:ind w:left="180" w:right="180"/>
        <w:spacing w:after="0" w:line="275" w:lineRule="auto"/>
        <w:rPr>
          <w:sz w:val="20"/>
          <w:szCs w:val="20"/>
          <w:color w:val="auto"/>
        </w:rPr>
      </w:pPr>
      <w:r>
        <w:rPr>
          <w:rFonts w:ascii="Arial" w:cs="Arial" w:eastAsia="Arial" w:hAnsi="Arial"/>
          <w:sz w:val="18"/>
          <w:szCs w:val="18"/>
          <w:color w:val="auto"/>
        </w:rPr>
        <w:t>Retained earnings/(accumulated deficit) represents the accumulated profits or losses from the Company’s operations. A positive reserve is available to be distributed as dividends to the Company’s shareholders.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Right-of-use Assets</w:t>
      </w:r>
    </w:p>
    <w:p>
      <w:pPr>
        <w:spacing w:after="0" w:line="116" w:lineRule="exact"/>
        <w:rPr>
          <w:sz w:val="20"/>
          <w:szCs w:val="20"/>
          <w:color w:val="auto"/>
        </w:rPr>
      </w:pPr>
    </w:p>
    <w:p>
      <w:pPr>
        <w:ind w:left="180" w:right="120"/>
        <w:spacing w:after="0" w:line="274" w:lineRule="auto"/>
        <w:rPr>
          <w:sz w:val="20"/>
          <w:szCs w:val="20"/>
          <w:color w:val="auto"/>
        </w:rPr>
      </w:pPr>
      <w:r>
        <w:rPr>
          <w:rFonts w:ascii="Arial" w:cs="Arial" w:eastAsia="Arial" w:hAnsi="Arial"/>
          <w:sz w:val="17"/>
          <w:szCs w:val="17"/>
          <w:color w:val="auto"/>
        </w:rPr>
        <w:t>Right-of-use assets are recognized at the lease commencement date, defined as the date the underlying asset is available for use. Right-of-use assets are measured at cost, less any accumulated depreciations and impairment losses, and adjusted for any remeasurement of lease liabilities. The cost of right-of-use assets include the amount of lease liabilities recognized, initial direct costs incurred, and lease payments made at or before the commencement date less any incentives received. In addition, right-of-use assets also include an estimate of costs to be incurred by the Company in dismantling or restoring the underlying asset to the condition required by the terms and condition of the lease.</w:t>
      </w:r>
    </w:p>
    <w:p>
      <w:pPr>
        <w:spacing w:after="0" w:line="176" w:lineRule="exact"/>
        <w:rPr>
          <w:sz w:val="20"/>
          <w:szCs w:val="20"/>
          <w:color w:val="auto"/>
        </w:rPr>
      </w:pPr>
    </w:p>
    <w:p>
      <w:pPr>
        <w:ind w:left="180" w:right="100"/>
        <w:spacing w:after="0" w:line="275" w:lineRule="auto"/>
        <w:rPr>
          <w:sz w:val="20"/>
          <w:szCs w:val="20"/>
          <w:color w:val="auto"/>
        </w:rPr>
      </w:pPr>
      <w:r>
        <w:rPr>
          <w:rFonts w:ascii="Arial" w:cs="Arial" w:eastAsia="Arial" w:hAnsi="Arial"/>
          <w:sz w:val="18"/>
          <w:szCs w:val="18"/>
          <w:color w:val="auto"/>
        </w:rPr>
        <w:t>Right-of-use assets are presented as part of property, plant and equipment, and depreciated on a straight-line basis over the shorter of the lease term and the estimated useful lives of the assets.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 Liabilities</w:t>
      </w:r>
    </w:p>
    <w:p>
      <w:pPr>
        <w:spacing w:after="0" w:line="116" w:lineRule="exact"/>
        <w:rPr>
          <w:sz w:val="20"/>
          <w:szCs w:val="20"/>
          <w:color w:val="auto"/>
        </w:rPr>
      </w:pPr>
    </w:p>
    <w:p>
      <w:pPr>
        <w:jc w:val="both"/>
        <w:ind w:left="180" w:right="20"/>
        <w:spacing w:after="0" w:line="310" w:lineRule="auto"/>
        <w:rPr>
          <w:sz w:val="20"/>
          <w:szCs w:val="20"/>
          <w:color w:val="auto"/>
        </w:rPr>
      </w:pPr>
      <w:r>
        <w:rPr>
          <w:rFonts w:ascii="Arial" w:cs="Arial" w:eastAsia="Arial" w:hAnsi="Arial"/>
          <w:sz w:val="16"/>
          <w:szCs w:val="16"/>
          <w:color w:val="auto"/>
        </w:rPr>
        <w:t>At the lease commencement date, lease liabilities are recognized and measured at the present value of fixed lease payments and variable lease payments that depend on an index or a rate, whereas variable lease payments and payments related to non-lease components are excluded. Variable lease payments that do not depend on an index or a rate are recognized as expenses in the consolidated statement of profit or loss when incurred.</w:t>
      </w:r>
    </w:p>
    <w:p>
      <w:pPr>
        <w:spacing w:after="0" w:line="148" w:lineRule="exact"/>
        <w:rPr>
          <w:sz w:val="20"/>
          <w:szCs w:val="20"/>
          <w:color w:val="auto"/>
        </w:rPr>
      </w:pPr>
    </w:p>
    <w:p>
      <w:pPr>
        <w:ind w:left="180" w:right="20"/>
        <w:spacing w:after="0" w:line="292" w:lineRule="auto"/>
        <w:rPr>
          <w:sz w:val="20"/>
          <w:szCs w:val="20"/>
          <w:color w:val="auto"/>
        </w:rPr>
      </w:pPr>
      <w:r>
        <w:rPr>
          <w:rFonts w:ascii="Arial" w:cs="Arial" w:eastAsia="Arial" w:hAnsi="Arial"/>
          <w:sz w:val="16"/>
          <w:szCs w:val="16"/>
          <w:color w:val="auto"/>
        </w:rPr>
        <w:t>When interest rates implicit in the lease contracts are not readily available, the present value of lease payments are calculated by applying the incremental borrowing rate of the relevant entity holding the lease. Following the commencement date, the incremental borrowing rate is not changed unless the lease term is modified, or if the lease payments are modified and this modification results from a change in floating interest rates. From the lease commencement date and over the lease term, the carrying amount of lease liabilities is increased to reflect the accretion of interest and reduced for the lease payments made. In addition, the carrying amount of lease liabilities is remeasured if there is a modification, a change in lease term, or a change in lease payments, including changes to future payments resulting from a change in an index used to determine such lease payments.</w:t>
      </w: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Provisions</w:t>
      </w:r>
    </w:p>
    <w:p>
      <w:pPr>
        <w:spacing w:after="0" w:line="116" w:lineRule="exact"/>
        <w:rPr>
          <w:sz w:val="20"/>
          <w:szCs w:val="20"/>
          <w:color w:val="auto"/>
        </w:rPr>
      </w:pPr>
    </w:p>
    <w:p>
      <w:pPr>
        <w:ind w:left="180" w:right="600"/>
        <w:spacing w:after="0" w:line="275" w:lineRule="auto"/>
        <w:rPr>
          <w:sz w:val="20"/>
          <w:szCs w:val="20"/>
          <w:color w:val="auto"/>
        </w:rPr>
      </w:pPr>
      <w:r>
        <w:rPr>
          <w:rFonts w:ascii="Arial" w:cs="Arial" w:eastAsia="Arial" w:hAnsi="Arial"/>
          <w:sz w:val="18"/>
          <w:szCs w:val="18"/>
          <w:color w:val="auto"/>
        </w:rPr>
        <w:t>Provisions comprise unsettled sales reductions and product returns regarding sale of commercial products where amount or timing of payment is uncertain.</w:t>
      </w:r>
    </w:p>
    <w:p>
      <w:pPr>
        <w:spacing w:after="0" w:line="171" w:lineRule="exact"/>
        <w:rPr>
          <w:sz w:val="20"/>
          <w:szCs w:val="20"/>
          <w:color w:val="auto"/>
        </w:rPr>
      </w:pPr>
    </w:p>
    <w:p>
      <w:pPr>
        <w:ind w:left="180" w:right="80"/>
        <w:spacing w:after="0" w:line="258" w:lineRule="auto"/>
        <w:rPr>
          <w:sz w:val="20"/>
          <w:szCs w:val="20"/>
          <w:color w:val="auto"/>
        </w:rPr>
      </w:pPr>
      <w:r>
        <w:rPr>
          <w:rFonts w:ascii="Arial" w:cs="Arial" w:eastAsia="Arial" w:hAnsi="Arial"/>
          <w:sz w:val="18"/>
          <w:szCs w:val="18"/>
          <w:color w:val="auto"/>
        </w:rPr>
        <w:t>Provisions for commercial sales rebates, attributed to various commercial arrangements, managed healthcare organizations, and government programs such as Medicare, Medicaid and the 340B Drug Pricing Program (“chargebacks”), and co-pay arrangements are recognized when the related sales takes place and measured using the expected value method. Payable amounts for managed healthcare organizations, government programs and chargebacks are generally settled within 90-180 days from the transaction date.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Provisions for estimated product returns are measured according to contractual sales price based on expected product returns.</w:t>
      </w:r>
    </w:p>
    <w:p>
      <w:pPr>
        <w:spacing w:after="0" w:line="15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280" w:top="485"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Payables and Accrued Expenses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Trade payables and accrued expenses are measured at amortized cost.</w:t>
      </w:r>
    </w:p>
    <w:p>
      <w:pPr>
        <w:spacing w:after="0" w:line="3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16" w:lineRule="exact"/>
        <w:rPr>
          <w:sz w:val="20"/>
          <w:szCs w:val="20"/>
          <w:color w:val="auto"/>
        </w:rPr>
      </w:pPr>
    </w:p>
    <w:p>
      <w:pPr>
        <w:ind w:left="180" w:right="760"/>
        <w:spacing w:after="0" w:line="275" w:lineRule="auto"/>
        <w:rPr>
          <w:sz w:val="20"/>
          <w:szCs w:val="20"/>
          <w:color w:val="auto"/>
        </w:rPr>
      </w:pPr>
      <w:r>
        <w:rPr>
          <w:rFonts w:ascii="Arial" w:cs="Arial" w:eastAsia="Arial" w:hAnsi="Arial"/>
          <w:sz w:val="18"/>
          <w:szCs w:val="18"/>
          <w:color w:val="auto"/>
        </w:rPr>
        <w:t>Other liabilities comprise payables to public authorities, short-term employee benefits, and sales rebates. Other liabilities are measured at their net-realizable values.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6" w:lineRule="exact"/>
        <w:rPr>
          <w:sz w:val="20"/>
          <w:szCs w:val="20"/>
          <w:color w:val="auto"/>
        </w:rPr>
      </w:pPr>
    </w:p>
    <w:p>
      <w:pPr>
        <w:ind w:left="180" w:right="280"/>
        <w:spacing w:after="0" w:line="275" w:lineRule="auto"/>
        <w:rPr>
          <w:sz w:val="20"/>
          <w:szCs w:val="20"/>
          <w:color w:val="auto"/>
        </w:rPr>
      </w:pPr>
      <w:r>
        <w:rPr>
          <w:rFonts w:ascii="Arial" w:cs="Arial" w:eastAsia="Arial" w:hAnsi="Arial"/>
          <w:sz w:val="18"/>
          <w:szCs w:val="18"/>
          <w:color w:val="auto"/>
        </w:rPr>
        <w:t>Contract liabilities comprise deferred income from collaboration and license agreements, where consideration received does not match the individual deliverables with respect to amount and satisfied performance obligations.</w:t>
      </w:r>
    </w:p>
    <w:p>
      <w:pPr>
        <w:spacing w:after="0" w:line="171" w:lineRule="exact"/>
        <w:rPr>
          <w:sz w:val="20"/>
          <w:szCs w:val="20"/>
          <w:color w:val="auto"/>
        </w:rPr>
      </w:pPr>
    </w:p>
    <w:p>
      <w:pPr>
        <w:ind w:left="180" w:right="280"/>
        <w:spacing w:after="0" w:line="275" w:lineRule="auto"/>
        <w:rPr>
          <w:sz w:val="20"/>
          <w:szCs w:val="20"/>
          <w:color w:val="auto"/>
        </w:rPr>
      </w:pPr>
      <w:r>
        <w:rPr>
          <w:rFonts w:ascii="Arial" w:cs="Arial" w:eastAsia="Arial" w:hAnsi="Arial"/>
          <w:sz w:val="18"/>
          <w:szCs w:val="18"/>
          <w:color w:val="auto"/>
        </w:rPr>
        <w:t>Contract liabilities are measured at the fair value of the consideration received and is recognized as revenue in the consolidated statement of profit or loss when the relevant performance obligation, to which the deferred income relates, is satisfied.</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 Statement</w:t>
      </w:r>
    </w:p>
    <w:p>
      <w:pPr>
        <w:spacing w:after="0" w:line="116" w:lineRule="exact"/>
        <w:rPr>
          <w:sz w:val="20"/>
          <w:szCs w:val="20"/>
          <w:color w:val="auto"/>
        </w:rPr>
      </w:pPr>
    </w:p>
    <w:p>
      <w:pPr>
        <w:ind w:left="180" w:right="200"/>
        <w:spacing w:after="0" w:line="275" w:lineRule="auto"/>
        <w:rPr>
          <w:sz w:val="20"/>
          <w:szCs w:val="20"/>
          <w:color w:val="auto"/>
        </w:rPr>
      </w:pPr>
      <w:r>
        <w:rPr>
          <w:rFonts w:ascii="Arial" w:cs="Arial" w:eastAsia="Arial" w:hAnsi="Arial"/>
          <w:sz w:val="18"/>
          <w:szCs w:val="18"/>
          <w:color w:val="auto"/>
        </w:rPr>
        <w:t>The cash flow statement shows cash flows from operating, investing and financing activities as well as cash and cash equivalents at the beginning and the end of the financial year.</w:t>
      </w:r>
    </w:p>
    <w:p>
      <w:pPr>
        <w:spacing w:after="0" w:line="171" w:lineRule="exact"/>
        <w:rPr>
          <w:sz w:val="20"/>
          <w:szCs w:val="20"/>
          <w:color w:val="auto"/>
        </w:rPr>
      </w:pPr>
    </w:p>
    <w:p>
      <w:pPr>
        <w:ind w:left="180" w:right="280"/>
        <w:spacing w:after="0" w:line="275" w:lineRule="auto"/>
        <w:rPr>
          <w:sz w:val="20"/>
          <w:szCs w:val="20"/>
          <w:color w:val="auto"/>
        </w:rPr>
      </w:pPr>
      <w:r>
        <w:rPr>
          <w:rFonts w:ascii="Arial" w:cs="Arial" w:eastAsia="Arial" w:hAnsi="Arial"/>
          <w:sz w:val="18"/>
          <w:szCs w:val="18"/>
          <w:color w:val="auto"/>
        </w:rPr>
        <w:t>Cash flows from operating activities are presented using the indirect method and calculated as the profit or loss adjusted for non-cash items, working capital changes as well as finance income, finance expenses and income taxes paid.</w:t>
      </w:r>
    </w:p>
    <w:p>
      <w:pPr>
        <w:spacing w:after="0" w:line="171" w:lineRule="exact"/>
        <w:rPr>
          <w:sz w:val="20"/>
          <w:szCs w:val="20"/>
          <w:color w:val="auto"/>
        </w:rPr>
      </w:pPr>
    </w:p>
    <w:p>
      <w:pPr>
        <w:ind w:left="180" w:right="240"/>
        <w:spacing w:after="0" w:line="262" w:lineRule="auto"/>
        <w:rPr>
          <w:sz w:val="20"/>
          <w:szCs w:val="20"/>
          <w:color w:val="auto"/>
        </w:rPr>
      </w:pPr>
      <w:r>
        <w:rPr>
          <w:rFonts w:ascii="Arial" w:cs="Arial" w:eastAsia="Arial" w:hAnsi="Arial"/>
          <w:sz w:val="18"/>
          <w:szCs w:val="18"/>
          <w:color w:val="auto"/>
        </w:rPr>
        <w:t>Cash flows from investing activities include payments in connection with acquisitions, development, improvement and sale, etc., of intangible assets, property, plant and equipment, group enterprises and associate. In addition, investing activities include acquisition and settlement of marketable securities.</w:t>
      </w:r>
    </w:p>
    <w:p>
      <w:pPr>
        <w:spacing w:after="0" w:line="183" w:lineRule="exact"/>
        <w:rPr>
          <w:sz w:val="20"/>
          <w:szCs w:val="20"/>
          <w:color w:val="auto"/>
        </w:rPr>
      </w:pPr>
    </w:p>
    <w:p>
      <w:pPr>
        <w:ind w:left="180" w:right="400"/>
        <w:spacing w:after="0" w:line="275" w:lineRule="auto"/>
        <w:rPr>
          <w:sz w:val="20"/>
          <w:szCs w:val="20"/>
          <w:color w:val="auto"/>
        </w:rPr>
      </w:pPr>
      <w:r>
        <w:rPr>
          <w:rFonts w:ascii="Arial" w:cs="Arial" w:eastAsia="Arial" w:hAnsi="Arial"/>
          <w:sz w:val="18"/>
          <w:szCs w:val="18"/>
          <w:color w:val="auto"/>
        </w:rPr>
        <w:t>Cash flows from financing activities comprise payments related to lease liabilities, and changes in the share capital and treasury shares of Ascendis Pharma A/S and related costs.</w:t>
      </w:r>
    </w:p>
    <w:p>
      <w:pPr>
        <w:spacing w:after="0" w:line="171" w:lineRule="exact"/>
        <w:rPr>
          <w:sz w:val="20"/>
          <w:szCs w:val="20"/>
          <w:color w:val="auto"/>
        </w:rPr>
      </w:pPr>
    </w:p>
    <w:p>
      <w:pPr>
        <w:ind w:left="180"/>
        <w:spacing w:after="0" w:line="262" w:lineRule="auto"/>
        <w:rPr>
          <w:sz w:val="20"/>
          <w:szCs w:val="20"/>
          <w:color w:val="auto"/>
        </w:rPr>
      </w:pPr>
      <w:r>
        <w:rPr>
          <w:rFonts w:ascii="Arial" w:cs="Arial" w:eastAsia="Arial" w:hAnsi="Arial"/>
          <w:sz w:val="18"/>
          <w:szCs w:val="18"/>
          <w:color w:val="auto"/>
        </w:rPr>
        <w:t>The effect of exchange rate changes on cash and cash equivalents held or due in a foreign currency is presented separately from cash flows from operating, investing and financing activities. Cash flows in currencies other than the functional currency are recognized in the cash flow statement, using the average exchange rates.</w:t>
      </w:r>
    </w:p>
    <w:p>
      <w:pPr>
        <w:spacing w:after="0" w:line="183" w:lineRule="exact"/>
        <w:rPr>
          <w:sz w:val="20"/>
          <w:szCs w:val="20"/>
          <w:color w:val="auto"/>
        </w:rPr>
      </w:pPr>
    </w:p>
    <w:p>
      <w:pPr>
        <w:ind w:left="180" w:right="180"/>
        <w:spacing w:after="0" w:line="275" w:lineRule="auto"/>
        <w:rPr>
          <w:sz w:val="20"/>
          <w:szCs w:val="20"/>
          <w:color w:val="auto"/>
        </w:rPr>
      </w:pPr>
      <w:r>
        <w:rPr>
          <w:rFonts w:ascii="Arial" w:cs="Arial" w:eastAsia="Arial" w:hAnsi="Arial"/>
          <w:sz w:val="18"/>
          <w:szCs w:val="18"/>
          <w:color w:val="auto"/>
        </w:rPr>
        <w:t>Cash and cash equivalents comprise cash and on-demand deposits with financial institutions and highly liquid marketable securities with a maturity of three months or less after the date of acquisition (trade-date).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Basic Earnings per Share</w:t>
      </w:r>
    </w:p>
    <w:p>
      <w:pPr>
        <w:spacing w:after="0" w:line="116" w:lineRule="exact"/>
        <w:rPr>
          <w:sz w:val="20"/>
          <w:szCs w:val="20"/>
          <w:color w:val="auto"/>
        </w:rPr>
      </w:pPr>
    </w:p>
    <w:p>
      <w:pPr>
        <w:ind w:left="180" w:right="40"/>
        <w:spacing w:after="0" w:line="262" w:lineRule="auto"/>
        <w:rPr>
          <w:sz w:val="20"/>
          <w:szCs w:val="20"/>
          <w:color w:val="auto"/>
        </w:rPr>
      </w:pPr>
      <w:r>
        <w:rPr>
          <w:rFonts w:ascii="Arial" w:cs="Arial" w:eastAsia="Arial" w:hAnsi="Arial"/>
          <w:sz w:val="18"/>
          <w:szCs w:val="18"/>
          <w:color w:val="auto"/>
        </w:rPr>
        <w:t>Basic Earnings per Share (“EPS”) is calculated as the consolidated net income or loss from continuing operations for the period divided by the weighted average number of ordinary shares outstanding. The weighted average number of shares takes into account the weighted average effect of changes in treasury shares during the year.</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Diluted Earnings per Share</w:t>
      </w:r>
    </w:p>
    <w:p>
      <w:pPr>
        <w:spacing w:after="0" w:line="116" w:lineRule="exact"/>
        <w:rPr>
          <w:sz w:val="20"/>
          <w:szCs w:val="20"/>
          <w:color w:val="auto"/>
        </w:rPr>
      </w:pPr>
    </w:p>
    <w:p>
      <w:pPr>
        <w:ind w:left="180" w:right="100"/>
        <w:spacing w:after="0" w:line="258" w:lineRule="auto"/>
        <w:rPr>
          <w:sz w:val="20"/>
          <w:szCs w:val="20"/>
          <w:color w:val="auto"/>
        </w:rPr>
      </w:pPr>
      <w:r>
        <w:rPr>
          <w:rFonts w:ascii="Arial" w:cs="Arial" w:eastAsia="Arial" w:hAnsi="Arial"/>
          <w:sz w:val="18"/>
          <w:szCs w:val="18"/>
          <w:color w:val="auto"/>
        </w:rPr>
        <w:t>Diluted EPS is calculated as the consolidated net income or loss from continuing operations for the period divided by the weighted average number of ordinary shares outstanding adjusted for the weighted average effect of changes in treasury shares during the year, and the dilutive effect of outstanding warrants. If the consolidated statement of profit or loss shows a net loss, no adjustment is made for the dilutive effect, as such effect would be anti-dilutive.</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New International Financial Reporting Standards Not Yet Effective</w:t>
      </w:r>
    </w:p>
    <w:p>
      <w:pPr>
        <w:spacing w:after="0" w:line="116" w:lineRule="exact"/>
        <w:rPr>
          <w:sz w:val="20"/>
          <w:szCs w:val="20"/>
          <w:color w:val="auto"/>
        </w:rPr>
      </w:pPr>
    </w:p>
    <w:p>
      <w:pPr>
        <w:ind w:left="180" w:right="20"/>
        <w:spacing w:after="0" w:line="262" w:lineRule="auto"/>
        <w:rPr>
          <w:sz w:val="20"/>
          <w:szCs w:val="20"/>
          <w:color w:val="auto"/>
        </w:rPr>
      </w:pPr>
      <w:r>
        <w:rPr>
          <w:rFonts w:ascii="Arial" w:cs="Arial" w:eastAsia="Arial" w:hAnsi="Arial"/>
          <w:sz w:val="18"/>
          <w:szCs w:val="18"/>
          <w:color w:val="auto"/>
        </w:rPr>
        <w:t>The IASB has issued, and the EU has adopted, a number of new or amended standards, which have not yet become effective. Therefore, these new standards have not been incorporated in these consolidated financial statements. The consolidated financial statements are not expected to be affected by such new or improved standards.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280" w:top="485"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3 – Significant Accounting Judgements and Estimates</w:t>
      </w:r>
    </w:p>
    <w:p>
      <w:pPr>
        <w:spacing w:after="0" w:line="120" w:lineRule="exact"/>
        <w:rPr>
          <w:sz w:val="20"/>
          <w:szCs w:val="20"/>
          <w:color w:val="auto"/>
        </w:rPr>
      </w:pPr>
    </w:p>
    <w:p>
      <w:pPr>
        <w:ind w:left="140" w:right="80"/>
        <w:spacing w:after="0" w:line="278" w:lineRule="auto"/>
        <w:rPr>
          <w:sz w:val="20"/>
          <w:szCs w:val="20"/>
          <w:color w:val="auto"/>
        </w:rPr>
      </w:pPr>
      <w:r>
        <w:rPr>
          <w:rFonts w:ascii="Arial" w:cs="Arial" w:eastAsia="Arial" w:hAnsi="Arial"/>
          <w:sz w:val="17"/>
          <w:szCs w:val="17"/>
          <w:color w:val="auto"/>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70" w:lineRule="exact"/>
        <w:rPr>
          <w:sz w:val="20"/>
          <w:szCs w:val="20"/>
          <w:color w:val="auto"/>
        </w:rPr>
      </w:pPr>
    </w:p>
    <w:p>
      <w:pPr>
        <w:ind w:left="140" w:right="360"/>
        <w:spacing w:after="0" w:line="310" w:lineRule="auto"/>
        <w:rPr>
          <w:sz w:val="20"/>
          <w:szCs w:val="20"/>
          <w:color w:val="auto"/>
        </w:rPr>
      </w:pPr>
      <w:r>
        <w:rPr>
          <w:rFonts w:ascii="Arial" w:cs="Arial" w:eastAsia="Arial" w:hAnsi="Arial"/>
          <w:sz w:val="16"/>
          <w:szCs w:val="16"/>
          <w:color w:val="auto"/>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years presented in the consolidated financial statements.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Significant Accounting Judgements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Critical accounting judgements which have a material impact on the consolidated financial statements are described in the following sections.</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Revenue</w:t>
      </w:r>
    </w:p>
    <w:p>
      <w:pPr>
        <w:spacing w:after="0" w:line="116" w:lineRule="exact"/>
        <w:rPr>
          <w:sz w:val="20"/>
          <w:szCs w:val="20"/>
          <w:color w:val="auto"/>
        </w:rPr>
      </w:pPr>
    </w:p>
    <w:p>
      <w:pPr>
        <w:ind w:left="140" w:right="80"/>
        <w:spacing w:after="0" w:line="275" w:lineRule="auto"/>
        <w:rPr>
          <w:sz w:val="20"/>
          <w:szCs w:val="20"/>
          <w:color w:val="auto"/>
        </w:rPr>
      </w:pPr>
      <w:r>
        <w:rPr>
          <w:rFonts w:ascii="Arial" w:cs="Arial" w:eastAsia="Arial" w:hAnsi="Arial"/>
          <w:sz w:val="18"/>
          <w:szCs w:val="18"/>
          <w:color w:val="auto"/>
        </w:rPr>
        <w:t>Other revenue is primarily generated from collaboration and license agreements, which typically involve multiple promises, and thus require significant judgements by management on certain areas including:</w:t>
      </w:r>
    </w:p>
    <w:p>
      <w:pPr>
        <w:spacing w:after="0" w:line="77" w:lineRule="exact"/>
        <w:rPr>
          <w:sz w:val="20"/>
          <w:szCs w:val="20"/>
          <w:color w:val="auto"/>
        </w:rPr>
      </w:pPr>
    </w:p>
    <w:p>
      <w:pPr>
        <w:ind w:left="1540" w:hanging="315"/>
        <w:spacing w:after="0"/>
        <w:tabs>
          <w:tab w:leader="none" w:pos="1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Determining whether the promises in the agreements are distinct performance obligations;</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Identifying and constraining variable consideration in the transaction price including milestone payments;</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Allocating transaction price to identified performance obligations based on their relative stand-alone selling prices; and</w:t>
      </w:r>
    </w:p>
    <w:p>
      <w:pPr>
        <w:spacing w:after="0" w:line="129" w:lineRule="exact"/>
        <w:rPr>
          <w:rFonts w:ascii="Arial" w:cs="Arial" w:eastAsia="Arial" w:hAnsi="Arial"/>
          <w:sz w:val="18"/>
          <w:szCs w:val="18"/>
          <w:color w:val="auto"/>
        </w:rPr>
      </w:pPr>
    </w:p>
    <w:p>
      <w:pPr>
        <w:ind w:left="1540" w:hanging="315"/>
        <w:spacing w:after="0"/>
        <w:tabs>
          <w:tab w:leader="none" w:pos="1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Determining whether performance obligations are satisfied over time, or at a point in time.</w:t>
      </w:r>
    </w:p>
    <w:p>
      <w:pPr>
        <w:spacing w:after="0" w:line="223" w:lineRule="exact"/>
        <w:rPr>
          <w:sz w:val="20"/>
          <w:szCs w:val="20"/>
          <w:color w:val="auto"/>
        </w:rPr>
      </w:pPr>
    </w:p>
    <w:p>
      <w:pPr>
        <w:ind w:left="140" w:right="260"/>
        <w:spacing w:after="0" w:line="285" w:lineRule="auto"/>
        <w:rPr>
          <w:sz w:val="20"/>
          <w:szCs w:val="20"/>
          <w:color w:val="auto"/>
        </w:rPr>
      </w:pPr>
      <w:r>
        <w:rPr>
          <w:rFonts w:ascii="Arial" w:cs="Arial" w:eastAsia="Arial" w:hAnsi="Arial"/>
          <w:sz w:val="17"/>
          <w:szCs w:val="17"/>
          <w:color w:val="auto"/>
        </w:rPr>
        <w:t>Three license agreements with the Company’s associate VISEN Pharmaceuticals (“licensee”), grant the licensee exclusive rights to develop, manufacture, and commercialize patented product candidates in Greater China, including the right to grant sub-licenses to third parties. In addition to granting exclusive rights, the Company agreed to provide clinical supply and development services to VISEN.</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Critical judgements relating to the license agreements are described below.</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Classification of License Agreements</w:t>
      </w:r>
    </w:p>
    <w:p>
      <w:pPr>
        <w:spacing w:after="0" w:line="116" w:lineRule="exact"/>
        <w:rPr>
          <w:sz w:val="20"/>
          <w:szCs w:val="20"/>
          <w:color w:val="auto"/>
        </w:rPr>
      </w:pPr>
    </w:p>
    <w:p>
      <w:pPr>
        <w:ind w:left="140"/>
        <w:spacing w:after="0" w:line="262" w:lineRule="auto"/>
        <w:rPr>
          <w:sz w:val="20"/>
          <w:szCs w:val="20"/>
          <w:color w:val="auto"/>
        </w:rPr>
      </w:pPr>
      <w:r>
        <w:rPr>
          <w:rFonts w:ascii="Arial" w:cs="Arial" w:eastAsia="Arial" w:hAnsi="Arial"/>
          <w:sz w:val="18"/>
          <w:szCs w:val="18"/>
          <w:color w:val="auto"/>
        </w:rPr>
        <w:t>Collaboration and license agreements within the Company’s industry are often structured so that each party contributes its respective skills in the various phases of a development project, and significant judgement is required by management to determine whether such agreements comprise customer/supplier relationship or joint arrangements where parties share risks and rewards.</w:t>
      </w:r>
    </w:p>
    <w:p>
      <w:pPr>
        <w:spacing w:after="0" w:line="183" w:lineRule="exact"/>
        <w:rPr>
          <w:sz w:val="20"/>
          <w:szCs w:val="20"/>
          <w:color w:val="auto"/>
        </w:rPr>
      </w:pPr>
    </w:p>
    <w:p>
      <w:pPr>
        <w:jc w:val="both"/>
        <w:ind w:left="140"/>
        <w:spacing w:after="0" w:line="340" w:lineRule="auto"/>
        <w:rPr>
          <w:sz w:val="20"/>
          <w:szCs w:val="20"/>
          <w:color w:val="auto"/>
        </w:rPr>
      </w:pPr>
      <w:r>
        <w:rPr>
          <w:rFonts w:ascii="Arial" w:cs="Arial" w:eastAsia="Arial" w:hAnsi="Arial"/>
          <w:sz w:val="16"/>
          <w:szCs w:val="16"/>
          <w:color w:val="auto"/>
        </w:rPr>
        <w:t>It has been concluded that no joint control exists for the Company’s license agreements and the parties do not have any financial obligations on behalf of each other. Accordingly, since neither of the license agreements are considered to be joint arrangements, these are classified as contracts with customers.</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Identifying Performance Obligations</w:t>
      </w:r>
    </w:p>
    <w:p>
      <w:pPr>
        <w:spacing w:after="0" w:line="116" w:lineRule="exact"/>
        <w:rPr>
          <w:sz w:val="20"/>
          <w:szCs w:val="20"/>
          <w:color w:val="auto"/>
        </w:rPr>
      </w:pPr>
    </w:p>
    <w:p>
      <w:pPr>
        <w:ind w:left="140" w:right="240"/>
        <w:spacing w:after="0" w:line="278" w:lineRule="auto"/>
        <w:rPr>
          <w:sz w:val="20"/>
          <w:szCs w:val="20"/>
          <w:color w:val="auto"/>
        </w:rPr>
      </w:pPr>
      <w:r>
        <w:rPr>
          <w:rFonts w:ascii="Arial" w:cs="Arial" w:eastAsia="Arial" w:hAnsi="Arial"/>
          <w:sz w:val="17"/>
          <w:szCs w:val="17"/>
          <w:color w:val="auto"/>
        </w:rPr>
        <w:t>In determination of the performance obligations and allocation of the transaction price, the stand-alone values of the promises and the Company’s responsibility in the development activities have been considered. Since licensed product candidates are all in phase 1 clinical trials or later stages of development, the licensee can benefit from each promise in the contract either on their own or together with readily available resources. Accordingly, licenses, development services, and clinical trial supplies are all considered distinct performance obligations.</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Classification of Licenses as “Right-to-Use” or “Right-to-Access”</w:t>
      </w:r>
    </w:p>
    <w:p>
      <w:pPr>
        <w:spacing w:after="0" w:line="223" w:lineRule="exact"/>
        <w:rPr>
          <w:sz w:val="20"/>
          <w:szCs w:val="20"/>
          <w:color w:val="auto"/>
        </w:rPr>
      </w:pPr>
    </w:p>
    <w:p>
      <w:pPr>
        <w:ind w:left="140"/>
        <w:spacing w:after="0" w:line="258" w:lineRule="auto"/>
        <w:rPr>
          <w:sz w:val="20"/>
          <w:szCs w:val="20"/>
          <w:color w:val="auto"/>
        </w:rPr>
      </w:pPr>
      <w:r>
        <w:rPr>
          <w:rFonts w:ascii="Arial" w:cs="Arial" w:eastAsia="Arial" w:hAnsi="Arial"/>
          <w:sz w:val="18"/>
          <w:szCs w:val="18"/>
          <w:color w:val="auto"/>
        </w:rPr>
        <w:t>Management has considered whether the Company is obligated or expected to perform research and development activities that significantly affect the licensee’s ability to benefit from the product candidates. Since licensed products are patented drug formulas, future activities performed by the Company do not affect their stand-alone functionalities. Accordingly, all three licenses have been classified as “right-to-use”, with revenue recognized at the point in time, where licensee is granted access to the intellectual property.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85"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Internally Generated Intangible Assets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Development of Drug Candidates</w:t>
      </w:r>
    </w:p>
    <w:p>
      <w:pPr>
        <w:spacing w:after="0" w:line="116" w:lineRule="exact"/>
        <w:rPr>
          <w:sz w:val="20"/>
          <w:szCs w:val="20"/>
          <w:color w:val="auto"/>
        </w:rPr>
      </w:pPr>
    </w:p>
    <w:p>
      <w:pPr>
        <w:ind w:left="180" w:right="220"/>
        <w:spacing w:after="0" w:line="272" w:lineRule="auto"/>
        <w:rPr>
          <w:sz w:val="20"/>
          <w:szCs w:val="20"/>
          <w:color w:val="auto"/>
        </w:rPr>
      </w:pPr>
      <w:r>
        <w:rPr>
          <w:rFonts w:ascii="Arial" w:cs="Arial" w:eastAsia="Arial" w:hAnsi="Arial"/>
          <w:sz w:val="17"/>
          <w:szCs w:val="17"/>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the Company has the intent to produce and market the product. Such an intangible asset shall be recognized if it can be demonstrated that the future income from the development project will exceed the aggregate cost of development, production, sale and administration of the product.</w:t>
      </w:r>
    </w:p>
    <w:p>
      <w:pPr>
        <w:spacing w:after="0" w:line="177" w:lineRule="exact"/>
        <w:rPr>
          <w:sz w:val="20"/>
          <w:szCs w:val="20"/>
          <w:color w:val="auto"/>
        </w:rPr>
      </w:pPr>
    </w:p>
    <w:p>
      <w:pPr>
        <w:ind w:left="180" w:right="200"/>
        <w:spacing w:after="0" w:line="262" w:lineRule="auto"/>
        <w:rPr>
          <w:sz w:val="20"/>
          <w:szCs w:val="20"/>
          <w:color w:val="auto"/>
        </w:rPr>
      </w:pPr>
      <w:r>
        <w:rPr>
          <w:rFonts w:ascii="Arial" w:cs="Arial" w:eastAsia="Arial" w:hAnsi="Arial"/>
          <w:sz w:val="18"/>
          <w:szCs w:val="18"/>
          <w:color w:val="auto"/>
        </w:rPr>
        <w:t>Due to the risk associated with drug development, future income from development projects related to drug candidates cannot be determined with sufficient certainty until the development activities have been completed and the necessary marketing approvals have been obtained. Accordingly, the Company does not recognize internally generated intangible assets at this time.</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Determination of Lease Term</w:t>
      </w:r>
    </w:p>
    <w:p>
      <w:pPr>
        <w:spacing w:after="0" w:line="116" w:lineRule="exact"/>
        <w:rPr>
          <w:sz w:val="20"/>
          <w:szCs w:val="20"/>
          <w:color w:val="auto"/>
        </w:rPr>
      </w:pPr>
    </w:p>
    <w:p>
      <w:pPr>
        <w:ind w:left="180" w:right="20"/>
        <w:spacing w:after="0" w:line="256" w:lineRule="auto"/>
        <w:rPr>
          <w:sz w:val="20"/>
          <w:szCs w:val="20"/>
          <w:color w:val="auto"/>
        </w:rPr>
      </w:pPr>
      <w:r>
        <w:rPr>
          <w:rFonts w:ascii="Arial" w:cs="Arial" w:eastAsia="Arial" w:hAnsi="Arial"/>
          <w:sz w:val="18"/>
          <w:szCs w:val="18"/>
          <w:color w:val="auto"/>
        </w:rPr>
        <w:t>Certain lease arrangements include contractual rights (not obligations) to either extend the lease after the initial term, or not to terminate the lease within the enforceable lease term, i.e., periods where lessor cannot terminate the lease. Those options cover periods in the range from two to five years in addition to the non-cancellable periods. Significant judgement is required by management to determine whether it is reasonably certain to exercise an extension option, or not to exercise a termination option, upon occurrence of an event of change in circumstances that is within the control of the Company.</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Significant Estimation Uncertainties</w:t>
      </w:r>
    </w:p>
    <w:p>
      <w:pPr>
        <w:spacing w:after="0" w:line="120" w:lineRule="exact"/>
        <w:rPr>
          <w:sz w:val="20"/>
          <w:szCs w:val="20"/>
          <w:color w:val="auto"/>
        </w:rPr>
      </w:pPr>
    </w:p>
    <w:p>
      <w:pPr>
        <w:ind w:left="180" w:right="40"/>
        <w:spacing w:after="0" w:line="275" w:lineRule="auto"/>
        <w:rPr>
          <w:sz w:val="20"/>
          <w:szCs w:val="20"/>
          <w:color w:val="auto"/>
        </w:rPr>
      </w:pPr>
      <w:r>
        <w:rPr>
          <w:rFonts w:ascii="Arial" w:cs="Arial" w:eastAsia="Arial" w:hAnsi="Arial"/>
          <w:sz w:val="18"/>
          <w:szCs w:val="18"/>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and Provisions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Provision for Sales Rebates and Product Returns</w:t>
      </w:r>
    </w:p>
    <w:p>
      <w:pPr>
        <w:spacing w:after="0" w:line="116" w:lineRule="exact"/>
        <w:rPr>
          <w:sz w:val="20"/>
          <w:szCs w:val="20"/>
          <w:color w:val="auto"/>
        </w:rPr>
      </w:pPr>
    </w:p>
    <w:p>
      <w:pPr>
        <w:ind w:left="180" w:right="280"/>
        <w:spacing w:after="0" w:line="262" w:lineRule="auto"/>
        <w:rPr>
          <w:sz w:val="20"/>
          <w:szCs w:val="20"/>
          <w:color w:val="auto"/>
        </w:rPr>
      </w:pPr>
      <w:r>
        <w:rPr>
          <w:rFonts w:ascii="Arial" w:cs="Arial" w:eastAsia="Arial" w:hAnsi="Arial"/>
          <w:sz w:val="18"/>
          <w:szCs w:val="18"/>
          <w:color w:val="auto"/>
        </w:rPr>
        <w:t>Sales rebates and product returns are considered variable consideration and constrained to the extent that a significant reversal in the amount of cumulative revenue recognized will not occur when the uncertainties associated with the rebate item is subsequently resolved, or for product returns, when the sold products are distributed to patients.</w:t>
      </w:r>
    </w:p>
    <w:p>
      <w:pPr>
        <w:spacing w:after="0" w:line="183" w:lineRule="exact"/>
        <w:rPr>
          <w:sz w:val="20"/>
          <w:szCs w:val="20"/>
          <w:color w:val="auto"/>
        </w:rPr>
      </w:pPr>
    </w:p>
    <w:p>
      <w:pPr>
        <w:ind w:left="180" w:right="100"/>
        <w:spacing w:after="0" w:line="278" w:lineRule="auto"/>
        <w:rPr>
          <w:sz w:val="20"/>
          <w:szCs w:val="20"/>
          <w:color w:val="auto"/>
        </w:rPr>
      </w:pPr>
      <w:r>
        <w:rPr>
          <w:rFonts w:ascii="Arial" w:cs="Arial" w:eastAsia="Arial" w:hAnsi="Arial"/>
          <w:sz w:val="17"/>
          <w:szCs w:val="17"/>
          <w:color w:val="auto"/>
        </w:rPr>
        <w:t>Provisions for unsettled sales rebates and product returns are estimated on the basis of a percentage of sales as defined by individual agreements and contracts, and for government rebates by individual state- and plan agreements. Further input in the calculations is based on payer channel mix, current contract prices under eligible programs, patient groups and current inventory levels in the distribution channels. Provisions are adjusted to absolute amounts and recognized as other liabilities when estimated sales rebates and returns are processed.</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 Compensation Costs</w:t>
      </w:r>
    </w:p>
    <w:p>
      <w:pPr>
        <w:spacing w:after="0" w:line="116" w:lineRule="exact"/>
        <w:rPr>
          <w:sz w:val="20"/>
          <w:szCs w:val="20"/>
          <w:color w:val="auto"/>
        </w:rPr>
      </w:pPr>
    </w:p>
    <w:p>
      <w:pPr>
        <w:ind w:left="180" w:right="280"/>
        <w:spacing w:after="0" w:line="258" w:lineRule="auto"/>
        <w:rPr>
          <w:sz w:val="20"/>
          <w:szCs w:val="20"/>
          <w:color w:val="auto"/>
        </w:rPr>
      </w:pPr>
      <w:r>
        <w:rPr>
          <w:rFonts w:ascii="Arial" w:cs="Arial" w:eastAsia="Arial" w:hAnsi="Arial"/>
          <w:sz w:val="18"/>
          <w:szCs w:val="18"/>
          <w:color w:val="auto"/>
        </w:rPr>
        <w:t>IFRS 2, “Share-Based Payment” requires an entity to reflect in its consolidated statement of profit or loss and financial position, the effects of share-based payment transactions. Warrant compensation costs are recognized as cost of sales, research and development costs or selling, general and administrative expenses, as appropriate, over the vesting period, based on management’s best estimate of the number of warrants that will ultimately vests, which is subject to uncertainty.</w:t>
      </w:r>
    </w:p>
    <w:p>
      <w:pPr>
        <w:spacing w:after="0" w:line="186" w:lineRule="exact"/>
        <w:rPr>
          <w:sz w:val="20"/>
          <w:szCs w:val="20"/>
          <w:color w:val="auto"/>
        </w:rPr>
      </w:pPr>
    </w:p>
    <w:p>
      <w:pPr>
        <w:ind w:left="180"/>
        <w:spacing w:after="0" w:line="253" w:lineRule="auto"/>
        <w:rPr>
          <w:sz w:val="20"/>
          <w:szCs w:val="20"/>
          <w:color w:val="auto"/>
        </w:rPr>
      </w:pPr>
      <w:r>
        <w:rPr>
          <w:rFonts w:ascii="Arial" w:cs="Arial" w:eastAsia="Arial" w:hAnsi="Arial"/>
          <w:sz w:val="18"/>
          <w:szCs w:val="18"/>
          <w:color w:val="auto"/>
        </w:rPr>
        <w:t>Warrant compensation costs are measured according to the grant date fair values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In 2021, the Company has for the first time, in</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280" w:top="485"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right="120"/>
        <w:spacing w:after="0" w:line="256" w:lineRule="auto"/>
        <w:rPr>
          <w:sz w:val="20"/>
          <w:szCs w:val="20"/>
          <w:color w:val="auto"/>
        </w:rPr>
      </w:pPr>
      <w:r>
        <w:rPr>
          <w:rFonts w:ascii="Arial" w:cs="Arial" w:eastAsia="Arial" w:hAnsi="Arial"/>
          <w:sz w:val="18"/>
          <w:szCs w:val="18"/>
          <w:color w:val="auto"/>
        </w:rPr>
        <w:t>connection with determining the grant date fair value of warrants and accordingly, warrant compensation costs, applied the price of the Company’s ADSs, each representing one ordinary share of the Company, as input for expected volatility. Until December 31, 2020, the expected volatility was calculated using a simple average of daily historical data of comparable publicly traded companies, as the Company did not have sufficient data for the volatility of the Company’s own share price. Refer to Note 7 “Share-based Payment”, for additional details on the Company’s warrant program and option-pricing model input.</w:t>
      </w:r>
    </w:p>
    <w:p>
      <w:pPr>
        <w:spacing w:after="0" w:line="188" w:lineRule="exact"/>
        <w:rPr>
          <w:sz w:val="20"/>
          <w:szCs w:val="20"/>
          <w:color w:val="auto"/>
        </w:rPr>
      </w:pPr>
    </w:p>
    <w:p>
      <w:pPr>
        <w:ind w:left="180" w:right="240"/>
        <w:spacing w:after="0" w:line="275" w:lineRule="auto"/>
        <w:rPr>
          <w:sz w:val="20"/>
          <w:szCs w:val="20"/>
          <w:color w:val="auto"/>
        </w:rPr>
      </w:pPr>
      <w:r>
        <w:rPr>
          <w:rFonts w:ascii="Arial" w:cs="Arial" w:eastAsia="Arial" w:hAnsi="Arial"/>
          <w:sz w:val="18"/>
          <w:szCs w:val="18"/>
          <w:color w:val="auto"/>
        </w:rPr>
        <w:t>Warrant compensation cost recognized in the consolidated statement of profit or loss was €66.1 million, €53.2 million and €37.5 million for the years ended December 31, 2021, 2020 and 2019, respectively.</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Prepayments and Accruals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Project Development Costs</w:t>
      </w:r>
    </w:p>
    <w:p>
      <w:pPr>
        <w:spacing w:after="0" w:line="116" w:lineRule="exact"/>
        <w:rPr>
          <w:sz w:val="20"/>
          <w:szCs w:val="20"/>
          <w:color w:val="auto"/>
        </w:rPr>
      </w:pPr>
    </w:p>
    <w:p>
      <w:pPr>
        <w:ind w:left="180" w:right="200"/>
        <w:spacing w:after="0" w:line="300" w:lineRule="auto"/>
        <w:rPr>
          <w:sz w:val="20"/>
          <w:szCs w:val="20"/>
          <w:color w:val="auto"/>
        </w:rPr>
      </w:pPr>
      <w:r>
        <w:rPr>
          <w:rFonts w:ascii="Arial" w:cs="Arial" w:eastAsia="Arial" w:hAnsi="Arial"/>
          <w:sz w:val="16"/>
          <w:szCs w:val="16"/>
          <w:color w:val="auto"/>
        </w:rPr>
        <w:t>Development of drug candidates requires significant resources, and establishment of long-term working relationships with CROs and CMOs. Work performed by CROs and CMOs and other suppliers, often comprise deliveries for more than one reporting period, and where payment terms for contractual work do not necessarily reflect the stage of completion of the individual projects and activities. Accordingly, determination of the stage of completion for ongoing project activities include estimation uncertainties as future efforts to complete the specific activity may be difficult to predict.</w:t>
      </w:r>
    </w:p>
    <w:p>
      <w:pPr>
        <w:spacing w:after="0" w:line="156" w:lineRule="exact"/>
        <w:rPr>
          <w:sz w:val="20"/>
          <w:szCs w:val="20"/>
          <w:color w:val="auto"/>
        </w:rPr>
      </w:pPr>
    </w:p>
    <w:p>
      <w:pPr>
        <w:ind w:left="180"/>
        <w:spacing w:after="0" w:line="256" w:lineRule="auto"/>
        <w:rPr>
          <w:sz w:val="20"/>
          <w:szCs w:val="20"/>
          <w:color w:val="auto"/>
        </w:rPr>
      </w:pPr>
      <w:r>
        <w:rPr>
          <w:rFonts w:ascii="Arial" w:cs="Arial" w:eastAsia="Arial" w:hAnsi="Arial"/>
          <w:sz w:val="18"/>
          <w:szCs w:val="18"/>
          <w:color w:val="auto"/>
        </w:rPr>
        <w:t>On each reporting date, all significant ongoing activities are reviewed to determine the stage of completion and compared to the invoices received. Accruals are recognized for individual projects where the stage of completion exceeds costs of invoices received. Similarly, prepayments are recognized for invoiced costs in excess of the stage of completion. The Company has implemented accrual calculation models and policies, to ensure that consistent accrual procedures are applied, which includes analyzing significant project stages and payment structures, comparing project milestones to planned performance, and revisiting prior periods estimates.</w:t>
      </w:r>
    </w:p>
    <w:p>
      <w:pPr>
        <w:spacing w:after="0" w:line="188" w:lineRule="exact"/>
        <w:rPr>
          <w:sz w:val="20"/>
          <w:szCs w:val="20"/>
          <w:color w:val="auto"/>
        </w:rPr>
      </w:pPr>
    </w:p>
    <w:p>
      <w:pPr>
        <w:ind w:left="180" w:right="260"/>
        <w:spacing w:after="0" w:line="275" w:lineRule="auto"/>
        <w:rPr>
          <w:sz w:val="20"/>
          <w:szCs w:val="20"/>
          <w:color w:val="auto"/>
        </w:rPr>
      </w:pPr>
      <w:r>
        <w:rPr>
          <w:rFonts w:ascii="Arial" w:cs="Arial" w:eastAsia="Arial" w:hAnsi="Arial"/>
          <w:sz w:val="18"/>
          <w:szCs w:val="18"/>
          <w:color w:val="auto"/>
        </w:rPr>
        <w:t>As of December 31, 2021, the consolidated statement of financial position included prepaid project costs of €8.0 million and accrued project costs of €23.5 million, compared to €10.5 million and €17.0 million, respectively, as of December 31, 2020.</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280" w:top="485"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4—Revenue</w:t>
      </w:r>
    </w:p>
    <w:p>
      <w:pPr>
        <w:spacing w:after="0" w:line="119" w:lineRule="exact"/>
        <w:rPr>
          <w:sz w:val="20"/>
          <w:szCs w:val="20"/>
          <w:color w:val="auto"/>
        </w:rPr>
      </w:pPr>
    </w:p>
    <w:p>
      <w:pPr>
        <w:ind w:left="140" w:right="100"/>
        <w:spacing w:after="0" w:line="231" w:lineRule="auto"/>
        <w:rPr>
          <w:sz w:val="20"/>
          <w:szCs w:val="20"/>
          <w:color w:val="auto"/>
        </w:rPr>
      </w:pPr>
      <w:r>
        <w:rPr>
          <w:rFonts w:ascii="Arial" w:cs="Arial" w:eastAsia="Arial" w:hAnsi="Arial"/>
          <w:sz w:val="18"/>
          <w:szCs w:val="18"/>
          <w:color w:val="auto"/>
        </w:rPr>
        <w:t>Revenue from commercial sale of products relates to sale of SKYTROFA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(lonapegsomatropin-tcgd) on the U.S. Market, which is sold to specialty pharmacies and specialty distributors (“commercial customers”). Customer payment terms are typically 30 days from the transaction date. SKYTROFA (lonapegsomatropin-tcgd) was approved by the U.S. Food and Drug Administration on August 25, 2021, and the Company began shipping products to commercial customers in the fourth quarter of 2021.</w:t>
      </w:r>
    </w:p>
    <w:p>
      <w:pPr>
        <w:spacing w:after="0" w:line="202" w:lineRule="exact"/>
        <w:rPr>
          <w:sz w:val="20"/>
          <w:szCs w:val="20"/>
          <w:color w:val="auto"/>
        </w:rPr>
      </w:pPr>
    </w:p>
    <w:p>
      <w:pPr>
        <w:ind w:left="140" w:right="260"/>
        <w:spacing w:after="0" w:line="258" w:lineRule="auto"/>
        <w:rPr>
          <w:sz w:val="20"/>
          <w:szCs w:val="20"/>
          <w:color w:val="auto"/>
        </w:rPr>
      </w:pPr>
      <w:r>
        <w:rPr>
          <w:rFonts w:ascii="Arial" w:cs="Arial" w:eastAsia="Arial" w:hAnsi="Arial"/>
          <w:sz w:val="18"/>
          <w:szCs w:val="18"/>
          <w:color w:val="auto"/>
        </w:rPr>
        <w:t>In addition, other revenue is generated primarily from three license agreements, which were entered into in 2018. The licenses grant VISEN Pharmaceuticals (“VISEN”), exclusive rights to develop and commercialize TransCon hGH, TransCon PTH and TransCon CNP in Greater China. As consideration, the Company has received up-front, non-refundable, non-cash consideration of $40.0 million in form of 50% ownership in VISEN (Ownership at December 31, 2021 was 43.93%).</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Revenue has been recognized in the consolidated statements of profit or loss with the following amounts:</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16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1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79"/>
        </w:trPr>
        <w:tc>
          <w:tcPr>
            <w:tcW w:w="76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(EUR’000)</w:t>
            </w:r>
          </w:p>
        </w:tc>
        <w:tc>
          <w:tcPr>
            <w:tcW w:w="2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7680" w:type="dxa"/>
            <w:vAlign w:val="bottom"/>
          </w:tcPr>
          <w:p>
            <w:pPr>
              <w:spacing w:after="0"/>
              <w:rPr>
                <w:sz w:val="20"/>
                <w:szCs w:val="20"/>
                <w:color w:val="auto"/>
              </w:rPr>
            </w:pPr>
            <w:r>
              <w:rPr>
                <w:rFonts w:ascii="Arial" w:cs="Arial" w:eastAsia="Arial" w:hAnsi="Arial"/>
                <w:sz w:val="18"/>
                <w:szCs w:val="18"/>
                <w:color w:val="auto"/>
              </w:rPr>
              <w:t>Commercial sale of products</w:t>
            </w:r>
          </w:p>
        </w:tc>
        <w:tc>
          <w:tcPr>
            <w:tcW w:w="860" w:type="dxa"/>
            <w:vAlign w:val="bottom"/>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Rendering of services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20" w:type="dxa"/>
            <w:vAlign w:val="bottom"/>
            <w:shd w:val="clear" w:color="auto" w:fill="CCEEFF"/>
          </w:tcPr>
          <w:p>
            <w:pPr>
              <w:spacing w:after="0"/>
              <w:rPr>
                <w:sz w:val="18"/>
                <w:szCs w:val="18"/>
                <w:color w:val="auto"/>
              </w:rPr>
            </w:pPr>
          </w:p>
        </w:tc>
      </w:tr>
      <w:tr>
        <w:trPr>
          <w:trHeight w:val="215"/>
        </w:trPr>
        <w:tc>
          <w:tcPr>
            <w:tcW w:w="7680" w:type="dxa"/>
            <w:vAlign w:val="bottom"/>
          </w:tcPr>
          <w:p>
            <w:pPr>
              <w:spacing w:after="0"/>
              <w:rPr>
                <w:sz w:val="20"/>
                <w:szCs w:val="20"/>
                <w:color w:val="auto"/>
              </w:rPr>
            </w:pPr>
            <w:r>
              <w:rPr>
                <w:rFonts w:ascii="Arial" w:cs="Arial" w:eastAsia="Arial" w:hAnsi="Arial"/>
                <w:sz w:val="18"/>
                <w:szCs w:val="18"/>
                <w:color w:val="auto"/>
              </w:rPr>
              <w:t>Sale of clinical supply</w:t>
            </w:r>
          </w:p>
        </w:tc>
        <w:tc>
          <w:tcPr>
            <w:tcW w:w="860" w:type="dxa"/>
            <w:vAlign w:val="bottom"/>
          </w:tcPr>
          <w:p>
            <w:pPr>
              <w:jc w:val="right"/>
              <w:spacing w:after="0"/>
              <w:rPr>
                <w:sz w:val="20"/>
                <w:szCs w:val="20"/>
                <w:color w:val="auto"/>
              </w:rPr>
            </w:pPr>
            <w:r>
              <w:rPr>
                <w:rFonts w:ascii="Arial" w:cs="Arial" w:eastAsia="Arial" w:hAnsi="Arial"/>
                <w:sz w:val="18"/>
                <w:szCs w:val="18"/>
                <w:color w:val="auto"/>
              </w:rPr>
              <w:t>3,719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8"/>
                <w:szCs w:val="18"/>
                <w:color w:val="auto"/>
              </w:rPr>
            </w:pPr>
          </w:p>
        </w:tc>
      </w:tr>
      <w:tr>
        <w:trPr>
          <w:trHeight w:val="215"/>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“Right-to-use” licenses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20" w:type="dxa"/>
            <w:vAlign w:val="bottom"/>
            <w:shd w:val="clear" w:color="auto" w:fill="CCEEFF"/>
          </w:tcPr>
          <w:p>
            <w:pPr>
              <w:spacing w:after="0"/>
              <w:rPr>
                <w:sz w:val="18"/>
                <w:szCs w:val="18"/>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7,778</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13,375</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7680" w:type="dxa"/>
            <w:vAlign w:val="bottom"/>
          </w:tcPr>
          <w:p>
            <w:pPr>
              <w:spacing w:after="0"/>
              <w:rPr>
                <w:sz w:val="20"/>
                <w:szCs w:val="20"/>
                <w:color w:val="auto"/>
              </w:rPr>
            </w:pPr>
            <w:r>
              <w:rPr>
                <w:rFonts w:ascii="Arial" w:cs="Arial" w:eastAsia="Arial" w:hAnsi="Arial"/>
                <w:sz w:val="18"/>
                <w:szCs w:val="18"/>
                <w:color w:val="auto"/>
              </w:rPr>
              <w:t>Commercial customers</w:t>
            </w:r>
          </w:p>
        </w:tc>
        <w:tc>
          <w:tcPr>
            <w:tcW w:w="860" w:type="dxa"/>
            <w:vAlign w:val="bottom"/>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Collaboration partners and license agreements </w:t>
            </w:r>
            <w:r>
              <w:rPr>
                <w:rFonts w:ascii="Arial" w:cs="Arial" w:eastAsia="Arial" w:hAnsi="Arial"/>
                <w:sz w:val="24"/>
                <w:szCs w:val="24"/>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120" w:type="dxa"/>
            <w:vAlign w:val="bottom"/>
            <w:shd w:val="clear" w:color="auto" w:fill="CCEEFF"/>
          </w:tcPr>
          <w:p>
            <w:pPr>
              <w:spacing w:after="0"/>
              <w:rPr>
                <w:sz w:val="18"/>
                <w:szCs w:val="18"/>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7,778</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13,375</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by timing of recognition</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7680" w:type="dxa"/>
            <w:vAlign w:val="bottom"/>
          </w:tcPr>
          <w:p>
            <w:pPr>
              <w:spacing w:after="0"/>
              <w:rPr>
                <w:sz w:val="20"/>
                <w:szCs w:val="20"/>
                <w:color w:val="auto"/>
              </w:rPr>
            </w:pPr>
            <w:r>
              <w:rPr>
                <w:rFonts w:ascii="Arial" w:cs="Arial" w:eastAsia="Arial" w:hAnsi="Arial"/>
                <w:sz w:val="18"/>
                <w:szCs w:val="18"/>
                <w:color w:val="auto"/>
              </w:rPr>
              <w:t>Recognized over time</w:t>
            </w:r>
          </w:p>
        </w:tc>
        <w:tc>
          <w:tcPr>
            <w:tcW w:w="860" w:type="dxa"/>
            <w:vAlign w:val="bottom"/>
          </w:tcPr>
          <w:p>
            <w:pPr>
              <w:jc w:val="right"/>
              <w:spacing w:after="0"/>
              <w:rPr>
                <w:sz w:val="20"/>
                <w:szCs w:val="20"/>
                <w:color w:val="auto"/>
              </w:rPr>
            </w:pPr>
            <w:r>
              <w:rPr>
                <w:rFonts w:ascii="Arial" w:cs="Arial" w:eastAsia="Arial" w:hAnsi="Arial"/>
                <w:sz w:val="18"/>
                <w:szCs w:val="18"/>
                <w:color w:val="auto"/>
              </w:rPr>
              <w:t>751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9,919</w:t>
            </w:r>
          </w:p>
        </w:tc>
        <w:tc>
          <w:tcPr>
            <w:tcW w:w="120" w:type="dxa"/>
            <w:vAlign w:val="bottom"/>
          </w:tcPr>
          <w:p>
            <w:pPr>
              <w:spacing w:after="0"/>
              <w:rPr>
                <w:sz w:val="18"/>
                <w:szCs w:val="18"/>
                <w:color w:val="auto"/>
              </w:rPr>
            </w:pPr>
          </w:p>
        </w:tc>
      </w:tr>
      <w:tr>
        <w:trPr>
          <w:trHeight w:val="215"/>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Recognized at a point in time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20" w:type="dxa"/>
            <w:vAlign w:val="bottom"/>
            <w:shd w:val="clear" w:color="auto" w:fill="CCEEFF"/>
          </w:tcPr>
          <w:p>
            <w:pPr>
              <w:spacing w:after="0"/>
              <w:rPr>
                <w:sz w:val="18"/>
                <w:szCs w:val="18"/>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7,778</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13,375</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per geographical location</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7680" w:type="dxa"/>
            <w:vAlign w:val="bottom"/>
          </w:tcPr>
          <w:p>
            <w:pPr>
              <w:spacing w:after="0"/>
              <w:rPr>
                <w:sz w:val="20"/>
                <w:szCs w:val="20"/>
                <w:color w:val="auto"/>
              </w:rPr>
            </w:pPr>
            <w:r>
              <w:rPr>
                <w:rFonts w:ascii="Arial" w:cs="Arial" w:eastAsia="Arial" w:hAnsi="Arial"/>
                <w:sz w:val="18"/>
                <w:szCs w:val="18"/>
                <w:color w:val="auto"/>
              </w:rPr>
              <w:t>North America</w:t>
            </w:r>
          </w:p>
        </w:tc>
        <w:tc>
          <w:tcPr>
            <w:tcW w:w="860" w:type="dxa"/>
            <w:vAlign w:val="bottom"/>
          </w:tcPr>
          <w:p>
            <w:pPr>
              <w:jc w:val="right"/>
              <w:spacing w:after="0"/>
              <w:rPr>
                <w:sz w:val="20"/>
                <w:szCs w:val="20"/>
                <w:color w:val="auto"/>
              </w:rPr>
            </w:pPr>
            <w:r>
              <w:rPr>
                <w:rFonts w:ascii="Arial" w:cs="Arial" w:eastAsia="Arial" w:hAnsi="Arial"/>
                <w:sz w:val="18"/>
                <w:szCs w:val="18"/>
                <w:color w:val="auto"/>
              </w:rPr>
              <w:t>6,856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8"/>
                <w:szCs w:val="18"/>
                <w:color w:val="auto"/>
              </w:rPr>
            </w:pPr>
          </w:p>
        </w:tc>
      </w:tr>
      <w:tr>
        <w:trPr>
          <w:trHeight w:val="215"/>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shd w:val="clear" w:color="auto" w:fill="CCEEFF"/>
          </w:tcPr>
          <w:p>
            <w:pPr>
              <w:spacing w:after="0"/>
              <w:rPr>
                <w:sz w:val="18"/>
                <w:szCs w:val="18"/>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7,778</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13,375</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5" w:lineRule="exact"/>
        <w:rPr>
          <w:sz w:val="20"/>
          <w:szCs w:val="20"/>
          <w:color w:val="auto"/>
        </w:rPr>
      </w:pPr>
    </w:p>
    <w:p>
      <w:pPr>
        <w:ind w:left="560" w:right="180" w:hanging="425"/>
        <w:spacing w:after="0" w:line="244" w:lineRule="auto"/>
        <w:tabs>
          <w:tab w:leader="none" w:pos="560" w:val="left"/>
        </w:tabs>
        <w:numPr>
          <w:ilvl w:val="0"/>
          <w:numId w:val="164"/>
        </w:numPr>
        <w:rPr>
          <w:rFonts w:ascii="Arial" w:cs="Arial" w:eastAsia="Arial" w:hAnsi="Arial"/>
          <w:sz w:val="18"/>
          <w:szCs w:val="18"/>
          <w:color w:val="auto"/>
        </w:rPr>
      </w:pPr>
      <w:r>
        <w:rPr>
          <w:rFonts w:ascii="Arial" w:cs="Arial" w:eastAsia="Arial" w:hAnsi="Arial"/>
          <w:sz w:val="16"/>
          <w:szCs w:val="16"/>
          <w:color w:val="auto"/>
        </w:rPr>
        <w:t>Revenue from collaboration partners and license agreements includes recognition of previously deferred revenue/internal profit from associate of €2.4 million, €3.5 million and €6.5 million for the years ended December 31, 2021, 2020 and 2019, respectively. Revenue from one collaboration partner amounted to 95% of total revenue from collaboration partners and license agreements.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85"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5—Segment Information</w:t>
      </w:r>
    </w:p>
    <w:p>
      <w:pPr>
        <w:spacing w:after="0" w:line="120" w:lineRule="exact"/>
        <w:rPr>
          <w:sz w:val="20"/>
          <w:szCs w:val="20"/>
          <w:color w:val="auto"/>
        </w:rPr>
      </w:pPr>
    </w:p>
    <w:p>
      <w:pPr>
        <w:ind w:left="180" w:right="320"/>
        <w:spacing w:after="0" w:line="285" w:lineRule="auto"/>
        <w:rPr>
          <w:sz w:val="20"/>
          <w:szCs w:val="20"/>
          <w:color w:val="auto"/>
        </w:rPr>
      </w:pPr>
      <w:r>
        <w:rPr>
          <w:rFonts w:ascii="Arial" w:cs="Arial" w:eastAsia="Arial" w:hAnsi="Arial"/>
          <w:sz w:val="17"/>
          <w:szCs w:val="17"/>
          <w:color w:val="auto"/>
        </w:rPr>
        <w:t>The Company is managed and operated as one business unit. No separate business areas or separate business units have been identified in relation to product candidates or geographical markets. Accordingly, except for entity wide disclosures, no information on business segments or geographical markets is disclosed. Entity wide disclosures regarding revenue are included in Note 4 “Revenue”.</w:t>
      </w:r>
    </w:p>
    <w:p>
      <w:pPr>
        <w:spacing w:after="0" w:line="165" w:lineRule="exact"/>
        <w:rPr>
          <w:sz w:val="20"/>
          <w:szCs w:val="20"/>
          <w:color w:val="auto"/>
        </w:rPr>
      </w:pPr>
    </w:p>
    <w:p>
      <w:pPr>
        <w:ind w:left="180" w:right="400"/>
        <w:spacing w:after="0" w:line="275" w:lineRule="auto"/>
        <w:rPr>
          <w:sz w:val="20"/>
          <w:szCs w:val="20"/>
          <w:color w:val="auto"/>
        </w:rPr>
      </w:pPr>
      <w:r>
        <w:rPr>
          <w:rFonts w:ascii="Arial" w:cs="Arial" w:eastAsia="Arial" w:hAnsi="Arial"/>
          <w:sz w:val="18"/>
          <w:szCs w:val="18"/>
          <w:color w:val="auto"/>
        </w:rPr>
        <w:t>The Company’s intangible assets and property, plant and equipment located by country are specified below, and defines the Company’s non-current segment assets: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gridSpan w:val="5"/>
          </w:tcPr>
          <w:p>
            <w:pPr>
              <w:ind w:left="700"/>
              <w:spacing w:after="0"/>
              <w:rPr>
                <w:sz w:val="20"/>
                <w:szCs w:val="20"/>
                <w:color w:val="auto"/>
              </w:rPr>
            </w:pPr>
            <w:r>
              <w:rPr>
                <w:rFonts w:ascii="Arial" w:cs="Arial" w:eastAsia="Arial" w:hAnsi="Arial"/>
                <w:sz w:val="14"/>
                <w:szCs w:val="14"/>
                <w:b w:val="1"/>
                <w:bCs w:val="1"/>
                <w:color w:val="auto"/>
              </w:rPr>
              <w:t>(EUR’000)</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segment 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Denmark (domicile country)</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Germany</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segment 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131,321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113,829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Investment in associate</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38,345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115,280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receivables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279,035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239,660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6—Employee costs</w:t>
            </w: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75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(EUR’000)</w:t>
            </w:r>
          </w:p>
        </w:tc>
        <w:tc>
          <w:tcPr>
            <w:tcW w:w="2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Employee costs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Wages and salaries</w:t>
            </w:r>
          </w:p>
        </w:tc>
        <w:tc>
          <w:tcPr>
            <w:tcW w:w="920" w:type="dxa"/>
            <w:vAlign w:val="bottom"/>
          </w:tcPr>
          <w:p>
            <w:pPr>
              <w:jc w:val="right"/>
              <w:spacing w:after="0"/>
              <w:rPr>
                <w:sz w:val="20"/>
                <w:szCs w:val="20"/>
                <w:color w:val="auto"/>
              </w:rPr>
            </w:pPr>
            <w:r>
              <w:rPr>
                <w:rFonts w:ascii="Arial" w:cs="Arial" w:eastAsia="Arial" w:hAnsi="Arial"/>
                <w:sz w:val="18"/>
                <w:szCs w:val="18"/>
                <w:color w:val="auto"/>
              </w:rPr>
              <w:t>104,583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77,374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53,170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Pensions (defined contribution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2,416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Total employee costs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178,400</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136,845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90,889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Included in the profit or loss</w:t>
            </w:r>
          </w:p>
        </w:tc>
        <w:tc>
          <w:tcPr>
            <w:tcW w:w="1200" w:type="dxa"/>
            <w:vAlign w:val="bottom"/>
            <w:gridSpan w:val="3"/>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5"/>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Cost of sales</w:t>
            </w:r>
          </w:p>
        </w:tc>
        <w:tc>
          <w:tcPr>
            <w:tcW w:w="920" w:type="dxa"/>
            <w:vAlign w:val="bottom"/>
          </w:tcPr>
          <w:p>
            <w:pPr>
              <w:jc w:val="right"/>
              <w:spacing w:after="0"/>
              <w:rPr>
                <w:sz w:val="20"/>
                <w:szCs w:val="20"/>
                <w:color w:val="auto"/>
              </w:rPr>
            </w:pPr>
            <w:r>
              <w:rPr>
                <w:rFonts w:ascii="Arial" w:cs="Arial" w:eastAsia="Arial" w:hAnsi="Arial"/>
                <w:sz w:val="18"/>
                <w:szCs w:val="18"/>
                <w:color w:val="auto"/>
              </w:rPr>
              <w:t>1,380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5"/>
          </w:tcPr>
          <w:p>
            <w:pPr>
              <w:ind w:left="64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92,468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70,462</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44,377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employee costs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178,400</w:t>
            </w: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136,845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Average number of employees</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gridSpan w:val="2"/>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 w:right="420"/>
        <w:spacing w:after="0" w:line="262" w:lineRule="auto"/>
        <w:rPr>
          <w:sz w:val="20"/>
          <w:szCs w:val="20"/>
          <w:color w:val="auto"/>
        </w:rPr>
      </w:pPr>
      <w:r>
        <w:rPr>
          <w:rFonts w:ascii="Arial" w:cs="Arial" w:eastAsia="Arial" w:hAnsi="Arial"/>
          <w:sz w:val="18"/>
          <w:szCs w:val="18"/>
          <w:color w:val="auto"/>
        </w:rPr>
        <w:t>Key Management Personnel comprises the Board of Directors, the Executive Board and Non-executive Senior Management. Compensation to Key Management Personnel comprises salaries, participation in annual bonus schemes, and share-based compensation. Share-based compensation is elaborated in further details in the section “Share-based Payment”.</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 to Key Management Personnel included within total employee costs is summarized below:</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120" w:type="dxa"/>
            <w:vAlign w:val="bottom"/>
            <w:gridSpan w:val="5"/>
          </w:tcPr>
          <w:p>
            <w:pPr>
              <w:ind w:left="720"/>
              <w:spacing w:after="0"/>
              <w:rPr>
                <w:sz w:val="20"/>
                <w:szCs w:val="20"/>
                <w:color w:val="auto"/>
              </w:rPr>
            </w:pPr>
            <w:r>
              <w:rPr>
                <w:rFonts w:ascii="Arial" w:cs="Arial" w:eastAsia="Arial" w:hAnsi="Arial"/>
                <w:sz w:val="14"/>
                <w:szCs w:val="14"/>
                <w:b w:val="1"/>
                <w:bCs w:val="1"/>
                <w:color w:val="auto"/>
                <w:w w:val="99"/>
              </w:rPr>
              <w:t xml:space="preserve">Board of Directors </w:t>
            </w:r>
            <w:r>
              <w:rPr>
                <w:rFonts w:ascii="Arial" w:cs="Arial" w:eastAsia="Arial" w:hAnsi="Arial"/>
                <w:sz w:val="10"/>
                <w:szCs w:val="10"/>
                <w:b w:val="1"/>
                <w:bCs w:val="1"/>
                <w:color w:val="auto"/>
                <w:w w:val="99"/>
              </w:rPr>
              <w:t>(1)</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ind w:left="820"/>
              <w:spacing w:after="0"/>
              <w:rPr>
                <w:sz w:val="20"/>
                <w:szCs w:val="20"/>
                <w:color w:val="auto"/>
              </w:rPr>
            </w:pPr>
            <w:r>
              <w:rPr>
                <w:rFonts w:ascii="Arial" w:cs="Arial" w:eastAsia="Arial" w:hAnsi="Arial"/>
                <w:sz w:val="14"/>
                <w:szCs w:val="14"/>
                <w:b w:val="1"/>
                <w:bCs w:val="1"/>
                <w:color w:val="auto"/>
                <w:w w:val="95"/>
              </w:rPr>
              <w:t xml:space="preserve">Executive Board </w:t>
            </w:r>
            <w:r>
              <w:rPr>
                <w:rFonts w:ascii="Arial" w:cs="Arial" w:eastAsia="Arial" w:hAnsi="Arial"/>
                <w:sz w:val="10"/>
                <w:szCs w:val="10"/>
                <w:b w:val="1"/>
                <w:bCs w:val="1"/>
                <w:color w:val="auto"/>
                <w:w w:val="95"/>
              </w:rPr>
              <w:t>(2)</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6"/>
          </w:tcPr>
          <w:p>
            <w:pPr>
              <w:ind w:left="420"/>
              <w:spacing w:after="0"/>
              <w:rPr>
                <w:sz w:val="20"/>
                <w:szCs w:val="20"/>
                <w:color w:val="auto"/>
              </w:rPr>
            </w:pPr>
            <w:r>
              <w:rPr>
                <w:rFonts w:ascii="Arial" w:cs="Arial" w:eastAsia="Arial" w:hAnsi="Arial"/>
                <w:sz w:val="14"/>
                <w:szCs w:val="14"/>
                <w:b w:val="1"/>
                <w:bCs w:val="1"/>
                <w:color w:val="auto"/>
              </w:rPr>
              <w:t>Non-executive Senior Management</w:t>
            </w:r>
          </w:p>
        </w:tc>
      </w:tr>
      <w:tr>
        <w:trPr>
          <w:trHeight w:val="141"/>
        </w:trPr>
        <w:tc>
          <w:tcPr>
            <w:tcW w:w="1880" w:type="dxa"/>
            <w:vAlign w:val="bottom"/>
          </w:tcPr>
          <w:p>
            <w:pPr>
              <w:spacing w:after="0"/>
              <w:rPr>
                <w:sz w:val="12"/>
                <w:szCs w:val="12"/>
                <w:color w:val="auto"/>
              </w:rPr>
            </w:pPr>
          </w:p>
        </w:tc>
        <w:tc>
          <w:tcPr>
            <w:tcW w:w="800" w:type="dxa"/>
            <w:vAlign w:val="bottom"/>
            <w:tcBorders>
              <w:top w:val="single" w:sz="8" w:color="auto"/>
            </w:tcBorders>
          </w:tcPr>
          <w:p>
            <w:pPr>
              <w:jc w:val="right"/>
              <w:ind w:right="175"/>
              <w:spacing w:after="0" w:line="141" w:lineRule="exact"/>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tcBorders>
            <w:gridSpan w:val="2"/>
          </w:tcPr>
          <w:p>
            <w:pPr>
              <w:jc w:val="right"/>
              <w:ind w:right="170"/>
              <w:spacing w:after="0" w:line="141"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1"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right"/>
              <w:ind w:right="219"/>
              <w:spacing w:after="0" w:line="141" w:lineRule="exact"/>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tcBorders>
            <w:gridSpan w:val="2"/>
          </w:tcPr>
          <w:p>
            <w:pPr>
              <w:jc w:val="right"/>
              <w:ind w:right="176"/>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93"/>
              <w:spacing w:after="0" w:line="141"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880" w:type="dxa"/>
            <w:vAlign w:val="bottom"/>
            <w:tcBorders>
              <w:top w:val="single" w:sz="8" w:color="auto"/>
            </w:tcBorders>
          </w:tcPr>
          <w:p>
            <w:pPr>
              <w:jc w:val="right"/>
              <w:ind w:right="222"/>
              <w:spacing w:after="0" w:line="141" w:lineRule="exact"/>
              <w:rPr>
                <w:sz w:val="20"/>
                <w:szCs w:val="20"/>
                <w:color w:val="auto"/>
              </w:rPr>
            </w:pPr>
            <w:r>
              <w:rPr>
                <w:rFonts w:ascii="Arial" w:cs="Arial" w:eastAsia="Arial" w:hAnsi="Arial"/>
                <w:sz w:val="14"/>
                <w:szCs w:val="14"/>
                <w:b w:val="1"/>
                <w:bCs w:val="1"/>
                <w:color w:val="auto"/>
              </w:rPr>
              <w:t>2021</w:t>
            </w:r>
          </w:p>
        </w:tc>
        <w:tc>
          <w:tcPr>
            <w:tcW w:w="1060" w:type="dxa"/>
            <w:vAlign w:val="bottom"/>
            <w:tcBorders>
              <w:top w:val="single" w:sz="8" w:color="auto"/>
            </w:tcBorders>
            <w:gridSpan w:val="2"/>
          </w:tcPr>
          <w:p>
            <w:pPr>
              <w:jc w:val="right"/>
              <w:ind w:right="210"/>
              <w:spacing w:after="0" w:line="141" w:lineRule="exact"/>
              <w:rPr>
                <w:sz w:val="20"/>
                <w:szCs w:val="20"/>
                <w:color w:val="auto"/>
              </w:rPr>
            </w:pPr>
            <w:r>
              <w:rPr>
                <w:rFonts w:ascii="Arial" w:cs="Arial" w:eastAsia="Arial" w:hAnsi="Arial"/>
                <w:sz w:val="14"/>
                <w:szCs w:val="14"/>
                <w:b w:val="1"/>
                <w:bCs w:val="1"/>
                <w:color w:val="auto"/>
              </w:rPr>
              <w:t>2020</w:t>
            </w:r>
          </w:p>
        </w:tc>
        <w:tc>
          <w:tcPr>
            <w:tcW w:w="1060" w:type="dxa"/>
            <w:vAlign w:val="bottom"/>
            <w:tcBorders>
              <w:top w:val="single" w:sz="8" w:color="auto"/>
            </w:tcBorders>
            <w:gridSpan w:val="2"/>
          </w:tcPr>
          <w:p>
            <w:pPr>
              <w:jc w:val="right"/>
              <w:ind w:right="210"/>
              <w:spacing w:after="0" w:line="141"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79"/>
        </w:trPr>
        <w:tc>
          <w:tcPr>
            <w:tcW w:w="18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(EUR ‘000)</w:t>
            </w:r>
          </w:p>
        </w:tc>
        <w:tc>
          <w:tcPr>
            <w:tcW w:w="2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3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5"/>
        </w:trPr>
        <w:tc>
          <w:tcPr>
            <w:tcW w:w="1880" w:type="dxa"/>
            <w:vAlign w:val="bottom"/>
          </w:tcPr>
          <w:p>
            <w:pPr>
              <w:spacing w:after="0"/>
              <w:rPr>
                <w:sz w:val="20"/>
                <w:szCs w:val="20"/>
                <w:color w:val="auto"/>
              </w:rPr>
            </w:pPr>
            <w:r>
              <w:rPr>
                <w:rFonts w:ascii="Arial" w:cs="Arial" w:eastAsia="Arial" w:hAnsi="Arial"/>
                <w:sz w:val="18"/>
                <w:szCs w:val="18"/>
                <w:color w:val="auto"/>
              </w:rPr>
              <w:t>Wages and salaries</w:t>
            </w:r>
          </w:p>
        </w:tc>
        <w:tc>
          <w:tcPr>
            <w:tcW w:w="800" w:type="dxa"/>
            <w:vAlign w:val="bottom"/>
          </w:tcPr>
          <w:p>
            <w:pPr>
              <w:jc w:val="right"/>
              <w:spacing w:after="0"/>
              <w:rPr>
                <w:sz w:val="20"/>
                <w:szCs w:val="20"/>
                <w:color w:val="auto"/>
              </w:rPr>
            </w:pPr>
            <w:r>
              <w:rPr>
                <w:rFonts w:ascii="Arial" w:cs="Arial" w:eastAsia="Arial" w:hAnsi="Arial"/>
                <w:sz w:val="18"/>
                <w:szCs w:val="18"/>
                <w:color w:val="auto"/>
              </w:rPr>
              <w:t>296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2,699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8"/>
                <w:szCs w:val="18"/>
                <w:color w:val="auto"/>
              </w:rPr>
            </w:pPr>
          </w:p>
        </w:tc>
      </w:tr>
      <w:tr>
        <w:trPr>
          <w:trHeight w:val="215"/>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120" w:type="dxa"/>
            <w:vAlign w:val="bottom"/>
            <w:shd w:val="clear" w:color="auto" w:fill="CCEEFF"/>
          </w:tcPr>
          <w:p>
            <w:pPr>
              <w:spacing w:after="0"/>
              <w:rPr>
                <w:sz w:val="18"/>
                <w:szCs w:val="18"/>
                <w:color w:val="auto"/>
              </w:rPr>
            </w:pPr>
          </w:p>
        </w:tc>
      </w:tr>
      <w:tr>
        <w:trPr>
          <w:trHeight w:val="201"/>
        </w:trPr>
        <w:tc>
          <w:tcPr>
            <w:tcW w:w="1880" w:type="dxa"/>
            <w:vAlign w:val="bottom"/>
          </w:tcPr>
          <w:p>
            <w:pPr>
              <w:spacing w:after="0" w:line="201" w:lineRule="exact"/>
              <w:rPr>
                <w:sz w:val="20"/>
                <w:szCs w:val="20"/>
                <w:color w:val="auto"/>
              </w:rPr>
            </w:pPr>
            <w:r>
              <w:rPr>
                <w:rFonts w:ascii="Arial" w:cs="Arial" w:eastAsia="Arial" w:hAnsi="Arial"/>
                <w:sz w:val="18"/>
                <w:szCs w:val="18"/>
                <w:color w:val="auto"/>
              </w:rPr>
              <w:t>Pensions (defined</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880" w:type="dxa"/>
            <w:vAlign w:val="bottom"/>
          </w:tcPr>
          <w:p>
            <w:pPr>
              <w:ind w:left="180"/>
              <w:spacing w:after="0"/>
              <w:rPr>
                <w:sz w:val="20"/>
                <w:szCs w:val="20"/>
                <w:color w:val="auto"/>
              </w:rPr>
            </w:pPr>
            <w:r>
              <w:rPr>
                <w:rFonts w:ascii="Arial" w:cs="Arial" w:eastAsia="Arial" w:hAnsi="Arial"/>
                <w:sz w:val="18"/>
                <w:szCs w:val="18"/>
                <w:color w:val="auto"/>
              </w:rPr>
              <w:t>contribution plans)</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r>
      <w:tr>
        <w:trPr>
          <w:trHeight w:val="215"/>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b w:val="1"/>
                <w:bCs w:val="1"/>
                <w:color w:val="auto"/>
              </w:rPr>
              <w:t>Total compensation</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2,328</w:t>
            </w: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2,163</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2,129</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11,541</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8,831</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7,212</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20,633</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19,395</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15,967</w:t>
            </w:r>
          </w:p>
        </w:tc>
        <w:tc>
          <w:tcPr>
            <w:tcW w:w="120" w:type="dxa"/>
            <w:vAlign w:val="bottom"/>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F-22</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60"/>
          </w:cols>
          <w:pgMar w:left="280" w:top="485"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560" w:right="340" w:hanging="425"/>
        <w:spacing w:after="0" w:line="244" w:lineRule="auto"/>
        <w:tabs>
          <w:tab w:leader="none" w:pos="560" w:val="left"/>
        </w:tabs>
        <w:numPr>
          <w:ilvl w:val="0"/>
          <w:numId w:val="165"/>
        </w:numPr>
        <w:rPr>
          <w:rFonts w:ascii="Arial" w:cs="Arial" w:eastAsia="Arial" w:hAnsi="Arial"/>
          <w:sz w:val="18"/>
          <w:szCs w:val="18"/>
          <w:color w:val="auto"/>
        </w:rPr>
      </w:pPr>
      <w:r>
        <w:rPr>
          <w:rFonts w:ascii="Arial" w:cs="Arial" w:eastAsia="Arial" w:hAnsi="Arial"/>
          <w:sz w:val="16"/>
          <w:szCs w:val="16"/>
          <w:color w:val="auto"/>
        </w:rPr>
        <w:t>The Board of Directors comprised six to seven persons in 2021. At December 31, 2021, the Board of Directors comprised six persons. For 2020 and 2019, the Board of Directors comprised seven persons.</w:t>
      </w:r>
    </w:p>
    <w:p>
      <w:pPr>
        <w:spacing w:after="0" w:line="100" w:lineRule="exact"/>
        <w:rPr>
          <w:rFonts w:ascii="Arial" w:cs="Arial" w:eastAsia="Arial" w:hAnsi="Arial"/>
          <w:sz w:val="18"/>
          <w:szCs w:val="18"/>
          <w:color w:val="auto"/>
        </w:rPr>
      </w:pPr>
    </w:p>
    <w:p>
      <w:pPr>
        <w:ind w:left="560" w:right="560" w:hanging="425"/>
        <w:spacing w:after="0" w:line="244" w:lineRule="auto"/>
        <w:tabs>
          <w:tab w:leader="none" w:pos="560" w:val="left"/>
        </w:tabs>
        <w:numPr>
          <w:ilvl w:val="0"/>
          <w:numId w:val="165"/>
        </w:numPr>
        <w:rPr>
          <w:rFonts w:ascii="Arial" w:cs="Arial" w:eastAsia="Arial" w:hAnsi="Arial"/>
          <w:sz w:val="18"/>
          <w:szCs w:val="18"/>
          <w:color w:val="auto"/>
        </w:rPr>
      </w:pPr>
      <w:r>
        <w:rPr>
          <w:rFonts w:ascii="Arial" w:cs="Arial" w:eastAsia="Arial" w:hAnsi="Arial"/>
          <w:sz w:val="16"/>
          <w:szCs w:val="16"/>
          <w:color w:val="auto"/>
        </w:rPr>
        <w:t>The Executive Board comprised two to four persons in 2021. At December 31, 2021, the Executive Board comprised four persons. For 2020 and 2019, the Executive Board comprised two persons.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7—Share-based Payment</w:t>
      </w:r>
    </w:p>
    <w:p>
      <w:pPr>
        <w:spacing w:after="0" w:line="120" w:lineRule="exact"/>
        <w:rPr>
          <w:sz w:val="20"/>
          <w:szCs w:val="20"/>
          <w:color w:val="auto"/>
        </w:rPr>
      </w:pPr>
    </w:p>
    <w:p>
      <w:pPr>
        <w:ind w:left="140" w:right="220"/>
        <w:spacing w:after="0" w:line="340" w:lineRule="auto"/>
        <w:rPr>
          <w:sz w:val="20"/>
          <w:szCs w:val="20"/>
          <w:color w:val="auto"/>
        </w:rPr>
      </w:pPr>
      <w:r>
        <w:rPr>
          <w:rFonts w:ascii="Arial" w:cs="Arial" w:eastAsia="Arial" w:hAnsi="Arial"/>
          <w:sz w:val="16"/>
          <w:szCs w:val="16"/>
          <w:color w:val="auto"/>
        </w:rPr>
        <w:t>As an incentive to employees, members of the Board of Directors and select consultants, Ascendis Pharma A/S has established warrant programs and, since December 2021, Restricted Stock Unit programs (“RSU programs”), which are equity-settled share-based payment transactions.</w:t>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Restricted Stock Unit Program</w:t>
      </w:r>
    </w:p>
    <w:p>
      <w:pPr>
        <w:spacing w:after="0" w:line="120" w:lineRule="exact"/>
        <w:rPr>
          <w:sz w:val="20"/>
          <w:szCs w:val="20"/>
          <w:color w:val="auto"/>
        </w:rPr>
      </w:pPr>
    </w:p>
    <w:p>
      <w:pPr>
        <w:ind w:left="140" w:right="340"/>
        <w:spacing w:after="0" w:line="272" w:lineRule="auto"/>
        <w:rPr>
          <w:sz w:val="20"/>
          <w:szCs w:val="20"/>
          <w:color w:val="auto"/>
        </w:rPr>
      </w:pPr>
      <w:r>
        <w:rPr>
          <w:rFonts w:ascii="Arial" w:cs="Arial" w:eastAsia="Arial" w:hAnsi="Arial"/>
          <w:sz w:val="17"/>
          <w:szCs w:val="17"/>
          <w:color w:val="auto"/>
        </w:rPr>
        <w:t>Restricted Stock Units (“RSUs”) are granted by the Board of Directors in accordance with authorizations given to it by the shareholders of Ascendis Pharma A/S to the Executive Board, select employees and members of the Board of Directors (“RSU-holders”) in accordance with the Company’s Restricted Stock Unit Program adopted in December 2021. Further, RSUs may be granted to select consultants. One RSU represents a right for the RSU-holder to receive one ADS of Ascendis Pharma A/S upon vesting if the vesting conditions are met or waived by the Board of Directors at its discretion. ADSs underlying RSUs are treasury shares that have been repurchased in the market and, upon vesting, the Company may at its sole discretion choose to make a cash settlement instead of delivering ADSs.</w:t>
      </w:r>
    </w:p>
    <w:p>
      <w:pPr>
        <w:spacing w:after="0" w:line="28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Vesting Conditions</w:t>
      </w:r>
    </w:p>
    <w:p>
      <w:pPr>
        <w:spacing w:after="0" w:line="116" w:lineRule="exact"/>
        <w:rPr>
          <w:sz w:val="20"/>
          <w:szCs w:val="20"/>
          <w:color w:val="auto"/>
        </w:rPr>
      </w:pPr>
    </w:p>
    <w:p>
      <w:pPr>
        <w:ind w:left="140" w:right="160"/>
        <w:spacing w:after="0" w:line="271" w:lineRule="auto"/>
        <w:rPr>
          <w:sz w:val="20"/>
          <w:szCs w:val="20"/>
          <w:color w:val="auto"/>
        </w:rPr>
      </w:pPr>
      <w:r>
        <w:rPr>
          <w:rFonts w:ascii="Arial" w:cs="Arial" w:eastAsia="Arial" w:hAnsi="Arial"/>
          <w:sz w:val="17"/>
          <w:szCs w:val="17"/>
          <w:color w:val="auto"/>
        </w:rPr>
        <w:t>RSUs granted vest over a predetermined service period, and accordingly require RSU-holders to be employed, or provide a specified period of service. RSUs vest over three years with 1/3 of the RSUs vesting on each anniversary date from the date of grant, and in the case of RSUs granted to the Company’s Chief Executive Officer, subject to the achievement of performance conditions as determined by the Company’s Board of Directors. RSUs generally cease to vest from the date of termination of employment, or for Board of Directors, termination of board membership, whereas unvested RSUs will lapse. In addition, vesting may be contingent upon additional vesting criteria (non-market performance conditions). The Board of Directors may at its discretion and on an individual basis decide to deviate from the vesting conditions, including, decide to accelerate vesting in the event of termination of employment or board membership, as applicable.</w:t>
      </w:r>
    </w:p>
    <w:p>
      <w:pPr>
        <w:spacing w:after="0" w:line="177" w:lineRule="exact"/>
        <w:rPr>
          <w:sz w:val="20"/>
          <w:szCs w:val="20"/>
          <w:color w:val="auto"/>
        </w:rPr>
      </w:pPr>
    </w:p>
    <w:p>
      <w:pPr>
        <w:ind w:left="140" w:right="100"/>
        <w:spacing w:after="0" w:line="285" w:lineRule="auto"/>
        <w:rPr>
          <w:sz w:val="20"/>
          <w:szCs w:val="20"/>
          <w:color w:val="auto"/>
        </w:rPr>
      </w:pPr>
      <w:r>
        <w:rPr>
          <w:rFonts w:ascii="Arial" w:cs="Arial" w:eastAsia="Arial" w:hAnsi="Arial"/>
          <w:sz w:val="17"/>
          <w:szCs w:val="17"/>
          <w:color w:val="auto"/>
        </w:rPr>
        <w:t>No later than 30 days after each vesting date, the Company transfers the applicable number of ADSs corresponding to the vested RSUs to the RSU-holders. In addition, the Company is in certain tax jurisdictions obligated to withhold tax and settle with the relevant tax authority on behalf of the RSU-holder, in which case a number of ADSs equaling the applicable taxes and social contributions are withheld by the Company.</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Adjustments</w:t>
      </w:r>
    </w:p>
    <w:p>
      <w:pPr>
        <w:spacing w:after="0" w:line="116" w:lineRule="exact"/>
        <w:rPr>
          <w:sz w:val="20"/>
          <w:szCs w:val="20"/>
          <w:color w:val="auto"/>
        </w:rPr>
      </w:pPr>
    </w:p>
    <w:p>
      <w:pPr>
        <w:ind w:left="140" w:right="20"/>
        <w:spacing w:after="0" w:line="258" w:lineRule="auto"/>
        <w:rPr>
          <w:sz w:val="20"/>
          <w:szCs w:val="20"/>
          <w:color w:val="auto"/>
        </w:rPr>
      </w:pPr>
      <w:r>
        <w:rPr>
          <w:rFonts w:ascii="Arial" w:cs="Arial" w:eastAsia="Arial" w:hAnsi="Arial"/>
          <w:sz w:val="18"/>
          <w:szCs w:val="18"/>
          <w:color w:val="auto"/>
        </w:rPr>
        <w:t>RSU-holders are entitled to an adjustment of the number of RSUs granted, applicable in the event of certain corporate changes, including among other events, increases or decreases to the share capital at a price below or above market value, the issuance of bonus shares, and changes in the nominal value of each share. In addition, The RSU program contains provisions to accelerate vesting, or compensate with grant of new equity instruments, in the event of restructuring events including change in control events.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RSU Activity</w:t>
      </w:r>
    </w:p>
    <w:p>
      <w:pPr>
        <w:spacing w:after="0" w:line="116" w:lineRule="exact"/>
        <w:rPr>
          <w:sz w:val="20"/>
          <w:szCs w:val="20"/>
          <w:color w:val="auto"/>
        </w:rPr>
      </w:pPr>
    </w:p>
    <w:p>
      <w:pPr>
        <w:ind w:left="140" w:right="300"/>
        <w:spacing w:after="0" w:line="275" w:lineRule="auto"/>
        <w:rPr>
          <w:sz w:val="20"/>
          <w:szCs w:val="20"/>
          <w:color w:val="auto"/>
        </w:rPr>
      </w:pPr>
      <w:r>
        <w:rPr>
          <w:rFonts w:ascii="Arial" w:cs="Arial" w:eastAsia="Arial" w:hAnsi="Arial"/>
          <w:sz w:val="18"/>
          <w:szCs w:val="18"/>
          <w:color w:val="auto"/>
        </w:rPr>
        <w:t>RSUs were granted for the first time in December 2021. The following table specifies the number of RSUs granted, their fair value at grant date, and outstanding RSUs at December 31, 2021:</w:t>
      </w:r>
    </w:p>
    <w:p>
      <w:pPr>
        <w:spacing w:after="0" w:line="32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2021</w:t>
            </w:r>
          </w:p>
        </w:tc>
        <w:tc>
          <w:tcPr>
            <w:tcW w:w="50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Granted, December 2021</w:t>
            </w:r>
          </w:p>
        </w:tc>
        <w:tc>
          <w:tcPr>
            <w:tcW w:w="5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vMerge w:val="continue"/>
          </w:tcPr>
          <w:p>
            <w:pPr>
              <w:spacing w:after="0"/>
              <w:rPr>
                <w:sz w:val="18"/>
                <w:szCs w:val="18"/>
                <w:color w:val="auto"/>
              </w:rPr>
            </w:pPr>
          </w:p>
        </w:tc>
        <w:tc>
          <w:tcPr>
            <w:tcW w:w="506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148,148</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2021</w:t>
            </w:r>
          </w:p>
        </w:tc>
        <w:tc>
          <w:tcPr>
            <w:tcW w:w="50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148,148</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Vested at the reporting date</w:t>
            </w:r>
          </w:p>
        </w:tc>
        <w:tc>
          <w:tcPr>
            <w:tcW w:w="5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506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920" w:type="dxa"/>
            <w:vAlign w:val="bottom"/>
            <w:gridSpan w:val="2"/>
          </w:tcPr>
          <w:p>
            <w:pPr>
              <w:ind w:left="1340"/>
              <w:spacing w:after="0"/>
              <w:rPr>
                <w:sz w:val="20"/>
                <w:szCs w:val="20"/>
                <w:color w:val="auto"/>
              </w:rPr>
            </w:pPr>
            <w:r>
              <w:rPr>
                <w:rFonts w:ascii="Arial" w:cs="Arial" w:eastAsia="Arial" w:hAnsi="Arial"/>
                <w:sz w:val="18"/>
                <w:szCs w:val="18"/>
                <w:color w:val="auto"/>
              </w:rPr>
              <w:t>F-23</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Warrant program</w:t>
      </w:r>
    </w:p>
    <w:p>
      <w:pPr>
        <w:spacing w:after="0" w:line="120" w:lineRule="exact"/>
        <w:rPr>
          <w:sz w:val="20"/>
          <w:szCs w:val="20"/>
          <w:color w:val="auto"/>
        </w:rPr>
      </w:pPr>
    </w:p>
    <w:p>
      <w:pPr>
        <w:ind w:left="180" w:right="80"/>
        <w:spacing w:after="0" w:line="274" w:lineRule="auto"/>
        <w:rPr>
          <w:sz w:val="20"/>
          <w:szCs w:val="20"/>
          <w:color w:val="auto"/>
        </w:rPr>
      </w:pPr>
      <w:r>
        <w:rPr>
          <w:rFonts w:ascii="Arial" w:cs="Arial" w:eastAsia="Arial" w:hAnsi="Arial"/>
          <w:sz w:val="17"/>
          <w:szCs w:val="17"/>
          <w:color w:val="auto"/>
        </w:rPr>
        <w:t>Warrants are granted by the Board of Directors in accordance with authorizations given to it by the shareholders of Ascendis Pharma A/S to all employees, members of the Board of Directors and select consultants (“warrantholders”). Each warrant carries the right to subscribe for one ordinary share of a nominal value of DKK 1. The exercise price is fixed at the fair market value of the Company’s ordinary shares at the time of grant as determined by the Board of Directors. Vested warrants may be exercised in two or four annual exercise periods as described below. Apart from exercise prices, exercise periods and vesting conditions for board members, the programs are similar.</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Vesting Conditions</w:t>
      </w:r>
    </w:p>
    <w:p>
      <w:pPr>
        <w:spacing w:after="0" w:line="116" w:lineRule="exact"/>
        <w:rPr>
          <w:sz w:val="20"/>
          <w:szCs w:val="20"/>
          <w:color w:val="auto"/>
        </w:rPr>
      </w:pPr>
    </w:p>
    <w:p>
      <w:pPr>
        <w:ind w:left="180"/>
        <w:spacing w:after="0" w:line="292" w:lineRule="auto"/>
        <w:rPr>
          <w:sz w:val="20"/>
          <w:szCs w:val="20"/>
          <w:color w:val="auto"/>
        </w:rPr>
      </w:pPr>
      <w:r>
        <w:rPr>
          <w:rFonts w:ascii="Arial" w:cs="Arial" w:eastAsia="Arial" w:hAnsi="Arial"/>
          <w:sz w:val="16"/>
          <w:szCs w:val="16"/>
          <w:color w:val="auto"/>
        </w:rPr>
        <w:t>Warrants granted vest over a predetermined service period, and accordingly require warrantholders to be employed, or provide a specified period of service. Warrants generally cease to vest from the date of termination in the event that (i) the employee terminates the employment contract and the termination is not a result of breach of the employment terms by the Company, or (ii) in the event that the Company terminates the employment contract and the employee has given the Company good reason to do so. In relation to board members, the vesting shall cease on the termination date of the board membership regardless of the reason. In relation to consultants, the vesting shall cease on the termination date of the consultancy relationship. The warrantholder will, however, be entitled to exercise vested warrants in the first exercise period after termination.</w:t>
      </w:r>
    </w:p>
    <w:p>
      <w:pPr>
        <w:spacing w:after="0" w:line="164" w:lineRule="exact"/>
        <w:rPr>
          <w:sz w:val="20"/>
          <w:szCs w:val="20"/>
          <w:color w:val="auto"/>
        </w:rPr>
      </w:pPr>
    </w:p>
    <w:p>
      <w:pPr>
        <w:ind w:left="180" w:right="20"/>
        <w:spacing w:after="0" w:line="262" w:lineRule="auto"/>
        <w:rPr>
          <w:sz w:val="20"/>
          <w:szCs w:val="20"/>
          <w:color w:val="auto"/>
        </w:rPr>
      </w:pPr>
      <w:r>
        <w:rPr>
          <w:rFonts w:ascii="Arial" w:cs="Arial" w:eastAsia="Arial" w:hAnsi="Arial"/>
          <w:sz w:val="18"/>
          <w:szCs w:val="18"/>
          <w:color w:val="auto"/>
        </w:rPr>
        <w:t>In the event that the employment contract is terminated, and the employee has not given the Company good reason to do so, the warrantholder may keep the right to continued vesting and exercise of warrants as if the employment was still in effect. In such case, any expense not yet recognized for the outstanding warrants is recognized immediately.</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Warrants granted 2012 until November 2021</w:t>
      </w:r>
    </w:p>
    <w:p>
      <w:pPr>
        <w:spacing w:after="0" w:line="116" w:lineRule="exact"/>
        <w:rPr>
          <w:sz w:val="20"/>
          <w:szCs w:val="20"/>
          <w:color w:val="auto"/>
        </w:rPr>
      </w:pPr>
    </w:p>
    <w:p>
      <w:pPr>
        <w:jc w:val="both"/>
        <w:ind w:left="180" w:right="280"/>
        <w:spacing w:after="0" w:line="262" w:lineRule="auto"/>
        <w:rPr>
          <w:sz w:val="20"/>
          <w:szCs w:val="20"/>
          <w:color w:val="auto"/>
        </w:rPr>
      </w:pPr>
      <w:r>
        <w:rPr>
          <w:rFonts w:ascii="Arial" w:cs="Arial" w:eastAsia="Arial" w:hAnsi="Arial"/>
          <w:sz w:val="18"/>
          <w:szCs w:val="18"/>
          <w:color w:val="auto"/>
        </w:rPr>
        <w:t>Warrants granted from 2012 until November 2021, generally vest over 48 months with 1/48 of the warrants vesting per month from the date of grant. However, effective from January 2015, certain warrants granted to board members vest over 24 months with 1/24 of the warrants vesting per month from the date of grant.</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Warrants granted from December 2021</w:t>
      </w:r>
    </w:p>
    <w:p>
      <w:pPr>
        <w:spacing w:after="0" w:line="116" w:lineRule="exact"/>
        <w:rPr>
          <w:sz w:val="20"/>
          <w:szCs w:val="20"/>
          <w:color w:val="auto"/>
        </w:rPr>
      </w:pPr>
    </w:p>
    <w:p>
      <w:pPr>
        <w:ind w:left="180" w:right="320"/>
        <w:spacing w:after="0" w:line="275" w:lineRule="auto"/>
        <w:rPr>
          <w:sz w:val="20"/>
          <w:szCs w:val="20"/>
          <w:color w:val="auto"/>
        </w:rPr>
      </w:pPr>
      <w:r>
        <w:rPr>
          <w:rFonts w:ascii="Arial" w:cs="Arial" w:eastAsia="Arial" w:hAnsi="Arial"/>
          <w:sz w:val="18"/>
          <w:szCs w:val="18"/>
          <w:color w:val="auto"/>
        </w:rPr>
        <w:t>For warrants granted to employees and consultants, 25% of the warrants vest one year after the date of grant, and the remaining 75% of the warrants granted vest over 36 months, with 1/36 of the warrants vesting per month, from one year after the date of grant.</w:t>
      </w:r>
    </w:p>
    <w:p>
      <w:pPr>
        <w:spacing w:after="0" w:line="171" w:lineRule="exact"/>
        <w:rPr>
          <w:sz w:val="20"/>
          <w:szCs w:val="20"/>
          <w:color w:val="auto"/>
        </w:rPr>
      </w:pPr>
    </w:p>
    <w:p>
      <w:pPr>
        <w:ind w:left="180" w:right="260"/>
        <w:spacing w:after="0" w:line="258" w:lineRule="auto"/>
        <w:rPr>
          <w:sz w:val="20"/>
          <w:szCs w:val="20"/>
          <w:color w:val="auto"/>
        </w:rPr>
      </w:pPr>
      <w:r>
        <w:rPr>
          <w:rFonts w:ascii="Arial" w:cs="Arial" w:eastAsia="Arial" w:hAnsi="Arial"/>
          <w:sz w:val="18"/>
          <w:szCs w:val="18"/>
          <w:color w:val="auto"/>
        </w:rPr>
        <w:t>For warrants granted to board members upon the board members accession, 25% of the warrants granted vest one year after the date of grant, and the remaining 75% of the warrants granted shall vest over 36 months, with 1/36 per month from one year after the date of grant. Regarding subsequent grants of warrants to board members, 50 % of the warrants vest one year after the date of grant, and the remaining 50% of the warrants vest over 12 months, with 1/12 per month from one year after the date of grant.</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Exercise Periods</w:t>
      </w:r>
    </w:p>
    <w:p>
      <w:pPr>
        <w:spacing w:after="0" w:line="116" w:lineRule="exact"/>
        <w:rPr>
          <w:sz w:val="20"/>
          <w:szCs w:val="20"/>
          <w:color w:val="auto"/>
        </w:rPr>
      </w:pPr>
    </w:p>
    <w:p>
      <w:pPr>
        <w:ind w:left="180" w:right="160"/>
        <w:spacing w:after="0" w:line="275" w:lineRule="auto"/>
        <w:rPr>
          <w:sz w:val="20"/>
          <w:szCs w:val="20"/>
          <w:color w:val="auto"/>
        </w:rPr>
      </w:pPr>
      <w:r>
        <w:rPr>
          <w:rFonts w:ascii="Arial" w:cs="Arial" w:eastAsia="Arial" w:hAnsi="Arial"/>
          <w:sz w:val="18"/>
          <w:szCs w:val="18"/>
          <w:color w:val="auto"/>
        </w:rPr>
        <w:t>Vested warrants may be exercised during certain exercise periods each year, within certain periods after publication of earnings data of a fiscal quarter, interim and annual reports.</w:t>
      </w:r>
    </w:p>
    <w:p>
      <w:pPr>
        <w:spacing w:after="0" w:line="171" w:lineRule="exact"/>
        <w:rPr>
          <w:sz w:val="20"/>
          <w:szCs w:val="20"/>
          <w:color w:val="auto"/>
        </w:rPr>
      </w:pPr>
    </w:p>
    <w:p>
      <w:pPr>
        <w:jc w:val="both"/>
        <w:ind w:left="180" w:right="40"/>
        <w:spacing w:after="0" w:line="262" w:lineRule="auto"/>
        <w:rPr>
          <w:sz w:val="20"/>
          <w:szCs w:val="20"/>
          <w:color w:val="auto"/>
        </w:rPr>
      </w:pPr>
      <w:r>
        <w:rPr>
          <w:rFonts w:ascii="Arial" w:cs="Arial" w:eastAsia="Arial" w:hAnsi="Arial"/>
          <w:sz w:val="18"/>
          <w:szCs w:val="18"/>
          <w:color w:val="auto"/>
        </w:rPr>
        <w:t>For outstanding warrants granted in the period 2012 to 2014, there are two annual exercise periods. For outstanding warrants granted in November 2014 in connection with the Preference D financing, there are four annual exercise periods. For these outstanding warrants, the last exercise period is 21 days from and including the day after the publication of the interim report for the first half of 2023.</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outstanding warrants granted in December 2015 and later, there are four annual exercise periods.</w:t>
      </w:r>
    </w:p>
    <w:p>
      <w:pPr>
        <w:spacing w:after="0" w:line="223" w:lineRule="exact"/>
        <w:rPr>
          <w:sz w:val="20"/>
          <w:szCs w:val="20"/>
          <w:color w:val="auto"/>
        </w:rPr>
      </w:pPr>
    </w:p>
    <w:p>
      <w:pPr>
        <w:ind w:left="180" w:right="300"/>
        <w:spacing w:after="0" w:line="275" w:lineRule="auto"/>
        <w:rPr>
          <w:sz w:val="20"/>
          <w:szCs w:val="20"/>
          <w:color w:val="auto"/>
        </w:rPr>
      </w:pPr>
      <w:r>
        <w:rPr>
          <w:rFonts w:ascii="Arial" w:cs="Arial" w:eastAsia="Arial" w:hAnsi="Arial"/>
          <w:sz w:val="18"/>
          <w:szCs w:val="18"/>
          <w:color w:val="auto"/>
        </w:rPr>
        <w:t>Warrants expire ten years after the grant date. Warrants not exercised by the warrantholder during the last exercise period shall become null and void without further notice or compensation or payment of any kind to the warrantholder.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280" w:top="485"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140" w:right="200"/>
        <w:spacing w:after="0" w:line="303" w:lineRule="auto"/>
        <w:rPr>
          <w:sz w:val="20"/>
          <w:szCs w:val="20"/>
          <w:color w:val="auto"/>
        </w:rPr>
      </w:pPr>
      <w:r>
        <w:rPr>
          <w:rFonts w:ascii="Arial" w:cs="Arial" w:eastAsia="Arial" w:hAnsi="Arial"/>
          <w:sz w:val="15"/>
          <w:szCs w:val="15"/>
          <w:color w:val="auto"/>
        </w:rPr>
        <w:t>If the warrantholder is a consultant, advisor or board member, the exercise of warrants is conditional upon the warrantholder’s continued service to the Company at the time the warrants are exercised. If the consultant’s, advisor’s or board member’s relationship with the Company should cease without this being attributable to the warrantholder’s actions or omissions, the warrantholder shall be entitled to exercise vested warrants in the pre-defined exercise periods.</w:t>
      </w:r>
    </w:p>
    <w:p>
      <w:pPr>
        <w:spacing w:after="0" w:line="2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Adjustments</w:t>
      </w:r>
    </w:p>
    <w:p>
      <w:pPr>
        <w:spacing w:after="0" w:line="116" w:lineRule="exact"/>
        <w:rPr>
          <w:sz w:val="20"/>
          <w:szCs w:val="20"/>
          <w:color w:val="auto"/>
        </w:rPr>
      </w:pPr>
    </w:p>
    <w:p>
      <w:pPr>
        <w:ind w:left="140" w:right="240"/>
        <w:spacing w:after="0" w:line="310" w:lineRule="auto"/>
        <w:rPr>
          <w:sz w:val="20"/>
          <w:szCs w:val="20"/>
          <w:color w:val="auto"/>
        </w:rPr>
      </w:pPr>
      <w:r>
        <w:rPr>
          <w:rFonts w:ascii="Arial" w:cs="Arial" w:eastAsia="Arial" w:hAnsi="Arial"/>
          <w:sz w:val="16"/>
          <w:szCs w:val="16"/>
          <w:color w:val="auto"/>
        </w:rPr>
        <w:t>Warrantholders are entitled to an adjustment of the number of warrants issued and/or the exercise price applicable in the event of certain corporate changes. Events giving rise to an adjustment include, among other things, increases or decreases to the share capital at a price below or above market value, the issuance of bonus shares, changes in the nominal value of each share, and payment of dividends in excess of 10% of the Company’s equity.</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specifies the number and weighted average exercise prices of, and movements, in warrants during the year: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88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8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88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Price EUR</w:t>
            </w:r>
          </w:p>
        </w:tc>
        <w:tc>
          <w:tcPr>
            <w:tcW w:w="0" w:type="dxa"/>
            <w:vAlign w:val="bottom"/>
          </w:tcPr>
          <w:p>
            <w:pPr>
              <w:spacing w:after="0"/>
              <w:rPr>
                <w:sz w:val="1"/>
                <w:szCs w:val="1"/>
                <w:color w:val="auto"/>
              </w:rPr>
            </w:pPr>
          </w:p>
        </w:tc>
      </w:tr>
      <w:tr>
        <w:trPr>
          <w:trHeight w:val="209"/>
        </w:trPr>
        <w:tc>
          <w:tcPr>
            <w:tcW w:w="8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5,611,629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8"/>
                <w:szCs w:val="18"/>
                <w:color w:val="auto"/>
              </w:rPr>
              <w:t>Granted during the year</w:t>
            </w: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8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1,300,600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Exercised during the year </w:t>
            </w:r>
            <w:r>
              <w:rPr>
                <w:rFonts w:ascii="Arial" w:cs="Arial" w:eastAsia="Arial" w:hAnsi="Arial"/>
                <w:sz w:val="24"/>
                <w:szCs w:val="24"/>
                <w:color w:val="auto"/>
                <w:vertAlign w:val="superscript"/>
              </w:rPr>
              <w:t>(1)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(1,058,722)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(33,296)</w:t>
            </w:r>
          </w:p>
        </w:tc>
        <w:tc>
          <w:tcPr>
            <w:tcW w:w="900" w:type="dxa"/>
            <w:vAlign w:val="bottom"/>
          </w:tcPr>
          <w:p>
            <w:pPr>
              <w:jc w:val="right"/>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880" w:type="dxa"/>
            <w:vAlign w:val="bottom"/>
          </w:tcPr>
          <w:p>
            <w:pPr>
              <w:spacing w:after="0"/>
              <w:rPr>
                <w:sz w:val="20"/>
                <w:szCs w:val="20"/>
                <w:color w:val="auto"/>
              </w:rPr>
            </w:pPr>
            <w:r>
              <w:rPr>
                <w:rFonts w:ascii="Arial" w:cs="Arial" w:eastAsia="Arial" w:hAnsi="Arial"/>
                <w:sz w:val="18"/>
                <w:szCs w:val="18"/>
                <w:b w:val="1"/>
                <w:bCs w:val="1"/>
                <w:color w:val="auto"/>
              </w:rPr>
              <w:t>Outstanding at December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5,820,211</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reporting date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2,705,693</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80" w:type="dxa"/>
            <w:vAlign w:val="bottom"/>
          </w:tcPr>
          <w:p>
            <w:pPr>
              <w:jc w:val="right"/>
              <w:spacing w:after="0"/>
              <w:rPr>
                <w:sz w:val="20"/>
                <w:szCs w:val="20"/>
                <w:color w:val="auto"/>
              </w:rPr>
            </w:pPr>
            <w:r>
              <w:rPr>
                <w:rFonts w:ascii="Arial" w:cs="Arial" w:eastAsia="Arial" w:hAnsi="Arial"/>
                <w:sz w:val="18"/>
                <w:szCs w:val="18"/>
                <w:color w:val="auto"/>
              </w:rPr>
              <w:t>1,485,931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Exercised during the year </w:t>
            </w:r>
            <w:r>
              <w:rPr>
                <w:rFonts w:ascii="Arial" w:cs="Arial" w:eastAsia="Arial" w:hAnsi="Arial"/>
                <w:sz w:val="24"/>
                <w:szCs w:val="24"/>
                <w:color w:val="auto"/>
                <w:vertAlign w:val="superscript"/>
              </w:rPr>
              <w:t>(1)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(905,395)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(252,743)</w:t>
            </w:r>
          </w:p>
        </w:tc>
        <w:tc>
          <w:tcPr>
            <w:tcW w:w="900" w:type="dxa"/>
            <w:vAlign w:val="bottom"/>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880" w:type="dxa"/>
            <w:vAlign w:val="bottom"/>
          </w:tcPr>
          <w:p>
            <w:pPr>
              <w:spacing w:after="0"/>
              <w:rPr>
                <w:sz w:val="20"/>
                <w:szCs w:val="20"/>
                <w:color w:val="auto"/>
              </w:rPr>
            </w:pPr>
            <w:r>
              <w:rPr>
                <w:rFonts w:ascii="Arial" w:cs="Arial" w:eastAsia="Arial" w:hAnsi="Arial"/>
                <w:sz w:val="18"/>
                <w:szCs w:val="18"/>
                <w:b w:val="1"/>
                <w:bCs w:val="1"/>
                <w:color w:val="auto"/>
              </w:rPr>
              <w:t>Outstanding at December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6,148,004</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reporting date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3,044,827</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80" w:type="dxa"/>
            <w:vAlign w:val="bottom"/>
          </w:tcPr>
          <w:p>
            <w:pPr>
              <w:jc w:val="right"/>
              <w:spacing w:after="0"/>
              <w:rPr>
                <w:sz w:val="20"/>
                <w:szCs w:val="20"/>
                <w:color w:val="auto"/>
              </w:rPr>
            </w:pPr>
            <w:r>
              <w:rPr>
                <w:rFonts w:ascii="Arial" w:cs="Arial" w:eastAsia="Arial" w:hAnsi="Arial"/>
                <w:sz w:val="18"/>
                <w:szCs w:val="18"/>
                <w:color w:val="auto"/>
              </w:rPr>
              <w:t>1,445,981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Exercised during the year </w:t>
            </w:r>
            <w:r>
              <w:rPr>
                <w:rFonts w:ascii="Arial" w:cs="Arial" w:eastAsia="Arial" w:hAnsi="Arial"/>
                <w:sz w:val="24"/>
                <w:szCs w:val="24"/>
                <w:color w:val="auto"/>
                <w:vertAlign w:val="superscript"/>
              </w:rPr>
              <w:t>(1)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(312,296)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(196,616)</w:t>
            </w:r>
          </w:p>
        </w:tc>
        <w:tc>
          <w:tcPr>
            <w:tcW w:w="900" w:type="dxa"/>
            <w:vAlign w:val="bottom"/>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880" w:type="dxa"/>
            <w:vAlign w:val="bottom"/>
          </w:tcPr>
          <w:p>
            <w:pPr>
              <w:spacing w:after="0"/>
              <w:rPr>
                <w:sz w:val="20"/>
                <w:szCs w:val="20"/>
                <w:color w:val="auto"/>
              </w:rPr>
            </w:pPr>
            <w:r>
              <w:rPr>
                <w:rFonts w:ascii="Arial" w:cs="Arial" w:eastAsia="Arial" w:hAnsi="Arial"/>
                <w:sz w:val="18"/>
                <w:szCs w:val="18"/>
                <w:b w:val="1"/>
                <w:bCs w:val="1"/>
                <w:color w:val="auto"/>
              </w:rPr>
              <w:t>Outstanding at December 31,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7,085,073</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reporting date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4,022,011</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60" w:right="200" w:hanging="425"/>
        <w:spacing w:after="0" w:line="275" w:lineRule="auto"/>
        <w:tabs>
          <w:tab w:leader="none" w:pos="5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weighted average share price (listed in $) at the date of exercise was €124.62, €128.32 and €108.54 for the years ended December 31, 2021, 2020 and 2019, respectively.</w:t>
      </w:r>
    </w:p>
    <w:p>
      <w:pPr>
        <w:spacing w:after="0" w:line="171"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color w:val="auto"/>
        </w:rPr>
        <w:t>As of December 31, 2021, the Board of Directors was authorized to grant up to 1,316,588 additional warrants to employees, board members and select consultants without preemptive subscription rights for the shareholders of Ascendis Pharma A/S.</w:t>
      </w:r>
    </w:p>
    <w:p>
      <w:pPr>
        <w:spacing w:after="0" w:line="171" w:lineRule="exact"/>
        <w:rPr>
          <w:sz w:val="20"/>
          <w:szCs w:val="20"/>
          <w:color w:val="auto"/>
        </w:rPr>
      </w:pPr>
    </w:p>
    <w:p>
      <w:pPr>
        <w:ind w:left="140" w:right="740"/>
        <w:spacing w:after="0" w:line="275" w:lineRule="auto"/>
        <w:rPr>
          <w:sz w:val="20"/>
          <w:szCs w:val="20"/>
          <w:color w:val="auto"/>
        </w:rPr>
      </w:pPr>
      <w:r>
        <w:rPr>
          <w:rFonts w:ascii="Arial" w:cs="Arial" w:eastAsia="Arial" w:hAnsi="Arial"/>
          <w:sz w:val="18"/>
          <w:szCs w:val="18"/>
          <w:color w:val="auto"/>
        </w:rPr>
        <w:t>The following table specifies the weighted average exercise prices and weighted average remaining contractual life for outstanding warrants at December 31, 2021 per grant year.</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880" w:type="dxa"/>
            <w:vAlign w:val="bottom"/>
          </w:tcPr>
          <w:p>
            <w:pPr>
              <w:ind w:left="40"/>
              <w:spacing w:after="0" w:line="148" w:lineRule="exact"/>
              <w:rPr>
                <w:sz w:val="20"/>
                <w:szCs w:val="20"/>
                <w:color w:val="auto"/>
              </w:rPr>
            </w:pPr>
            <w:r>
              <w:rPr>
                <w:rFonts w:ascii="Arial" w:cs="Arial" w:eastAsia="Arial" w:hAnsi="Arial"/>
                <w:sz w:val="14"/>
                <w:szCs w:val="14"/>
                <w:b w:val="1"/>
                <w:bCs w:val="1"/>
                <w:color w:val="auto"/>
                <w:w w:val="99"/>
              </w:rPr>
              <w:t>Outstanding</w:t>
            </w:r>
          </w:p>
        </w:tc>
        <w:tc>
          <w:tcPr>
            <w:tcW w:w="22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10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Price EUR</w:t>
            </w:r>
          </w:p>
        </w:tc>
        <w:tc>
          <w:tcPr>
            <w:tcW w:w="2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 in 2012-2017</w:t>
            </w:r>
          </w:p>
        </w:tc>
        <w:tc>
          <w:tcPr>
            <w:tcW w:w="8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2,059,718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spacing w:after="0"/>
              <w:rPr>
                <w:sz w:val="20"/>
                <w:szCs w:val="20"/>
                <w:color w:val="auto"/>
              </w:rPr>
            </w:pPr>
            <w:r>
              <w:rPr>
                <w:rFonts w:ascii="Arial" w:cs="Arial" w:eastAsia="Arial" w:hAnsi="Arial"/>
                <w:sz w:val="18"/>
                <w:szCs w:val="18"/>
                <w:color w:val="auto"/>
              </w:rPr>
              <w:t>Granted in 2018</w:t>
            </w:r>
          </w:p>
        </w:tc>
        <w:tc>
          <w:tcPr>
            <w:tcW w:w="880" w:type="dxa"/>
            <w:vAlign w:val="bottom"/>
          </w:tcPr>
          <w:p>
            <w:pPr>
              <w:ind w:left="140"/>
              <w:spacing w:after="0"/>
              <w:rPr>
                <w:sz w:val="20"/>
                <w:szCs w:val="20"/>
                <w:color w:val="auto"/>
              </w:rPr>
            </w:pPr>
            <w:r>
              <w:rPr>
                <w:rFonts w:ascii="Arial" w:cs="Arial" w:eastAsia="Arial" w:hAnsi="Arial"/>
                <w:sz w:val="18"/>
                <w:szCs w:val="18"/>
                <w:color w:val="auto"/>
                <w:w w:val="89"/>
              </w:rPr>
              <w:t>1,209,072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Granted in 2019</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1,071,441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spacing w:after="0"/>
              <w:rPr>
                <w:sz w:val="20"/>
                <w:szCs w:val="20"/>
                <w:color w:val="auto"/>
              </w:rPr>
            </w:pPr>
            <w:r>
              <w:rPr>
                <w:rFonts w:ascii="Arial" w:cs="Arial" w:eastAsia="Arial" w:hAnsi="Arial"/>
                <w:sz w:val="18"/>
                <w:szCs w:val="18"/>
                <w:color w:val="auto"/>
              </w:rPr>
              <w:t>Granted in 2020</w:t>
            </w:r>
          </w:p>
        </w:tc>
        <w:tc>
          <w:tcPr>
            <w:tcW w:w="880" w:type="dxa"/>
            <w:vAlign w:val="bottom"/>
          </w:tcPr>
          <w:p>
            <w:pPr>
              <w:ind w:left="140"/>
              <w:spacing w:after="0"/>
              <w:rPr>
                <w:sz w:val="20"/>
                <w:szCs w:val="20"/>
                <w:color w:val="auto"/>
              </w:rPr>
            </w:pPr>
            <w:r>
              <w:rPr>
                <w:rFonts w:ascii="Arial" w:cs="Arial" w:eastAsia="Arial" w:hAnsi="Arial"/>
                <w:sz w:val="18"/>
                <w:szCs w:val="18"/>
                <w:color w:val="auto"/>
                <w:w w:val="89"/>
              </w:rPr>
              <w:t>1,310,094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137.89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Granted in 2021</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1,434,748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20"/>
                <w:szCs w:val="20"/>
                <w:color w:val="auto"/>
              </w:rPr>
            </w:pPr>
            <w:r>
              <w:rPr>
                <w:rFonts w:ascii="Arial" w:cs="Arial" w:eastAsia="Arial" w:hAnsi="Arial"/>
                <w:sz w:val="18"/>
                <w:szCs w:val="18"/>
                <w:b w:val="1"/>
                <w:bCs w:val="1"/>
                <w:color w:val="auto"/>
              </w:rPr>
              <w:t>Outstanding at December 31, 2021</w:t>
            </w: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9"/>
              </w:rPr>
              <w:t>7,085,073</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485" w:right="459" w:bottom="1440" w:gutter="0" w:footer="0" w:header="0"/>
        </w:sectPr>
      </w:pP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120"/>
          </w:cols>
          <w:pgMar w:left="320" w:top="485" w:right="45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right="200"/>
        <w:spacing w:after="0" w:line="275" w:lineRule="auto"/>
        <w:rPr>
          <w:sz w:val="20"/>
          <w:szCs w:val="20"/>
          <w:color w:val="auto"/>
        </w:rPr>
      </w:pPr>
      <w:r>
        <w:rPr>
          <w:rFonts w:ascii="Arial" w:cs="Arial" w:eastAsia="Arial" w:hAnsi="Arial"/>
          <w:sz w:val="18"/>
          <w:szCs w:val="18"/>
          <w:color w:val="auto"/>
        </w:rPr>
        <w:t>At December 31, 2021, the exercise prices of outstanding warrants under the Company’s warrant programs range from €6.48 to €145.50 depending on the grant dates.</w:t>
      </w:r>
    </w:p>
    <w:p>
      <w:pPr>
        <w:spacing w:after="0" w:line="171" w:lineRule="exact"/>
        <w:rPr>
          <w:sz w:val="20"/>
          <w:szCs w:val="20"/>
          <w:color w:val="auto"/>
        </w:rPr>
      </w:pPr>
    </w:p>
    <w:p>
      <w:pPr>
        <w:ind w:left="180" w:right="200"/>
        <w:spacing w:after="0" w:line="262" w:lineRule="auto"/>
        <w:rPr>
          <w:sz w:val="20"/>
          <w:szCs w:val="20"/>
          <w:color w:val="auto"/>
        </w:rPr>
      </w:pPr>
      <w:r>
        <w:rPr>
          <w:rFonts w:ascii="Arial" w:cs="Arial" w:eastAsia="Arial" w:hAnsi="Arial"/>
          <w:sz w:val="18"/>
          <w:szCs w:val="18"/>
          <w:color w:val="auto"/>
        </w:rPr>
        <w:t>The range of exercise prices for outstanding warrants was €6.48 to €145.50 and €6.48 to €107.14 for the years ended December 31, 2020 and 2019, respectively. The weighted average remaining life for outstanding warrants was 91 months and 94 months, for the financial years ended December 31, 2020 and 2019, respectively.</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 compensation costs are recognized in the consolidated statement of profit or loss over the vesting period of the warrants granted.</w:t>
      </w:r>
    </w:p>
    <w:p>
      <w:pPr>
        <w:spacing w:after="0" w:line="223" w:lineRule="exact"/>
        <w:rPr>
          <w:sz w:val="20"/>
          <w:szCs w:val="20"/>
          <w:color w:val="auto"/>
        </w:rPr>
      </w:pPr>
    </w:p>
    <w:p>
      <w:pPr>
        <w:ind w:left="180" w:right="80"/>
        <w:spacing w:after="0" w:line="272" w:lineRule="auto"/>
        <w:rPr>
          <w:sz w:val="20"/>
          <w:szCs w:val="20"/>
          <w:color w:val="auto"/>
        </w:rPr>
      </w:pPr>
      <w:r>
        <w:rPr>
          <w:rFonts w:ascii="Arial" w:cs="Arial" w:eastAsia="Arial" w:hAnsi="Arial"/>
          <w:sz w:val="17"/>
          <w:szCs w:val="17"/>
          <w:color w:val="auto"/>
        </w:rPr>
        <w:t>Warrant compensation costs are determined with basis in the grant date fair value of the warrants granted and recognized over the vesting period. Fair value of the warrants is calculated at the grant dates by use of the Black-Scholes Option Pricing model with the following assumptions: (1) an exercise price equal to the estimated market price of the Company’s shares at the date of grant; (2) an expected lifetime of the warrants determined as a weighted average of the time from grant date to date of becoming exercisable and from grant date to expiry of the warrants; (3) a risk-free interest rate equaling the effective interest rate on a Danish government bond with the same lifetime as the warrants; (4) no payment of dividends; and (5) an expected volatility using the Company’s own share price (from 2021).</w:t>
      </w:r>
    </w:p>
    <w:p>
      <w:pPr>
        <w:spacing w:after="0" w:line="177" w:lineRule="exact"/>
        <w:rPr>
          <w:sz w:val="20"/>
          <w:szCs w:val="20"/>
          <w:color w:val="auto"/>
        </w:rPr>
      </w:pPr>
    </w:p>
    <w:p>
      <w:pPr>
        <w:ind w:left="180" w:right="60"/>
        <w:spacing w:after="0" w:line="275" w:lineRule="auto"/>
        <w:rPr>
          <w:sz w:val="20"/>
          <w:szCs w:val="20"/>
          <w:color w:val="auto"/>
        </w:rPr>
      </w:pPr>
      <w:r>
        <w:rPr>
          <w:rFonts w:ascii="Arial" w:cs="Arial" w:eastAsia="Arial" w:hAnsi="Arial"/>
          <w:sz w:val="18"/>
          <w:szCs w:val="18"/>
          <w:color w:val="auto"/>
        </w:rPr>
        <w:t>The following table summarizes the input to the Black-Scholes Option Pricing model and the calculated fair values for warrant grants in 2021, 2020 and 2019:</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82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 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 55%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 54%</w:t>
            </w:r>
          </w:p>
        </w:tc>
        <w:tc>
          <w:tcPr>
            <w:tcW w:w="120" w:type="dxa"/>
            <w:vAlign w:val="bottom"/>
            <w:shd w:val="clear" w:color="auto" w:fill="CCEEFF"/>
          </w:tcPr>
          <w:p>
            <w:pPr>
              <w:spacing w:after="0"/>
              <w:rPr>
                <w:sz w:val="18"/>
                <w:szCs w:val="18"/>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6"/>
              </w:rPr>
              <w:t>(0.54)–(0.27)%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6"/>
              </w:rPr>
              <w:t>(0.93)–(0.32)%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(0.77)–(0.05)%</w:t>
            </w: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warrants (years)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5.05 – 7.10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 – 7.10</w:t>
            </w: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940" w:type="dxa"/>
            <w:vAlign w:val="bottom"/>
            <w:gridSpan w:val="2"/>
          </w:tcPr>
          <w:p>
            <w:pPr>
              <w:ind w:left="18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122.03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137.57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97.01</w:t>
            </w:r>
          </w:p>
        </w:tc>
        <w:tc>
          <w:tcPr>
            <w:tcW w:w="120" w:type="dxa"/>
            <w:vAlign w:val="bottom"/>
          </w:tcPr>
          <w:p>
            <w:pPr>
              <w:spacing w:after="0"/>
              <w:rPr>
                <w:sz w:val="18"/>
                <w:szCs w:val="18"/>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granted in the year</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8"/>
              </w:rPr>
              <w:t>45.91 – 64.28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8"/>
              </w:rPr>
              <w:t>48.43 – 75.77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27.24 – 55.64</w:t>
            </w:r>
          </w:p>
        </w:tc>
      </w:tr>
    </w:tbl>
    <w:p>
      <w:pPr>
        <w:spacing w:after="0" w:line="200" w:lineRule="exact"/>
        <w:rPr>
          <w:sz w:val="20"/>
          <w:szCs w:val="20"/>
          <w:color w:val="auto"/>
        </w:rPr>
      </w:pPr>
    </w:p>
    <w:p>
      <w:pPr>
        <w:spacing w:after="0" w:line="32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8— Principal Accountant Fees and Services</w:t>
      </w:r>
    </w:p>
    <w:p>
      <w:pPr>
        <w:spacing w:after="0" w:line="120" w:lineRule="exact"/>
        <w:rPr>
          <w:sz w:val="20"/>
          <w:szCs w:val="20"/>
          <w:color w:val="auto"/>
        </w:rPr>
      </w:pPr>
    </w:p>
    <w:p>
      <w:pPr>
        <w:ind w:left="180" w:right="300"/>
        <w:spacing w:after="0" w:line="275" w:lineRule="auto"/>
        <w:rPr>
          <w:sz w:val="20"/>
          <w:szCs w:val="20"/>
          <w:color w:val="auto"/>
        </w:rPr>
      </w:pPr>
      <w:r>
        <w:rPr>
          <w:rFonts w:ascii="Arial" w:cs="Arial" w:eastAsia="Arial" w:hAnsi="Arial"/>
          <w:sz w:val="18"/>
          <w:szCs w:val="18"/>
          <w:color w:val="auto"/>
        </w:rPr>
        <w:t>The following table sets forth, for each of the years indicated, the fees billed by the Company’s independent public accountants and the proportion of each of the fees out of the total amount billed by the accountants.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8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1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1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accountant fees and services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Audit fees</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771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All other fees</w:t>
            </w: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principal accountant fees and services</w:t>
            </w:r>
          </w:p>
        </w:tc>
        <w:tc>
          <w:tcPr>
            <w:tcW w:w="5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871</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725</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8340" w:type="dxa"/>
            <w:vAlign w:val="bottom"/>
            <w:gridSpan w:val="2"/>
          </w:tcPr>
          <w:p>
            <w:pPr>
              <w:jc w:val="right"/>
              <w:ind w:right="2700"/>
              <w:spacing w:after="0"/>
              <w:rPr>
                <w:sz w:val="20"/>
                <w:szCs w:val="20"/>
                <w:color w:val="auto"/>
              </w:rPr>
            </w:pPr>
            <w:r>
              <w:rPr>
                <w:rFonts w:ascii="Arial" w:cs="Arial" w:eastAsia="Arial" w:hAnsi="Arial"/>
                <w:sz w:val="18"/>
                <w:szCs w:val="18"/>
                <w:color w:val="auto"/>
              </w:rPr>
              <w:t>F-26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60"/>
          </w:cols>
          <w:pgMar w:left="280" w:top="485"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9—Tax on Profit/(Loss) for the Year and Deferred Tax</w:t>
      </w:r>
    </w:p>
    <w:p>
      <w:pPr>
        <w:spacing w:after="0" w:line="200" w:lineRule="exact"/>
        <w:rPr>
          <w:sz w:val="20"/>
          <w:szCs w:val="20"/>
          <w:color w:val="auto"/>
        </w:rPr>
      </w:pPr>
    </w:p>
    <w:p>
      <w:pPr>
        <w:spacing w:after="0" w:line="261"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Tax on profit/(loss) for the year: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Current tax (expense)/income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12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r>
      <w:tr>
        <w:trPr>
          <w:trHeight w:val="179"/>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Tax for the year can be explained as follows: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Profit/(loss) before tax</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(383,944)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(419,174)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(218,250)</w:t>
            </w:r>
          </w:p>
        </w:tc>
      </w:tr>
      <w:tr>
        <w:trPr>
          <w:trHeight w:val="215"/>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Tax at the Danish corporation tax rate of 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48,015</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Tax effect of:</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costs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(8,249)</w:t>
            </w:r>
          </w:p>
        </w:tc>
      </w:tr>
      <w:tr>
        <w:trPr>
          <w:trHeight w:val="215"/>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Additional tax deductions</w:t>
            </w:r>
          </w:p>
        </w:tc>
        <w:tc>
          <w:tcPr>
            <w:tcW w:w="820" w:type="dxa"/>
            <w:vAlign w:val="bottom"/>
          </w:tcPr>
          <w:p>
            <w:pPr>
              <w:jc w:val="right"/>
              <w:spacing w:after="0"/>
              <w:rPr>
                <w:sz w:val="20"/>
                <w:szCs w:val="20"/>
                <w:color w:val="auto"/>
              </w:rPr>
            </w:pPr>
            <w:r>
              <w:rPr>
                <w:rFonts w:ascii="Arial" w:cs="Arial" w:eastAsia="Arial" w:hAnsi="Arial"/>
                <w:sz w:val="18"/>
                <w:szCs w:val="18"/>
                <w:color w:val="auto"/>
              </w:rPr>
              <w:t>17,117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10,875</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from associate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r>
      <w:tr>
        <w:trPr>
          <w:trHeight w:val="215"/>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Other effects including effect of different tax rates</w:t>
            </w: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 not recognized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(106,095)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(50,329)</w:t>
            </w:r>
          </w:p>
        </w:tc>
      </w:tr>
      <w:tr>
        <w:trPr>
          <w:trHeight w:val="222"/>
        </w:trPr>
        <w:tc>
          <w:tcPr>
            <w:tcW w:w="7840" w:type="dxa"/>
            <w:vAlign w:val="bottom"/>
            <w:gridSpan w:val="3"/>
          </w:tcPr>
          <w:p>
            <w:pPr>
              <w:spacing w:after="0"/>
              <w:rPr>
                <w:sz w:val="20"/>
                <w:szCs w:val="20"/>
                <w:color w:val="auto"/>
              </w:rPr>
            </w:pPr>
            <w:r>
              <w:rPr>
                <w:rFonts w:ascii="Arial" w:cs="Arial" w:eastAsia="Arial" w:hAnsi="Arial"/>
                <w:sz w:val="18"/>
                <w:szCs w:val="18"/>
                <w:b w:val="1"/>
                <w:bCs w:val="1"/>
                <w:color w:val="auto"/>
              </w:rPr>
              <w:t>Tax on profit/(loss) for the year</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tax rate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2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r>
      <w:tr>
        <w:trPr>
          <w:trHeight w:val="179"/>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Specification of Deferred Tax 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Tax deductible losses</w:t>
            </w:r>
          </w:p>
        </w:tc>
        <w:tc>
          <w:tcPr>
            <w:tcW w:w="820" w:type="dxa"/>
            <w:vAlign w:val="bottom"/>
          </w:tcPr>
          <w:p>
            <w:pPr>
              <w:jc w:val="right"/>
              <w:spacing w:after="0"/>
              <w:rPr>
                <w:sz w:val="20"/>
                <w:szCs w:val="20"/>
                <w:color w:val="auto"/>
              </w:rPr>
            </w:pPr>
            <w:r>
              <w:rPr>
                <w:rFonts w:ascii="Arial" w:cs="Arial" w:eastAsia="Arial" w:hAnsi="Arial"/>
                <w:sz w:val="18"/>
                <w:szCs w:val="18"/>
                <w:color w:val="auto"/>
              </w:rPr>
              <w:t>313,011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123,234</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Deferred tax asset, not recognized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(325,867)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(234,960)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(128,865)</w:t>
            </w:r>
          </w:p>
        </w:tc>
      </w:tr>
      <w:tr>
        <w:trPr>
          <w:trHeight w:val="215"/>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 at December 31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140" w:right="260"/>
        <w:spacing w:after="0" w:line="262" w:lineRule="auto"/>
        <w:rPr>
          <w:sz w:val="20"/>
          <w:szCs w:val="20"/>
          <w:color w:val="auto"/>
        </w:rPr>
      </w:pPr>
      <w:r>
        <w:rPr>
          <w:rFonts w:ascii="Arial" w:cs="Arial" w:eastAsia="Arial" w:hAnsi="Arial"/>
          <w:sz w:val="18"/>
          <w:szCs w:val="18"/>
          <w:color w:val="auto"/>
        </w:rPr>
        <w:t>No changes to deferred tax have been recognized in the consolidated statement of profit or loss for 2021, 2020 or 2019. Deferred tax assets have not been recognized in the consolidated statements of financial position due to uncertainty relating to future utilization. Deferred tax assets can be carried forward without timing limitations.</w:t>
      </w:r>
    </w:p>
    <w:p>
      <w:pPr>
        <w:spacing w:after="0" w:line="183" w:lineRule="exact"/>
        <w:rPr>
          <w:sz w:val="20"/>
          <w:szCs w:val="20"/>
          <w:color w:val="auto"/>
        </w:rPr>
      </w:pPr>
    </w:p>
    <w:p>
      <w:pPr>
        <w:ind w:left="140" w:right="60"/>
        <w:spacing w:after="0" w:line="288" w:lineRule="auto"/>
        <w:rPr>
          <w:sz w:val="20"/>
          <w:szCs w:val="20"/>
          <w:color w:val="auto"/>
        </w:rPr>
      </w:pPr>
      <w:r>
        <w:rPr>
          <w:rFonts w:ascii="Arial" w:cs="Arial" w:eastAsia="Arial" w:hAnsi="Arial"/>
          <w:sz w:val="16"/>
          <w:szCs w:val="16"/>
          <w:color w:val="auto"/>
        </w:rPr>
        <w:t>The Company had tax losses carried forward of €1,437.0 million and €1,043.8 million at December 31, 2021 and 2020, respectively. Tax losses can be carried forward infinitely, where certain limitations exist for amounts to be utilized each year. Under Danish tax legislation, tax losses may be partly refunded by the tax authorities to the extent such tax losses arise from research and development activities. For the year ended December 31, 2021, the jointly taxed Danish entities had a negative taxable income, and accordingly were entitled to a tax refund of approximately €0.7 million for each of the years ended December 31, 2021, 2020 and 2019, respectively. The Company is entitled to additional tax deductions, determined by annual warrants exercised by employees. For the year ended December 31, 2021, the Company was entitled to additional tax deductions with a tax value of €4.8 million, compared to €16.3 million and €10.2 million for the years ended December 31, 2020, and 2019, respectively. The Company is entitled to future tax deductions, which depends on the timing and amounts of warrant exercises, and accordingly, future additional tax deductions is subject to uncertainties. Refer to Note 7 “Share-based Payment”, regarding a description of warrant programs.</w:t>
      </w:r>
    </w:p>
    <w:p>
      <w:pPr>
        <w:spacing w:after="0" w:line="165" w:lineRule="exact"/>
        <w:rPr>
          <w:sz w:val="20"/>
          <w:szCs w:val="20"/>
          <w:color w:val="auto"/>
        </w:rPr>
      </w:pPr>
    </w:p>
    <w:p>
      <w:pPr>
        <w:ind w:left="140" w:right="140"/>
        <w:spacing w:after="0" w:line="262" w:lineRule="auto"/>
        <w:rPr>
          <w:sz w:val="20"/>
          <w:szCs w:val="20"/>
          <w:color w:val="auto"/>
        </w:rPr>
      </w:pPr>
      <w:r>
        <w:rPr>
          <w:rFonts w:ascii="Arial" w:cs="Arial" w:eastAsia="Arial" w:hAnsi="Arial"/>
          <w:sz w:val="18"/>
          <w:szCs w:val="18"/>
          <w:color w:val="auto"/>
        </w:rPr>
        <w:t>The parent company Ascendis Pharma A/S is jointly taxed with its Danish subsidiaries. The current Danish corporation tax is allocated between the jointly taxed Danish companies in proportion to their taxable income (full absorption with refunds for tax losses). These companies are taxed under the on-account tax scheme.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85"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10—Intangible Assets</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Goodwill</w:t>
            </w:r>
          </w:p>
        </w:tc>
        <w:tc>
          <w:tcPr>
            <w:tcW w:w="220" w:type="dxa"/>
            <w:vAlign w:val="bottom"/>
          </w:tcPr>
          <w:p>
            <w:pPr>
              <w:spacing w:after="0"/>
              <w:rPr>
                <w:sz w:val="14"/>
                <w:szCs w:val="14"/>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Software</w:t>
            </w: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(EUR’000)</w:t>
            </w:r>
          </w:p>
        </w:tc>
        <w:tc>
          <w:tcPr>
            <w:tcW w:w="2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8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At January 1, 2020</w:t>
            </w:r>
          </w:p>
        </w:tc>
        <w:tc>
          <w:tcPr>
            <w:tcW w:w="840" w:type="dxa"/>
            <w:vAlign w:val="bottom"/>
          </w:tcPr>
          <w:p>
            <w:pPr>
              <w:jc w:val="center"/>
              <w:ind w:left="311"/>
              <w:spacing w:after="0"/>
              <w:rPr>
                <w:sz w:val="20"/>
                <w:szCs w:val="20"/>
                <w:color w:val="auto"/>
              </w:rPr>
            </w:pPr>
            <w:r>
              <w:rPr>
                <w:rFonts w:ascii="Arial" w:cs="Arial" w:eastAsia="Arial" w:hAnsi="Arial"/>
                <w:sz w:val="18"/>
                <w:szCs w:val="18"/>
                <w:b w:val="1"/>
                <w:bCs w:val="1"/>
                <w:color w:val="auto"/>
                <w:w w:val="88"/>
              </w:rPr>
              <w:t>3,495</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Disposals</w:t>
            </w:r>
          </w:p>
        </w:tc>
        <w:tc>
          <w:tcPr>
            <w:tcW w:w="8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8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2020</w:t>
            </w:r>
          </w:p>
        </w:tc>
        <w:tc>
          <w:tcPr>
            <w:tcW w:w="840" w:type="dxa"/>
            <w:vAlign w:val="bottom"/>
            <w:tcBorders>
              <w:top w:val="single" w:sz="8" w:color="auto"/>
              <w:bottom w:val="single" w:sz="8" w:color="auto"/>
            </w:tcBorders>
          </w:tcPr>
          <w:p>
            <w:pPr>
              <w:jc w:val="center"/>
              <w:ind w:left="311"/>
              <w:spacing w:after="0"/>
              <w:rPr>
                <w:sz w:val="20"/>
                <w:szCs w:val="20"/>
                <w:color w:val="auto"/>
              </w:rPr>
            </w:pPr>
            <w:r>
              <w:rPr>
                <w:rFonts w:ascii="Arial" w:cs="Arial" w:eastAsia="Arial" w:hAnsi="Arial"/>
                <w:sz w:val="18"/>
                <w:szCs w:val="18"/>
                <w:b w:val="1"/>
                <w:bCs w:val="1"/>
                <w:color w:val="auto"/>
                <w:w w:val="88"/>
              </w:rPr>
              <w:t>3,495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Disposals</w:t>
            </w:r>
          </w:p>
        </w:tc>
        <w:tc>
          <w:tcPr>
            <w:tcW w:w="8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8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2021</w:t>
            </w:r>
          </w:p>
        </w:tc>
        <w:tc>
          <w:tcPr>
            <w:tcW w:w="840" w:type="dxa"/>
            <w:vAlign w:val="bottom"/>
            <w:tcBorders>
              <w:top w:val="single" w:sz="8" w:color="auto"/>
              <w:bottom w:val="single" w:sz="8" w:color="auto"/>
            </w:tcBorders>
          </w:tcPr>
          <w:p>
            <w:pPr>
              <w:jc w:val="center"/>
              <w:ind w:left="311"/>
              <w:spacing w:after="0"/>
              <w:rPr>
                <w:sz w:val="20"/>
                <w:szCs w:val="20"/>
                <w:color w:val="auto"/>
              </w:rPr>
            </w:pPr>
            <w:r>
              <w:rPr>
                <w:rFonts w:ascii="Arial" w:cs="Arial" w:eastAsia="Arial" w:hAnsi="Arial"/>
                <w:sz w:val="18"/>
                <w:szCs w:val="18"/>
                <w:b w:val="1"/>
                <w:bCs w:val="1"/>
                <w:color w:val="auto"/>
                <w:w w:val="88"/>
              </w:rPr>
              <w:t>3,495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and impairments: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At January 1, 2020</w:t>
            </w:r>
          </w:p>
        </w:tc>
        <w:tc>
          <w:tcPr>
            <w:tcW w:w="8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charge</w:t>
            </w:r>
          </w:p>
        </w:tc>
        <w:tc>
          <w:tcPr>
            <w:tcW w:w="8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Impairment charge</w:t>
            </w:r>
          </w:p>
        </w:tc>
        <w:tc>
          <w:tcPr>
            <w:tcW w:w="8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8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Foreign exchange translation</w:t>
            </w:r>
          </w:p>
        </w:tc>
        <w:tc>
          <w:tcPr>
            <w:tcW w:w="840" w:type="dxa"/>
            <w:vAlign w:val="bottom"/>
            <w:tcBorders>
              <w:bottom w:val="single" w:sz="8" w:color="auto"/>
            </w:tcBorders>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8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Amortization charge</w:t>
            </w:r>
          </w:p>
        </w:tc>
        <w:tc>
          <w:tcPr>
            <w:tcW w:w="840" w:type="dxa"/>
            <w:vAlign w:val="bottom"/>
            <w:tcBorders>
              <w:top w:val="single" w:sz="8" w:color="auto"/>
            </w:tcBorders>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8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Disposals</w:t>
            </w:r>
          </w:p>
        </w:tc>
        <w:tc>
          <w:tcPr>
            <w:tcW w:w="840" w:type="dxa"/>
            <w:vAlign w:val="bottom"/>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84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At December 31, 2021</w:t>
            </w:r>
          </w:p>
        </w:tc>
        <w:tc>
          <w:tcPr>
            <w:tcW w:w="840" w:type="dxa"/>
            <w:vAlign w:val="bottom"/>
            <w:tcBorders>
              <w:top w:val="single" w:sz="8" w:color="auto"/>
              <w:bottom w:val="single" w:sz="8" w:color="auto"/>
            </w:tcBorders>
          </w:tcPr>
          <w:p>
            <w:pPr>
              <w:jc w:val="center"/>
              <w:ind w:left="37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jc w:val="right"/>
              <w:ind w:right="141"/>
              <w:spacing w:after="0"/>
              <w:rPr>
                <w:sz w:val="20"/>
                <w:szCs w:val="20"/>
                <w:color w:val="auto"/>
              </w:rPr>
            </w:pPr>
            <w:r>
              <w:rPr>
                <w:rFonts w:ascii="Arial" w:cs="Arial" w:eastAsia="Arial" w:hAnsi="Arial"/>
                <w:sz w:val="8"/>
                <w:szCs w:val="8"/>
                <w:b w:val="1"/>
                <w:bCs w:val="1"/>
                <w:color w:val="auto"/>
                <w:w w:val="7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78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At December 31, 2020</w:t>
            </w:r>
          </w:p>
        </w:tc>
        <w:tc>
          <w:tcPr>
            <w:tcW w:w="840" w:type="dxa"/>
            <w:vAlign w:val="bottom"/>
          </w:tcPr>
          <w:p>
            <w:pPr>
              <w:jc w:val="center"/>
              <w:ind w:left="311"/>
              <w:spacing w:after="0"/>
              <w:rPr>
                <w:sz w:val="20"/>
                <w:szCs w:val="20"/>
                <w:color w:val="auto"/>
              </w:rPr>
            </w:pPr>
            <w:r>
              <w:rPr>
                <w:rFonts w:ascii="Arial" w:cs="Arial" w:eastAsia="Arial" w:hAnsi="Arial"/>
                <w:sz w:val="18"/>
                <w:szCs w:val="18"/>
                <w:b w:val="1"/>
                <w:bCs w:val="1"/>
                <w:color w:val="auto"/>
                <w:w w:val="88"/>
              </w:rPr>
              <w:t>3,495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2,222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At December 31, 2021</w:t>
            </w:r>
          </w:p>
        </w:tc>
        <w:tc>
          <w:tcPr>
            <w:tcW w:w="840" w:type="dxa"/>
            <w:vAlign w:val="bottom"/>
            <w:shd w:val="clear" w:color="auto" w:fill="CCEEFF"/>
          </w:tcPr>
          <w:p>
            <w:pPr>
              <w:jc w:val="center"/>
              <w:ind w:left="311"/>
              <w:spacing w:after="0" w:line="195" w:lineRule="exact"/>
              <w:rPr>
                <w:sz w:val="20"/>
                <w:szCs w:val="20"/>
                <w:color w:val="auto"/>
              </w:rPr>
            </w:pPr>
            <w:r>
              <w:rPr>
                <w:rFonts w:ascii="Arial" w:cs="Arial" w:eastAsia="Arial" w:hAnsi="Arial"/>
                <w:sz w:val="18"/>
                <w:szCs w:val="18"/>
                <w:b w:val="1"/>
                <w:bCs w:val="1"/>
                <w:color w:val="auto"/>
                <w:w w:val="88"/>
              </w:rPr>
              <w:t>3,495</w:t>
            </w:r>
          </w:p>
        </w:tc>
        <w:tc>
          <w:tcPr>
            <w:tcW w:w="11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1,777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5,272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140" w:right="340"/>
        <w:spacing w:after="0" w:line="262" w:lineRule="auto"/>
        <w:rPr>
          <w:sz w:val="20"/>
          <w:szCs w:val="20"/>
          <w:color w:val="auto"/>
        </w:rPr>
      </w:pPr>
      <w:r>
        <w:rPr>
          <w:rFonts w:ascii="Arial" w:cs="Arial" w:eastAsia="Arial" w:hAnsi="Arial"/>
          <w:sz w:val="18"/>
          <w:szCs w:val="18"/>
          <w:color w:val="auto"/>
        </w:rPr>
        <w:t>At the reporting date, no internally generated intangible assets from development of pharmaceutical drug candidates have been recognized. Thus, all related research and development costs incurred for the years ended December 31, 2021, 2020, and 2019, were recognized in the consolidated statements of profit or loss.</w:t>
      </w:r>
    </w:p>
    <w:p>
      <w:pPr>
        <w:spacing w:after="0" w:line="183" w:lineRule="exact"/>
        <w:rPr>
          <w:sz w:val="20"/>
          <w:szCs w:val="20"/>
          <w:color w:val="auto"/>
        </w:rPr>
      </w:pPr>
    </w:p>
    <w:p>
      <w:pPr>
        <w:ind w:left="140" w:right="20"/>
        <w:spacing w:after="0" w:line="253" w:lineRule="auto"/>
        <w:rPr>
          <w:sz w:val="20"/>
          <w:szCs w:val="20"/>
          <w:color w:val="auto"/>
        </w:rPr>
      </w:pPr>
      <w:r>
        <w:rPr>
          <w:rFonts w:ascii="Arial" w:cs="Arial" w:eastAsia="Arial" w:hAnsi="Arial"/>
          <w:sz w:val="18"/>
          <w:szCs w:val="18"/>
          <w:color w:val="auto"/>
        </w:rPr>
        <w:t>Goodwill relates to the acquisition of Complex Biosystems GmbH (now Ascendis Pharma GmbH) in 2007. Goodwill was calculated as the excess amount of the purchase price to the fair value of identifiable assets acquired, and liabilities assumed at the acquisition date. Ascendis Pharma GmbH was initially a separate technology platform company but is now an integral part of the Company’s research and development activities. Accordingly, it is not possible to look separately at Ascendis Pharma GmbH when considering the recoverable amount of the goodwill. Goodwill is monitored and tested for impairment on a consolidated level as the Company is considered to represent one cash-generating unit. Goodwill is tested for impairment on an annual basis at December 31, or more frequently, if indications of impairment are identified. There have been no impairments recognized in any of the periods presented.</w:t>
      </w:r>
    </w:p>
    <w:p>
      <w:pPr>
        <w:spacing w:after="0" w:line="195" w:lineRule="exact"/>
        <w:rPr>
          <w:sz w:val="20"/>
          <w:szCs w:val="20"/>
          <w:color w:val="auto"/>
        </w:rPr>
      </w:pPr>
    </w:p>
    <w:p>
      <w:pPr>
        <w:ind w:left="140" w:right="180"/>
        <w:spacing w:after="0" w:line="256" w:lineRule="auto"/>
        <w:rPr>
          <w:sz w:val="20"/>
          <w:szCs w:val="20"/>
          <w:color w:val="auto"/>
        </w:rPr>
      </w:pPr>
      <w:r>
        <w:rPr>
          <w:rFonts w:ascii="Arial" w:cs="Arial" w:eastAsia="Arial" w:hAnsi="Arial"/>
          <w:sz w:val="18"/>
          <w:szCs w:val="18"/>
          <w:color w:val="auto"/>
        </w:rPr>
        <w:t>The recoverable amount of the cash-generating unit is determined based on an estimation of the Company’s fair value less costs of disposal. The fair value of goodwill has been determined after taking into account the market value of the Company’s ADSs as of the reporting date. The computation of the market value including an estimation of selling costs, significantly exceeded the carrying amount of the net assets, leaving sufficient value to cover the carrying amount of goodwill. Considering the excess value, no further assumptions are deemed relevant to be applied in determining whether goodwill is impaired.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 charges are recognized through general and administrative expenses.</w:t>
      </w:r>
    </w:p>
    <w:p>
      <w:pPr>
        <w:spacing w:after="0" w:line="15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85"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11—Property, Plant and Equipment</w:t>
      </w: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Plant and</w:t>
            </w: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Leasehold</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Right-of-Use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8"/>
              </w:rPr>
              <w:t>Improve-</w:t>
            </w:r>
          </w:p>
        </w:tc>
        <w:tc>
          <w:tcPr>
            <w:tcW w:w="108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Machinery</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Equipment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ments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Assets</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At January 1, 2020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8,038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3,944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4,288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40,119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Disposals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2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14,622</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99,566</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Disposals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(1,040)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16,946</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8,822</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18,067</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116,135</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At January 1, 2020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(3,971)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(5,228)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(11,320)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charge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Disposals</w:t>
            </w: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(4,781)</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(11,584)</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charge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Disposals</w:t>
            </w:r>
          </w:p>
        </w:tc>
        <w:tc>
          <w:tcPr>
            <w:tcW w:w="880" w:type="dxa"/>
            <w:vAlign w:val="bottom"/>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(5,527)</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(3,547)</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(2,488)</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(22,359)</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At December 31, 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9,841</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2,888</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7,401</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87,982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11,419</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5,275</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15,579</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93,776</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40" w:right="260"/>
        <w:spacing w:after="0" w:line="275" w:lineRule="auto"/>
        <w:rPr>
          <w:sz w:val="20"/>
          <w:szCs w:val="20"/>
          <w:color w:val="auto"/>
        </w:rPr>
      </w:pPr>
      <w:r>
        <w:rPr>
          <w:rFonts w:ascii="Arial" w:cs="Arial" w:eastAsia="Arial" w:hAnsi="Arial"/>
          <w:sz w:val="18"/>
          <w:szCs w:val="18"/>
          <w:color w:val="auto"/>
        </w:rPr>
        <w:t>Assets under construction amounts to €1.9 million and €2.3 million at December 21, 2021 and 2020, respectively. Of total additions, €2.1 million and €1.0 million was unpaid at December 31, 2021 and 2020, respectively.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85"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charges are specified below:</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3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112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1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charges</w:t>
            </w:r>
          </w:p>
        </w:tc>
        <w:tc>
          <w:tcPr>
            <w:tcW w:w="3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of sales</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900" w:type="dxa"/>
            <w:vAlign w:val="bottom"/>
          </w:tcPr>
          <w:p>
            <w:pPr>
              <w:jc w:val="center"/>
              <w:ind w:left="435"/>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1120" w:type="dxa"/>
            <w:vAlign w:val="bottom"/>
            <w:gridSpan w:val="2"/>
            <w:shd w:val="clear" w:color="auto" w:fill="CCEEFF"/>
          </w:tcPr>
          <w:p>
            <w:pPr>
              <w:jc w:val="center"/>
              <w:ind w:left="619"/>
              <w:spacing w:after="0"/>
              <w:rPr>
                <w:sz w:val="20"/>
                <w:szCs w:val="20"/>
                <w:color w:val="auto"/>
              </w:rPr>
            </w:pPr>
            <w:r>
              <w:rPr>
                <w:rFonts w:ascii="Arial" w:cs="Arial" w:eastAsia="Arial" w:hAnsi="Arial"/>
                <w:sz w:val="18"/>
                <w:szCs w:val="18"/>
                <w:color w:val="auto"/>
                <w:w w:val="84"/>
              </w:rPr>
              <w:t>7,311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8"/>
              </w:rPr>
              <w:t>2,137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depreciation charges</w:t>
            </w:r>
          </w:p>
        </w:tc>
        <w:tc>
          <w:tcPr>
            <w:tcW w:w="35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14,946</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b w:val="1"/>
                <w:bCs w:val="1"/>
                <w:color w:val="auto"/>
                <w:w w:val="88"/>
              </w:rPr>
              <w:t>9,448</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380" w:type="dxa"/>
            <w:vAlign w:val="bottom"/>
            <w:gridSpan w:val="2"/>
          </w:tcPr>
          <w:p>
            <w:pPr>
              <w:jc w:val="right"/>
              <w:ind w:right="2890"/>
              <w:spacing w:after="0"/>
              <w:rPr>
                <w:sz w:val="20"/>
                <w:szCs w:val="20"/>
                <w:color w:val="auto"/>
              </w:rPr>
            </w:pPr>
            <w:r>
              <w:rPr>
                <w:rFonts w:ascii="Arial" w:cs="Arial" w:eastAsia="Arial" w:hAnsi="Arial"/>
                <w:sz w:val="18"/>
                <w:szCs w:val="18"/>
                <w:color w:val="auto"/>
              </w:rPr>
              <w:t>F-30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60"/>
          </w:cols>
          <w:pgMar w:left="280" w:top="485"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12—Investment in Associate</w:t>
      </w:r>
    </w:p>
    <w:p>
      <w:pPr>
        <w:spacing w:after="0" w:line="120" w:lineRule="exact"/>
        <w:rPr>
          <w:sz w:val="20"/>
          <w:szCs w:val="20"/>
          <w:color w:val="auto"/>
        </w:rPr>
      </w:pPr>
    </w:p>
    <w:p>
      <w:pPr>
        <w:jc w:val="both"/>
        <w:ind w:left="140" w:right="40"/>
        <w:spacing w:after="0" w:line="262" w:lineRule="auto"/>
        <w:rPr>
          <w:sz w:val="20"/>
          <w:szCs w:val="20"/>
          <w:color w:val="auto"/>
        </w:rPr>
      </w:pPr>
      <w:r>
        <w:rPr>
          <w:rFonts w:ascii="Arial" w:cs="Arial" w:eastAsia="Arial" w:hAnsi="Arial"/>
          <w:sz w:val="18"/>
          <w:szCs w:val="18"/>
          <w:color w:val="auto"/>
        </w:rPr>
        <w:t>VISEN is a private Company with business activities within development, manufacturing and commercialization of endocrinology rare disease therapies in Greater China. The Company’s interest in VISEN is accounted for as an associate using the equity method in the consolidated financial statements as the Company has determined that it has significant influence but not joint control.</w:t>
      </w:r>
    </w:p>
    <w:p>
      <w:pPr>
        <w:spacing w:after="0" w:line="183" w:lineRule="exact"/>
        <w:rPr>
          <w:sz w:val="20"/>
          <w:szCs w:val="20"/>
          <w:color w:val="auto"/>
        </w:rPr>
      </w:pPr>
    </w:p>
    <w:p>
      <w:pPr>
        <w:ind w:left="140" w:right="100"/>
        <w:spacing w:after="0" w:line="292" w:lineRule="auto"/>
        <w:rPr>
          <w:sz w:val="20"/>
          <w:szCs w:val="20"/>
          <w:color w:val="auto"/>
        </w:rPr>
      </w:pPr>
      <w:r>
        <w:rPr>
          <w:rFonts w:ascii="Arial" w:cs="Arial" w:eastAsia="Arial" w:hAnsi="Arial"/>
          <w:sz w:val="16"/>
          <w:szCs w:val="16"/>
          <w:color w:val="auto"/>
        </w:rPr>
        <w:t>The Company has granted VISEN exclusive rights to develop and commercialize TransCon hGH, TransCon PTH and TransCon CNP in Greater China, and as consideration for the granting of such rights has received a 50% ownership of VISEN’s issued and outstanding shares. The other investors contributed, in aggregate, $40.0 million in cash as their consideration for remaining 50% ownership. On January 8, 2021, the Company entered into an equity investment of $12.5 million as part of VISEN’s $150 million Series B financing. Following VISEN’s Series B financing, the Company retained 43.93% of VISEN’s issued and outstanding shares. As a result, a non-cash gain of €42.3 million was recognized in the consolidated statement of profit or loss as part of Share of profit/(loss) of associate. The Series B financing did not changed the accounting treatment of VISEN.</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illustrates the summarized relevant financial information of VISEN:</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2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VISEN Pharmaceuticals</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Principal place of business</w:t>
            </w:r>
          </w:p>
        </w:tc>
        <w:tc>
          <w:tcPr>
            <w:tcW w:w="3740" w:type="dxa"/>
            <w:vAlign w:val="bottom"/>
          </w:tcPr>
          <w:p>
            <w:pPr>
              <w:spacing w:after="0"/>
              <w:rPr>
                <w:sz w:val="19"/>
                <w:szCs w:val="19"/>
                <w:color w:val="auto"/>
              </w:rPr>
            </w:pPr>
          </w:p>
        </w:tc>
        <w:tc>
          <w:tcPr>
            <w:tcW w:w="1420" w:type="dxa"/>
            <w:vAlign w:val="bottom"/>
            <w:gridSpan w:val="3"/>
          </w:tcPr>
          <w:p>
            <w:pPr>
              <w:ind w:left="840"/>
              <w:spacing w:after="0"/>
              <w:rPr>
                <w:sz w:val="20"/>
                <w:szCs w:val="20"/>
                <w:color w:val="auto"/>
              </w:rPr>
            </w:pPr>
            <w:r>
              <w:rPr>
                <w:rFonts w:ascii="Arial" w:cs="Arial" w:eastAsia="Arial" w:hAnsi="Arial"/>
                <w:sz w:val="18"/>
                <w:szCs w:val="18"/>
                <w:color w:val="auto"/>
              </w:rPr>
              <w:t>China</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2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9"/>
              </w:rPr>
              <w:t>(EUR’000)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3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Profit/(loss) for the year from continuing operations</w:t>
            </w:r>
          </w:p>
        </w:tc>
        <w:tc>
          <w:tcPr>
            <w:tcW w:w="37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(69,283)</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(19,049)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3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69,306)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(19,049)</w:t>
            </w: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Statement of financial position</w:t>
            </w:r>
          </w:p>
        </w:tc>
        <w:tc>
          <w:tcPr>
            <w:tcW w:w="37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Current assets</w:t>
            </w:r>
          </w:p>
        </w:tc>
        <w:tc>
          <w:tcPr>
            <w:tcW w:w="3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147,424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7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135,333</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Current liabilities</w:t>
            </w:r>
          </w:p>
        </w:tc>
        <w:tc>
          <w:tcPr>
            <w:tcW w:w="3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147,424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Company’s share of equity before eliminations</w:t>
            </w:r>
          </w:p>
        </w:tc>
        <w:tc>
          <w:tcPr>
            <w:tcW w:w="37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59,455</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6"/>
              </w:rPr>
              <w:t>Elimination of internal profit and other equity method adjustments</w:t>
            </w:r>
          </w:p>
        </w:tc>
        <w:tc>
          <w:tcPr>
            <w:tcW w:w="4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(21,110)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(7,678)</w:t>
            </w: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Company’s share of equity</w:t>
            </w:r>
          </w:p>
        </w:tc>
        <w:tc>
          <w:tcPr>
            <w:tcW w:w="3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38,345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 associate at December 31</w:t>
            </w:r>
          </w:p>
        </w:tc>
        <w:tc>
          <w:tcPr>
            <w:tcW w:w="37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38,345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Present ownership at December 31</w:t>
            </w:r>
          </w:p>
        </w:tc>
        <w:tc>
          <w:tcPr>
            <w:tcW w:w="4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vMerge w:val="continue"/>
          </w:tcPr>
          <w:p>
            <w:pPr>
              <w:spacing w:after="0"/>
              <w:rPr>
                <w:sz w:val="18"/>
                <w:szCs w:val="18"/>
                <w:color w:val="auto"/>
              </w:rPr>
            </w:pPr>
          </w:p>
        </w:tc>
        <w:tc>
          <w:tcPr>
            <w:tcW w:w="37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Transactions and outstanding balances as of December 31</w:t>
            </w:r>
          </w:p>
        </w:tc>
        <w:tc>
          <w:tcPr>
            <w:tcW w:w="3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Sale of goods and services to associate</w:t>
            </w:r>
          </w:p>
        </w:tc>
        <w:tc>
          <w:tcPr>
            <w:tcW w:w="3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from associate</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3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160" w:type="dxa"/>
            <w:vAlign w:val="bottom"/>
            <w:gridSpan w:val="4"/>
          </w:tcPr>
          <w:p>
            <w:pPr>
              <w:ind w:left="280"/>
              <w:spacing w:after="0"/>
              <w:rPr>
                <w:sz w:val="20"/>
                <w:szCs w:val="20"/>
                <w:color w:val="auto"/>
              </w:rPr>
            </w:pPr>
            <w:r>
              <w:rPr>
                <w:rFonts w:ascii="Arial" w:cs="Arial" w:eastAsia="Arial" w:hAnsi="Arial"/>
                <w:sz w:val="18"/>
                <w:szCs w:val="18"/>
                <w:color w:val="auto"/>
              </w:rPr>
              <w:t>F-31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13—Inventories</w:t>
      </w:r>
    </w:p>
    <w:p>
      <w:pPr>
        <w:spacing w:after="0" w:line="120" w:lineRule="exact"/>
        <w:rPr>
          <w:sz w:val="20"/>
          <w:szCs w:val="20"/>
          <w:color w:val="auto"/>
        </w:rPr>
      </w:pPr>
    </w:p>
    <w:p>
      <w:pPr>
        <w:jc w:val="both"/>
        <w:ind w:left="180" w:right="160"/>
        <w:spacing w:after="0" w:line="275" w:lineRule="auto"/>
        <w:rPr>
          <w:sz w:val="20"/>
          <w:szCs w:val="20"/>
          <w:color w:val="auto"/>
        </w:rPr>
      </w:pPr>
      <w:r>
        <w:rPr>
          <w:rFonts w:ascii="Arial" w:cs="Arial" w:eastAsia="Arial" w:hAnsi="Arial"/>
          <w:sz w:val="18"/>
          <w:szCs w:val="18"/>
          <w:color w:val="auto"/>
        </w:rPr>
        <w:t>The Company’s inventories relate to commercial products of SKYTROFA (lonapegsomatropin-tcgd), related work in progress (intermediates) and raw materials.</w:t>
      </w:r>
    </w:p>
    <w:p>
      <w:pPr>
        <w:spacing w:after="0" w:line="171" w:lineRule="exact"/>
        <w:rPr>
          <w:sz w:val="20"/>
          <w:szCs w:val="20"/>
          <w:color w:val="auto"/>
        </w:rPr>
      </w:pPr>
    </w:p>
    <w:p>
      <w:pPr>
        <w:jc w:val="both"/>
        <w:ind w:left="180" w:right="180"/>
        <w:spacing w:after="0" w:line="310" w:lineRule="auto"/>
        <w:rPr>
          <w:sz w:val="20"/>
          <w:szCs w:val="20"/>
          <w:color w:val="auto"/>
        </w:rPr>
      </w:pPr>
      <w:r>
        <w:rPr>
          <w:rFonts w:ascii="Arial" w:cs="Arial" w:eastAsia="Arial" w:hAnsi="Arial"/>
          <w:sz w:val="16"/>
          <w:szCs w:val="16"/>
          <w:color w:val="auto"/>
        </w:rPr>
        <w:t>Marketing approval for SKYTROFA (lonapegsomatropin-tcgd) in the United States was obtained on August 25, 2021, and accordingly, all inventories until this date had been written down. Subsequent to obtaining marketing approval, a reversal of write-down on pre-launch inventories was recognized through research and development costs in the consolidated statement of profit or loss with a positive impact of €53.7 million.</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99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(EUR’000)</w:t>
            </w:r>
          </w:p>
        </w:tc>
        <w:tc>
          <w:tcPr>
            <w:tcW w:w="12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Raw materials and consumables</w:t>
            </w:r>
          </w:p>
        </w:tc>
        <w:tc>
          <w:tcPr>
            <w:tcW w:w="920" w:type="dxa"/>
            <w:vAlign w:val="bottom"/>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68,865</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Finished goods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75,405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14—Leases</w:t>
      </w:r>
    </w:p>
    <w:p>
      <w:pPr>
        <w:spacing w:after="0" w:line="120" w:lineRule="exact"/>
        <w:rPr>
          <w:sz w:val="20"/>
          <w:szCs w:val="20"/>
          <w:color w:val="auto"/>
        </w:rPr>
      </w:pPr>
    </w:p>
    <w:p>
      <w:pPr>
        <w:ind w:left="180" w:right="280"/>
        <w:spacing w:after="0" w:line="300" w:lineRule="auto"/>
        <w:rPr>
          <w:sz w:val="20"/>
          <w:szCs w:val="20"/>
          <w:color w:val="auto"/>
        </w:rPr>
      </w:pPr>
      <w:r>
        <w:rPr>
          <w:rFonts w:ascii="Arial" w:cs="Arial" w:eastAsia="Arial" w:hAnsi="Arial"/>
          <w:sz w:val="16"/>
          <w:szCs w:val="16"/>
          <w:color w:val="auto"/>
        </w:rPr>
        <w:t>The Company primarily leases office and laboratory facilities. Lease arrangements contain a range of different terms and conditions and are typically entered into for fixed periods. Generally, the lease terms are between two and eleven years, and in addition, in order to improve flexibility to the Company’s operations, may provide the Company with options to extend the lease, or terminate the lease within the enforceable lease term. In the Company’s current lease portfolio, extension and termination options range between two to five years, in addition to the non-cancellable periods.</w:t>
      </w:r>
    </w:p>
    <w:p>
      <w:pPr>
        <w:spacing w:after="0" w:line="156" w:lineRule="exact"/>
        <w:rPr>
          <w:sz w:val="20"/>
          <w:szCs w:val="20"/>
          <w:color w:val="auto"/>
        </w:rPr>
      </w:pPr>
    </w:p>
    <w:p>
      <w:pPr>
        <w:ind w:left="180" w:right="60"/>
        <w:spacing w:after="0" w:line="258" w:lineRule="auto"/>
        <w:rPr>
          <w:sz w:val="20"/>
          <w:szCs w:val="20"/>
          <w:color w:val="auto"/>
        </w:rPr>
      </w:pPr>
      <w:r>
        <w:rPr>
          <w:rFonts w:ascii="Arial" w:cs="Arial" w:eastAsia="Arial" w:hAnsi="Arial"/>
          <w:sz w:val="18"/>
          <w:szCs w:val="18"/>
          <w:color w:val="auto"/>
        </w:rPr>
        <w:t>To accommodate the current and future development of the Company, additional leases related to office facilities were entered into in 2021. In 2021, the Company entered into an additional facility lease in Germany with an enforceable lease term of four years. The lease commences in January 2022. At that date an initial lease liability of €2.3 million will be recognized. Refer to Note 21 “Subsequent events” for details regarding one lease entered, subsequent to the reporting date.</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 Liabilities and Payments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Development in lease liabilities are specified below:</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Cash payments</w:t>
            </w:r>
          </w:p>
        </w:tc>
        <w:tc>
          <w:tcPr>
            <w:tcW w:w="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Non-cash items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Payment of</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Foreign</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5"/>
              </w:rPr>
              <w:t>principal</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Payment</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Accretion of</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portion of</w:t>
            </w:r>
          </w:p>
        </w:tc>
        <w:tc>
          <w:tcPr>
            <w:tcW w:w="1080" w:type="dxa"/>
            <w:vAlign w:val="bottom"/>
            <w:gridSpan w:val="2"/>
            <w:vMerge w:val="continue"/>
          </w:tcPr>
          <w:p>
            <w:pPr>
              <w:spacing w:after="0"/>
              <w:rPr>
                <w:sz w:val="12"/>
                <w:szCs w:val="12"/>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exchange</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rPr>
              <w:t>of period</w:t>
            </w:r>
          </w:p>
        </w:tc>
        <w:tc>
          <w:tcPr>
            <w:tcW w:w="2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liabilities</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interest</w:t>
            </w: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adjustment</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79"/>
        </w:trPr>
        <w:tc>
          <w:tcPr>
            <w:tcW w:w="34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(EUR’000)</w:t>
            </w: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liabilities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December 31, 2021</w:t>
            </w:r>
          </w:p>
        </w:tc>
        <w:tc>
          <w:tcPr>
            <w:tcW w:w="880" w:type="dxa"/>
            <w:vAlign w:val="bottom"/>
          </w:tcPr>
          <w:p>
            <w:pPr>
              <w:jc w:val="right"/>
              <w:spacing w:after="0"/>
              <w:rPr>
                <w:sz w:val="20"/>
                <w:szCs w:val="20"/>
                <w:color w:val="auto"/>
              </w:rPr>
            </w:pPr>
            <w:r>
              <w:rPr>
                <w:rFonts w:ascii="Arial" w:cs="Arial" w:eastAsia="Arial" w:hAnsi="Arial"/>
                <w:sz w:val="18"/>
                <w:szCs w:val="18"/>
                <w:color w:val="auto"/>
              </w:rPr>
              <w:t>91,975</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(6,429)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(1,326)</w:t>
            </w:r>
          </w:p>
        </w:tc>
        <w:tc>
          <w:tcPr>
            <w:tcW w:w="940" w:type="dxa"/>
            <w:vAlign w:val="bottom"/>
          </w:tcPr>
          <w:p>
            <w:pPr>
              <w:jc w:val="right"/>
              <w:spacing w:after="0"/>
              <w:rPr>
                <w:sz w:val="20"/>
                <w:szCs w:val="20"/>
                <w:color w:val="auto"/>
              </w:rPr>
            </w:pPr>
            <w:r>
              <w:rPr>
                <w:rFonts w:ascii="Arial" w:cs="Arial" w:eastAsia="Arial" w:hAnsi="Arial"/>
                <w:sz w:val="18"/>
                <w:szCs w:val="18"/>
                <w:color w:val="auto"/>
              </w:rPr>
              <w:t>10,812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3,396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6,533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36,619</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(4,781)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60"/>
          </w:cols>
          <w:pgMar w:left="280" w:top="485"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right="140"/>
        <w:spacing w:after="0" w:line="275" w:lineRule="auto"/>
        <w:rPr>
          <w:sz w:val="20"/>
          <w:szCs w:val="20"/>
          <w:color w:val="auto"/>
        </w:rPr>
      </w:pPr>
      <w:r>
        <w:rPr>
          <w:rFonts w:ascii="Arial" w:cs="Arial" w:eastAsia="Arial" w:hAnsi="Arial"/>
          <w:sz w:val="18"/>
          <w:szCs w:val="18"/>
          <w:color w:val="auto"/>
        </w:rPr>
        <w:t>The maturity analysis of lease liabilities is disclosed in Note 17 “Financial Risk Management and Financial Instruments” in the section “Liquidity Risk Management”.</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Expenses Relating to Leases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expenses relating to lease activities are recognized in the consolidated statements of profit or loss:</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1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1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expense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w:t>
            </w:r>
          </w:p>
        </w:tc>
        <w:tc>
          <w:tcPr>
            <w:tcW w:w="880" w:type="dxa"/>
            <w:vAlign w:val="bottom"/>
          </w:tcPr>
          <w:p>
            <w:pPr>
              <w:jc w:val="right"/>
              <w:spacing w:after="0"/>
              <w:rPr>
                <w:sz w:val="20"/>
                <w:szCs w:val="20"/>
                <w:color w:val="auto"/>
              </w:rPr>
            </w:pPr>
            <w:r>
              <w:rPr>
                <w:rFonts w:ascii="Arial" w:cs="Arial" w:eastAsia="Arial" w:hAnsi="Arial"/>
                <w:sz w:val="18"/>
                <w:szCs w:val="18"/>
                <w:color w:val="auto"/>
              </w:rPr>
              <w:t>10,963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6,857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Expenses relating to short term leases and leases of low value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Lease interest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expenses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15—Contract Liabilities</w:t>
      </w:r>
    </w:p>
    <w:p>
      <w:pPr>
        <w:spacing w:after="0" w:line="120" w:lineRule="exact"/>
        <w:rPr>
          <w:sz w:val="20"/>
          <w:szCs w:val="20"/>
          <w:color w:val="auto"/>
        </w:rPr>
      </w:pPr>
    </w:p>
    <w:p>
      <w:pPr>
        <w:jc w:val="both"/>
        <w:ind w:left="140" w:right="280"/>
        <w:spacing w:after="0" w:line="262" w:lineRule="auto"/>
        <w:rPr>
          <w:sz w:val="20"/>
          <w:szCs w:val="20"/>
          <w:color w:val="auto"/>
        </w:rPr>
      </w:pPr>
      <w:r>
        <w:rPr>
          <w:rFonts w:ascii="Arial" w:cs="Arial" w:eastAsia="Arial" w:hAnsi="Arial"/>
          <w:sz w:val="18"/>
          <w:szCs w:val="18"/>
          <w:color w:val="auto"/>
        </w:rPr>
        <w:t>At December 31, 2021, contract liabilities comprise unsatisfied performance obligations relating to delivery of clinical and commercial supply under one of the Company’s license agreements. Contract liabilities are expected to be recognized as revenue with €2.6 million in 2022, and €3.0 million in 2023-2026.</w:t>
      </w:r>
    </w:p>
    <w:p>
      <w:pPr>
        <w:spacing w:after="0" w:line="183" w:lineRule="exact"/>
        <w:rPr>
          <w:sz w:val="20"/>
          <w:szCs w:val="20"/>
          <w:color w:val="auto"/>
        </w:rPr>
      </w:pPr>
    </w:p>
    <w:p>
      <w:pPr>
        <w:jc w:val="both"/>
        <w:ind w:left="140" w:right="300"/>
        <w:spacing w:after="0" w:line="306" w:lineRule="auto"/>
        <w:rPr>
          <w:sz w:val="20"/>
          <w:szCs w:val="20"/>
          <w:color w:val="auto"/>
        </w:rPr>
      </w:pPr>
      <w:r>
        <w:rPr>
          <w:rFonts w:ascii="Arial" w:cs="Arial" w:eastAsia="Arial" w:hAnsi="Arial"/>
          <w:sz w:val="17"/>
          <w:szCs w:val="17"/>
          <w:color w:val="auto"/>
        </w:rPr>
        <w:t>Revenue recognized from contract liabilities was €0.4 million, €1.0 million and €6.1 million for the years ended December 31, 2021, 2020 and 2019, respectively, and related to feasibility studies, and research and development services under the Company’s license agreements.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16—Commitments and Contingencies</w:t>
      </w:r>
    </w:p>
    <w:p>
      <w:pPr>
        <w:spacing w:after="0" w:line="120" w:lineRule="exact"/>
        <w:rPr>
          <w:sz w:val="20"/>
          <w:szCs w:val="20"/>
          <w:color w:val="auto"/>
        </w:rPr>
      </w:pPr>
    </w:p>
    <w:p>
      <w:pPr>
        <w:ind w:left="140" w:right="120"/>
        <w:spacing w:after="0" w:line="272" w:lineRule="auto"/>
        <w:rPr>
          <w:sz w:val="20"/>
          <w:szCs w:val="20"/>
          <w:color w:val="auto"/>
        </w:rPr>
      </w:pPr>
      <w:r>
        <w:rPr>
          <w:rFonts w:ascii="Arial" w:cs="Arial" w:eastAsia="Arial" w:hAnsi="Arial"/>
          <w:sz w:val="17"/>
          <w:szCs w:val="17"/>
          <w:color w:val="auto"/>
        </w:rPr>
        <w:t>Contractual commitments for the acquisition of property, plant and equipment were €8.4 million and €15.8 million for the years ended December 31, 2021 and 2020, respectively. Further, with certain suppliers, the Company has agreed minimum commitments related to the manufacturing of product supply, subject to continuous negotiation and adjustments according to the individual contractual terms and conditions. Delivery of product supply is recognized when the Company obtains control of the goods. In addition, the Company has commitments related to short-term leases and leases of low value assets, contracts of various lengths in respect of research and development with CROs, and IT and facility related services. Costs relating to those commitments are recognized as services are received.</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 is not aware of any significant legal claims or disputes.</w:t>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17—Financial Risk Management and Financial Instruments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Financial assets and financial liabilities comprise the following:</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r>
      <w:tr>
        <w:trPr>
          <w:trHeight w:val="179"/>
        </w:trPr>
        <w:tc>
          <w:tcPr>
            <w:tcW w:w="44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rPr>
              <w:t>(EUR’000)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4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Trade receivables</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Marketable securities</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343,358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249,558</w:t>
            </w:r>
          </w:p>
        </w:tc>
        <w:tc>
          <w:tcPr>
            <w:tcW w:w="120" w:type="dxa"/>
            <w:vAlign w:val="bottom"/>
          </w:tcPr>
          <w:p>
            <w:pPr>
              <w:spacing w:after="0"/>
              <w:rPr>
                <w:sz w:val="18"/>
                <w:szCs w:val="18"/>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446,267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584,517</w:t>
            </w:r>
          </w:p>
        </w:tc>
        <w:tc>
          <w:tcPr>
            <w:tcW w:w="120" w:type="dxa"/>
            <w:vAlign w:val="bottom"/>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b w:val="1"/>
                <w:bCs w:val="1"/>
                <w:color w:val="auto"/>
              </w:rPr>
              <w:t>Financial assets measured at amortized cost</w:t>
            </w:r>
          </w:p>
        </w:tc>
        <w:tc>
          <w:tcPr>
            <w:tcW w:w="44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804,101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836,713</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4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Lease liabilities</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104,961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91,975</w:t>
            </w:r>
          </w:p>
        </w:tc>
        <w:tc>
          <w:tcPr>
            <w:tcW w:w="120" w:type="dxa"/>
            <w:vAlign w:val="bottom"/>
          </w:tcPr>
          <w:p>
            <w:pPr>
              <w:spacing w:after="0"/>
              <w:rPr>
                <w:sz w:val="18"/>
                <w:szCs w:val="18"/>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21,897</w:t>
            </w:r>
          </w:p>
        </w:tc>
        <w:tc>
          <w:tcPr>
            <w:tcW w:w="120" w:type="dxa"/>
            <w:vAlign w:val="bottom"/>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44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164,378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113,872</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4460" w:type="dxa"/>
            <w:vAlign w:val="bottom"/>
          </w:tcPr>
          <w:p>
            <w:pPr>
              <w:spacing w:after="0"/>
              <w:rPr>
                <w:sz w:val="24"/>
                <w:szCs w:val="24"/>
                <w:color w:val="auto"/>
              </w:rPr>
            </w:pPr>
          </w:p>
        </w:tc>
        <w:tc>
          <w:tcPr>
            <w:tcW w:w="5780" w:type="dxa"/>
            <w:vAlign w:val="bottom"/>
            <w:gridSpan w:val="4"/>
          </w:tcPr>
          <w:p>
            <w:pPr>
              <w:ind w:left="860"/>
              <w:spacing w:after="0"/>
              <w:rPr>
                <w:sz w:val="20"/>
                <w:szCs w:val="20"/>
                <w:color w:val="auto"/>
              </w:rPr>
            </w:pPr>
            <w:r>
              <w:rPr>
                <w:rFonts w:ascii="Arial" w:cs="Arial" w:eastAsia="Arial" w:hAnsi="Arial"/>
                <w:sz w:val="18"/>
                <w:szCs w:val="18"/>
                <w:color w:val="auto"/>
              </w:rPr>
              <w:t>F-33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85"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income and expenses are specified below:</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10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1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79"/>
        </w:trPr>
        <w:tc>
          <w:tcPr>
            <w:tcW w:w="77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7780" w:type="dxa"/>
            <w:vAlign w:val="bottom"/>
          </w:tcPr>
          <w:p>
            <w:pPr>
              <w:spacing w:after="0"/>
              <w:rPr>
                <w:sz w:val="20"/>
                <w:szCs w:val="20"/>
                <w:color w:val="auto"/>
              </w:rPr>
            </w:pPr>
            <w:r>
              <w:rPr>
                <w:rFonts w:ascii="Arial" w:cs="Arial" w:eastAsia="Arial" w:hAnsi="Arial"/>
                <w:sz w:val="18"/>
                <w:szCs w:val="18"/>
                <w:color w:val="auto"/>
              </w:rPr>
              <w:t>Interest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692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10,056</w:t>
            </w:r>
          </w:p>
        </w:tc>
        <w:tc>
          <w:tcPr>
            <w:tcW w:w="120" w:type="dxa"/>
            <w:vAlign w:val="bottom"/>
          </w:tcPr>
          <w:p>
            <w:pPr>
              <w:spacing w:after="0"/>
              <w:rPr>
                <w:sz w:val="18"/>
                <w:szCs w:val="18"/>
                <w:color w:val="auto"/>
              </w:rPr>
            </w:pPr>
          </w:p>
        </w:tc>
      </w:tr>
      <w:tr>
        <w:trPr>
          <w:trHeight w:val="215"/>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20" w:type="dxa"/>
            <w:vAlign w:val="bottom"/>
            <w:shd w:val="clear" w:color="auto" w:fill="CCEEFF"/>
          </w:tcPr>
          <w:p>
            <w:pPr>
              <w:spacing w:after="0"/>
              <w:rPr>
                <w:sz w:val="18"/>
                <w:szCs w:val="18"/>
                <w:color w:val="auto"/>
              </w:rPr>
            </w:pPr>
          </w:p>
        </w:tc>
      </w:tr>
      <w:tr>
        <w:trPr>
          <w:trHeight w:val="222"/>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finance income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59,718</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1,812</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17,803</w:t>
            </w:r>
          </w:p>
        </w:tc>
        <w:tc>
          <w:tcPr>
            <w:tcW w:w="12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expenses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7780" w:type="dxa"/>
            <w:vAlign w:val="bottom"/>
          </w:tcPr>
          <w:p>
            <w:pPr>
              <w:spacing w:after="0"/>
              <w:rPr>
                <w:sz w:val="20"/>
                <w:szCs w:val="20"/>
                <w:color w:val="auto"/>
              </w:rPr>
            </w:pPr>
            <w:r>
              <w:rPr>
                <w:rFonts w:ascii="Arial" w:cs="Arial" w:eastAsia="Arial" w:hAnsi="Arial"/>
                <w:sz w:val="18"/>
                <w:szCs w:val="18"/>
                <w:color w:val="auto"/>
              </w:rPr>
              <w:t>Interest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3,911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8"/>
                <w:szCs w:val="18"/>
                <w:color w:val="auto"/>
              </w:rPr>
            </w:pPr>
          </w:p>
        </w:tc>
      </w:tr>
      <w:tr>
        <w:trPr>
          <w:trHeight w:val="215"/>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losses</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2"/>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finance expenses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3,911</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80,842</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w:t>
            </w:r>
          </w:p>
        </w:tc>
        <w:tc>
          <w:tcPr>
            <w:tcW w:w="12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180" w:right="60"/>
        <w:spacing w:after="0" w:line="275" w:lineRule="auto"/>
        <w:rPr>
          <w:sz w:val="20"/>
          <w:szCs w:val="20"/>
          <w:color w:val="auto"/>
        </w:rPr>
      </w:pPr>
      <w:r>
        <w:rPr>
          <w:rFonts w:ascii="Arial" w:cs="Arial" w:eastAsia="Arial" w:hAnsi="Arial"/>
          <w:sz w:val="18"/>
          <w:szCs w:val="18"/>
          <w:color w:val="auto"/>
        </w:rPr>
        <w:t>Interest income and interest expenses relate to financial assets and liabilities measured at amortized cost. Exchange rate gains and losses primarily relate to U.S. Dollar/Euro fluctuations pertaining to the Company’s, cash, cash equivalents and marketable securities.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6" w:lineRule="exact"/>
        <w:rPr>
          <w:sz w:val="20"/>
          <w:szCs w:val="20"/>
          <w:color w:val="auto"/>
        </w:rPr>
      </w:pPr>
    </w:p>
    <w:p>
      <w:pPr>
        <w:ind w:left="180" w:right="920"/>
        <w:spacing w:after="0" w:line="340" w:lineRule="auto"/>
        <w:rPr>
          <w:sz w:val="20"/>
          <w:szCs w:val="20"/>
          <w:color w:val="auto"/>
        </w:rPr>
      </w:pPr>
      <w:r>
        <w:rPr>
          <w:rFonts w:ascii="Arial" w:cs="Arial" w:eastAsia="Arial" w:hAnsi="Arial"/>
          <w:sz w:val="16"/>
          <w:szCs w:val="16"/>
          <w:color w:val="auto"/>
        </w:rPr>
        <w:t>The Company manages capital to ensure that all group enterprises will be able to continue as going concerns while maximizing the return to shareholders through the optimization of debt and equity balances. The overall strategy in this regard has remained unchanged since 2012.</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Structure</w:t>
      </w:r>
    </w:p>
    <w:p>
      <w:pPr>
        <w:spacing w:after="0" w:line="116" w:lineRule="exact"/>
        <w:rPr>
          <w:sz w:val="20"/>
          <w:szCs w:val="20"/>
          <w:color w:val="auto"/>
        </w:rPr>
      </w:pPr>
    </w:p>
    <w:p>
      <w:pPr>
        <w:ind w:left="180" w:right="180"/>
        <w:spacing w:after="0" w:line="258" w:lineRule="auto"/>
        <w:rPr>
          <w:sz w:val="20"/>
          <w:szCs w:val="20"/>
          <w:color w:val="auto"/>
        </w:rPr>
      </w:pPr>
      <w:r>
        <w:rPr>
          <w:rFonts w:ascii="Arial" w:cs="Arial" w:eastAsia="Arial" w:hAnsi="Arial"/>
          <w:sz w:val="18"/>
          <w:szCs w:val="18"/>
          <w:color w:val="auto"/>
        </w:rPr>
        <w:t>The Company’s capital structure consists only of equity comprising issued capital, reserves and retained earnings/accumulated deficits. Although the Company is not subject to any externally imposed capital requirements, the capital structure is reviewed on an ongoing basis. Since the Company does not hold external debt, such review currently comprises a review of the adequacy of the Company’s capital compared to the resources required for carrying out ordinary activities.</w:t>
      </w:r>
    </w:p>
    <w:p>
      <w:pPr>
        <w:spacing w:after="0" w:line="186" w:lineRule="exact"/>
        <w:rPr>
          <w:sz w:val="20"/>
          <w:szCs w:val="20"/>
          <w:color w:val="auto"/>
        </w:rPr>
      </w:pPr>
    </w:p>
    <w:p>
      <w:pPr>
        <w:ind w:left="180" w:right="100"/>
        <w:spacing w:after="0" w:line="275" w:lineRule="auto"/>
        <w:rPr>
          <w:sz w:val="20"/>
          <w:szCs w:val="20"/>
          <w:color w:val="auto"/>
        </w:rPr>
      </w:pPr>
      <w:r>
        <w:rPr>
          <w:rFonts w:ascii="Arial" w:cs="Arial" w:eastAsia="Arial" w:hAnsi="Arial"/>
          <w:sz w:val="18"/>
          <w:szCs w:val="18"/>
          <w:color w:val="auto"/>
        </w:rPr>
        <w:t>Development in the Company’s share capital and treasury shares reserves are described in the following sections. Other equity reserves are described in Note 2 “Summary of Significant Accounting Policies”.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Capital</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share capital of Ascendis Pharma A/S consists of 56,937,682 fully paid shares at a nominal value of DKK 1, all in the same share class.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outstanding shares of the Company are as follows: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11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1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95"/>
        </w:trPr>
        <w:tc>
          <w:tcPr>
            <w:tcW w:w="56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Changes in share capital</w:t>
            </w: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5"/>
        </w:trPr>
        <w:tc>
          <w:tcPr>
            <w:tcW w:w="5620" w:type="dxa"/>
            <w:vAlign w:val="bottom"/>
          </w:tcPr>
          <w:p>
            <w:pPr>
              <w:spacing w:after="0"/>
              <w:rPr>
                <w:sz w:val="20"/>
                <w:szCs w:val="20"/>
                <w:color w:val="auto"/>
              </w:rPr>
            </w:pPr>
            <w:r>
              <w:rPr>
                <w:rFonts w:ascii="Arial" w:cs="Arial" w:eastAsia="Arial" w:hAnsi="Arial"/>
                <w:sz w:val="18"/>
                <w:szCs w:val="18"/>
                <w:color w:val="auto"/>
              </w:rPr>
              <w:t>At January 1</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53,750,386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47,985,837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42,135,448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36,984,292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32,421,121</w:t>
            </w:r>
          </w:p>
        </w:tc>
        <w:tc>
          <w:tcPr>
            <w:tcW w:w="120" w:type="dxa"/>
            <w:vAlign w:val="bottom"/>
          </w:tcPr>
          <w:p>
            <w:pPr>
              <w:spacing w:after="0"/>
              <w:rPr>
                <w:sz w:val="18"/>
                <w:szCs w:val="18"/>
                <w:color w:val="auto"/>
              </w:rPr>
            </w:pPr>
          </w:p>
        </w:tc>
      </w:tr>
      <w:tr>
        <w:trPr>
          <w:trHeight w:val="215"/>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through cash contributions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3,187,296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5,764,549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5,850,389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5,151,156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4,563,171</w:t>
            </w:r>
          </w:p>
        </w:tc>
        <w:tc>
          <w:tcPr>
            <w:tcW w:w="120" w:type="dxa"/>
            <w:vAlign w:val="bottom"/>
            <w:shd w:val="clear" w:color="auto" w:fill="CCEEFF"/>
          </w:tcPr>
          <w:p>
            <w:pPr>
              <w:spacing w:after="0"/>
              <w:rPr>
                <w:sz w:val="18"/>
                <w:szCs w:val="18"/>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b w:val="1"/>
                <w:bCs w:val="1"/>
                <w:color w:val="auto"/>
              </w:rPr>
              <w:t>At December 31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56,937,682</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53,750,386</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47,985,837</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42,135,448</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36,984,292</w:t>
            </w:r>
          </w:p>
        </w:tc>
        <w:tc>
          <w:tcPr>
            <w:tcW w:w="12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Treasury Shares Reserve</w:t>
      </w:r>
    </w:p>
    <w:p>
      <w:pPr>
        <w:spacing w:after="0" w:line="116" w:lineRule="exact"/>
        <w:rPr>
          <w:sz w:val="20"/>
          <w:szCs w:val="20"/>
          <w:color w:val="auto"/>
        </w:rPr>
      </w:pPr>
    </w:p>
    <w:p>
      <w:pPr>
        <w:jc w:val="both"/>
        <w:ind w:left="180" w:right="180"/>
        <w:spacing w:after="0" w:line="274" w:lineRule="auto"/>
        <w:rPr>
          <w:sz w:val="20"/>
          <w:szCs w:val="20"/>
          <w:color w:val="auto"/>
        </w:rPr>
      </w:pPr>
      <w:r>
        <w:rPr>
          <w:rFonts w:ascii="Arial" w:cs="Arial" w:eastAsia="Arial" w:hAnsi="Arial"/>
          <w:sz w:val="17"/>
          <w:szCs w:val="17"/>
          <w:color w:val="auto"/>
        </w:rPr>
        <w:t>On September 29, 2021, the Company’s Board of Directors authorized the Company to repurchase up to $25 million of the Company’s ADSs, each of which represents one ordinary share of Ascendis Pharma A/S (the “Share Repurchase Program”). The program was executed under Rules 10b-18 and 10b5-1 of the U.S. securities regulations. The purpose of the Share Repurchase Program allowed the Company to acquire ADSs needed in connection with the Company’s RSU Program, without any obligation to acquire any particular amount of ADSs. The Company’s Share Repurchase Program was funded through existing cash deposits and ended on November 9, 2021.</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280" w:top="485"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holding of treasury shares are as follows:</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Holding in</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Nominal</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Holding</w:t>
            </w:r>
          </w:p>
        </w:tc>
        <w:tc>
          <w:tcPr>
            <w:tcW w:w="240" w:type="dxa"/>
            <w:vAlign w:val="bottom"/>
          </w:tcPr>
          <w:p>
            <w:pPr>
              <w:spacing w:after="0"/>
              <w:rPr>
                <w:sz w:val="12"/>
                <w:szCs w:val="12"/>
                <w:color w:val="auto"/>
              </w:rPr>
            </w:pPr>
          </w:p>
        </w:tc>
        <w:tc>
          <w:tcPr>
            <w:tcW w:w="10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2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6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(EUR’000)</w:t>
            </w:r>
          </w:p>
        </w:tc>
        <w:tc>
          <w:tcPr>
            <w:tcW w:w="240" w:type="dxa"/>
            <w:vAlign w:val="bottom"/>
          </w:tcPr>
          <w:p>
            <w:pPr>
              <w:spacing w:after="0"/>
              <w:rPr>
                <w:sz w:val="15"/>
                <w:szCs w:val="15"/>
                <w:color w:val="auto"/>
              </w:rPr>
            </w:pPr>
          </w:p>
        </w:tc>
        <w:tc>
          <w:tcPr>
            <w:tcW w:w="2060" w:type="dxa"/>
            <w:vAlign w:val="bottom"/>
            <w:gridSpan w:val="3"/>
          </w:tcPr>
          <w:p>
            <w:pPr>
              <w:ind w:left="7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Treasury shares</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60" w:type="dxa"/>
            <w:vAlign w:val="bottom"/>
          </w:tcPr>
          <w:p>
            <w:pPr>
              <w:spacing w:after="0"/>
              <w:rPr>
                <w:sz w:val="20"/>
                <w:szCs w:val="20"/>
                <w:color w:val="auto"/>
              </w:rPr>
            </w:pPr>
            <w:r>
              <w:rPr>
                <w:rFonts w:ascii="Arial" w:cs="Arial" w:eastAsia="Arial" w:hAnsi="Arial"/>
                <w:sz w:val="18"/>
                <w:szCs w:val="18"/>
                <w:color w:val="auto"/>
              </w:rPr>
              <w:t>At January 1, 2021</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center"/>
              <w:ind w:left="34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Acquired from third-parties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154,837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34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b w:val="1"/>
                <w:bCs w:val="1"/>
                <w:color w:val="auto"/>
              </w:rPr>
              <w:t>At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154,837</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ind w:left="421"/>
              <w:spacing w:after="0"/>
              <w:rPr>
                <w:sz w:val="20"/>
                <w:szCs w:val="20"/>
                <w:color w:val="auto"/>
              </w:rPr>
            </w:pPr>
            <w:r>
              <w:rPr>
                <w:rFonts w:ascii="Arial" w:cs="Arial" w:eastAsia="Arial" w:hAnsi="Arial"/>
                <w:sz w:val="18"/>
                <w:szCs w:val="18"/>
                <w:b w:val="1"/>
                <w:bCs w:val="1"/>
                <w:color w:val="auto"/>
                <w:w w:val="97"/>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Financial Risk Management Objectives</w:t>
      </w:r>
    </w:p>
    <w:p>
      <w:pPr>
        <w:spacing w:after="0" w:line="116" w:lineRule="exact"/>
        <w:rPr>
          <w:sz w:val="20"/>
          <w:szCs w:val="20"/>
          <w:color w:val="auto"/>
        </w:rPr>
      </w:pPr>
    </w:p>
    <w:p>
      <w:pPr>
        <w:ind w:left="140" w:right="240"/>
        <w:spacing w:after="0" w:line="340" w:lineRule="auto"/>
        <w:rPr>
          <w:sz w:val="20"/>
          <w:szCs w:val="20"/>
          <w:color w:val="auto"/>
        </w:rPr>
      </w:pPr>
      <w:r>
        <w:rPr>
          <w:rFonts w:ascii="Arial" w:cs="Arial" w:eastAsia="Arial" w:hAnsi="Arial"/>
          <w:sz w:val="16"/>
          <w:szCs w:val="16"/>
          <w:color w:val="auto"/>
        </w:rPr>
        <w:t>The Company regularly monitors the access to domestic and international financial markets, manages the financial risks relating to its operations, and analyze exposures to risk, including market risk, such as foreign currency risk and interest rate risk, credit risk and liquidity risk.</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Company’s financial risk exposure and risk management policies are described in the following sections.</w:t>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Market Risk</w:t>
      </w:r>
    </w:p>
    <w:p>
      <w:pPr>
        <w:spacing w:after="0" w:line="116" w:lineRule="exact"/>
        <w:rPr>
          <w:sz w:val="20"/>
          <w:szCs w:val="20"/>
          <w:color w:val="auto"/>
        </w:rPr>
      </w:pPr>
    </w:p>
    <w:p>
      <w:pPr>
        <w:ind w:left="140" w:right="120"/>
        <w:spacing w:after="0" w:line="275" w:lineRule="auto"/>
        <w:rPr>
          <w:sz w:val="20"/>
          <w:szCs w:val="20"/>
          <w:color w:val="auto"/>
        </w:rPr>
      </w:pPr>
      <w:r>
        <w:rPr>
          <w:rFonts w:ascii="Arial" w:cs="Arial" w:eastAsia="Arial" w:hAnsi="Arial"/>
          <w:sz w:val="18"/>
          <w:szCs w:val="18"/>
          <w:color w:val="auto"/>
        </w:rPr>
        <w:t>The Company’s activities expose the group enterprises to the financial risks of changes in foreign currency exchange rates and interest rates. Derivative financial instruments are not applied to manage exposure to such risks.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116" w:lineRule="exact"/>
        <w:rPr>
          <w:sz w:val="20"/>
          <w:szCs w:val="20"/>
          <w:color w:val="auto"/>
        </w:rPr>
      </w:pPr>
    </w:p>
    <w:p>
      <w:pPr>
        <w:ind w:left="140" w:right="260"/>
        <w:spacing w:after="0" w:line="262" w:lineRule="auto"/>
        <w:rPr>
          <w:sz w:val="20"/>
          <w:szCs w:val="20"/>
          <w:color w:val="auto"/>
        </w:rPr>
      </w:pPr>
      <w:r>
        <w:rPr>
          <w:rFonts w:ascii="Arial" w:cs="Arial" w:eastAsia="Arial" w:hAnsi="Arial"/>
          <w:sz w:val="18"/>
          <w:szCs w:val="18"/>
          <w:color w:val="auto"/>
        </w:rPr>
        <w:t>The Company is exposed to foreign currency exchange risks arising from various currency exposures, primarily with respect to the U.S. Dollar (“USD”), the British Pound (“GBP”) and the Danish Krone (“DKK”). There is an official target zone of 4.50% between DKK and EUR, which limits the likelihood of significant fluctuations between those two currencies in a short timeframe.</w:t>
      </w:r>
    </w:p>
    <w:p>
      <w:pPr>
        <w:spacing w:after="0" w:line="183" w:lineRule="exact"/>
        <w:rPr>
          <w:sz w:val="20"/>
          <w:szCs w:val="20"/>
          <w:color w:val="auto"/>
        </w:rPr>
      </w:pPr>
    </w:p>
    <w:p>
      <w:pPr>
        <w:ind w:left="140" w:right="380"/>
        <w:spacing w:after="0" w:line="285" w:lineRule="auto"/>
        <w:rPr>
          <w:sz w:val="20"/>
          <w:szCs w:val="20"/>
          <w:color w:val="auto"/>
        </w:rPr>
      </w:pPr>
      <w:r>
        <w:rPr>
          <w:rFonts w:ascii="Arial" w:cs="Arial" w:eastAsia="Arial" w:hAnsi="Arial"/>
          <w:sz w:val="17"/>
          <w:szCs w:val="17"/>
          <w:color w:val="auto"/>
        </w:rPr>
        <w:t>Foreign currency exchange risks are unchanged to prior year, and primarily relate to purchases in foreign currencies, and cash, cash equivalents and marketable securities, denominated in USD. The exposure from foreign currency exchange risks is managed by maintaining cash positions in the currencies in which the majority of future expenses are denominated, and payments are made from those reserves.</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Foreign Currency Sensitivity Analysis</w:t>
      </w:r>
    </w:p>
    <w:p>
      <w:pPr>
        <w:spacing w:after="0" w:line="116" w:lineRule="exact"/>
        <w:rPr>
          <w:sz w:val="20"/>
          <w:szCs w:val="20"/>
          <w:color w:val="auto"/>
        </w:rPr>
      </w:pPr>
    </w:p>
    <w:p>
      <w:pPr>
        <w:ind w:left="140" w:right="260"/>
        <w:spacing w:after="0" w:line="258" w:lineRule="auto"/>
        <w:rPr>
          <w:sz w:val="20"/>
          <w:szCs w:val="20"/>
          <w:color w:val="auto"/>
        </w:rPr>
      </w:pPr>
      <w:r>
        <w:rPr>
          <w:rFonts w:ascii="Arial" w:cs="Arial" w:eastAsia="Arial" w:hAnsi="Arial"/>
          <w:sz w:val="18"/>
          <w:szCs w:val="18"/>
          <w:color w:val="auto"/>
        </w:rPr>
        <w:t>The following table details how a strengthening of the USD and the GBP would impact profit and loss and equity before tax at the reporting date. A similar weakening of the USD and the GBP would have the opposite effect with similar amounts. A positive number indicates an increase in profit or loss and equity before tax, while a negative number indicates the opposite. The sensitivity analysis is deemed representative of the inherent foreign currency exchange risk associated with the operations.</w:t>
      </w:r>
    </w:p>
    <w:p>
      <w:pPr>
        <w:spacing w:after="0" w:line="19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Hypothetical impact on consolidated</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financial statements</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Increase in</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Nominal</w:t>
            </w: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foreign</w:t>
            </w:r>
          </w:p>
        </w:tc>
        <w:tc>
          <w:tcPr>
            <w:tcW w:w="22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Profit and</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positions</w:t>
            </w: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exchange</w:t>
            </w:r>
          </w:p>
        </w:tc>
        <w:tc>
          <w:tcPr>
            <w:tcW w:w="220" w:type="dxa"/>
            <w:vAlign w:val="bottom"/>
          </w:tcPr>
          <w:p>
            <w:pPr>
              <w:spacing w:after="0"/>
              <w:rPr>
                <w:sz w:val="12"/>
                <w:szCs w:val="12"/>
                <w:color w:val="auto"/>
              </w:rPr>
            </w:pP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78"/>
              </w:rPr>
              <w:t>loss</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(net)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before tax</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(EUR ‘000)</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3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USD/EUR</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549,243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54,924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GBP/EUR</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3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USD/EUR</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797,927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79,793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GBP/EUR</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1,555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3380" w:type="dxa"/>
            <w:vAlign w:val="bottom"/>
          </w:tcPr>
          <w:p>
            <w:pPr>
              <w:spacing w:after="0"/>
              <w:rPr>
                <w:sz w:val="24"/>
                <w:szCs w:val="24"/>
                <w:color w:val="auto"/>
              </w:rPr>
            </w:pPr>
          </w:p>
        </w:tc>
        <w:tc>
          <w:tcPr>
            <w:tcW w:w="4380" w:type="dxa"/>
            <w:vAlign w:val="bottom"/>
            <w:gridSpan w:val="3"/>
          </w:tcPr>
          <w:p>
            <w:pPr>
              <w:ind w:left="1940"/>
              <w:spacing w:after="0"/>
              <w:rPr>
                <w:sz w:val="20"/>
                <w:szCs w:val="20"/>
                <w:color w:val="auto"/>
              </w:rPr>
            </w:pPr>
            <w:r>
              <w:rPr>
                <w:rFonts w:ascii="Arial" w:cs="Arial" w:eastAsia="Arial" w:hAnsi="Arial"/>
                <w:sz w:val="18"/>
                <w:szCs w:val="18"/>
                <w:color w:val="auto"/>
              </w:rPr>
              <w:t>F-35</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16" w:lineRule="exact"/>
        <w:rPr>
          <w:sz w:val="20"/>
          <w:szCs w:val="20"/>
          <w:color w:val="auto"/>
        </w:rPr>
      </w:pPr>
    </w:p>
    <w:p>
      <w:pPr>
        <w:ind w:left="180" w:right="80"/>
        <w:spacing w:after="0" w:line="310" w:lineRule="auto"/>
        <w:rPr>
          <w:sz w:val="20"/>
          <w:szCs w:val="20"/>
          <w:color w:val="auto"/>
        </w:rPr>
      </w:pPr>
      <w:r>
        <w:rPr>
          <w:rFonts w:ascii="Arial" w:cs="Arial" w:eastAsia="Arial" w:hAnsi="Arial"/>
          <w:sz w:val="16"/>
          <w:szCs w:val="16"/>
          <w:color w:val="auto"/>
        </w:rPr>
        <w:t>The Company has no interest-bearing debt to third parties. In addition, since the Company holds no derivatives or financial assets and liabilities measured at fair value, the exposure to interest rate risk primarily relates to the interest rates for cash, cash equivalents and marketable securities. Future interest income from interest-bearing bank deposits and marketable securities may fall short of expectations due to changes in interest rates.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Rate structure of marketable securities are specified below:</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920" w:type="dxa"/>
            <w:vAlign w:val="bottom"/>
          </w:tcPr>
          <w:p>
            <w:pPr>
              <w:jc w:val="right"/>
              <w:ind w:right="99"/>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0"/>
                <w:szCs w:val="10"/>
                <w:color w:val="auto"/>
              </w:rPr>
            </w:pPr>
          </w:p>
        </w:tc>
        <w:tc>
          <w:tcPr>
            <w:tcW w:w="9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0"/>
                <w:szCs w:val="10"/>
                <w:color w:val="auto"/>
              </w:rPr>
            </w:pPr>
          </w:p>
        </w:tc>
        <w:tc>
          <w:tcPr>
            <w:tcW w:w="920" w:type="dxa"/>
            <w:vAlign w:val="bottom"/>
          </w:tcPr>
          <w:p>
            <w:pPr>
              <w:jc w:val="right"/>
              <w:ind w:right="105"/>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0"/>
                <w:szCs w:val="10"/>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3"/>
          </w:tcPr>
          <w:p>
            <w:pPr>
              <w:jc w:val="right"/>
              <w:ind w:right="645"/>
              <w:spacing w:after="0"/>
              <w:rPr>
                <w:sz w:val="20"/>
                <w:szCs w:val="20"/>
                <w:color w:val="auto"/>
              </w:rPr>
            </w:pPr>
            <w:r>
              <w:rPr>
                <w:rFonts w:ascii="Arial" w:cs="Arial" w:eastAsia="Arial" w:hAnsi="Arial"/>
                <w:sz w:val="14"/>
                <w:szCs w:val="14"/>
                <w:b w:val="1"/>
                <w:bCs w:val="1"/>
                <w:color w:val="auto"/>
              </w:rPr>
              <w:t>(EUR’000)</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 specified by rate structure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Fixed rate</w:t>
            </w:r>
          </w:p>
        </w:tc>
        <w:tc>
          <w:tcPr>
            <w:tcW w:w="920" w:type="dxa"/>
            <w:vAlign w:val="bottom"/>
          </w:tcPr>
          <w:p>
            <w:pPr>
              <w:jc w:val="right"/>
              <w:spacing w:after="0"/>
              <w:rPr>
                <w:sz w:val="20"/>
                <w:szCs w:val="20"/>
                <w:color w:val="auto"/>
              </w:rPr>
            </w:pPr>
            <w:r>
              <w:rPr>
                <w:rFonts w:ascii="Arial" w:cs="Arial" w:eastAsia="Arial" w:hAnsi="Arial"/>
                <w:sz w:val="18"/>
                <w:szCs w:val="18"/>
                <w:color w:val="auto"/>
              </w:rPr>
              <w:t>323,176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322,556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175,757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175,732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Floating rate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Zero-coupon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56,826</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343,358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342,731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249,558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249,530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80" w:right="580"/>
        <w:spacing w:after="0" w:line="275" w:lineRule="auto"/>
        <w:rPr>
          <w:sz w:val="20"/>
          <w:szCs w:val="20"/>
          <w:color w:val="auto"/>
        </w:rPr>
      </w:pPr>
      <w:r>
        <w:rPr>
          <w:rFonts w:ascii="Arial" w:cs="Arial" w:eastAsia="Arial" w:hAnsi="Arial"/>
          <w:sz w:val="18"/>
          <w:szCs w:val="18"/>
          <w:color w:val="auto"/>
        </w:rPr>
        <w:t>The effects of interest rate fluctuations are not considered a material risk to the Company’s financial position. Accordingly, no interest sensitivity analysis has been presented.</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116" w:lineRule="exact"/>
        <w:rPr>
          <w:sz w:val="20"/>
          <w:szCs w:val="20"/>
          <w:color w:val="auto"/>
        </w:rPr>
      </w:pPr>
    </w:p>
    <w:p>
      <w:pPr>
        <w:ind w:left="180" w:right="340"/>
        <w:spacing w:after="0" w:line="310" w:lineRule="auto"/>
        <w:rPr>
          <w:sz w:val="20"/>
          <w:szCs w:val="20"/>
          <w:color w:val="auto"/>
        </w:rPr>
      </w:pPr>
      <w:r>
        <w:rPr>
          <w:rFonts w:ascii="Arial" w:cs="Arial" w:eastAsia="Arial" w:hAnsi="Arial"/>
          <w:sz w:val="16"/>
          <w:szCs w:val="16"/>
          <w:color w:val="auto"/>
        </w:rPr>
        <w:t>The Company has adopted an investment policy with the primary purpose of preserving capital, fulfilling liquidity needs and diversifying the risks associated with cash, cash equivalents and marketable securities. This investment policy establishes minimum ratings for institutions with which the Company holds cash, cash equivalents and marketable securities, as well as rating and concentration limits for marketable securities held.</w:t>
      </w:r>
    </w:p>
    <w:p>
      <w:pPr>
        <w:spacing w:after="0" w:line="148"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color w:val="auto"/>
        </w:rPr>
        <w:t>All material counterparties are considered creditworthy. While the concentration of credit risk may be significant, the credit risk for each individual counterpart is considered to be low. The exposure to credit risk primarily relates to cash, cash equivalents, and marketable securities. The credit risk on bank deposits is limited because the counterparties, holding significant deposits, are banks with high credit-ratings (minimum A3/A-) assigned by international credit-rating agencies. The banks are reviewed on a regular basis and deposits may be transferred during the year to mitigate credit risk. In order to mitigate the concentration of credit risks on bank deposits and to preserve capital, a portion of the bank deposits have been placed into primarily U.S. government bonds, treasury bills, corporate bonds, and commercial papers. The Company’s investment policy, approved by the Board of Directors, only allows investment in marketable securities having investment grade credit-ratings, assigned by international credit-rating agencies. Accordingly, the risk from probability of default is low. On each reporting date, the Company considers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Marketable securities specified by investment grade credit rating are specified below:</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86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0"/>
                <w:szCs w:val="10"/>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0"/>
                <w:szCs w:val="10"/>
                <w:color w:val="auto"/>
              </w:rPr>
            </w:pPr>
          </w:p>
        </w:tc>
        <w:tc>
          <w:tcPr>
            <w:tcW w:w="88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(EUR’000)</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 specified by investment grade credit rating</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spacing w:after="0"/>
              <w:rPr>
                <w:sz w:val="20"/>
                <w:szCs w:val="20"/>
                <w:color w:val="auto"/>
              </w:rPr>
            </w:pPr>
            <w:r>
              <w:rPr>
                <w:rFonts w:ascii="Arial" w:cs="Arial" w:eastAsia="Arial" w:hAnsi="Arial"/>
                <w:sz w:val="18"/>
                <w:szCs w:val="18"/>
                <w:color w:val="auto"/>
              </w:rPr>
              <w:t>Prime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High grade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spacing w:after="0"/>
              <w:rPr>
                <w:sz w:val="20"/>
                <w:szCs w:val="20"/>
                <w:color w:val="auto"/>
              </w:rPr>
            </w:pPr>
            <w:r>
              <w:rPr>
                <w:rFonts w:ascii="Arial" w:cs="Arial" w:eastAsia="Arial" w:hAnsi="Arial"/>
                <w:sz w:val="18"/>
                <w:szCs w:val="18"/>
                <w:color w:val="auto"/>
              </w:rPr>
              <w:t>Upper medium grade</w:t>
            </w:r>
          </w:p>
        </w:tc>
        <w:tc>
          <w:tcPr>
            <w:tcW w:w="860" w:type="dxa"/>
            <w:vAlign w:val="bottom"/>
          </w:tcPr>
          <w:p>
            <w:pPr>
              <w:jc w:val="right"/>
              <w:spacing w:after="0"/>
              <w:rPr>
                <w:sz w:val="20"/>
                <w:szCs w:val="20"/>
                <w:color w:val="auto"/>
              </w:rPr>
            </w:pPr>
            <w:r>
              <w:rPr>
                <w:rFonts w:ascii="Arial" w:cs="Arial" w:eastAsia="Arial" w:hAnsi="Arial"/>
                <w:sz w:val="18"/>
                <w:szCs w:val="18"/>
                <w:color w:val="auto"/>
              </w:rPr>
              <w:t>196,909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196,566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99,503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Lower medium grade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343,358</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342,731</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249,558</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80" w:right="160"/>
        <w:spacing w:after="0" w:line="275" w:lineRule="auto"/>
        <w:rPr>
          <w:sz w:val="20"/>
          <w:szCs w:val="20"/>
          <w:color w:val="auto"/>
        </w:rPr>
      </w:pPr>
      <w:r>
        <w:rPr>
          <w:rFonts w:ascii="Arial" w:cs="Arial" w:eastAsia="Arial" w:hAnsi="Arial"/>
          <w:sz w:val="18"/>
          <w:szCs w:val="18"/>
          <w:color w:val="auto"/>
        </w:rPr>
        <w:t>At the reporting dates, there are no significant overdue trade receivable balances. As a result, write-down to accommodate expected credit-losses is not deemed material.</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60"/>
          </w:cols>
          <w:pgMar w:left="280" w:top="485"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Liquidity Risk Management</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Historically, the risk of insufficient funds has been addressed through proceeds from sale of the Company’s securities in private and public offerings.</w:t>
      </w:r>
    </w:p>
    <w:p>
      <w:pPr>
        <w:spacing w:after="0" w:line="246" w:lineRule="exact"/>
        <w:rPr>
          <w:sz w:val="20"/>
          <w:szCs w:val="20"/>
          <w:color w:val="auto"/>
        </w:rPr>
      </w:pPr>
    </w:p>
    <w:p>
      <w:pPr>
        <w:ind w:left="140" w:right="60"/>
        <w:spacing w:after="0" w:line="262" w:lineRule="auto"/>
        <w:rPr>
          <w:sz w:val="20"/>
          <w:szCs w:val="20"/>
          <w:color w:val="auto"/>
        </w:rPr>
      </w:pPr>
      <w:r>
        <w:rPr>
          <w:rFonts w:ascii="Arial" w:cs="Arial" w:eastAsia="Arial" w:hAnsi="Arial"/>
          <w:sz w:val="18"/>
          <w:szCs w:val="18"/>
          <w:color w:val="auto"/>
        </w:rPr>
        <w:t>Liquidity risk is managed by maintaining adequate cash reserves and banking facilities, and by matching the maturity profiles of marketable securities with cash-forecasts. The risk of shortage of funds is monitored, using a liquidity planning tool, to ensure sufficient funds are available to settle liabilities as they fall due.</w:t>
      </w:r>
    </w:p>
    <w:p>
      <w:pPr>
        <w:spacing w:after="0" w:line="183" w:lineRule="exact"/>
        <w:rPr>
          <w:sz w:val="20"/>
          <w:szCs w:val="20"/>
          <w:color w:val="auto"/>
        </w:rPr>
      </w:pPr>
    </w:p>
    <w:p>
      <w:pPr>
        <w:ind w:left="140" w:right="820"/>
        <w:spacing w:after="0" w:line="275" w:lineRule="auto"/>
        <w:rPr>
          <w:sz w:val="20"/>
          <w:szCs w:val="20"/>
          <w:color w:val="auto"/>
        </w:rPr>
      </w:pPr>
      <w:r>
        <w:rPr>
          <w:rFonts w:ascii="Arial" w:cs="Arial" w:eastAsia="Arial" w:hAnsi="Arial"/>
          <w:sz w:val="18"/>
          <w:szCs w:val="18"/>
          <w:color w:val="auto"/>
        </w:rPr>
        <w:t>Besides marketable securities and deposits, the Company’s financial assets are recoverable within twelve months after the reporting date. The composition of the marketable securities portfolio and its fair values are specified in the following table.</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338"/>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86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0"/>
                <w:szCs w:val="10"/>
                <w:color w:val="auto"/>
              </w:rPr>
            </w:pPr>
          </w:p>
        </w:tc>
        <w:tc>
          <w:tcPr>
            <w:tcW w:w="88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0"/>
                <w:szCs w:val="10"/>
                <w:color w:val="auto"/>
              </w:rPr>
            </w:pPr>
          </w:p>
        </w:tc>
        <w:tc>
          <w:tcPr>
            <w:tcW w:w="88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c>
          <w:tcPr>
            <w:tcW w:w="8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(EUR’000)</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 specified by security type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U.S. Treasury bills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46,243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bonds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Commercial papers</w:t>
            </w:r>
          </w:p>
        </w:tc>
        <w:tc>
          <w:tcPr>
            <w:tcW w:w="860" w:type="dxa"/>
            <w:vAlign w:val="bottom"/>
          </w:tcPr>
          <w:p>
            <w:pPr>
              <w:jc w:val="right"/>
              <w:spacing w:after="0"/>
              <w:rPr>
                <w:sz w:val="20"/>
                <w:szCs w:val="20"/>
                <w:color w:val="auto"/>
              </w:rPr>
            </w:pPr>
            <w:r>
              <w:rPr>
                <w:rFonts w:ascii="Arial" w:cs="Arial" w:eastAsia="Arial" w:hAnsi="Arial"/>
                <w:sz w:val="18"/>
                <w:szCs w:val="18"/>
                <w:color w:val="auto"/>
              </w:rPr>
              <w:t>2,207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121,282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Agency bonds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18,972</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18,934</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9,362</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343,358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342,731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249,558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249,530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Classified based on maturity profiles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235,797</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235,556</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134,278</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343,358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342,731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249,558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249,530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40" w:right="300"/>
        <w:spacing w:after="0" w:line="275" w:lineRule="auto"/>
        <w:rPr>
          <w:sz w:val="20"/>
          <w:szCs w:val="20"/>
          <w:color w:val="auto"/>
        </w:rPr>
      </w:pPr>
      <w:r>
        <w:rPr>
          <w:rFonts w:ascii="Arial" w:cs="Arial" w:eastAsia="Arial" w:hAnsi="Arial"/>
          <w:sz w:val="18"/>
          <w:szCs w:val="18"/>
          <w:color w:val="auto"/>
        </w:rPr>
        <w:t>Fair values are based on quoted market prices or for marketable securities with short-term and infrequent market trades on mathematical calculations applying observable inputs (Level 1 or 2 in the fair value hierarchy).</w:t>
      </w:r>
    </w:p>
    <w:p>
      <w:pPr>
        <w:spacing w:after="0" w:line="171" w:lineRule="exact"/>
        <w:rPr>
          <w:sz w:val="20"/>
          <w:szCs w:val="20"/>
          <w:color w:val="auto"/>
        </w:rPr>
      </w:pPr>
    </w:p>
    <w:p>
      <w:pPr>
        <w:ind w:left="140" w:right="20"/>
        <w:spacing w:after="0" w:line="262" w:lineRule="auto"/>
        <w:rPr>
          <w:sz w:val="20"/>
          <w:szCs w:val="20"/>
          <w:color w:val="auto"/>
        </w:rPr>
      </w:pPr>
      <w:r>
        <w:rPr>
          <w:rFonts w:ascii="Arial" w:cs="Arial" w:eastAsia="Arial" w:hAnsi="Arial"/>
          <w:sz w:val="18"/>
          <w:szCs w:val="18"/>
          <w:color w:val="auto"/>
        </w:rPr>
        <w:t>Marketable securities have a weighted average duration of 5.8 and 16.7 months, for current (i.e., those maturing within twelve months after the reporting date) and non-current positions, respectively. The entire portfolio of marketable securities (current and non-current) has a weighted average duration of 9.2 months.</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Maturity analysis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Maturity analysis for financial liabilities recognized in the consolidated statements of financial position are specified below.</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&lt; 1 year</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1-5 years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&gt;5 years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cash-flows</w:t>
            </w:r>
          </w:p>
        </w:tc>
        <w:tc>
          <w:tcPr>
            <w:tcW w:w="2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(EUR’000)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Lease liabilities</w:t>
            </w: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7,098</w:t>
            </w:r>
          </w:p>
        </w:tc>
        <w:tc>
          <w:tcPr>
            <w:tcW w:w="1080" w:type="dxa"/>
            <w:vAlign w:val="bottom"/>
            <w:gridSpan w:val="4"/>
          </w:tcPr>
          <w:p>
            <w:pPr>
              <w:jc w:val="center"/>
              <w:ind w:left="490"/>
              <w:spacing w:after="0"/>
              <w:rPr>
                <w:sz w:val="20"/>
                <w:szCs w:val="20"/>
                <w:color w:val="auto"/>
              </w:rPr>
            </w:pPr>
            <w:r>
              <w:rPr>
                <w:rFonts w:ascii="Arial" w:cs="Arial" w:eastAsia="Arial" w:hAnsi="Arial"/>
                <w:sz w:val="18"/>
                <w:szCs w:val="18"/>
                <w:color w:val="auto"/>
                <w:w w:val="90"/>
              </w:rPr>
              <w:t>51,442</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68,378</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126,918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2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59,417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59,417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66,515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center"/>
              <w:ind w:left="278"/>
              <w:spacing w:after="0"/>
              <w:rPr>
                <w:sz w:val="20"/>
                <w:szCs w:val="20"/>
                <w:color w:val="auto"/>
              </w:rPr>
            </w:pPr>
            <w:r>
              <w:rPr>
                <w:rFonts w:ascii="Arial" w:cs="Arial" w:eastAsia="Arial" w:hAnsi="Arial"/>
                <w:sz w:val="18"/>
                <w:szCs w:val="18"/>
                <w:b w:val="1"/>
                <w:bCs w:val="1"/>
                <w:color w:val="auto"/>
                <w:w w:val="90"/>
              </w:rPr>
              <w:t>51,442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68,378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186,335</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4"/>
                <w:szCs w:val="2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&lt; 1 year</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1-5 years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&gt;5 years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cash-flows</w:t>
            </w:r>
          </w:p>
        </w:tc>
        <w:tc>
          <w:tcPr>
            <w:tcW w:w="2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(EUR’000)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Lease liabilities</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6,974</w:t>
            </w:r>
          </w:p>
        </w:tc>
        <w:tc>
          <w:tcPr>
            <w:tcW w:w="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38,321</w:t>
            </w:r>
          </w:p>
        </w:tc>
        <w:tc>
          <w:tcPr>
            <w:tcW w:w="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68,516</w:t>
            </w:r>
          </w:p>
        </w:tc>
        <w:tc>
          <w:tcPr>
            <w:tcW w:w="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113,811</w:t>
            </w: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91,975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21,897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38"/>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21,897</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15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28,871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38,321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68,516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135,708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2500" w:type="dxa"/>
            <w:vAlign w:val="bottom"/>
            <w:gridSpan w:val="4"/>
          </w:tcPr>
          <w:p>
            <w:pPr>
              <w:jc w:val="right"/>
              <w:ind w:right="840"/>
              <w:spacing w:after="0"/>
              <w:rPr>
                <w:sz w:val="20"/>
                <w:szCs w:val="20"/>
                <w:color w:val="auto"/>
              </w:rPr>
            </w:pPr>
            <w:r>
              <w:rPr>
                <w:rFonts w:ascii="Arial" w:cs="Arial" w:eastAsia="Arial" w:hAnsi="Arial"/>
                <w:sz w:val="18"/>
                <w:szCs w:val="18"/>
                <w:color w:val="auto"/>
              </w:rPr>
              <w:t>F-37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5"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18—Related Party Transactions</w:t>
      </w:r>
    </w:p>
    <w:p>
      <w:pPr>
        <w:spacing w:after="0" w:line="120" w:lineRule="exact"/>
        <w:rPr>
          <w:sz w:val="20"/>
          <w:szCs w:val="20"/>
          <w:color w:val="auto"/>
        </w:rPr>
      </w:pPr>
    </w:p>
    <w:p>
      <w:pPr>
        <w:ind w:left="180" w:right="40"/>
        <w:spacing w:after="0" w:line="310" w:lineRule="auto"/>
        <w:rPr>
          <w:sz w:val="20"/>
          <w:szCs w:val="20"/>
          <w:color w:val="auto"/>
        </w:rPr>
      </w:pPr>
      <w:r>
        <w:rPr>
          <w:rFonts w:ascii="Arial" w:cs="Arial" w:eastAsia="Arial" w:hAnsi="Arial"/>
          <w:sz w:val="16"/>
          <w:szCs w:val="16"/>
          <w:color w:val="auto"/>
        </w:rPr>
        <w:t>The Board of Directors, the Executive Board and Non-executive Senior Management (“Key Management Personnel”) are considered related parties as they have authorities and responsibilities with planning and directing the Company’s operations. Related parties also include undertakings in which such individuals have a controlling or joint controlling interest. Additionally, all group enterprises and associates are considered related parties.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Neither the Company’s related parties or major shareholders hold a controlling, joint controlling, or significant interest in the Group.</w:t>
      </w:r>
    </w:p>
    <w:p>
      <w:pPr>
        <w:spacing w:after="0" w:line="223" w:lineRule="exact"/>
        <w:rPr>
          <w:sz w:val="20"/>
          <w:szCs w:val="20"/>
          <w:color w:val="auto"/>
        </w:rPr>
      </w:pPr>
    </w:p>
    <w:p>
      <w:pPr>
        <w:ind w:left="180" w:right="200"/>
        <w:spacing w:after="0" w:line="258" w:lineRule="auto"/>
        <w:rPr>
          <w:sz w:val="20"/>
          <w:szCs w:val="20"/>
          <w:color w:val="auto"/>
        </w:rPr>
      </w:pPr>
      <w:r>
        <w:rPr>
          <w:rFonts w:ascii="Arial" w:cs="Arial" w:eastAsia="Arial" w:hAnsi="Arial"/>
          <w:sz w:val="18"/>
          <w:szCs w:val="18"/>
          <w:color w:val="auto"/>
        </w:rPr>
        <w:t>The Company has entered into employment agreements with and issued warrants and RSUs to Key Management Personnel. In addition, the Company pays fees for board tenure and board committee tenure to the independent members of the Board of Directors. For further details, refer to Note 7 “Employee Cost”. Indemnification agreements have been entered with members of the Board of Directors, the Executive Board and Non-executive Senior Management.</w:t>
      </w:r>
    </w:p>
    <w:p>
      <w:pPr>
        <w:spacing w:after="0" w:line="186" w:lineRule="exact"/>
        <w:rPr>
          <w:sz w:val="20"/>
          <w:szCs w:val="20"/>
          <w:color w:val="auto"/>
        </w:rPr>
      </w:pPr>
    </w:p>
    <w:p>
      <w:pPr>
        <w:ind w:left="180" w:right="40"/>
        <w:spacing w:after="0" w:line="262" w:lineRule="auto"/>
        <w:rPr>
          <w:sz w:val="20"/>
          <w:szCs w:val="20"/>
          <w:color w:val="auto"/>
        </w:rPr>
      </w:pPr>
      <w:r>
        <w:rPr>
          <w:rFonts w:ascii="Arial" w:cs="Arial" w:eastAsia="Arial" w:hAnsi="Arial"/>
          <w:sz w:val="18"/>
          <w:szCs w:val="18"/>
          <w:color w:val="auto"/>
        </w:rPr>
        <w:t>Transactions between the parent company and group enterprises comprise management and license fees, research and development services, and clinical and commercial supplies. These transactions have been eliminated in the consolidated financial statements. Transactions and outstanding balances with the associate are disclosed in Note 12 “Investment in Associate”.</w:t>
      </w:r>
    </w:p>
    <w:p>
      <w:pPr>
        <w:spacing w:after="0" w:line="183" w:lineRule="exact"/>
        <w:rPr>
          <w:sz w:val="20"/>
          <w:szCs w:val="20"/>
          <w:color w:val="auto"/>
        </w:rPr>
      </w:pPr>
    </w:p>
    <w:p>
      <w:pPr>
        <w:ind w:left="180" w:right="60"/>
        <w:spacing w:after="0" w:line="306" w:lineRule="auto"/>
        <w:rPr>
          <w:sz w:val="20"/>
          <w:szCs w:val="20"/>
          <w:color w:val="auto"/>
        </w:rPr>
      </w:pPr>
      <w:r>
        <w:rPr>
          <w:rFonts w:ascii="Arial" w:cs="Arial" w:eastAsia="Arial" w:hAnsi="Arial"/>
          <w:sz w:val="17"/>
          <w:szCs w:val="17"/>
          <w:color w:val="auto"/>
        </w:rPr>
        <w:t>In addition, the parent company Ascendis Pharma A/S is jointly taxed with its Danish subsidiaries, where the current Danish corporation tax is allocated between the jointly taxed Danish companies. For further details, refer to Note 9 “Tax on Profit/(Loss) for the Year and Deferred Tax”.</w:t>
      </w:r>
    </w:p>
    <w:p>
      <w:pPr>
        <w:spacing w:after="0" w:line="147" w:lineRule="exact"/>
        <w:rPr>
          <w:sz w:val="20"/>
          <w:szCs w:val="20"/>
          <w:color w:val="auto"/>
        </w:rPr>
      </w:pPr>
    </w:p>
    <w:p>
      <w:pPr>
        <w:ind w:left="180" w:right="580"/>
        <w:spacing w:after="0" w:line="275" w:lineRule="auto"/>
        <w:rPr>
          <w:sz w:val="20"/>
          <w:szCs w:val="20"/>
          <w:color w:val="auto"/>
        </w:rPr>
      </w:pPr>
      <w:r>
        <w:rPr>
          <w:rFonts w:ascii="Arial" w:cs="Arial" w:eastAsia="Arial" w:hAnsi="Arial"/>
          <w:sz w:val="18"/>
          <w:szCs w:val="18"/>
          <w:color w:val="auto"/>
        </w:rPr>
        <w:t>Except for the information disclosed above, the Company has not undertaken any significant transactions with members of the Key Management Personnel, or undertakings in which the identified related parties have a controlling or joint controlling interest.</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19—Investments in Group Enterprises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Ascendis Pharma A/S’s (parent company) investments in group enterprises at December 31, 2021, comprise:</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3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ind w:left="260"/>
              <w:spacing w:after="0"/>
              <w:rPr>
                <w:sz w:val="20"/>
                <w:szCs w:val="20"/>
                <w:color w:val="auto"/>
              </w:rPr>
            </w:pPr>
            <w:r>
              <w:rPr>
                <w:rFonts w:ascii="Arial" w:cs="Arial" w:eastAsia="Arial" w:hAnsi="Arial"/>
                <w:sz w:val="14"/>
                <w:szCs w:val="14"/>
                <w:b w:val="1"/>
                <w:bCs w:val="1"/>
                <w:color w:val="auto"/>
              </w:rPr>
              <w:t>Domicile</w:t>
            </w:r>
          </w:p>
        </w:tc>
        <w:tc>
          <w:tcPr>
            <w:tcW w:w="1580" w:type="dxa"/>
            <w:vAlign w:val="bottom"/>
            <w:gridSpan w:val="3"/>
          </w:tcPr>
          <w:p>
            <w:pPr>
              <w:ind w:left="840"/>
              <w:spacing w:after="0"/>
              <w:rPr>
                <w:sz w:val="20"/>
                <w:szCs w:val="20"/>
                <w:color w:val="auto"/>
              </w:rPr>
            </w:pPr>
            <w:r>
              <w:rPr>
                <w:rFonts w:ascii="Arial" w:cs="Arial" w:eastAsia="Arial" w:hAnsi="Arial"/>
                <w:sz w:val="14"/>
                <w:szCs w:val="14"/>
                <w:b w:val="1"/>
                <w:bCs w:val="1"/>
                <w:color w:val="auto"/>
                <w:w w:val="99"/>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GmbH</w:t>
            </w:r>
          </w:p>
        </w:tc>
        <w:tc>
          <w:tcPr>
            <w:tcW w:w="3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Germany</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Ascendis Pharma, Inc.</w:t>
            </w:r>
          </w:p>
        </w:tc>
        <w:tc>
          <w:tcPr>
            <w:tcW w:w="3100" w:type="dxa"/>
            <w:vAlign w:val="bottom"/>
          </w:tcPr>
          <w:p>
            <w:pPr>
              <w:spacing w:after="0"/>
              <w:rPr>
                <w:sz w:val="18"/>
                <w:szCs w:val="18"/>
                <w:color w:val="auto"/>
              </w:rPr>
            </w:pP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USA</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Endocrinology, Inc.</w:t>
            </w:r>
          </w:p>
        </w:tc>
        <w:tc>
          <w:tcPr>
            <w:tcW w:w="3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USA</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Ascendis Pharma Ophthalmology Division A/S</w:t>
            </w:r>
          </w:p>
        </w:tc>
        <w:tc>
          <w:tcPr>
            <w:tcW w:w="3100" w:type="dxa"/>
            <w:vAlign w:val="bottom"/>
          </w:tcPr>
          <w:p>
            <w:pPr>
              <w:spacing w:after="0"/>
              <w:rPr>
                <w:sz w:val="18"/>
                <w:szCs w:val="18"/>
                <w:color w:val="auto"/>
              </w:rPr>
            </w:pP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Denmark</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Endocrinology Division A/S</w:t>
            </w:r>
          </w:p>
        </w:tc>
        <w:tc>
          <w:tcPr>
            <w:tcW w:w="3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Denmark</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Ascendis Pharma Bone Diseases A/S</w:t>
            </w:r>
          </w:p>
        </w:tc>
        <w:tc>
          <w:tcPr>
            <w:tcW w:w="3100" w:type="dxa"/>
            <w:vAlign w:val="bottom"/>
          </w:tcPr>
          <w:p>
            <w:pPr>
              <w:spacing w:after="0"/>
              <w:rPr>
                <w:sz w:val="18"/>
                <w:szCs w:val="18"/>
                <w:color w:val="auto"/>
              </w:rPr>
            </w:pP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Denmark</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Growth Disorders A/S</w:t>
            </w:r>
          </w:p>
        </w:tc>
        <w:tc>
          <w:tcPr>
            <w:tcW w:w="3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Denmark</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Ascendis Pharma Oncology Division A/S</w:t>
            </w:r>
          </w:p>
        </w:tc>
        <w:tc>
          <w:tcPr>
            <w:tcW w:w="3100" w:type="dxa"/>
            <w:vAlign w:val="bottom"/>
          </w:tcPr>
          <w:p>
            <w:pPr>
              <w:spacing w:after="0"/>
              <w:rPr>
                <w:sz w:val="19"/>
                <w:szCs w:val="19"/>
                <w:color w:val="auto"/>
              </w:rPr>
            </w:pP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Denmark</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Associate</w:t>
            </w:r>
          </w:p>
        </w:tc>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Arial" w:cs="Arial" w:eastAsia="Arial" w:hAnsi="Arial"/>
                <w:sz w:val="14"/>
                <w:szCs w:val="14"/>
                <w:b w:val="1"/>
                <w:bCs w:val="1"/>
                <w:color w:val="auto"/>
              </w:rPr>
              <w:t>Domicile</w:t>
            </w:r>
          </w:p>
        </w:tc>
        <w:tc>
          <w:tcPr>
            <w:tcW w:w="1580" w:type="dxa"/>
            <w:vAlign w:val="bottom"/>
            <w:gridSpan w:val="3"/>
          </w:tcPr>
          <w:p>
            <w:pPr>
              <w:ind w:left="840"/>
              <w:spacing w:after="0"/>
              <w:rPr>
                <w:sz w:val="20"/>
                <w:szCs w:val="20"/>
                <w:color w:val="auto"/>
              </w:rPr>
            </w:pPr>
            <w:r>
              <w:rPr>
                <w:rFonts w:ascii="Arial" w:cs="Arial" w:eastAsia="Arial" w:hAnsi="Arial"/>
                <w:sz w:val="14"/>
                <w:szCs w:val="14"/>
                <w:b w:val="1"/>
                <w:bCs w:val="1"/>
                <w:color w:val="auto"/>
                <w:w w:val="99"/>
              </w:rPr>
              <w:t>Ownership</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VISEN Pharmaceuticals</w:t>
            </w:r>
          </w:p>
        </w:tc>
        <w:tc>
          <w:tcPr>
            <w:tcW w:w="3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Cayman Island</w:t>
            </w:r>
          </w:p>
        </w:tc>
        <w:tc>
          <w:tcPr>
            <w:tcW w:w="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40" w:type="dxa"/>
            <w:vAlign w:val="bottom"/>
            <w:gridSpan w:val="3"/>
          </w:tcPr>
          <w:p>
            <w:pPr>
              <w:ind w:left="960"/>
              <w:spacing w:after="0"/>
              <w:rPr>
                <w:sz w:val="20"/>
                <w:szCs w:val="20"/>
                <w:color w:val="auto"/>
              </w:rPr>
            </w:pPr>
            <w:r>
              <w:rPr>
                <w:rFonts w:ascii="Arial" w:cs="Arial" w:eastAsia="Arial" w:hAnsi="Arial"/>
                <w:sz w:val="18"/>
                <w:szCs w:val="18"/>
                <w:color w:val="auto"/>
              </w:rPr>
              <w:t>F-38</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80" w:top="485"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20—Ownership</w:t>
      </w:r>
    </w:p>
    <w:p>
      <w:pPr>
        <w:spacing w:after="0" w:line="120" w:lineRule="exact"/>
        <w:rPr>
          <w:sz w:val="20"/>
          <w:szCs w:val="20"/>
          <w:color w:val="auto"/>
        </w:rPr>
      </w:pPr>
    </w:p>
    <w:p>
      <w:pPr>
        <w:ind w:left="180" w:right="220"/>
        <w:spacing w:after="0" w:line="275" w:lineRule="auto"/>
        <w:rPr>
          <w:sz w:val="20"/>
          <w:szCs w:val="20"/>
          <w:color w:val="auto"/>
        </w:rPr>
      </w:pPr>
      <w:r>
        <w:rPr>
          <w:rFonts w:ascii="Arial" w:cs="Arial" w:eastAsia="Arial" w:hAnsi="Arial"/>
          <w:sz w:val="18"/>
          <w:szCs w:val="18"/>
          <w:color w:val="auto"/>
        </w:rPr>
        <w:t>The following investors, or groups of affiliated investors, are known by us to beneficially own more than 5% of the Company’s outstanding ordinary shares at December 31, 2021:</w:t>
      </w:r>
    </w:p>
    <w:p>
      <w:pPr>
        <w:spacing w:after="0" w:line="77" w:lineRule="exact"/>
        <w:rPr>
          <w:sz w:val="20"/>
          <w:szCs w:val="20"/>
          <w:color w:val="auto"/>
        </w:rPr>
      </w:pPr>
    </w:p>
    <w:p>
      <w:pPr>
        <w:ind w:left="1580" w:hanging="315"/>
        <w:spacing w:after="0"/>
        <w:tabs>
          <w:tab w:leader="none" w:pos="1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 Rowe Price Associates, Inc., USA</w:t>
      </w:r>
    </w:p>
    <w:p>
      <w:pPr>
        <w:spacing w:after="0" w:line="129" w:lineRule="exact"/>
        <w:rPr>
          <w:rFonts w:ascii="Arial" w:cs="Arial" w:eastAsia="Arial" w:hAnsi="Arial"/>
          <w:sz w:val="18"/>
          <w:szCs w:val="18"/>
          <w:color w:val="auto"/>
        </w:rPr>
      </w:pPr>
    </w:p>
    <w:p>
      <w:pPr>
        <w:ind w:left="1580" w:hanging="315"/>
        <w:spacing w:after="0"/>
        <w:tabs>
          <w:tab w:leader="none" w:pos="1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Entities affiliated with RA Capital Management, LLC, USA</w:t>
      </w:r>
    </w:p>
    <w:p>
      <w:pPr>
        <w:spacing w:after="0" w:line="129" w:lineRule="exact"/>
        <w:rPr>
          <w:rFonts w:ascii="Arial" w:cs="Arial" w:eastAsia="Arial" w:hAnsi="Arial"/>
          <w:sz w:val="18"/>
          <w:szCs w:val="18"/>
          <w:color w:val="auto"/>
        </w:rPr>
      </w:pPr>
    </w:p>
    <w:p>
      <w:pPr>
        <w:ind w:left="1580" w:hanging="315"/>
        <w:spacing w:after="0"/>
        <w:tabs>
          <w:tab w:leader="none" w:pos="1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Entities affiliated with Artisan Partners Limited Partnership, USA</w:t>
      </w:r>
    </w:p>
    <w:p>
      <w:pPr>
        <w:spacing w:after="0" w:line="129" w:lineRule="exact"/>
        <w:rPr>
          <w:rFonts w:ascii="Arial" w:cs="Arial" w:eastAsia="Arial" w:hAnsi="Arial"/>
          <w:sz w:val="18"/>
          <w:szCs w:val="18"/>
          <w:color w:val="auto"/>
        </w:rPr>
      </w:pPr>
    </w:p>
    <w:p>
      <w:pPr>
        <w:ind w:left="1580" w:hanging="315"/>
        <w:spacing w:after="0"/>
        <w:tabs>
          <w:tab w:leader="none" w:pos="1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Entities affiliated with FMR LLC, USA</w:t>
      </w:r>
    </w:p>
    <w:p>
      <w:pPr>
        <w:spacing w:after="0" w:line="129" w:lineRule="exact"/>
        <w:rPr>
          <w:rFonts w:ascii="Arial" w:cs="Arial" w:eastAsia="Arial" w:hAnsi="Arial"/>
          <w:sz w:val="18"/>
          <w:szCs w:val="18"/>
          <w:color w:val="auto"/>
        </w:rPr>
      </w:pPr>
    </w:p>
    <w:p>
      <w:pPr>
        <w:ind w:left="1580" w:hanging="315"/>
        <w:spacing w:after="0"/>
        <w:tabs>
          <w:tab w:leader="none" w:pos="1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Baker Bros. Advisors LP, USA</w:t>
      </w:r>
    </w:p>
    <w:p>
      <w:pPr>
        <w:spacing w:after="0" w:line="129" w:lineRule="exact"/>
        <w:rPr>
          <w:rFonts w:ascii="Arial" w:cs="Arial" w:eastAsia="Arial" w:hAnsi="Arial"/>
          <w:sz w:val="18"/>
          <w:szCs w:val="18"/>
          <w:color w:val="auto"/>
        </w:rPr>
      </w:pPr>
    </w:p>
    <w:p>
      <w:pPr>
        <w:ind w:left="1580" w:hanging="315"/>
        <w:spacing w:after="0"/>
        <w:tabs>
          <w:tab w:leader="none" w:pos="1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Entities affiliated with Wellington Management Group LLP, USA</w:t>
      </w:r>
    </w:p>
    <w:p>
      <w:pPr>
        <w:spacing w:after="0" w:line="129" w:lineRule="exact"/>
        <w:rPr>
          <w:rFonts w:ascii="Arial" w:cs="Arial" w:eastAsia="Arial" w:hAnsi="Arial"/>
          <w:sz w:val="18"/>
          <w:szCs w:val="18"/>
          <w:color w:val="auto"/>
        </w:rPr>
      </w:pPr>
    </w:p>
    <w:p>
      <w:pPr>
        <w:ind w:left="1580" w:hanging="315"/>
        <w:spacing w:after="0"/>
        <w:tabs>
          <w:tab w:leader="none" w:pos="1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Entities affiliated with Janus Henderson Group plc, United Kingdom</w:t>
      </w:r>
    </w:p>
    <w:p>
      <w:pPr>
        <w:spacing w:after="0" w:line="223" w:lineRule="exact"/>
        <w:rPr>
          <w:sz w:val="20"/>
          <w:szCs w:val="20"/>
          <w:color w:val="auto"/>
        </w:rPr>
      </w:pPr>
    </w:p>
    <w:p>
      <w:pPr>
        <w:ind w:left="180" w:right="500"/>
        <w:spacing w:after="0" w:line="275" w:lineRule="auto"/>
        <w:rPr>
          <w:sz w:val="20"/>
          <w:szCs w:val="20"/>
          <w:color w:val="auto"/>
        </w:rPr>
      </w:pPr>
      <w:r>
        <w:rPr>
          <w:rFonts w:ascii="Arial" w:cs="Arial" w:eastAsia="Arial" w:hAnsi="Arial"/>
          <w:sz w:val="18"/>
          <w:szCs w:val="18"/>
          <w:color w:val="auto"/>
        </w:rPr>
        <w:t>The Company’s American Depository Shares are held through BNY (Nominees) Limited as nominee, of The Bank of New York Mellon, UK (as registered holder of the Company’s outstanding ADSs).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21—Subsequent Events</w:t>
      </w:r>
    </w:p>
    <w:p>
      <w:pPr>
        <w:spacing w:after="0" w:line="120" w:lineRule="exact"/>
        <w:rPr>
          <w:sz w:val="20"/>
          <w:szCs w:val="20"/>
          <w:color w:val="auto"/>
        </w:rPr>
      </w:pPr>
    </w:p>
    <w:p>
      <w:pPr>
        <w:jc w:val="both"/>
        <w:ind w:left="180"/>
        <w:spacing w:after="0" w:line="262" w:lineRule="auto"/>
        <w:rPr>
          <w:sz w:val="20"/>
          <w:szCs w:val="20"/>
          <w:color w:val="auto"/>
        </w:rPr>
      </w:pPr>
      <w:r>
        <w:rPr>
          <w:rFonts w:ascii="Arial" w:cs="Arial" w:eastAsia="Arial" w:hAnsi="Arial"/>
          <w:sz w:val="18"/>
          <w:szCs w:val="18"/>
          <w:color w:val="auto"/>
        </w:rPr>
        <w:t>In February 2022, the Company entered into a facility lease in Germany with an enforceable lease term of 15 years, which is expected to commence in 2025. Subject to terms and conditions and development in interest rates, an initial lease liability and corresponding right-of-use asset of €55.2 million is expected to be recognized at the commencement date.</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other events have occurred after the reporting date that would influence the evaluation of these consolidated financial statements.</w:t>
      </w:r>
    </w:p>
    <w:p>
      <w:pPr>
        <w:spacing w:after="0" w:line="15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60"/>
          </w:cols>
          <w:pgMar w:left="280" w:top="485" w:right="5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color w:val="auto"/>
        </w:rPr>
        <w:t>Exhibits</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0" w:type="dxa"/>
            <w:vAlign w:val="bottom"/>
            <w:gridSpan w:val="18"/>
            <w:vMerge w:val="restart"/>
          </w:tcPr>
          <w:p>
            <w:pPr>
              <w:ind w:left="4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580" w:type="dxa"/>
            <w:vAlign w:val="bottom"/>
            <w:tcBorders>
              <w:bottom w:val="single" w:sz="8" w:color="0000EE"/>
            </w:tcBorders>
            <w:gridSpan w:val="10"/>
          </w:tcPr>
          <w:p>
            <w:pPr>
              <w:spacing w:after="0"/>
              <w:rPr>
                <w:rFonts w:ascii="Arial" w:cs="Arial" w:eastAsia="Arial" w:hAnsi="Arial"/>
                <w:sz w:val="18"/>
                <w:szCs w:val="18"/>
                <w:color w:val="0000EE"/>
                <w:w w:val="92"/>
              </w:rPr>
            </w:pPr>
            <w:hyperlink r:id="rId222">
              <w:r>
                <w:rPr>
                  <w:rFonts w:ascii="Arial" w:cs="Arial" w:eastAsia="Arial" w:hAnsi="Arial"/>
                  <w:sz w:val="18"/>
                  <w:szCs w:val="18"/>
                  <w:color w:val="0000EE"/>
                  <w:w w:val="92"/>
                </w:rPr>
                <w:t>Articles of Association, currently in effect (English translation).</w:t>
              </w:r>
            </w:hyperlink>
          </w:p>
        </w:tc>
        <w:tc>
          <w:tcPr>
            <w:tcW w:w="100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80" w:type="dxa"/>
            <w:vAlign w:val="bottom"/>
            <w:tcBorders>
              <w:bottom w:val="single" w:sz="8" w:color="0000EE"/>
            </w:tcBorders>
            <w:gridSpan w:val="22"/>
          </w:tcPr>
          <w:p>
            <w:pPr>
              <w:spacing w:after="0"/>
              <w:rPr>
                <w:rFonts w:ascii="Arial" w:cs="Arial" w:eastAsia="Arial" w:hAnsi="Arial"/>
                <w:sz w:val="18"/>
                <w:szCs w:val="18"/>
                <w:color w:val="0000EE"/>
                <w:w w:val="89"/>
              </w:rPr>
            </w:pPr>
            <w:hyperlink r:id="rId223">
              <w:r>
                <w:rPr>
                  <w:rFonts w:ascii="Arial" w:cs="Arial" w:eastAsia="Arial" w:hAnsi="Arial"/>
                  <w:sz w:val="18"/>
                  <w:szCs w:val="18"/>
                  <w:color w:val="0000EE"/>
                  <w:w w:val="89"/>
                </w:rPr>
                <w:t>Deposit Agreement dated January 27, 2015 among Ascendis Pharma A/S The</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80" w:type="dxa"/>
            <w:vAlign w:val="bottom"/>
            <w:gridSpan w:val="22"/>
          </w:tcPr>
          <w:p>
            <w:pPr>
              <w:spacing w:after="0" w:line="195" w:lineRule="exact"/>
              <w:rPr>
                <w:rFonts w:ascii="Arial" w:cs="Arial" w:eastAsia="Arial" w:hAnsi="Arial"/>
                <w:sz w:val="18"/>
                <w:szCs w:val="18"/>
                <w:color w:val="0000EE"/>
                <w:w w:val="92"/>
              </w:rPr>
            </w:pPr>
            <w:hyperlink r:id="rId223">
              <w:r>
                <w:rPr>
                  <w:rFonts w:ascii="Arial" w:cs="Arial" w:eastAsia="Arial" w:hAnsi="Arial"/>
                  <w:sz w:val="18"/>
                  <w:szCs w:val="18"/>
                  <w:color w:val="0000EE"/>
                  <w:w w:val="92"/>
                </w:rPr>
                <w:t>Bank of New York Mellon and Owners and Holders of American Depositary</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0"/>
              </w:rPr>
            </w:pPr>
            <w:hyperlink r:id="rId223">
              <w:r>
                <w:rPr>
                  <w:rFonts w:ascii="Arial" w:cs="Arial" w:eastAsia="Arial" w:hAnsi="Arial"/>
                  <w:sz w:val="18"/>
                  <w:szCs w:val="18"/>
                  <w:color w:val="0000EE"/>
                  <w:w w:val="80"/>
                </w:rPr>
                <w:t>Shares.</w:t>
              </w:r>
            </w:hyperlink>
          </w:p>
        </w:tc>
        <w:tc>
          <w:tcPr>
            <w:tcW w:w="4980" w:type="dxa"/>
            <w:vAlign w:val="bottom"/>
            <w:tcBorders>
              <w:top w:val="single" w:sz="8" w:color="0000EE"/>
            </w:tcBorders>
            <w:gridSpan w:val="19"/>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80" w:type="dxa"/>
            <w:vAlign w:val="bottom"/>
            <w:gridSpan w:val="22"/>
          </w:tcPr>
          <w:p>
            <w:pPr>
              <w:spacing w:after="0"/>
              <w:rPr>
                <w:rFonts w:ascii="Arial" w:cs="Arial" w:eastAsia="Arial" w:hAnsi="Arial"/>
                <w:sz w:val="18"/>
                <w:szCs w:val="18"/>
                <w:color w:val="0000EE"/>
              </w:rPr>
            </w:pPr>
            <w:hyperlink r:id="rId223">
              <w:r>
                <w:rPr>
                  <w:rFonts w:ascii="Arial" w:cs="Arial" w:eastAsia="Arial" w:hAnsi="Arial"/>
                  <w:sz w:val="18"/>
                  <w:szCs w:val="18"/>
                  <w:color w:val="0000EE"/>
                </w:rPr>
                <w:t>Form of American Depositary Receipt (included in Exhibit 2.1).</w:t>
              </w:r>
            </w:hyperlink>
          </w:p>
        </w:tc>
        <w:tc>
          <w:tcPr>
            <w:tcW w:w="0" w:type="dxa"/>
            <w:vAlign w:val="bottom"/>
          </w:tcPr>
          <w:p>
            <w:pPr>
              <w:spacing w:after="0"/>
              <w:rPr>
                <w:sz w:val="1"/>
                <w:szCs w:val="1"/>
                <w:color w:val="auto"/>
              </w:rPr>
            </w:pPr>
          </w:p>
        </w:tc>
      </w:tr>
      <w:tr>
        <w:trPr>
          <w:trHeight w:val="303"/>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98">
              <w:r>
                <w:rPr>
                  <w:rFonts w:ascii="Arial" w:cs="Arial" w:eastAsia="Arial" w:hAnsi="Arial"/>
                  <w:sz w:val="18"/>
                  <w:szCs w:val="18"/>
                  <w:color w:val="0000EE"/>
                  <w:w w:val="89"/>
                </w:rPr>
                <w:t>Description of Share Capital and American Depositary Shares.</w:t>
              </w:r>
            </w:hyperlink>
          </w:p>
        </w:tc>
        <w:tc>
          <w:tcPr>
            <w:tcW w:w="100" w:type="dxa"/>
            <w:vAlign w:val="bottom"/>
            <w:tcBorders>
              <w:top w:val="single" w:sz="8" w:color="0000EE"/>
            </w:tcBorders>
            <w:gridSpan w:val="2"/>
          </w:tcPr>
          <w:p>
            <w:pPr>
              <w:spacing w:after="0"/>
              <w:rPr>
                <w:sz w:val="24"/>
                <w:szCs w:val="24"/>
                <w:color w:val="auto"/>
              </w:rPr>
            </w:pPr>
          </w:p>
        </w:tc>
        <w:tc>
          <w:tcPr>
            <w:tcW w:w="9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4.1(a)</w:t>
            </w:r>
          </w:p>
        </w:tc>
        <w:tc>
          <w:tcPr>
            <w:tcW w:w="400" w:type="dxa"/>
            <w:vAlign w:val="bottom"/>
          </w:tcPr>
          <w:p>
            <w:pPr>
              <w:spacing w:after="0"/>
              <w:rPr>
                <w:sz w:val="24"/>
                <w:szCs w:val="24"/>
                <w:color w:val="auto"/>
              </w:rPr>
            </w:pPr>
          </w:p>
        </w:tc>
        <w:tc>
          <w:tcPr>
            <w:tcW w:w="5560" w:type="dxa"/>
            <w:vAlign w:val="bottom"/>
            <w:tcBorders>
              <w:bottom w:val="single" w:sz="8" w:color="0000EE"/>
            </w:tcBorders>
            <w:gridSpan w:val="21"/>
          </w:tcPr>
          <w:p>
            <w:pPr>
              <w:spacing w:after="0"/>
              <w:rPr>
                <w:rFonts w:ascii="Arial" w:cs="Arial" w:eastAsia="Arial" w:hAnsi="Arial"/>
                <w:sz w:val="18"/>
                <w:szCs w:val="18"/>
                <w:color w:val="0000EE"/>
                <w:w w:val="91"/>
              </w:rPr>
            </w:pPr>
            <w:hyperlink r:id="rId224">
              <w:r>
                <w:rPr>
                  <w:rFonts w:ascii="Arial" w:cs="Arial" w:eastAsia="Arial" w:hAnsi="Arial"/>
                  <w:sz w:val="18"/>
                  <w:szCs w:val="18"/>
                  <w:color w:val="0000EE"/>
                  <w:w w:val="91"/>
                </w:rPr>
                <w:t>Rental Agreement, between Technologiepark Heidelberg II GmbH &amp; Co. KG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Borders>
              <w:bottom w:val="single" w:sz="8" w:color="0000EE"/>
            </w:tcBorders>
            <w:gridSpan w:val="8"/>
          </w:tcPr>
          <w:p>
            <w:pPr>
              <w:spacing w:after="0" w:line="195"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and Ascendis Pharma GmbH (English translation).</w:t>
              </w:r>
            </w:hyperlink>
          </w:p>
        </w:tc>
        <w:tc>
          <w:tcPr>
            <w:tcW w:w="19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4.1(b)</w:t>
            </w:r>
          </w:p>
        </w:tc>
        <w:tc>
          <w:tcPr>
            <w:tcW w:w="400" w:type="dxa"/>
            <w:vAlign w:val="bottom"/>
          </w:tcPr>
          <w:p>
            <w:pPr>
              <w:spacing w:after="0"/>
              <w:rPr>
                <w:sz w:val="24"/>
                <w:szCs w:val="24"/>
                <w:color w:val="auto"/>
              </w:rPr>
            </w:pPr>
          </w:p>
        </w:tc>
        <w:tc>
          <w:tcPr>
            <w:tcW w:w="5580" w:type="dxa"/>
            <w:vAlign w:val="bottom"/>
            <w:gridSpan w:val="22"/>
          </w:tcPr>
          <w:p>
            <w:pPr>
              <w:spacing w:after="0"/>
              <w:rPr>
                <w:rFonts w:ascii="Arial" w:cs="Arial" w:eastAsia="Arial" w:hAnsi="Arial"/>
                <w:sz w:val="18"/>
                <w:szCs w:val="18"/>
                <w:color w:val="0000EE"/>
              </w:rPr>
            </w:pPr>
            <w:hyperlink r:id="rId225">
              <w:r>
                <w:rPr>
                  <w:rFonts w:ascii="Arial" w:cs="Arial" w:eastAsia="Arial" w:hAnsi="Arial"/>
                  <w:sz w:val="18"/>
                  <w:szCs w:val="18"/>
                  <w:color w:val="0000EE"/>
                </w:rPr>
                <w:t>Supplement No. 1 to Rental Agreement, between Technologiepark</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bottom w:val="single" w:sz="8" w:color="0000EE"/>
            </w:tcBorders>
            <w:gridSpan w:val="14"/>
          </w:tcPr>
          <w:p>
            <w:pPr>
              <w:spacing w:after="0" w:line="195"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Heidelberg II GmbH &amp; Co. KG and Ascendis Pharma GmbH (English</w:t>
              </w:r>
            </w:hyperlink>
          </w:p>
        </w:tc>
        <w:tc>
          <w:tcPr>
            <w:tcW w:w="5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Borders>
              <w:bottom w:val="single" w:sz="8" w:color="0000EE"/>
            </w:tcBorders>
            <w:gridSpan w:val="2"/>
          </w:tcPr>
          <w:p>
            <w:pPr>
              <w:spacing w:after="0" w:line="195" w:lineRule="exact"/>
              <w:rPr>
                <w:rFonts w:ascii="Arial" w:cs="Arial" w:eastAsia="Arial" w:hAnsi="Arial"/>
                <w:sz w:val="18"/>
                <w:szCs w:val="18"/>
                <w:color w:val="0000EE"/>
                <w:w w:val="89"/>
              </w:rPr>
            </w:pPr>
            <w:hyperlink r:id="rId225">
              <w:r>
                <w:rPr>
                  <w:rFonts w:ascii="Arial" w:cs="Arial" w:eastAsia="Arial" w:hAnsi="Arial"/>
                  <w:sz w:val="18"/>
                  <w:szCs w:val="18"/>
                  <w:color w:val="0000EE"/>
                  <w:w w:val="89"/>
                </w:rPr>
                <w:t>translation).</w:t>
              </w:r>
            </w:hyperlink>
          </w:p>
        </w:tc>
        <w:tc>
          <w:tcPr>
            <w:tcW w:w="472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4.2(a)</w:t>
            </w:r>
          </w:p>
        </w:tc>
        <w:tc>
          <w:tcPr>
            <w:tcW w:w="400" w:type="dxa"/>
            <w:vAlign w:val="bottom"/>
          </w:tcPr>
          <w:p>
            <w:pPr>
              <w:spacing w:after="0"/>
              <w:rPr>
                <w:sz w:val="24"/>
                <w:szCs w:val="24"/>
                <w:color w:val="auto"/>
              </w:rPr>
            </w:pPr>
          </w:p>
        </w:tc>
        <w:tc>
          <w:tcPr>
            <w:tcW w:w="5580" w:type="dxa"/>
            <w:vAlign w:val="bottom"/>
            <w:gridSpan w:val="22"/>
          </w:tcPr>
          <w:p>
            <w:pPr>
              <w:spacing w:after="0"/>
              <w:rPr>
                <w:rFonts w:ascii="Arial" w:cs="Arial" w:eastAsia="Arial" w:hAnsi="Arial"/>
                <w:sz w:val="18"/>
                <w:szCs w:val="18"/>
                <w:color w:val="0000EE"/>
              </w:rPr>
            </w:pPr>
            <w:hyperlink r:id="rId222">
              <w:r>
                <w:rPr>
                  <w:rFonts w:ascii="Arial" w:cs="Arial" w:eastAsia="Arial" w:hAnsi="Arial"/>
                  <w:sz w:val="18"/>
                  <w:szCs w:val="18"/>
                  <w:color w:val="0000EE"/>
                </w:rPr>
                <w:t>Reference is made to Exhibit 1.1.</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4.2(b)</w:t>
            </w:r>
          </w:p>
        </w:tc>
        <w:tc>
          <w:tcPr>
            <w:tcW w:w="400" w:type="dxa"/>
            <w:vAlign w:val="bottom"/>
          </w:tcPr>
          <w:p>
            <w:pPr>
              <w:spacing w:after="0"/>
              <w:rPr>
                <w:sz w:val="24"/>
                <w:szCs w:val="24"/>
                <w:color w:val="auto"/>
              </w:rPr>
            </w:pPr>
          </w:p>
        </w:tc>
        <w:tc>
          <w:tcPr>
            <w:tcW w:w="5240" w:type="dxa"/>
            <w:vAlign w:val="bottom"/>
            <w:tcBorders>
              <w:bottom w:val="single" w:sz="8" w:color="0000EE"/>
            </w:tcBorders>
            <w:gridSpan w:val="17"/>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Form of Warrant Certificate for Warrants issued prior to December 2015.</w:t>
              </w:r>
            </w:hyperlink>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4.2(c)</w:t>
            </w:r>
          </w:p>
        </w:tc>
        <w:tc>
          <w:tcPr>
            <w:tcW w:w="400" w:type="dxa"/>
            <w:vAlign w:val="bottom"/>
          </w:tcPr>
          <w:p>
            <w:pPr>
              <w:spacing w:after="0"/>
              <w:rPr>
                <w:sz w:val="24"/>
                <w:szCs w:val="24"/>
                <w:color w:val="auto"/>
              </w:rPr>
            </w:pPr>
          </w:p>
        </w:tc>
        <w:tc>
          <w:tcPr>
            <w:tcW w:w="5080" w:type="dxa"/>
            <w:vAlign w:val="bottom"/>
            <w:tcBorders>
              <w:bottom w:val="single" w:sz="8" w:color="0000EE"/>
            </w:tcBorders>
            <w:gridSpan w:val="15"/>
          </w:tcPr>
          <w:p>
            <w:pPr>
              <w:spacing w:after="0"/>
              <w:rPr>
                <w:rFonts w:ascii="Arial" w:cs="Arial" w:eastAsia="Arial" w:hAnsi="Arial"/>
                <w:sz w:val="18"/>
                <w:szCs w:val="18"/>
                <w:color w:val="0000EE"/>
                <w:w w:val="89"/>
              </w:rPr>
            </w:pPr>
            <w:hyperlink r:id="rId227">
              <w:r>
                <w:rPr>
                  <w:rFonts w:ascii="Arial" w:cs="Arial" w:eastAsia="Arial" w:hAnsi="Arial"/>
                  <w:sz w:val="18"/>
                  <w:szCs w:val="18"/>
                  <w:color w:val="0000EE"/>
                  <w:w w:val="89"/>
                </w:rPr>
                <w:t>Form of Warrant Certificate for Warrants issued since December 2015.</w:t>
              </w:r>
            </w:hyperlink>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80" w:type="dxa"/>
            <w:vAlign w:val="bottom"/>
            <w:gridSpan w:val="22"/>
          </w:tcPr>
          <w:p>
            <w:pPr>
              <w:spacing w:after="0"/>
              <w:rPr>
                <w:rFonts w:ascii="Arial" w:cs="Arial" w:eastAsia="Arial" w:hAnsi="Arial"/>
                <w:sz w:val="18"/>
                <w:szCs w:val="18"/>
                <w:color w:val="0000EE"/>
              </w:rPr>
            </w:pPr>
            <w:hyperlink r:id="rId228">
              <w:r>
                <w:rPr>
                  <w:rFonts w:ascii="Arial" w:cs="Arial" w:eastAsia="Arial" w:hAnsi="Arial"/>
                  <w:sz w:val="18"/>
                  <w:szCs w:val="18"/>
                  <w:color w:val="0000EE"/>
                </w:rPr>
                <w:t>Form of Indemnification Agreement for board members and senior</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5"/>
              </w:rPr>
            </w:pPr>
            <w:hyperlink r:id="rId228">
              <w:r>
                <w:rPr>
                  <w:rFonts w:ascii="Arial" w:cs="Arial" w:eastAsia="Arial" w:hAnsi="Arial"/>
                  <w:sz w:val="18"/>
                  <w:szCs w:val="18"/>
                  <w:color w:val="0000EE"/>
                  <w:w w:val="85"/>
                </w:rPr>
                <w:t>management.</w:t>
              </w:r>
            </w:hyperlink>
          </w:p>
        </w:tc>
        <w:tc>
          <w:tcPr>
            <w:tcW w:w="3840" w:type="dxa"/>
            <w:vAlign w:val="bottom"/>
            <w:tcBorders>
              <w:top w:val="single" w:sz="8" w:color="0000EE"/>
            </w:tcBorders>
            <w:gridSpan w:val="10"/>
          </w:tcPr>
          <w:p>
            <w:pPr>
              <w:spacing w:after="0"/>
              <w:rPr>
                <w:sz w:val="16"/>
                <w:szCs w:val="16"/>
                <w:color w:val="auto"/>
              </w:rPr>
            </w:pPr>
          </w:p>
        </w:tc>
        <w:tc>
          <w:tcPr>
            <w:tcW w:w="7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280" w:type="dxa"/>
            <w:vAlign w:val="bottom"/>
          </w:tcPr>
          <w:p>
            <w:pPr>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80" w:type="dxa"/>
            <w:vAlign w:val="bottom"/>
            <w:gridSpan w:val="22"/>
          </w:tcPr>
          <w:p>
            <w:pPr>
              <w:spacing w:after="0"/>
              <w:rPr>
                <w:rFonts w:ascii="Arial" w:cs="Arial" w:eastAsia="Arial" w:hAnsi="Arial"/>
                <w:sz w:val="18"/>
                <w:szCs w:val="18"/>
                <w:color w:val="0000EE"/>
                <w:w w:val="96"/>
              </w:rPr>
            </w:pPr>
            <w:hyperlink r:id="rId229">
              <w:r>
                <w:rPr>
                  <w:rFonts w:ascii="Arial" w:cs="Arial" w:eastAsia="Arial" w:hAnsi="Arial"/>
                  <w:sz w:val="18"/>
                  <w:szCs w:val="18"/>
                  <w:color w:val="0000EE"/>
                  <w:w w:val="96"/>
                </w:rPr>
                <w:t>Registration Rights Agreement dated December 11, 2015 by and among</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3380" w:type="dxa"/>
            <w:vAlign w:val="bottom"/>
            <w:gridSpan w:val="1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20" w:type="dxa"/>
            <w:vAlign w:val="bottom"/>
            <w:tcBorders>
              <w:bottom w:val="single" w:sz="8" w:color="0000EE"/>
            </w:tcBorders>
            <w:gridSpan w:val="18"/>
          </w:tcPr>
          <w:p>
            <w:pPr>
              <w:spacing w:after="0" w:line="195" w:lineRule="exact"/>
              <w:rPr>
                <w:rFonts w:ascii="Arial" w:cs="Arial" w:eastAsia="Arial" w:hAnsi="Arial"/>
                <w:sz w:val="18"/>
                <w:szCs w:val="18"/>
                <w:color w:val="0000EE"/>
                <w:w w:val="90"/>
              </w:rPr>
            </w:pPr>
            <w:hyperlink r:id="rId229">
              <w:r>
                <w:rPr>
                  <w:rFonts w:ascii="Arial" w:cs="Arial" w:eastAsia="Arial" w:hAnsi="Arial"/>
                  <w:sz w:val="18"/>
                  <w:szCs w:val="18"/>
                  <w:color w:val="0000EE"/>
                  <w:w w:val="90"/>
                </w:rPr>
                <w:t>Ascendis Pharma A/S, Fidelity Securities Fund: Fidelity Series Small Cap</w:t>
              </w:r>
            </w:hyperlink>
          </w:p>
        </w:tc>
        <w:tc>
          <w:tcPr>
            <w:tcW w:w="2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80" w:type="dxa"/>
            <w:vAlign w:val="bottom"/>
            <w:gridSpan w:val="22"/>
          </w:tcPr>
          <w:p>
            <w:pPr>
              <w:spacing w:after="0" w:line="195" w:lineRule="exact"/>
              <w:rPr>
                <w:rFonts w:ascii="Arial" w:cs="Arial" w:eastAsia="Arial" w:hAnsi="Arial"/>
                <w:sz w:val="18"/>
                <w:szCs w:val="18"/>
                <w:color w:val="0000EE"/>
                <w:w w:val="92"/>
              </w:rPr>
            </w:pPr>
            <w:hyperlink r:id="rId229">
              <w:r>
                <w:rPr>
                  <w:rFonts w:ascii="Arial" w:cs="Arial" w:eastAsia="Arial" w:hAnsi="Arial"/>
                  <w:sz w:val="18"/>
                  <w:szCs w:val="18"/>
                  <w:color w:val="0000EE"/>
                  <w:w w:val="92"/>
                </w:rPr>
                <w:t>Opportunities Fund—Healthcare Sub and Fidelity Stock Selector Small Cap</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89"/>
              </w:rPr>
            </w:pPr>
            <w:hyperlink r:id="rId229">
              <w:r>
                <w:rPr>
                  <w:rFonts w:ascii="Arial" w:cs="Arial" w:eastAsia="Arial" w:hAnsi="Arial"/>
                  <w:sz w:val="18"/>
                  <w:szCs w:val="18"/>
                  <w:color w:val="0000EE"/>
                  <w:w w:val="89"/>
                </w:rPr>
                <w:t>Fund—Health Care Sub.</w:t>
              </w:r>
            </w:hyperlink>
          </w:p>
        </w:tc>
        <w:tc>
          <w:tcPr>
            <w:tcW w:w="3680" w:type="dxa"/>
            <w:vAlign w:val="bottom"/>
            <w:tcBorders>
              <w:top w:val="single" w:sz="8" w:color="0000EE"/>
            </w:tcBorders>
            <w:gridSpan w:val="15"/>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28"/>
        </w:trPr>
        <w:tc>
          <w:tcPr>
            <w:tcW w:w="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320" w:type="dxa"/>
            <w:vAlign w:val="bottom"/>
            <w:tcBorders>
              <w:top w:val="single" w:sz="8" w:color="auto"/>
            </w:tcBorders>
            <w:vMerge w:val="restart"/>
          </w:tcPr>
          <w:p>
            <w:pPr>
              <w:spacing w:after="0"/>
              <w:rPr>
                <w:sz w:val="11"/>
                <w:szCs w:val="11"/>
                <w:color w:val="auto"/>
              </w:rPr>
            </w:pPr>
          </w:p>
        </w:tc>
        <w:tc>
          <w:tcPr>
            <w:tcW w:w="76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0"/>
              </w:rPr>
              <w:t>Provided</w:t>
            </w:r>
          </w:p>
        </w:tc>
        <w:tc>
          <w:tcPr>
            <w:tcW w:w="0" w:type="dxa"/>
            <w:vAlign w:val="bottom"/>
          </w:tcPr>
          <w:p>
            <w:pPr>
              <w:spacing w:after="0"/>
              <w:rPr>
                <w:sz w:val="1"/>
                <w:szCs w:val="1"/>
                <w:color w:val="auto"/>
              </w:rPr>
            </w:pPr>
          </w:p>
        </w:tc>
      </w:tr>
      <w:tr>
        <w:trPr>
          <w:trHeight w:val="184"/>
        </w:trPr>
        <w:tc>
          <w:tcPr>
            <w:tcW w:w="4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File Number    Herewith</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40" w:type="dxa"/>
            <w:vAlign w:val="bottom"/>
          </w:tcPr>
          <w:p>
            <w:pPr>
              <w:jc w:val="center"/>
              <w:spacing w:after="0"/>
              <w:rPr>
                <w:sz w:val="20"/>
                <w:szCs w:val="20"/>
                <w:color w:val="auto"/>
              </w:rPr>
            </w:pPr>
            <w:r>
              <w:rPr>
                <w:rFonts w:ascii="Arial" w:cs="Arial" w:eastAsia="Arial" w:hAnsi="Arial"/>
                <w:sz w:val="18"/>
                <w:szCs w:val="18"/>
                <w:color w:val="auto"/>
                <w:w w:val="99"/>
              </w:rPr>
              <w:t>6-K</w:t>
            </w:r>
          </w:p>
        </w:tc>
        <w:tc>
          <w:tcPr>
            <w:tcW w:w="104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2/9/2022</w:t>
            </w:r>
          </w:p>
        </w:tc>
        <w:tc>
          <w:tcPr>
            <w:tcW w:w="640" w:type="dxa"/>
            <w:vAlign w:val="bottom"/>
            <w:gridSpan w:val="2"/>
          </w:tcPr>
          <w:p>
            <w:pPr>
              <w:jc w:val="center"/>
              <w:ind w:left="56"/>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4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104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2/2/2016</w:t>
            </w:r>
          </w:p>
        </w:tc>
        <w:tc>
          <w:tcPr>
            <w:tcW w:w="640" w:type="dxa"/>
            <w:vAlign w:val="bottom"/>
            <w:gridSpan w:val="2"/>
          </w:tcPr>
          <w:p>
            <w:pPr>
              <w:jc w:val="center"/>
              <w:ind w:left="56"/>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333-209336</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116" w:lineRule="exact"/>
        <w:rPr>
          <w:sz w:val="20"/>
          <w:szCs w:val="20"/>
          <w:color w:val="auto"/>
        </w:rPr>
      </w:pPr>
    </w:p>
    <w:p>
      <w:pPr>
        <w:ind w:left="80"/>
        <w:spacing w:after="0"/>
        <w:tabs>
          <w:tab w:leader="none" w:pos="580" w:val="left"/>
          <w:tab w:leader="none" w:pos="1600" w:val="left"/>
          <w:tab w:leader="none" w:pos="2340" w:val="left"/>
        </w:tabs>
        <w:rPr>
          <w:sz w:val="20"/>
          <w:szCs w:val="20"/>
          <w:color w:val="auto"/>
        </w:rPr>
      </w:pPr>
      <w:r>
        <w:rPr>
          <w:rFonts w:ascii="Arial" w:cs="Arial" w:eastAsia="Arial" w:hAnsi="Arial"/>
          <w:sz w:val="18"/>
          <w:szCs w:val="18"/>
          <w:color w:val="auto"/>
        </w:rPr>
        <w:t>F-1</w:t>
        <w:tab/>
        <w:t>12/18/2014</w:t>
        <w:tab/>
        <w:t>10.3(a)</w:t>
      </w:r>
      <w:r>
        <w:rPr>
          <w:sz w:val="20"/>
          <w:szCs w:val="20"/>
          <w:color w:val="auto"/>
        </w:rPr>
        <w:tab/>
      </w:r>
      <w:r>
        <w:rPr>
          <w:rFonts w:ascii="Arial" w:cs="Arial" w:eastAsia="Arial" w:hAnsi="Arial"/>
          <w:sz w:val="16"/>
          <w:szCs w:val="16"/>
          <w:color w:val="auto"/>
        </w:rPr>
        <w:t>333-201050</w:t>
      </w:r>
    </w:p>
    <w:p>
      <w:pPr>
        <w:spacing w:after="0" w:line="331" w:lineRule="exact"/>
        <w:rPr>
          <w:sz w:val="20"/>
          <w:szCs w:val="20"/>
          <w:color w:val="auto"/>
        </w:rPr>
      </w:pPr>
    </w:p>
    <w:p>
      <w:pPr>
        <w:ind w:left="80"/>
        <w:spacing w:after="0"/>
        <w:tabs>
          <w:tab w:leader="none" w:pos="580" w:val="left"/>
          <w:tab w:leader="none" w:pos="1580" w:val="left"/>
          <w:tab w:leader="none" w:pos="2340" w:val="left"/>
        </w:tabs>
        <w:rPr>
          <w:sz w:val="20"/>
          <w:szCs w:val="20"/>
          <w:color w:val="auto"/>
        </w:rPr>
      </w:pPr>
      <w:r>
        <w:rPr>
          <w:rFonts w:ascii="Arial" w:cs="Arial" w:eastAsia="Arial" w:hAnsi="Arial"/>
          <w:sz w:val="18"/>
          <w:szCs w:val="18"/>
          <w:color w:val="auto"/>
        </w:rPr>
        <w:t>F-1</w:t>
        <w:tab/>
        <w:t>12/18/2014</w:t>
        <w:tab/>
        <w:t>10.3(b)</w:t>
      </w:r>
      <w:r>
        <w:rPr>
          <w:sz w:val="20"/>
          <w:szCs w:val="20"/>
          <w:color w:val="auto"/>
        </w:rPr>
        <w:tab/>
      </w:r>
      <w:r>
        <w:rPr>
          <w:rFonts w:ascii="Arial" w:cs="Arial" w:eastAsia="Arial" w:hAnsi="Arial"/>
          <w:sz w:val="16"/>
          <w:szCs w:val="16"/>
          <w:color w:val="auto"/>
        </w:rPr>
        <w:t>333-201050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40" w:right="780" w:firstLine="45"/>
        <w:spacing w:after="0" w:line="387" w:lineRule="auto"/>
        <w:rPr>
          <w:sz w:val="20"/>
          <w:szCs w:val="20"/>
          <w:color w:val="auto"/>
        </w:rPr>
      </w:pPr>
      <w:r>
        <w:rPr>
          <w:rFonts w:ascii="Arial" w:cs="Arial" w:eastAsia="Arial" w:hAnsi="Arial"/>
          <w:sz w:val="18"/>
          <w:szCs w:val="18"/>
          <w:color w:val="auto"/>
        </w:rPr>
        <w:t>F-1 12/18/2014 10.4(b) 333-201050 20-F 3/22/2017 4.4(c) 001-36815 F-1 1/16/2015 10.5 333-201050</w:t>
      </w:r>
    </w:p>
    <w:p>
      <w:pPr>
        <w:spacing w:after="0" w:line="183" w:lineRule="exact"/>
        <w:rPr>
          <w:sz w:val="20"/>
          <w:szCs w:val="20"/>
          <w:color w:val="auto"/>
        </w:rPr>
      </w:pPr>
    </w:p>
    <w:p>
      <w:pPr>
        <w:ind w:left="80"/>
        <w:spacing w:after="0"/>
        <w:tabs>
          <w:tab w:leader="none" w:pos="580" w:val="left"/>
          <w:tab w:leader="none" w:pos="1740" w:val="left"/>
          <w:tab w:leader="none" w:pos="2380" w:val="left"/>
        </w:tabs>
        <w:rPr>
          <w:sz w:val="20"/>
          <w:szCs w:val="20"/>
          <w:color w:val="auto"/>
        </w:rPr>
      </w:pPr>
      <w:r>
        <w:rPr>
          <w:rFonts w:ascii="Arial" w:cs="Arial" w:eastAsia="Arial" w:hAnsi="Arial"/>
          <w:sz w:val="18"/>
          <w:szCs w:val="18"/>
          <w:color w:val="auto"/>
        </w:rPr>
        <w:t>6-K</w:t>
        <w:tab/>
        <w:t>12/14/2015</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001-36815</w:t>
      </w:r>
    </w:p>
    <w:p>
      <w:pPr>
        <w:sectPr>
          <w:pgSz w:w="11900" w:h="16838" w:orient="portrait"/>
          <w:cols w:equalWidth="0" w:num="2">
            <w:col w:w="6920" w:space="160"/>
            <w:col w:w="4000"/>
          </w:cols>
          <w:pgMar w:left="320" w:top="485"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500" w:type="dxa"/>
            <w:vAlign w:val="bottom"/>
            <w:gridSpan w:val="18"/>
            <w:vMerge w:val="restart"/>
          </w:tcPr>
          <w:p>
            <w:pPr>
              <w:ind w:left="1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50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0" w:type="dxa"/>
            <w:vAlign w:val="bottom"/>
          </w:tcPr>
          <w:p>
            <w:pPr>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340" w:type="dxa"/>
            <w:vAlign w:val="bottom"/>
            <w:tcBorders>
              <w:bottom w:val="single" w:sz="8" w:color="0000EE"/>
            </w:tcBorders>
            <w:gridSpan w:val="16"/>
          </w:tcPr>
          <w:p>
            <w:pPr>
              <w:spacing w:after="0"/>
              <w:rPr>
                <w:rFonts w:ascii="Arial" w:cs="Arial" w:eastAsia="Arial" w:hAnsi="Arial"/>
                <w:sz w:val="18"/>
                <w:szCs w:val="18"/>
                <w:color w:val="0000EE"/>
                <w:w w:val="88"/>
              </w:rPr>
            </w:pPr>
            <w:hyperlink r:id="rId231">
              <w:r>
                <w:rPr>
                  <w:rFonts w:ascii="Arial" w:cs="Arial" w:eastAsia="Arial" w:hAnsi="Arial"/>
                  <w:sz w:val="18"/>
                  <w:szCs w:val="18"/>
                  <w:color w:val="0000EE"/>
                  <w:w w:val="88"/>
                </w:rPr>
                <w:t>Lease Agreement dated September 7, 2015 between Ascendis Pharma A/S</w:t>
              </w:r>
            </w:hyperlink>
          </w:p>
        </w:tc>
        <w:tc>
          <w:tcPr>
            <w:tcW w:w="2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19"/>
          </w:tcPr>
          <w:p>
            <w:pPr>
              <w:spacing w:after="0" w:line="195" w:lineRule="exact"/>
              <w:rPr>
                <w:rFonts w:ascii="Arial" w:cs="Arial" w:eastAsia="Arial" w:hAnsi="Arial"/>
                <w:sz w:val="18"/>
                <w:szCs w:val="18"/>
                <w:color w:val="0000EE"/>
              </w:rPr>
            </w:pPr>
            <w:hyperlink r:id="rId231">
              <w:r>
                <w:rPr>
                  <w:rFonts w:ascii="Arial" w:cs="Arial" w:eastAsia="Arial" w:hAnsi="Arial"/>
                  <w:sz w:val="18"/>
                  <w:szCs w:val="18"/>
                  <w:color w:val="0000EE"/>
                </w:rPr>
                <w:t>and Dades AS.</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4"/>
                <w:szCs w:val="24"/>
                <w:color w:val="auto"/>
              </w:rPr>
            </w:pPr>
          </w:p>
        </w:tc>
        <w:tc>
          <w:tcPr>
            <w:tcW w:w="5560" w:type="dxa"/>
            <w:vAlign w:val="bottom"/>
            <w:gridSpan w:val="19"/>
          </w:tcPr>
          <w:p>
            <w:pPr>
              <w:spacing w:after="0"/>
              <w:rPr>
                <w:rFonts w:ascii="Arial" w:cs="Arial" w:eastAsia="Arial" w:hAnsi="Arial"/>
                <w:sz w:val="18"/>
                <w:szCs w:val="18"/>
                <w:color w:val="0000EE"/>
                <w:w w:val="93"/>
              </w:rPr>
            </w:pPr>
            <w:hyperlink r:id="rId232">
              <w:r>
                <w:rPr>
                  <w:rFonts w:ascii="Arial" w:cs="Arial" w:eastAsia="Arial" w:hAnsi="Arial"/>
                  <w:sz w:val="18"/>
                  <w:szCs w:val="18"/>
                  <w:color w:val="0000EE"/>
                  <w:w w:val="93"/>
                </w:rPr>
                <w:t>Manufacturing and Supply Agreement dated December 21, 2017, between</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20" w:type="dxa"/>
            <w:vAlign w:val="bottom"/>
            <w:tcBorders>
              <w:top w:val="single" w:sz="8" w:color="0000EE"/>
            </w:tcBorders>
            <w:gridSpan w:val="15"/>
          </w:tcPr>
          <w:p>
            <w:pPr>
              <w:spacing w:after="0" w:line="195" w:lineRule="exact"/>
              <w:rPr>
                <w:rFonts w:ascii="Arial" w:cs="Arial" w:eastAsia="Arial" w:hAnsi="Arial"/>
                <w:sz w:val="18"/>
                <w:szCs w:val="18"/>
                <w:color w:val="0000EE"/>
              </w:rPr>
            </w:pPr>
            <w:hyperlink r:id="rId232">
              <w:r>
                <w:rPr>
                  <w:rFonts w:ascii="Arial" w:cs="Arial" w:eastAsia="Arial" w:hAnsi="Arial"/>
                  <w:sz w:val="18"/>
                  <w:szCs w:val="18"/>
                  <w:color w:val="0000EE"/>
                </w:rPr>
                <w:t>Ascendis Pharma A/S and NOF Corporation.</w:t>
              </w:r>
            </w:hyperlink>
          </w:p>
        </w:tc>
        <w:tc>
          <w:tcPr>
            <w:tcW w:w="2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5160" w:type="dxa"/>
            <w:vAlign w:val="bottom"/>
            <w:tcBorders>
              <w:bottom w:val="single" w:sz="8" w:color="0000EE"/>
            </w:tcBorders>
            <w:gridSpan w:val="12"/>
          </w:tcPr>
          <w:p>
            <w:pPr>
              <w:spacing w:after="0"/>
              <w:rPr>
                <w:rFonts w:ascii="Arial" w:cs="Arial" w:eastAsia="Arial" w:hAnsi="Arial"/>
                <w:sz w:val="18"/>
                <w:szCs w:val="18"/>
                <w:color w:val="0000EE"/>
                <w:w w:val="89"/>
              </w:rPr>
            </w:pPr>
            <w:hyperlink r:id="rId233">
              <w:r>
                <w:rPr>
                  <w:rFonts w:ascii="Arial" w:cs="Arial" w:eastAsia="Arial" w:hAnsi="Arial"/>
                  <w:sz w:val="18"/>
                  <w:szCs w:val="18"/>
                  <w:color w:val="0000EE"/>
                  <w:w w:val="89"/>
                </w:rPr>
                <w:t>Manufacturing and Supply Agreement dated January 12, 2017, between</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60" w:type="dxa"/>
            <w:vAlign w:val="bottom"/>
            <w:tcBorders>
              <w:bottom w:val="single" w:sz="8" w:color="0000EE"/>
            </w:tcBorders>
            <w:gridSpan w:val="8"/>
          </w:tcPr>
          <w:p>
            <w:pPr>
              <w:spacing w:after="0" w:line="195" w:lineRule="exact"/>
              <w:rPr>
                <w:rFonts w:ascii="Arial" w:cs="Arial" w:eastAsia="Arial" w:hAnsi="Arial"/>
                <w:sz w:val="18"/>
                <w:szCs w:val="18"/>
                <w:color w:val="0000EE"/>
                <w:w w:val="90"/>
              </w:rPr>
            </w:pPr>
            <w:hyperlink r:id="rId233">
              <w:r>
                <w:rPr>
                  <w:rFonts w:ascii="Arial" w:cs="Arial" w:eastAsia="Arial" w:hAnsi="Arial"/>
                  <w:sz w:val="18"/>
                  <w:szCs w:val="18"/>
                  <w:color w:val="0000EE"/>
                  <w:w w:val="90"/>
                </w:rPr>
                <w:t>Ascendis Pharma A/S and Medicom Innovation Partner A/S.</w:t>
              </w:r>
            </w:hyperlink>
          </w:p>
        </w:tc>
        <w:tc>
          <w:tcPr>
            <w:tcW w:w="120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4"/>
                <w:szCs w:val="24"/>
                <w:color w:val="auto"/>
              </w:rPr>
            </w:pPr>
          </w:p>
        </w:tc>
        <w:tc>
          <w:tcPr>
            <w:tcW w:w="5560" w:type="dxa"/>
            <w:vAlign w:val="bottom"/>
            <w:tcBorders>
              <w:bottom w:val="single" w:sz="8" w:color="0000EE"/>
            </w:tcBorders>
            <w:gridSpan w:val="19"/>
          </w:tcPr>
          <w:p>
            <w:pPr>
              <w:spacing w:after="0"/>
              <w:rPr>
                <w:rFonts w:ascii="Arial" w:cs="Arial" w:eastAsia="Arial" w:hAnsi="Arial"/>
                <w:sz w:val="18"/>
                <w:szCs w:val="18"/>
                <w:color w:val="0000EE"/>
                <w:w w:val="88"/>
              </w:rPr>
            </w:pPr>
            <w:hyperlink r:id="rId234">
              <w:r>
                <w:rPr>
                  <w:rFonts w:ascii="Arial" w:cs="Arial" w:eastAsia="Arial" w:hAnsi="Arial"/>
                  <w:sz w:val="18"/>
                  <w:szCs w:val="18"/>
                  <w:color w:val="0000EE"/>
                  <w:w w:val="88"/>
                </w:rPr>
                <w:t>Supply Agreement dated January 1, 2019, between Ascendis Pharma A/S and</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19"/>
          </w:tcPr>
          <w:p>
            <w:pPr>
              <w:spacing w:after="0" w:line="195" w:lineRule="exact"/>
              <w:rPr>
                <w:rFonts w:ascii="Arial" w:cs="Arial" w:eastAsia="Arial" w:hAnsi="Arial"/>
                <w:sz w:val="18"/>
                <w:szCs w:val="18"/>
                <w:color w:val="0000EE"/>
              </w:rPr>
            </w:pPr>
            <w:hyperlink r:id="rId234">
              <w:r>
                <w:rPr>
                  <w:rFonts w:ascii="Arial" w:cs="Arial" w:eastAsia="Arial" w:hAnsi="Arial"/>
                  <w:sz w:val="18"/>
                  <w:szCs w:val="18"/>
                  <w:color w:val="0000EE"/>
                </w:rPr>
                <w:t>Vetter Pharma International GMBH.</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4"/>
                <w:szCs w:val="24"/>
                <w:color w:val="auto"/>
              </w:rPr>
            </w:pPr>
          </w:p>
        </w:tc>
        <w:tc>
          <w:tcPr>
            <w:tcW w:w="5180" w:type="dxa"/>
            <w:vAlign w:val="bottom"/>
            <w:tcBorders>
              <w:bottom w:val="single" w:sz="8" w:color="0000EE"/>
            </w:tcBorders>
            <w:gridSpan w:val="13"/>
          </w:tcPr>
          <w:p>
            <w:pPr>
              <w:spacing w:after="0"/>
              <w:rPr>
                <w:rFonts w:ascii="Arial" w:cs="Arial" w:eastAsia="Arial" w:hAnsi="Arial"/>
                <w:sz w:val="18"/>
                <w:szCs w:val="18"/>
                <w:color w:val="0000EE"/>
                <w:w w:val="89"/>
              </w:rPr>
            </w:pPr>
            <w:hyperlink r:id="rId235">
              <w:r>
                <w:rPr>
                  <w:rFonts w:ascii="Arial" w:cs="Arial" w:eastAsia="Arial" w:hAnsi="Arial"/>
                  <w:sz w:val="18"/>
                  <w:szCs w:val="18"/>
                  <w:color w:val="0000EE"/>
                  <w:w w:val="89"/>
                </w:rPr>
                <w:t>Manufacturing and Supply Agreement dated October 28, 2018, between</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80" w:type="dxa"/>
            <w:vAlign w:val="bottom"/>
            <w:tcBorders>
              <w:bottom w:val="single" w:sz="8" w:color="0000EE"/>
            </w:tcBorders>
            <w:gridSpan w:val="6"/>
          </w:tcPr>
          <w:p>
            <w:pPr>
              <w:spacing w:after="0" w:line="195" w:lineRule="exact"/>
              <w:rPr>
                <w:rFonts w:ascii="Arial" w:cs="Arial" w:eastAsia="Arial" w:hAnsi="Arial"/>
                <w:sz w:val="18"/>
                <w:szCs w:val="18"/>
                <w:color w:val="0000EE"/>
                <w:w w:val="90"/>
              </w:rPr>
            </w:pPr>
            <w:hyperlink r:id="rId235">
              <w:r>
                <w:rPr>
                  <w:rFonts w:ascii="Arial" w:cs="Arial" w:eastAsia="Arial" w:hAnsi="Arial"/>
                  <w:sz w:val="18"/>
                  <w:szCs w:val="18"/>
                  <w:color w:val="0000EE"/>
                  <w:w w:val="90"/>
                </w:rPr>
                <w:t>Ascendis Pharma A/S and Carbogen Amcis AG.</w:t>
              </w:r>
            </w:hyperlink>
          </w:p>
        </w:tc>
        <w:tc>
          <w:tcPr>
            <w:tcW w:w="20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24"/>
                <w:szCs w:val="24"/>
                <w:color w:val="auto"/>
              </w:rPr>
            </w:pPr>
          </w:p>
        </w:tc>
        <w:tc>
          <w:tcPr>
            <w:tcW w:w="5560" w:type="dxa"/>
            <w:vAlign w:val="bottom"/>
            <w:gridSpan w:val="19"/>
          </w:tcPr>
          <w:p>
            <w:pPr>
              <w:spacing w:after="0"/>
              <w:rPr>
                <w:rFonts w:ascii="Arial" w:cs="Arial" w:eastAsia="Arial" w:hAnsi="Arial"/>
                <w:sz w:val="18"/>
                <w:szCs w:val="18"/>
                <w:color w:val="0000EE"/>
                <w:w w:val="94"/>
              </w:rPr>
            </w:pPr>
            <w:hyperlink r:id="rId236">
              <w:r>
                <w:rPr>
                  <w:rFonts w:ascii="Arial" w:cs="Arial" w:eastAsia="Arial" w:hAnsi="Arial"/>
                  <w:sz w:val="18"/>
                  <w:szCs w:val="18"/>
                  <w:color w:val="0000EE"/>
                  <w:w w:val="94"/>
                </w:rPr>
                <w:t>Commercial Supply Agreement dated January 9, 2019, between Ascendis</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8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3"/>
              </w:rPr>
            </w:pPr>
            <w:hyperlink r:id="rId236">
              <w:r>
                <w:rPr>
                  <w:rFonts w:ascii="Arial" w:cs="Arial" w:eastAsia="Arial" w:hAnsi="Arial"/>
                  <w:sz w:val="18"/>
                  <w:szCs w:val="18"/>
                  <w:color w:val="0000EE"/>
                  <w:w w:val="93"/>
                </w:rPr>
                <w:t>Pharma A/S and Fujifilm Diosynth Biotechnologies UK Limited.</w:t>
              </w:r>
            </w:hyperlink>
          </w:p>
        </w:tc>
        <w:tc>
          <w:tcPr>
            <w:tcW w:w="600" w:type="dxa"/>
            <w:vAlign w:val="bottom"/>
            <w:tcBorders>
              <w:top w:val="single" w:sz="8" w:color="0000EE"/>
            </w:tcBorders>
            <w:gridSpan w:val="4"/>
          </w:tcPr>
          <w:p>
            <w:pPr>
              <w:spacing w:after="0"/>
              <w:rPr>
                <w:sz w:val="16"/>
                <w:szCs w:val="16"/>
                <w:color w:val="auto"/>
              </w:rPr>
            </w:pPr>
          </w:p>
        </w:tc>
        <w:tc>
          <w:tcPr>
            <w:tcW w:w="2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4.11*</w:t>
            </w:r>
          </w:p>
        </w:tc>
        <w:tc>
          <w:tcPr>
            <w:tcW w:w="400" w:type="dxa"/>
            <w:vAlign w:val="bottom"/>
          </w:tcPr>
          <w:p>
            <w:pPr>
              <w:spacing w:after="0"/>
              <w:rPr>
                <w:sz w:val="24"/>
                <w:szCs w:val="24"/>
                <w:color w:val="auto"/>
              </w:rPr>
            </w:pPr>
          </w:p>
        </w:tc>
        <w:tc>
          <w:tcPr>
            <w:tcW w:w="5360" w:type="dxa"/>
            <w:vAlign w:val="bottom"/>
            <w:tcBorders>
              <w:bottom w:val="single" w:sz="8" w:color="0000EE"/>
            </w:tcBorders>
            <w:gridSpan w:val="17"/>
          </w:tcPr>
          <w:p>
            <w:pPr>
              <w:spacing w:after="0"/>
              <w:rPr>
                <w:rFonts w:ascii="Arial" w:cs="Arial" w:eastAsia="Arial" w:hAnsi="Arial"/>
                <w:sz w:val="18"/>
                <w:szCs w:val="18"/>
                <w:color w:val="0000EE"/>
                <w:w w:val="89"/>
              </w:rPr>
            </w:pPr>
            <w:hyperlink r:id="rId237">
              <w:r>
                <w:rPr>
                  <w:rFonts w:ascii="Arial" w:cs="Arial" w:eastAsia="Arial" w:hAnsi="Arial"/>
                  <w:sz w:val="18"/>
                  <w:szCs w:val="18"/>
                  <w:color w:val="0000EE"/>
                  <w:w w:val="89"/>
                </w:rPr>
                <w:t>Exclusive Licence Agreement dated November 7, 2018, between Ascendis</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60" w:type="dxa"/>
            <w:vAlign w:val="bottom"/>
            <w:tcBorders>
              <w:bottom w:val="single" w:sz="8" w:color="0000EE"/>
            </w:tcBorders>
            <w:gridSpan w:val="11"/>
          </w:tcPr>
          <w:p>
            <w:pPr>
              <w:spacing w:after="0" w:line="195" w:lineRule="exact"/>
              <w:rPr>
                <w:rFonts w:ascii="Arial" w:cs="Arial" w:eastAsia="Arial" w:hAnsi="Arial"/>
                <w:sz w:val="18"/>
                <w:szCs w:val="18"/>
                <w:color w:val="0000EE"/>
                <w:w w:val="90"/>
              </w:rPr>
            </w:pPr>
            <w:hyperlink r:id="rId237">
              <w:r>
                <w:rPr>
                  <w:rFonts w:ascii="Arial" w:cs="Arial" w:eastAsia="Arial" w:hAnsi="Arial"/>
                  <w:sz w:val="18"/>
                  <w:szCs w:val="18"/>
                  <w:color w:val="0000EE"/>
                  <w:w w:val="90"/>
                </w:rPr>
                <w:t>Pharma Growth Disorders A/S and VISEN Pharmaceuticals (CNP).</w:t>
              </w:r>
            </w:hyperlink>
          </w:p>
        </w:tc>
        <w:tc>
          <w:tcPr>
            <w:tcW w:w="7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4.12*</w:t>
            </w:r>
          </w:p>
        </w:tc>
        <w:tc>
          <w:tcPr>
            <w:tcW w:w="400" w:type="dxa"/>
            <w:vAlign w:val="bottom"/>
          </w:tcPr>
          <w:p>
            <w:pPr>
              <w:spacing w:after="0"/>
              <w:rPr>
                <w:sz w:val="24"/>
                <w:szCs w:val="24"/>
                <w:color w:val="auto"/>
              </w:rPr>
            </w:pPr>
          </w:p>
        </w:tc>
        <w:tc>
          <w:tcPr>
            <w:tcW w:w="5360" w:type="dxa"/>
            <w:vAlign w:val="bottom"/>
            <w:tcBorders>
              <w:bottom w:val="single" w:sz="8" w:color="0000EE"/>
            </w:tcBorders>
            <w:gridSpan w:val="17"/>
          </w:tcPr>
          <w:p>
            <w:pPr>
              <w:spacing w:after="0"/>
              <w:rPr>
                <w:rFonts w:ascii="Arial" w:cs="Arial" w:eastAsia="Arial" w:hAnsi="Arial"/>
                <w:sz w:val="18"/>
                <w:szCs w:val="18"/>
                <w:color w:val="0000EE"/>
                <w:w w:val="89"/>
              </w:rPr>
            </w:pPr>
            <w:hyperlink r:id="rId238">
              <w:r>
                <w:rPr>
                  <w:rFonts w:ascii="Arial" w:cs="Arial" w:eastAsia="Arial" w:hAnsi="Arial"/>
                  <w:sz w:val="18"/>
                  <w:szCs w:val="18"/>
                  <w:color w:val="0000EE"/>
                  <w:w w:val="89"/>
                </w:rPr>
                <w:t>Exclusive Licence Agreement dated November 7, 2018, between Ascendis</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bottom w:val="single" w:sz="8" w:color="0000EE"/>
            </w:tcBorders>
            <w:gridSpan w:val="9"/>
          </w:tcPr>
          <w:p>
            <w:pPr>
              <w:spacing w:after="0" w:line="195" w:lineRule="exact"/>
              <w:rPr>
                <w:rFonts w:ascii="Arial" w:cs="Arial" w:eastAsia="Arial" w:hAnsi="Arial"/>
                <w:sz w:val="18"/>
                <w:szCs w:val="18"/>
                <w:color w:val="0000EE"/>
                <w:w w:val="89"/>
              </w:rPr>
            </w:pPr>
            <w:hyperlink r:id="rId238">
              <w:r>
                <w:rPr>
                  <w:rFonts w:ascii="Arial" w:cs="Arial" w:eastAsia="Arial" w:hAnsi="Arial"/>
                  <w:sz w:val="18"/>
                  <w:szCs w:val="18"/>
                  <w:color w:val="0000EE"/>
                  <w:w w:val="89"/>
                </w:rPr>
                <w:t>Pharma Bone Diseases A/S and VISEN Pharmaceuticals (hGH).</w:t>
              </w:r>
            </w:hyperlink>
          </w:p>
        </w:tc>
        <w:tc>
          <w:tcPr>
            <w:tcW w:w="9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24"/>
                <w:szCs w:val="24"/>
                <w:color w:val="auto"/>
              </w:rPr>
            </w:pPr>
          </w:p>
        </w:tc>
        <w:tc>
          <w:tcPr>
            <w:tcW w:w="5360" w:type="dxa"/>
            <w:vAlign w:val="bottom"/>
            <w:tcBorders>
              <w:bottom w:val="single" w:sz="8" w:color="0000EE"/>
            </w:tcBorders>
            <w:gridSpan w:val="17"/>
          </w:tcPr>
          <w:p>
            <w:pPr>
              <w:spacing w:after="0"/>
              <w:rPr>
                <w:rFonts w:ascii="Arial" w:cs="Arial" w:eastAsia="Arial" w:hAnsi="Arial"/>
                <w:sz w:val="18"/>
                <w:szCs w:val="18"/>
                <w:color w:val="0000EE"/>
                <w:w w:val="89"/>
              </w:rPr>
            </w:pPr>
            <w:hyperlink r:id="rId239">
              <w:r>
                <w:rPr>
                  <w:rFonts w:ascii="Arial" w:cs="Arial" w:eastAsia="Arial" w:hAnsi="Arial"/>
                  <w:sz w:val="18"/>
                  <w:szCs w:val="18"/>
                  <w:color w:val="0000EE"/>
                  <w:w w:val="89"/>
                </w:rPr>
                <w:t>Exclusive Licence Agreement dated November 7, 2018, between Ascendis</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19"/>
          </w:tcPr>
          <w:p>
            <w:pPr>
              <w:spacing w:after="0" w:line="195" w:lineRule="exact"/>
              <w:rPr>
                <w:rFonts w:ascii="Arial" w:cs="Arial" w:eastAsia="Arial" w:hAnsi="Arial"/>
                <w:sz w:val="18"/>
                <w:szCs w:val="18"/>
                <w:color w:val="0000EE"/>
                <w:w w:val="96"/>
              </w:rPr>
            </w:pPr>
            <w:hyperlink r:id="rId239">
              <w:r>
                <w:rPr>
                  <w:rFonts w:ascii="Arial" w:cs="Arial" w:eastAsia="Arial" w:hAnsi="Arial"/>
                  <w:sz w:val="18"/>
                  <w:szCs w:val="18"/>
                  <w:color w:val="0000EE"/>
                  <w:w w:val="96"/>
                </w:rPr>
                <w:t>Pharma Endocrinology Division A/S and VISEN Pharmaceuticals (PTH).</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24"/>
                <w:szCs w:val="24"/>
                <w:color w:val="auto"/>
              </w:rPr>
            </w:pPr>
          </w:p>
        </w:tc>
        <w:tc>
          <w:tcPr>
            <w:tcW w:w="5380" w:type="dxa"/>
            <w:vAlign w:val="bottom"/>
            <w:tcBorders>
              <w:bottom w:val="single" w:sz="8" w:color="0000EE"/>
            </w:tcBorders>
            <w:gridSpan w:val="18"/>
          </w:tcPr>
          <w:p>
            <w:pPr>
              <w:spacing w:after="0"/>
              <w:rPr>
                <w:rFonts w:ascii="Arial" w:cs="Arial" w:eastAsia="Arial" w:hAnsi="Arial"/>
                <w:sz w:val="18"/>
                <w:szCs w:val="18"/>
                <w:color w:val="0000EE"/>
                <w:w w:val="89"/>
              </w:rPr>
            </w:pPr>
            <w:hyperlink r:id="rId240">
              <w:r>
                <w:rPr>
                  <w:rFonts w:ascii="Arial" w:cs="Arial" w:eastAsia="Arial" w:hAnsi="Arial"/>
                  <w:sz w:val="18"/>
                  <w:szCs w:val="18"/>
                  <w:color w:val="0000EE"/>
                  <w:w w:val="89"/>
                </w:rPr>
                <w:t>Tech Transfer and Manufacturing Services Agreement dated December 12,</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19"/>
          </w:tcPr>
          <w:p>
            <w:pPr>
              <w:spacing w:after="0" w:line="195" w:lineRule="exact"/>
              <w:rPr>
                <w:rFonts w:ascii="Arial" w:cs="Arial" w:eastAsia="Arial" w:hAnsi="Arial"/>
                <w:sz w:val="18"/>
                <w:szCs w:val="18"/>
                <w:color w:val="0000EE"/>
              </w:rPr>
            </w:pPr>
            <w:hyperlink r:id="rId240">
              <w:r>
                <w:rPr>
                  <w:rFonts w:ascii="Arial" w:cs="Arial" w:eastAsia="Arial" w:hAnsi="Arial"/>
                  <w:sz w:val="18"/>
                  <w:szCs w:val="18"/>
                  <w:color w:val="0000EE"/>
                </w:rPr>
                <w:t>2019 between Ascendis Pharma A/S and Lonza Ltd.</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28"/>
        </w:trPr>
        <w:tc>
          <w:tcPr>
            <w:tcW w:w="40" w:type="dxa"/>
            <w:vAlign w:val="bottom"/>
            <w:tcBorders>
              <w:top w:val="single" w:sz="8" w:color="auto"/>
            </w:tcBorders>
            <w:vMerge w:val="restart"/>
          </w:tcPr>
          <w:p>
            <w:pPr>
              <w:spacing w:after="0"/>
              <w:rPr>
                <w:sz w:val="11"/>
                <w:szCs w:val="11"/>
                <w:color w:val="auto"/>
              </w:rPr>
            </w:pPr>
          </w:p>
        </w:tc>
        <w:tc>
          <w:tcPr>
            <w:tcW w:w="4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90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0"/>
              </w:rPr>
              <w:t>Provided</w:t>
            </w:r>
          </w:p>
        </w:tc>
        <w:tc>
          <w:tcPr>
            <w:tcW w:w="0" w:type="dxa"/>
            <w:vAlign w:val="bottom"/>
          </w:tcPr>
          <w:p>
            <w:pPr>
              <w:spacing w:after="0"/>
              <w:rPr>
                <w:sz w:val="1"/>
                <w:szCs w:val="1"/>
                <w:color w:val="auto"/>
              </w:rPr>
            </w:pPr>
          </w:p>
        </w:tc>
      </w:tr>
      <w:tr>
        <w:trPr>
          <w:trHeight w:val="184"/>
        </w:trPr>
        <w:tc>
          <w:tcPr>
            <w:tcW w:w="4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File Number    Herewith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14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2/2/2016</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10.1</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5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2"/>
              </w:rPr>
              <w:t>3/28/2018</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4.9</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5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2"/>
              </w:rPr>
              <w:t>3/28/2018</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4.10</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5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4/3/2019</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4.11</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5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4/3/2019</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4.12</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5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4/3/2019</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4.13</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5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4/3/2019</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4.15</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5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4/3/2019</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4.16</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5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4/3/2019</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4.17</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5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4/2/2020</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4.16</w:t>
            </w:r>
          </w:p>
        </w:tc>
        <w:tc>
          <w:tcPr>
            <w:tcW w:w="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900" w:space="180"/>
            <w:col w:w="4000"/>
          </w:cols>
          <w:pgMar w:left="320" w:top="485"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80" w:type="dxa"/>
            <w:vAlign w:val="bottom"/>
            <w:gridSpan w:val="20"/>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8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gridSpan w:val="2"/>
          </w:tcPr>
          <w:p>
            <w:pPr>
              <w:spacing w:after="0"/>
              <w:rPr>
                <w:sz w:val="20"/>
                <w:szCs w:val="20"/>
                <w:color w:val="auto"/>
              </w:rPr>
            </w:pPr>
            <w:r>
              <w:rPr>
                <w:rFonts w:ascii="Arial" w:cs="Arial" w:eastAsia="Arial" w:hAnsi="Arial"/>
                <w:sz w:val="18"/>
                <w:szCs w:val="18"/>
                <w:color w:val="auto"/>
              </w:rPr>
              <w:t>4.15*</w:t>
            </w:r>
          </w:p>
        </w:tc>
        <w:tc>
          <w:tcPr>
            <w:tcW w:w="400" w:type="dxa"/>
            <w:vAlign w:val="bottom"/>
          </w:tcPr>
          <w:p>
            <w:pPr>
              <w:spacing w:after="0"/>
              <w:rPr>
                <w:sz w:val="22"/>
                <w:szCs w:val="22"/>
                <w:color w:val="auto"/>
              </w:rPr>
            </w:pPr>
          </w:p>
        </w:tc>
        <w:tc>
          <w:tcPr>
            <w:tcW w:w="5560" w:type="dxa"/>
            <w:vAlign w:val="bottom"/>
            <w:tcBorders>
              <w:bottom w:val="single" w:sz="8" w:color="0000EE"/>
            </w:tcBorders>
            <w:gridSpan w:val="25"/>
          </w:tcPr>
          <w:p>
            <w:pPr>
              <w:spacing w:after="0"/>
              <w:rPr>
                <w:rFonts w:ascii="Arial" w:cs="Arial" w:eastAsia="Arial" w:hAnsi="Arial"/>
                <w:sz w:val="18"/>
                <w:szCs w:val="18"/>
                <w:color w:val="0000EE"/>
                <w:w w:val="89"/>
              </w:rPr>
            </w:pPr>
            <w:hyperlink r:id="rId242">
              <w:r>
                <w:rPr>
                  <w:rFonts w:ascii="Arial" w:cs="Arial" w:eastAsia="Arial" w:hAnsi="Arial"/>
                  <w:sz w:val="18"/>
                  <w:szCs w:val="18"/>
                  <w:color w:val="0000EE"/>
                  <w:w w:val="89"/>
                </w:rPr>
                <w:t>Multi-Year Packaging Agreement dated December 1, 2019 between Ascendis</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25"/>
          </w:tcPr>
          <w:p>
            <w:pPr>
              <w:spacing w:after="0" w:line="195" w:lineRule="exact"/>
              <w:rPr>
                <w:rFonts w:ascii="Arial" w:cs="Arial" w:eastAsia="Arial" w:hAnsi="Arial"/>
                <w:sz w:val="18"/>
                <w:szCs w:val="18"/>
                <w:color w:val="0000EE"/>
              </w:rPr>
            </w:pPr>
            <w:hyperlink r:id="rId242">
              <w:r>
                <w:rPr>
                  <w:rFonts w:ascii="Arial" w:cs="Arial" w:eastAsia="Arial" w:hAnsi="Arial"/>
                  <w:sz w:val="18"/>
                  <w:szCs w:val="18"/>
                  <w:color w:val="0000EE"/>
                </w:rPr>
                <w:t>Pharma A/S and Sharp Corporation.</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4.16*</w:t>
            </w:r>
          </w:p>
        </w:tc>
        <w:tc>
          <w:tcPr>
            <w:tcW w:w="400" w:type="dxa"/>
            <w:vAlign w:val="bottom"/>
          </w:tcPr>
          <w:p>
            <w:pPr>
              <w:spacing w:after="0"/>
              <w:rPr>
                <w:sz w:val="24"/>
                <w:szCs w:val="24"/>
                <w:color w:val="auto"/>
              </w:rPr>
            </w:pPr>
          </w:p>
        </w:tc>
        <w:tc>
          <w:tcPr>
            <w:tcW w:w="5560" w:type="dxa"/>
            <w:vAlign w:val="bottom"/>
            <w:gridSpan w:val="25"/>
          </w:tcPr>
          <w:p>
            <w:pPr>
              <w:spacing w:after="0"/>
              <w:rPr>
                <w:rFonts w:ascii="Arial" w:cs="Arial" w:eastAsia="Arial" w:hAnsi="Arial"/>
                <w:sz w:val="18"/>
                <w:szCs w:val="18"/>
                <w:color w:val="0000EE"/>
                <w:w w:val="93"/>
              </w:rPr>
            </w:pPr>
            <w:hyperlink w:anchor="page220">
              <w:r>
                <w:rPr>
                  <w:rFonts w:ascii="Arial" w:cs="Arial" w:eastAsia="Arial" w:hAnsi="Arial"/>
                  <w:sz w:val="18"/>
                  <w:szCs w:val="18"/>
                  <w:color w:val="0000EE"/>
                  <w:w w:val="93"/>
                </w:rPr>
                <w:t>Manufacturing and Supply Agreement dated December 27, 2020, between</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6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color w:val="0000EE"/>
                <w:w w:val="89"/>
              </w:rPr>
            </w:pPr>
            <w:hyperlink w:anchor="page220">
              <w:r>
                <w:rPr>
                  <w:rFonts w:ascii="Arial" w:cs="Arial" w:eastAsia="Arial" w:hAnsi="Arial"/>
                  <w:sz w:val="18"/>
                  <w:szCs w:val="18"/>
                  <w:color w:val="0000EE"/>
                  <w:w w:val="89"/>
                </w:rPr>
                <w:t>Ascendis Pharma A/S and Bachem AG.</w:t>
              </w:r>
            </w:hyperlink>
          </w:p>
        </w:tc>
        <w:tc>
          <w:tcPr>
            <w:tcW w:w="2460" w:type="dxa"/>
            <w:vAlign w:val="bottom"/>
            <w:tcBorders>
              <w:top w:val="single" w:sz="8" w:color="0000EE"/>
            </w:tcBorders>
            <w:gridSpan w:val="14"/>
          </w:tcPr>
          <w:p>
            <w:pPr>
              <w:spacing w:after="0"/>
              <w:rPr>
                <w:sz w:val="16"/>
                <w:szCs w:val="16"/>
                <w:color w:val="auto"/>
              </w:rPr>
            </w:pPr>
          </w:p>
        </w:tc>
        <w:tc>
          <w:tcPr>
            <w:tcW w:w="2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4.17*</w:t>
            </w:r>
          </w:p>
        </w:tc>
        <w:tc>
          <w:tcPr>
            <w:tcW w:w="400" w:type="dxa"/>
            <w:vAlign w:val="bottom"/>
          </w:tcPr>
          <w:p>
            <w:pPr>
              <w:spacing w:after="0"/>
              <w:rPr>
                <w:sz w:val="24"/>
                <w:szCs w:val="24"/>
                <w:color w:val="auto"/>
              </w:rPr>
            </w:pPr>
          </w:p>
        </w:tc>
        <w:tc>
          <w:tcPr>
            <w:tcW w:w="5560" w:type="dxa"/>
            <w:vAlign w:val="bottom"/>
            <w:gridSpan w:val="25"/>
          </w:tcPr>
          <w:p>
            <w:pPr>
              <w:spacing w:after="0"/>
              <w:rPr>
                <w:rFonts w:ascii="Arial" w:cs="Arial" w:eastAsia="Arial" w:hAnsi="Arial"/>
                <w:sz w:val="18"/>
                <w:szCs w:val="18"/>
                <w:color w:val="0000EE"/>
              </w:rPr>
            </w:pPr>
            <w:hyperlink w:anchor="page246">
              <w:r>
                <w:rPr>
                  <w:rFonts w:ascii="Arial" w:cs="Arial" w:eastAsia="Arial" w:hAnsi="Arial"/>
                  <w:sz w:val="18"/>
                  <w:szCs w:val="18"/>
                  <w:color w:val="0000EE"/>
                </w:rPr>
                <w:t>Manufacturing and Supply Agreement dated May 27, 2021, between</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8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90"/>
              </w:rPr>
            </w:pPr>
            <w:hyperlink w:anchor="page246">
              <w:r>
                <w:rPr>
                  <w:rFonts w:ascii="Arial" w:cs="Arial" w:eastAsia="Arial" w:hAnsi="Arial"/>
                  <w:sz w:val="18"/>
                  <w:szCs w:val="18"/>
                  <w:color w:val="0000EE"/>
                  <w:w w:val="90"/>
                </w:rPr>
                <w:t>Ascendis Pharma A/S and Carbogen Amcis AG.</w:t>
              </w:r>
            </w:hyperlink>
          </w:p>
        </w:tc>
        <w:tc>
          <w:tcPr>
            <w:tcW w:w="1440" w:type="dxa"/>
            <w:vAlign w:val="bottom"/>
            <w:tcBorders>
              <w:top w:val="single" w:sz="8" w:color="0000EE"/>
            </w:tcBorders>
            <w:gridSpan w:val="5"/>
          </w:tcPr>
          <w:p>
            <w:pPr>
              <w:spacing w:after="0"/>
              <w:rPr>
                <w:sz w:val="16"/>
                <w:szCs w:val="16"/>
                <w:color w:val="auto"/>
              </w:rPr>
            </w:pPr>
          </w:p>
        </w:tc>
        <w:tc>
          <w:tcPr>
            <w:tcW w:w="6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4.18*</w:t>
            </w:r>
          </w:p>
        </w:tc>
        <w:tc>
          <w:tcPr>
            <w:tcW w:w="400" w:type="dxa"/>
            <w:vAlign w:val="bottom"/>
          </w:tcPr>
          <w:p>
            <w:pPr>
              <w:spacing w:after="0"/>
              <w:rPr>
                <w:sz w:val="24"/>
                <w:szCs w:val="24"/>
                <w:color w:val="auto"/>
              </w:rPr>
            </w:pPr>
          </w:p>
        </w:tc>
        <w:tc>
          <w:tcPr>
            <w:tcW w:w="5560" w:type="dxa"/>
            <w:vAlign w:val="bottom"/>
            <w:gridSpan w:val="25"/>
          </w:tcPr>
          <w:p>
            <w:pPr>
              <w:spacing w:after="0"/>
              <w:rPr>
                <w:rFonts w:ascii="Arial" w:cs="Arial" w:eastAsia="Arial" w:hAnsi="Arial"/>
                <w:sz w:val="18"/>
                <w:szCs w:val="18"/>
                <w:color w:val="0000EE"/>
                <w:w w:val="98"/>
              </w:rPr>
            </w:pPr>
            <w:hyperlink w:anchor="page276">
              <w:r>
                <w:rPr>
                  <w:rFonts w:ascii="Arial" w:cs="Arial" w:eastAsia="Arial" w:hAnsi="Arial"/>
                  <w:sz w:val="18"/>
                  <w:szCs w:val="18"/>
                  <w:color w:val="0000EE"/>
                  <w:w w:val="98"/>
                </w:rPr>
                <w:t>Manufacturing and Supply Agreement dated August 31, 2020 between</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6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w:anchor="page276">
              <w:r>
                <w:rPr>
                  <w:rFonts w:ascii="Arial" w:cs="Arial" w:eastAsia="Arial" w:hAnsi="Arial"/>
                  <w:sz w:val="18"/>
                  <w:szCs w:val="18"/>
                  <w:color w:val="0000EE"/>
                </w:rPr>
                <w:t>Ascendis Pharma A/S and NOF Corporation.</w:t>
              </w:r>
            </w:hyperlink>
          </w:p>
        </w:tc>
        <w:tc>
          <w:tcPr>
            <w:tcW w:w="5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4.19*</w:t>
            </w:r>
          </w:p>
        </w:tc>
        <w:tc>
          <w:tcPr>
            <w:tcW w:w="400" w:type="dxa"/>
            <w:vAlign w:val="bottom"/>
          </w:tcPr>
          <w:p>
            <w:pPr>
              <w:spacing w:after="0"/>
              <w:rPr>
                <w:sz w:val="24"/>
                <w:szCs w:val="24"/>
                <w:color w:val="auto"/>
              </w:rPr>
            </w:pPr>
          </w:p>
        </w:tc>
        <w:tc>
          <w:tcPr>
            <w:tcW w:w="5560" w:type="dxa"/>
            <w:vAlign w:val="bottom"/>
            <w:gridSpan w:val="25"/>
          </w:tcPr>
          <w:p>
            <w:pPr>
              <w:spacing w:after="0"/>
              <w:rPr>
                <w:rFonts w:ascii="Arial" w:cs="Arial" w:eastAsia="Arial" w:hAnsi="Arial"/>
                <w:sz w:val="18"/>
                <w:szCs w:val="18"/>
                <w:color w:val="0000EE"/>
                <w:w w:val="91"/>
              </w:rPr>
            </w:pPr>
            <w:hyperlink r:id="rId243">
              <w:r>
                <w:rPr>
                  <w:rFonts w:ascii="Arial" w:cs="Arial" w:eastAsia="Arial" w:hAnsi="Arial"/>
                  <w:sz w:val="18"/>
                  <w:szCs w:val="18"/>
                  <w:color w:val="0000EE"/>
                  <w:w w:val="91"/>
                </w:rPr>
                <w:t>Amended and Restated Shareholders Agreement dated January 8, 2021, by</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Borders>
              <w:top w:val="single" w:sz="8" w:color="0000EE"/>
              <w:bottom w:val="single" w:sz="8" w:color="0000EE"/>
            </w:tcBorders>
            <w:gridSpan w:val="14"/>
          </w:tcPr>
          <w:p>
            <w:pPr>
              <w:spacing w:after="0" w:line="195" w:lineRule="exact"/>
              <w:rPr>
                <w:rFonts w:ascii="Arial" w:cs="Arial" w:eastAsia="Arial" w:hAnsi="Arial"/>
                <w:sz w:val="18"/>
                <w:szCs w:val="18"/>
                <w:color w:val="0000EE"/>
                <w:w w:val="88"/>
              </w:rPr>
            </w:pPr>
            <w:hyperlink r:id="rId243">
              <w:r>
                <w:rPr>
                  <w:rFonts w:ascii="Arial" w:cs="Arial" w:eastAsia="Arial" w:hAnsi="Arial"/>
                  <w:sz w:val="18"/>
                  <w:szCs w:val="18"/>
                  <w:color w:val="0000EE"/>
                  <w:w w:val="88"/>
                </w:rPr>
                <w:t>and among Ascendis Pharma A/S and the parties set forth therein.</w:t>
              </w:r>
            </w:hyperlink>
          </w:p>
        </w:tc>
        <w:tc>
          <w:tcPr>
            <w:tcW w:w="640" w:type="dxa"/>
            <w:vAlign w:val="bottom"/>
            <w:tcBorders>
              <w:top w:val="single" w:sz="8" w:color="0000EE"/>
            </w:tcBorders>
            <w:gridSpan w:val="10"/>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4.20*</w:t>
            </w:r>
          </w:p>
        </w:tc>
        <w:tc>
          <w:tcPr>
            <w:tcW w:w="400" w:type="dxa"/>
            <w:vAlign w:val="bottom"/>
          </w:tcPr>
          <w:p>
            <w:pPr>
              <w:spacing w:after="0"/>
              <w:rPr>
                <w:sz w:val="24"/>
                <w:szCs w:val="24"/>
                <w:color w:val="auto"/>
              </w:rPr>
            </w:pPr>
          </w:p>
        </w:tc>
        <w:tc>
          <w:tcPr>
            <w:tcW w:w="5220" w:type="dxa"/>
            <w:vAlign w:val="bottom"/>
            <w:tcBorders>
              <w:bottom w:val="single" w:sz="8" w:color="0000EE"/>
            </w:tcBorders>
            <w:gridSpan w:val="18"/>
          </w:tcPr>
          <w:p>
            <w:pPr>
              <w:spacing w:after="0"/>
              <w:rPr>
                <w:rFonts w:ascii="Arial" w:cs="Arial" w:eastAsia="Arial" w:hAnsi="Arial"/>
                <w:sz w:val="18"/>
                <w:szCs w:val="18"/>
                <w:color w:val="0000EE"/>
                <w:w w:val="89"/>
              </w:rPr>
            </w:pPr>
            <w:hyperlink r:id="rId244">
              <w:r>
                <w:rPr>
                  <w:rFonts w:ascii="Arial" w:cs="Arial" w:eastAsia="Arial" w:hAnsi="Arial"/>
                  <w:sz w:val="18"/>
                  <w:szCs w:val="18"/>
                  <w:color w:val="0000EE"/>
                  <w:w w:val="89"/>
                </w:rPr>
                <w:t>Amendment Letter to the Exclusive Licence Agreement dated January 4,</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25"/>
          </w:tcPr>
          <w:p>
            <w:pPr>
              <w:spacing w:after="0" w:line="195" w:lineRule="exact"/>
              <w:rPr>
                <w:rFonts w:ascii="Arial" w:cs="Arial" w:eastAsia="Arial" w:hAnsi="Arial"/>
                <w:sz w:val="18"/>
                <w:szCs w:val="18"/>
                <w:color w:val="0000EE"/>
              </w:rPr>
            </w:pPr>
            <w:hyperlink r:id="rId244">
              <w:r>
                <w:rPr>
                  <w:rFonts w:ascii="Arial" w:cs="Arial" w:eastAsia="Arial" w:hAnsi="Arial"/>
                  <w:sz w:val="18"/>
                  <w:szCs w:val="18"/>
                  <w:color w:val="0000EE"/>
                </w:rPr>
                <w:t>2021 between Ascendis Pharma Growth Disorders A/S and VISEN</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90"/>
              </w:rPr>
            </w:pPr>
            <w:hyperlink r:id="rId244">
              <w:r>
                <w:rPr>
                  <w:rFonts w:ascii="Arial" w:cs="Arial" w:eastAsia="Arial" w:hAnsi="Arial"/>
                  <w:sz w:val="18"/>
                  <w:szCs w:val="18"/>
                  <w:color w:val="0000EE"/>
                  <w:w w:val="90"/>
                </w:rPr>
                <w:t>Pharmaceuticals (CNP).</w:t>
              </w:r>
            </w:hyperlink>
          </w:p>
        </w:tc>
        <w:tc>
          <w:tcPr>
            <w:tcW w:w="3060" w:type="dxa"/>
            <w:vAlign w:val="bottom"/>
            <w:tcBorders>
              <w:top w:val="single" w:sz="8" w:color="0000EE"/>
            </w:tcBorders>
            <w:gridSpan w:val="11"/>
          </w:tcPr>
          <w:p>
            <w:pPr>
              <w:spacing w:after="0"/>
              <w:rPr>
                <w:sz w:val="16"/>
                <w:szCs w:val="16"/>
                <w:color w:val="auto"/>
              </w:rPr>
            </w:pPr>
          </w:p>
        </w:tc>
        <w:tc>
          <w:tcPr>
            <w:tcW w:w="7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4.21*</w:t>
            </w:r>
          </w:p>
        </w:tc>
        <w:tc>
          <w:tcPr>
            <w:tcW w:w="400" w:type="dxa"/>
            <w:vAlign w:val="bottom"/>
          </w:tcPr>
          <w:p>
            <w:pPr>
              <w:spacing w:after="0"/>
              <w:rPr>
                <w:sz w:val="24"/>
                <w:szCs w:val="24"/>
                <w:color w:val="auto"/>
              </w:rPr>
            </w:pPr>
          </w:p>
        </w:tc>
        <w:tc>
          <w:tcPr>
            <w:tcW w:w="5240" w:type="dxa"/>
            <w:vAlign w:val="bottom"/>
            <w:tcBorders>
              <w:bottom w:val="single" w:sz="8" w:color="0000EE"/>
            </w:tcBorders>
            <w:gridSpan w:val="19"/>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Amendment Letter to the Exclusive Licence Agreement dated January 4,</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25"/>
          </w:tcPr>
          <w:p>
            <w:pPr>
              <w:spacing w:after="0" w:line="195" w:lineRule="exact"/>
              <w:rPr>
                <w:rFonts w:ascii="Arial" w:cs="Arial" w:eastAsia="Arial" w:hAnsi="Arial"/>
                <w:sz w:val="18"/>
                <w:szCs w:val="18"/>
                <w:color w:val="0000EE"/>
                <w:w w:val="96"/>
              </w:rPr>
            </w:pPr>
            <w:hyperlink r:id="rId245">
              <w:r>
                <w:rPr>
                  <w:rFonts w:ascii="Arial" w:cs="Arial" w:eastAsia="Arial" w:hAnsi="Arial"/>
                  <w:sz w:val="18"/>
                  <w:szCs w:val="18"/>
                  <w:color w:val="0000EE"/>
                  <w:w w:val="96"/>
                </w:rPr>
                <w:t>2021 between Ascendis Pharma Endocrinology Division A/S and VISEN</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9"/>
              </w:rPr>
            </w:pPr>
            <w:hyperlink r:id="rId245">
              <w:r>
                <w:rPr>
                  <w:rFonts w:ascii="Arial" w:cs="Arial" w:eastAsia="Arial" w:hAnsi="Arial"/>
                  <w:sz w:val="18"/>
                  <w:szCs w:val="18"/>
                  <w:color w:val="0000EE"/>
                  <w:w w:val="89"/>
                </w:rPr>
                <w:t>Pharmaceuticals (hGH).</w:t>
              </w:r>
            </w:hyperlink>
          </w:p>
        </w:tc>
        <w:tc>
          <w:tcPr>
            <w:tcW w:w="3520" w:type="dxa"/>
            <w:vAlign w:val="bottom"/>
            <w:tcBorders>
              <w:top w:val="single" w:sz="8" w:color="0000EE"/>
            </w:tcBorders>
            <w:gridSpan w:val="17"/>
          </w:tcPr>
          <w:p>
            <w:pPr>
              <w:spacing w:after="0"/>
              <w:rPr>
                <w:sz w:val="16"/>
                <w:szCs w:val="16"/>
                <w:color w:val="auto"/>
              </w:rPr>
            </w:pPr>
          </w:p>
        </w:tc>
        <w:tc>
          <w:tcPr>
            <w:tcW w:w="3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24"/>
                <w:szCs w:val="24"/>
                <w:color w:val="auto"/>
              </w:rPr>
            </w:pPr>
          </w:p>
        </w:tc>
        <w:tc>
          <w:tcPr>
            <w:tcW w:w="5220" w:type="dxa"/>
            <w:vAlign w:val="bottom"/>
            <w:tcBorders>
              <w:bottom w:val="single" w:sz="8" w:color="0000EE"/>
            </w:tcBorders>
            <w:gridSpan w:val="18"/>
          </w:tcPr>
          <w:p>
            <w:pPr>
              <w:spacing w:after="0"/>
              <w:rPr>
                <w:rFonts w:ascii="Arial" w:cs="Arial" w:eastAsia="Arial" w:hAnsi="Arial"/>
                <w:sz w:val="18"/>
                <w:szCs w:val="18"/>
                <w:color w:val="0000EE"/>
                <w:w w:val="89"/>
              </w:rPr>
            </w:pPr>
            <w:hyperlink r:id="rId246">
              <w:r>
                <w:rPr>
                  <w:rFonts w:ascii="Arial" w:cs="Arial" w:eastAsia="Arial" w:hAnsi="Arial"/>
                  <w:sz w:val="18"/>
                  <w:szCs w:val="18"/>
                  <w:color w:val="0000EE"/>
                  <w:w w:val="89"/>
                </w:rPr>
                <w:t>Amendment Letter to the Exclusive Licence Agreement dated January 4,</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25"/>
          </w:tcPr>
          <w:p>
            <w:pPr>
              <w:spacing w:after="0" w:line="195" w:lineRule="exact"/>
              <w:rPr>
                <w:rFonts w:ascii="Arial" w:cs="Arial" w:eastAsia="Arial" w:hAnsi="Arial"/>
                <w:sz w:val="18"/>
                <w:szCs w:val="18"/>
                <w:color w:val="0000EE"/>
              </w:rPr>
            </w:pPr>
            <w:hyperlink r:id="rId246">
              <w:r>
                <w:rPr>
                  <w:rFonts w:ascii="Arial" w:cs="Arial" w:eastAsia="Arial" w:hAnsi="Arial"/>
                  <w:sz w:val="18"/>
                  <w:szCs w:val="18"/>
                  <w:color w:val="0000EE"/>
                </w:rPr>
                <w:t>2021 between Ascendis Pharma Bone Diseases A/S and VISEN</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8"/>
              </w:rPr>
            </w:pPr>
            <w:hyperlink r:id="rId246">
              <w:r>
                <w:rPr>
                  <w:rFonts w:ascii="Arial" w:cs="Arial" w:eastAsia="Arial" w:hAnsi="Arial"/>
                  <w:sz w:val="18"/>
                  <w:szCs w:val="18"/>
                  <w:color w:val="0000EE"/>
                  <w:w w:val="88"/>
                </w:rPr>
                <w:t>Pharmaceuticals (PTH).</w:t>
              </w:r>
            </w:hyperlink>
          </w:p>
        </w:tc>
        <w:tc>
          <w:tcPr>
            <w:tcW w:w="2860" w:type="dxa"/>
            <w:vAlign w:val="bottom"/>
            <w:tcBorders>
              <w:top w:val="single" w:sz="8" w:color="0000EE"/>
            </w:tcBorders>
            <w:gridSpan w:val="11"/>
          </w:tcPr>
          <w:p>
            <w:pPr>
              <w:spacing w:after="0"/>
              <w:rPr>
                <w:sz w:val="16"/>
                <w:szCs w:val="16"/>
                <w:color w:val="auto"/>
              </w:rPr>
            </w:pPr>
          </w:p>
        </w:tc>
        <w:tc>
          <w:tcPr>
            <w:tcW w:w="9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4.23</w:t>
            </w:r>
          </w:p>
        </w:tc>
        <w:tc>
          <w:tcPr>
            <w:tcW w:w="400" w:type="dxa"/>
            <w:vAlign w:val="bottom"/>
          </w:tcPr>
          <w:p>
            <w:pPr>
              <w:spacing w:after="0"/>
              <w:rPr>
                <w:sz w:val="24"/>
                <w:szCs w:val="24"/>
                <w:color w:val="auto"/>
              </w:rPr>
            </w:pPr>
          </w:p>
        </w:tc>
        <w:tc>
          <w:tcPr>
            <w:tcW w:w="5560" w:type="dxa"/>
            <w:vAlign w:val="bottom"/>
            <w:gridSpan w:val="25"/>
          </w:tcPr>
          <w:p>
            <w:pPr>
              <w:spacing w:after="0"/>
              <w:rPr>
                <w:rFonts w:ascii="Arial" w:cs="Arial" w:eastAsia="Arial" w:hAnsi="Arial"/>
                <w:sz w:val="18"/>
                <w:szCs w:val="18"/>
                <w:color w:val="0000EE"/>
              </w:rPr>
            </w:pPr>
            <w:hyperlink r:id="rId247">
              <w:r>
                <w:rPr>
                  <w:rFonts w:ascii="Arial" w:cs="Arial" w:eastAsia="Arial" w:hAnsi="Arial"/>
                  <w:sz w:val="18"/>
                  <w:szCs w:val="18"/>
                  <w:color w:val="0000EE"/>
                </w:rPr>
                <w:t>Ascendis Pharma A/S Restricted Stock Unit Program.</w:t>
              </w:r>
            </w:hyperlink>
          </w:p>
        </w:tc>
        <w:tc>
          <w:tcPr>
            <w:tcW w:w="0" w:type="dxa"/>
            <w:vAlign w:val="bottom"/>
          </w:tcPr>
          <w:p>
            <w:pPr>
              <w:spacing w:after="0"/>
              <w:rPr>
                <w:sz w:val="1"/>
                <w:szCs w:val="1"/>
                <w:color w:val="auto"/>
              </w:rPr>
            </w:pPr>
          </w:p>
        </w:tc>
      </w:tr>
      <w:tr>
        <w:trPr>
          <w:trHeight w:val="303"/>
        </w:trPr>
        <w:tc>
          <w:tcPr>
            <w:tcW w:w="280" w:type="dxa"/>
            <w:vAlign w:val="bottom"/>
          </w:tcPr>
          <w:p>
            <w:pPr>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r:id="rId248">
              <w:r>
                <w:rPr>
                  <w:rFonts w:ascii="Arial" w:cs="Arial" w:eastAsia="Arial" w:hAnsi="Arial"/>
                  <w:sz w:val="18"/>
                  <w:szCs w:val="18"/>
                  <w:color w:val="0000EE"/>
                  <w:w w:val="90"/>
                </w:rPr>
                <w:t>List of Subsidiaries.</w:t>
              </w:r>
            </w:hyperlink>
          </w:p>
        </w:tc>
        <w:tc>
          <w:tcPr>
            <w:tcW w:w="2420" w:type="dxa"/>
            <w:vAlign w:val="bottom"/>
            <w:tcBorders>
              <w:top w:val="single" w:sz="8" w:color="0000EE"/>
            </w:tcBorders>
            <w:gridSpan w:val="11"/>
          </w:tcPr>
          <w:p>
            <w:pPr>
              <w:spacing w:after="0"/>
              <w:rPr>
                <w:sz w:val="24"/>
                <w:szCs w:val="24"/>
                <w:color w:val="auto"/>
              </w:rPr>
            </w:pPr>
          </w:p>
        </w:tc>
        <w:tc>
          <w:tcPr>
            <w:tcW w:w="1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24"/>
                <w:szCs w:val="24"/>
                <w:color w:val="auto"/>
              </w:rPr>
            </w:pPr>
          </w:p>
        </w:tc>
        <w:tc>
          <w:tcPr>
            <w:tcW w:w="5560" w:type="dxa"/>
            <w:vAlign w:val="bottom"/>
            <w:gridSpan w:val="25"/>
          </w:tcPr>
          <w:p>
            <w:pPr>
              <w:spacing w:after="0"/>
              <w:rPr>
                <w:rFonts w:ascii="Arial" w:cs="Arial" w:eastAsia="Arial" w:hAnsi="Arial"/>
                <w:sz w:val="18"/>
                <w:szCs w:val="18"/>
                <w:color w:val="0000EE"/>
                <w:w w:val="95"/>
              </w:rPr>
            </w:pPr>
            <w:hyperlink w:anchor="page304">
              <w:r>
                <w:rPr>
                  <w:rFonts w:ascii="Arial" w:cs="Arial" w:eastAsia="Arial" w:hAnsi="Arial"/>
                  <w:sz w:val="18"/>
                  <w:szCs w:val="18"/>
                  <w:color w:val="0000EE"/>
                  <w:w w:val="95"/>
                </w:rPr>
                <w:t>Certification by Principal Executive Officer Pursuant to Section 302 of the</w:t>
              </w:r>
            </w:hyperlink>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40" w:type="dxa"/>
            <w:vAlign w:val="bottom"/>
            <w:tcBorders>
              <w:top w:val="single" w:sz="8" w:color="0000EE"/>
            </w:tcBorders>
            <w:gridSpan w:val="23"/>
          </w:tcPr>
          <w:p>
            <w:pPr>
              <w:spacing w:after="0" w:line="195" w:lineRule="exact"/>
              <w:rPr>
                <w:rFonts w:ascii="Arial" w:cs="Arial" w:eastAsia="Arial" w:hAnsi="Arial"/>
                <w:sz w:val="18"/>
                <w:szCs w:val="18"/>
                <w:color w:val="0000EE"/>
              </w:rPr>
            </w:pPr>
            <w:hyperlink w:anchor="page304">
              <w:r>
                <w:rPr>
                  <w:rFonts w:ascii="Arial" w:cs="Arial" w:eastAsia="Arial" w:hAnsi="Arial"/>
                  <w:sz w:val="18"/>
                  <w:szCs w:val="18"/>
                  <w:color w:val="0000EE"/>
                </w:rPr>
                <w:t>Sarbanes-Oxley Act of 2002.</w:t>
              </w:r>
            </w:hyperlink>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220" w:type="dxa"/>
            <w:vAlign w:val="bottom"/>
            <w:gridSpan w:val="1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24"/>
                <w:szCs w:val="24"/>
                <w:color w:val="auto"/>
              </w:rPr>
            </w:pPr>
          </w:p>
        </w:tc>
        <w:tc>
          <w:tcPr>
            <w:tcW w:w="530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305">
              <w:r>
                <w:rPr>
                  <w:rFonts w:ascii="Arial" w:cs="Arial" w:eastAsia="Arial" w:hAnsi="Arial"/>
                  <w:sz w:val="18"/>
                  <w:szCs w:val="18"/>
                  <w:color w:val="0000EE"/>
                  <w:w w:val="91"/>
                </w:rPr>
                <w:t>Certification by Principal Financial Officer Pursuant to Section 302 of the</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25"/>
          </w:tcPr>
          <w:p>
            <w:pPr>
              <w:spacing w:after="0" w:line="195" w:lineRule="exact"/>
              <w:rPr>
                <w:rFonts w:ascii="Arial" w:cs="Arial" w:eastAsia="Arial" w:hAnsi="Arial"/>
                <w:sz w:val="18"/>
                <w:szCs w:val="18"/>
                <w:color w:val="0000EE"/>
              </w:rPr>
            </w:pPr>
            <w:hyperlink w:anchor="page305">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28"/>
        </w:trPr>
        <w:tc>
          <w:tcPr>
            <w:tcW w:w="40" w:type="dxa"/>
            <w:vAlign w:val="bottom"/>
            <w:tcBorders>
              <w:top w:val="single" w:sz="8" w:color="auto"/>
            </w:tcBorders>
            <w:vMerge w:val="restart"/>
          </w:tcPr>
          <w:p>
            <w:pPr>
              <w:spacing w:after="0"/>
              <w:rPr>
                <w:sz w:val="11"/>
                <w:szCs w:val="11"/>
                <w:color w:val="auto"/>
              </w:rPr>
            </w:pPr>
          </w:p>
        </w:tc>
        <w:tc>
          <w:tcPr>
            <w:tcW w:w="4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74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Provided</w:t>
            </w:r>
          </w:p>
        </w:tc>
        <w:tc>
          <w:tcPr>
            <w:tcW w:w="0" w:type="dxa"/>
            <w:vAlign w:val="bottom"/>
          </w:tcPr>
          <w:p>
            <w:pPr>
              <w:spacing w:after="0"/>
              <w:rPr>
                <w:sz w:val="1"/>
                <w:szCs w:val="1"/>
                <w:color w:val="auto"/>
              </w:rPr>
            </w:pPr>
          </w:p>
        </w:tc>
      </w:tr>
      <w:tr>
        <w:trPr>
          <w:trHeight w:val="184"/>
        </w:trPr>
        <w:tc>
          <w:tcPr>
            <w:tcW w:w="4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File Number    Herewith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0" w:type="dxa"/>
            <w:vAlign w:val="bottom"/>
          </w:tcPr>
          <w:p>
            <w:pPr>
              <w:spacing w:after="0"/>
              <w:rPr>
                <w:sz w:val="24"/>
                <w:szCs w:val="2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1"/>
              </w:rPr>
              <w:t>4/2/2020</w:t>
            </w:r>
          </w:p>
        </w:tc>
        <w:tc>
          <w:tcPr>
            <w:tcW w:w="620" w:type="dxa"/>
            <w:vAlign w:val="bottom"/>
            <w:gridSpan w:val="2"/>
          </w:tcPr>
          <w:p>
            <w:pPr>
              <w:jc w:val="center"/>
              <w:ind w:left="33"/>
              <w:spacing w:after="0"/>
              <w:rPr>
                <w:sz w:val="20"/>
                <w:szCs w:val="20"/>
                <w:color w:val="auto"/>
              </w:rPr>
            </w:pPr>
            <w:r>
              <w:rPr>
                <w:rFonts w:ascii="Arial" w:cs="Arial" w:eastAsia="Arial" w:hAnsi="Arial"/>
                <w:sz w:val="18"/>
                <w:szCs w:val="18"/>
                <w:color w:val="auto"/>
                <w:w w:val="85"/>
              </w:rPr>
              <w:t>4.17</w:t>
            </w:r>
          </w:p>
        </w:tc>
        <w:tc>
          <w:tcPr>
            <w:tcW w:w="120" w:type="dxa"/>
            <w:vAlign w:val="bottom"/>
          </w:tcPr>
          <w:p>
            <w:pPr>
              <w:spacing w:after="0"/>
              <w:rPr>
                <w:sz w:val="24"/>
                <w:szCs w:val="24"/>
                <w:color w:val="auto"/>
              </w:rPr>
            </w:pPr>
          </w:p>
        </w:tc>
        <w:tc>
          <w:tcPr>
            <w:tcW w:w="9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3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3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38"/>
        </w:trPr>
        <w:tc>
          <w:tcPr>
            <w:tcW w:w="40" w:type="dxa"/>
            <w:vAlign w:val="bottom"/>
          </w:tcPr>
          <w:p>
            <w:pPr>
              <w:spacing w:after="0"/>
              <w:rPr>
                <w:sz w:val="24"/>
                <w:szCs w:val="2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2"/>
              </w:rPr>
              <w:t>3/10/2021</w:t>
            </w:r>
          </w:p>
        </w:tc>
        <w:tc>
          <w:tcPr>
            <w:tcW w:w="620" w:type="dxa"/>
            <w:vAlign w:val="bottom"/>
            <w:gridSpan w:val="2"/>
          </w:tcPr>
          <w:p>
            <w:pPr>
              <w:jc w:val="center"/>
              <w:ind w:left="33"/>
              <w:spacing w:after="0"/>
              <w:rPr>
                <w:sz w:val="20"/>
                <w:szCs w:val="20"/>
                <w:color w:val="auto"/>
              </w:rPr>
            </w:pPr>
            <w:r>
              <w:rPr>
                <w:rFonts w:ascii="Arial" w:cs="Arial" w:eastAsia="Arial" w:hAnsi="Arial"/>
                <w:sz w:val="18"/>
                <w:szCs w:val="18"/>
                <w:color w:val="auto"/>
                <w:w w:val="85"/>
              </w:rPr>
              <w:t>4.17</w:t>
            </w:r>
          </w:p>
        </w:tc>
        <w:tc>
          <w:tcPr>
            <w:tcW w:w="120" w:type="dxa"/>
            <w:vAlign w:val="bottom"/>
          </w:tcPr>
          <w:p>
            <w:pPr>
              <w:spacing w:after="0"/>
              <w:rPr>
                <w:sz w:val="24"/>
                <w:szCs w:val="24"/>
                <w:color w:val="auto"/>
              </w:rPr>
            </w:pPr>
          </w:p>
        </w:tc>
        <w:tc>
          <w:tcPr>
            <w:tcW w:w="9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40" w:type="dxa"/>
            <w:vAlign w:val="bottom"/>
          </w:tcPr>
          <w:p>
            <w:pPr>
              <w:spacing w:after="0"/>
              <w:rPr>
                <w:sz w:val="24"/>
                <w:szCs w:val="2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2"/>
              </w:rPr>
              <w:t>3/10/2021</w:t>
            </w:r>
          </w:p>
        </w:tc>
        <w:tc>
          <w:tcPr>
            <w:tcW w:w="620" w:type="dxa"/>
            <w:vAlign w:val="bottom"/>
            <w:gridSpan w:val="2"/>
          </w:tcPr>
          <w:p>
            <w:pPr>
              <w:jc w:val="center"/>
              <w:ind w:left="33"/>
              <w:spacing w:after="0"/>
              <w:rPr>
                <w:sz w:val="20"/>
                <w:szCs w:val="20"/>
                <w:color w:val="auto"/>
              </w:rPr>
            </w:pPr>
            <w:r>
              <w:rPr>
                <w:rFonts w:ascii="Arial" w:cs="Arial" w:eastAsia="Arial" w:hAnsi="Arial"/>
                <w:sz w:val="18"/>
                <w:szCs w:val="18"/>
                <w:color w:val="auto"/>
                <w:w w:val="85"/>
              </w:rPr>
              <w:t>4.18</w:t>
            </w:r>
          </w:p>
        </w:tc>
        <w:tc>
          <w:tcPr>
            <w:tcW w:w="120" w:type="dxa"/>
            <w:vAlign w:val="bottom"/>
          </w:tcPr>
          <w:p>
            <w:pPr>
              <w:spacing w:after="0"/>
              <w:rPr>
                <w:sz w:val="24"/>
                <w:szCs w:val="24"/>
                <w:color w:val="auto"/>
              </w:rPr>
            </w:pPr>
          </w:p>
        </w:tc>
        <w:tc>
          <w:tcPr>
            <w:tcW w:w="9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3"/>
        </w:trPr>
        <w:tc>
          <w:tcPr>
            <w:tcW w:w="40" w:type="dxa"/>
            <w:vAlign w:val="bottom"/>
          </w:tcPr>
          <w:p>
            <w:pPr>
              <w:spacing w:after="0"/>
              <w:rPr>
                <w:sz w:val="24"/>
                <w:szCs w:val="2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2"/>
              </w:rPr>
              <w:t>3/10/2021</w:t>
            </w:r>
          </w:p>
        </w:tc>
        <w:tc>
          <w:tcPr>
            <w:tcW w:w="620" w:type="dxa"/>
            <w:vAlign w:val="bottom"/>
            <w:gridSpan w:val="2"/>
          </w:tcPr>
          <w:p>
            <w:pPr>
              <w:jc w:val="center"/>
              <w:ind w:left="33"/>
              <w:spacing w:after="0"/>
              <w:rPr>
                <w:sz w:val="20"/>
                <w:szCs w:val="20"/>
                <w:color w:val="auto"/>
              </w:rPr>
            </w:pPr>
            <w:r>
              <w:rPr>
                <w:rFonts w:ascii="Arial" w:cs="Arial" w:eastAsia="Arial" w:hAnsi="Arial"/>
                <w:sz w:val="18"/>
                <w:szCs w:val="18"/>
                <w:color w:val="auto"/>
                <w:w w:val="85"/>
              </w:rPr>
              <w:t>4.19</w:t>
            </w:r>
          </w:p>
        </w:tc>
        <w:tc>
          <w:tcPr>
            <w:tcW w:w="120" w:type="dxa"/>
            <w:vAlign w:val="bottom"/>
          </w:tcPr>
          <w:p>
            <w:pPr>
              <w:spacing w:after="0"/>
              <w:rPr>
                <w:sz w:val="24"/>
                <w:szCs w:val="24"/>
                <w:color w:val="auto"/>
              </w:rPr>
            </w:pPr>
          </w:p>
        </w:tc>
        <w:tc>
          <w:tcPr>
            <w:tcW w:w="9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3"/>
        </w:trPr>
        <w:tc>
          <w:tcPr>
            <w:tcW w:w="40" w:type="dxa"/>
            <w:vAlign w:val="bottom"/>
          </w:tcPr>
          <w:p>
            <w:pPr>
              <w:spacing w:after="0"/>
              <w:rPr>
                <w:sz w:val="24"/>
                <w:szCs w:val="2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2"/>
              </w:rPr>
              <w:t>3/10/2021</w:t>
            </w:r>
          </w:p>
        </w:tc>
        <w:tc>
          <w:tcPr>
            <w:tcW w:w="620" w:type="dxa"/>
            <w:vAlign w:val="bottom"/>
            <w:gridSpan w:val="2"/>
          </w:tcPr>
          <w:p>
            <w:pPr>
              <w:jc w:val="center"/>
              <w:ind w:left="33"/>
              <w:spacing w:after="0"/>
              <w:rPr>
                <w:sz w:val="20"/>
                <w:szCs w:val="20"/>
                <w:color w:val="auto"/>
              </w:rPr>
            </w:pPr>
            <w:r>
              <w:rPr>
                <w:rFonts w:ascii="Arial" w:cs="Arial" w:eastAsia="Arial" w:hAnsi="Arial"/>
                <w:sz w:val="18"/>
                <w:szCs w:val="18"/>
                <w:color w:val="auto"/>
                <w:w w:val="85"/>
              </w:rPr>
              <w:t>4.20</w:t>
            </w:r>
          </w:p>
        </w:tc>
        <w:tc>
          <w:tcPr>
            <w:tcW w:w="120" w:type="dxa"/>
            <w:vAlign w:val="bottom"/>
          </w:tcPr>
          <w:p>
            <w:pPr>
              <w:spacing w:after="0"/>
              <w:rPr>
                <w:sz w:val="24"/>
                <w:szCs w:val="24"/>
                <w:color w:val="auto"/>
              </w:rPr>
            </w:pPr>
          </w:p>
        </w:tc>
        <w:tc>
          <w:tcPr>
            <w:tcW w:w="9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3"/>
        </w:trPr>
        <w:tc>
          <w:tcPr>
            <w:tcW w:w="40" w:type="dxa"/>
            <w:vAlign w:val="bottom"/>
          </w:tcPr>
          <w:p>
            <w:pPr>
              <w:spacing w:after="0"/>
              <w:rPr>
                <w:sz w:val="24"/>
                <w:szCs w:val="2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S-8</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2"/>
              </w:rPr>
              <w:t>12/9/2021</w:t>
            </w:r>
          </w:p>
        </w:tc>
        <w:tc>
          <w:tcPr>
            <w:tcW w:w="620" w:type="dxa"/>
            <w:vAlign w:val="bottom"/>
            <w:gridSpan w:val="2"/>
          </w:tcPr>
          <w:p>
            <w:pPr>
              <w:jc w:val="center"/>
              <w:ind w:left="33"/>
              <w:spacing w:after="0"/>
              <w:rPr>
                <w:sz w:val="20"/>
                <w:szCs w:val="20"/>
                <w:color w:val="auto"/>
              </w:rPr>
            </w:pPr>
            <w:r>
              <w:rPr>
                <w:rFonts w:ascii="Arial" w:cs="Arial" w:eastAsia="Arial" w:hAnsi="Arial"/>
                <w:sz w:val="18"/>
                <w:szCs w:val="18"/>
                <w:color w:val="auto"/>
                <w:w w:val="85"/>
              </w:rPr>
              <w:t>99.2</w:t>
            </w:r>
          </w:p>
        </w:tc>
        <w:tc>
          <w:tcPr>
            <w:tcW w:w="120" w:type="dxa"/>
            <w:vAlign w:val="bottom"/>
          </w:tcPr>
          <w:p>
            <w:pPr>
              <w:spacing w:after="0"/>
              <w:rPr>
                <w:sz w:val="24"/>
                <w:szCs w:val="24"/>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9"/>
              </w:rPr>
              <w:t>333-261550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0" w:type="dxa"/>
            <w:vAlign w:val="bottom"/>
          </w:tcPr>
          <w:p>
            <w:pPr>
              <w:spacing w:after="0"/>
              <w:rPr>
                <w:sz w:val="24"/>
                <w:szCs w:val="2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20-F</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2"/>
              </w:rPr>
              <w:t>3/10/2021</w:t>
            </w:r>
          </w:p>
        </w:tc>
        <w:tc>
          <w:tcPr>
            <w:tcW w:w="620" w:type="dxa"/>
            <w:vAlign w:val="bottom"/>
            <w:gridSpan w:val="2"/>
          </w:tcPr>
          <w:p>
            <w:pPr>
              <w:jc w:val="center"/>
              <w:ind w:left="33"/>
              <w:spacing w:after="0"/>
              <w:rPr>
                <w:sz w:val="20"/>
                <w:szCs w:val="20"/>
                <w:color w:val="auto"/>
              </w:rPr>
            </w:pPr>
            <w:r>
              <w:rPr>
                <w:rFonts w:ascii="Arial" w:cs="Arial" w:eastAsia="Arial" w:hAnsi="Arial"/>
                <w:sz w:val="18"/>
                <w:szCs w:val="18"/>
                <w:color w:val="auto"/>
                <w:w w:val="87"/>
              </w:rPr>
              <w:t>8.1</w:t>
            </w:r>
          </w:p>
        </w:tc>
        <w:tc>
          <w:tcPr>
            <w:tcW w:w="120" w:type="dxa"/>
            <w:vAlign w:val="bottom"/>
          </w:tcPr>
          <w:p>
            <w:pPr>
              <w:spacing w:after="0"/>
              <w:rPr>
                <w:sz w:val="24"/>
                <w:szCs w:val="24"/>
                <w:color w:val="auto"/>
              </w:rPr>
            </w:pPr>
          </w:p>
        </w:tc>
        <w:tc>
          <w:tcPr>
            <w:tcW w:w="9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900" w:space="180"/>
            <w:col w:w="4000"/>
          </w:cols>
          <w:pgMar w:left="320" w:top="485"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9"/>
          </w:tcPr>
          <w:p>
            <w:pPr>
              <w:ind w:left="2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280" w:type="dxa"/>
            <w:vAlign w:val="bottom"/>
            <w:vMerge w:val="restart"/>
          </w:tcPr>
          <w:p>
            <w:pPr>
              <w:spacing w:after="0" w:line="20" w:lineRule="exact"/>
              <w:rPr>
                <w:sz w:val="1"/>
                <w:szCs w:val="1"/>
                <w:color w:val="auto"/>
              </w:rPr>
            </w:pPr>
          </w:p>
        </w:tc>
        <w:tc>
          <w:tcPr>
            <w:tcW w:w="920" w:type="dxa"/>
            <w:vAlign w:val="bottom"/>
            <w:gridSpan w:val="2"/>
            <w:vMerge w:val="restart"/>
          </w:tcPr>
          <w:p>
            <w:pPr>
              <w:jc w:val="center"/>
              <w:ind w:right="400"/>
              <w:spacing w:after="0" w:line="148" w:lineRule="exact"/>
              <w:rPr>
                <w:sz w:val="20"/>
                <w:szCs w:val="20"/>
                <w:color w:val="auto"/>
              </w:rPr>
            </w:pPr>
            <w:r>
              <w:rPr>
                <w:rFonts w:ascii="Arial" w:cs="Arial" w:eastAsia="Arial" w:hAnsi="Arial"/>
                <w:sz w:val="14"/>
                <w:szCs w:val="14"/>
                <w:b w:val="1"/>
                <w:bCs w:val="1"/>
                <w:color w:val="auto"/>
                <w:w w:val="94"/>
              </w:rPr>
              <w:t>Exhibit</w:t>
            </w: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auto"/>
                <w:w w:val="90"/>
              </w:rPr>
              <w:t>Provided</w:t>
            </w:r>
          </w:p>
        </w:tc>
        <w:tc>
          <w:tcPr>
            <w:tcW w:w="0" w:type="dxa"/>
            <w:vAlign w:val="bottom"/>
          </w:tcPr>
          <w:p>
            <w:pPr>
              <w:spacing w:after="0"/>
              <w:rPr>
                <w:sz w:val="1"/>
                <w:szCs w:val="1"/>
                <w:color w:val="auto"/>
              </w:rPr>
            </w:pPr>
          </w:p>
        </w:tc>
      </w:tr>
      <w:tr>
        <w:trPr>
          <w:trHeight w:val="105"/>
        </w:trPr>
        <w:tc>
          <w:tcPr>
            <w:tcW w:w="28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80" w:type="dxa"/>
            <w:vAlign w:val="bottom"/>
          </w:tcPr>
          <w:p>
            <w:pPr>
              <w:spacing w:after="0"/>
              <w:rPr>
                <w:sz w:val="9"/>
                <w:szCs w:val="9"/>
                <w:color w:val="auto"/>
              </w:rPr>
            </w:pPr>
          </w:p>
        </w:tc>
        <w:tc>
          <w:tcPr>
            <w:tcW w:w="366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260" w:type="dxa"/>
            <w:vAlign w:val="bottom"/>
          </w:tcPr>
          <w:p>
            <w:pPr>
              <w:spacing w:after="0"/>
              <w:rPr>
                <w:sz w:val="9"/>
                <w:szCs w:val="9"/>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60" w:type="dxa"/>
            <w:vAlign w:val="bottom"/>
            <w:gridSpan w:val="6"/>
            <w:vMerge w:val="continue"/>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840" w:type="dxa"/>
            <w:vAlign w:val="bottom"/>
            <w:gridSpan w:val="7"/>
          </w:tcPr>
          <w:p>
            <w:pPr>
              <w:ind w:left="460"/>
              <w:spacing w:after="0"/>
              <w:rPr>
                <w:sz w:val="20"/>
                <w:szCs w:val="20"/>
                <w:color w:val="auto"/>
              </w:rPr>
            </w:pPr>
            <w:r>
              <w:rPr>
                <w:rFonts w:ascii="Arial" w:cs="Arial" w:eastAsia="Arial" w:hAnsi="Arial"/>
                <w:sz w:val="14"/>
                <w:szCs w:val="14"/>
                <w:b w:val="1"/>
                <w:bCs w:val="1"/>
                <w:color w:val="auto"/>
              </w:rPr>
              <w:t>NumberFile Number    Herewith</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gridSpan w:val="2"/>
          </w:tcPr>
          <w:p>
            <w:pPr>
              <w:spacing w:after="0"/>
              <w:rPr>
                <w:sz w:val="20"/>
                <w:szCs w:val="20"/>
                <w:color w:val="auto"/>
              </w:rPr>
            </w:pPr>
            <w:r>
              <w:rPr>
                <w:rFonts w:ascii="Arial" w:cs="Arial" w:eastAsia="Arial" w:hAnsi="Arial"/>
                <w:sz w:val="18"/>
                <w:szCs w:val="18"/>
                <w:color w:val="auto"/>
              </w:rPr>
              <w:t>13.1</w:t>
            </w:r>
          </w:p>
        </w:tc>
        <w:tc>
          <w:tcPr>
            <w:tcW w:w="400" w:type="dxa"/>
            <w:vAlign w:val="bottom"/>
          </w:tcPr>
          <w:p>
            <w:pPr>
              <w:spacing w:after="0"/>
              <w:rPr>
                <w:sz w:val="22"/>
                <w:szCs w:val="22"/>
                <w:color w:val="auto"/>
              </w:rPr>
            </w:pPr>
          </w:p>
        </w:tc>
        <w:tc>
          <w:tcPr>
            <w:tcW w:w="5740" w:type="dxa"/>
            <w:vAlign w:val="bottom"/>
            <w:gridSpan w:val="7"/>
          </w:tcPr>
          <w:p>
            <w:pPr>
              <w:spacing w:after="0"/>
              <w:rPr>
                <w:rFonts w:ascii="Arial" w:cs="Arial" w:eastAsia="Arial" w:hAnsi="Arial"/>
                <w:sz w:val="18"/>
                <w:szCs w:val="18"/>
                <w:color w:val="0000EE"/>
                <w:w w:val="98"/>
              </w:rPr>
            </w:pPr>
            <w:hyperlink w:anchor="page306">
              <w:r>
                <w:rPr>
                  <w:rFonts w:ascii="Arial" w:cs="Arial" w:eastAsia="Arial" w:hAnsi="Arial"/>
                  <w:sz w:val="18"/>
                  <w:szCs w:val="18"/>
                  <w:color w:val="0000EE"/>
                  <w:w w:val="98"/>
                </w:rPr>
                <w:t>Certification by Principal Executive Officer Pursuant to Section 906 of the</w:t>
              </w:r>
            </w:hyperlink>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40" w:type="dxa"/>
            <w:vAlign w:val="bottom"/>
            <w:tcBorders>
              <w:top w:val="single" w:sz="8" w:color="0000EE"/>
            </w:tcBorders>
            <w:gridSpan w:val="6"/>
          </w:tcPr>
          <w:p>
            <w:pPr>
              <w:spacing w:after="0" w:line="195" w:lineRule="exact"/>
              <w:rPr>
                <w:rFonts w:ascii="Arial" w:cs="Arial" w:eastAsia="Arial" w:hAnsi="Arial"/>
                <w:sz w:val="18"/>
                <w:szCs w:val="18"/>
                <w:color w:val="0000EE"/>
              </w:rPr>
            </w:pPr>
            <w:hyperlink w:anchor="page306">
              <w:r>
                <w:rPr>
                  <w:rFonts w:ascii="Arial" w:cs="Arial" w:eastAsia="Arial" w:hAnsi="Arial"/>
                  <w:sz w:val="18"/>
                  <w:szCs w:val="18"/>
                  <w:color w:val="0000EE"/>
                </w:rPr>
                <w:t>Sarbanes-Oxley Act of 2002.</w:t>
              </w:r>
            </w:hyperlink>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24"/>
                <w:szCs w:val="24"/>
                <w:color w:val="auto"/>
              </w:rPr>
            </w:pPr>
          </w:p>
        </w:tc>
        <w:tc>
          <w:tcPr>
            <w:tcW w:w="53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07">
              <w:r>
                <w:rPr>
                  <w:rFonts w:ascii="Arial" w:cs="Arial" w:eastAsia="Arial" w:hAnsi="Arial"/>
                  <w:sz w:val="18"/>
                  <w:szCs w:val="18"/>
                  <w:color w:val="0000EE"/>
                  <w:w w:val="91"/>
                </w:rPr>
                <w:t>Certification by Principal Financial Officer Pursuant to Section 906 of the</w:t>
              </w:r>
            </w:hyperlink>
          </w:p>
        </w:tc>
        <w:tc>
          <w:tcPr>
            <w:tcW w:w="4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740" w:type="dxa"/>
            <w:vAlign w:val="bottom"/>
            <w:gridSpan w:val="7"/>
          </w:tcPr>
          <w:p>
            <w:pPr>
              <w:spacing w:after="0" w:line="195" w:lineRule="exact"/>
              <w:rPr>
                <w:rFonts w:ascii="Arial" w:cs="Arial" w:eastAsia="Arial" w:hAnsi="Arial"/>
                <w:sz w:val="18"/>
                <w:szCs w:val="18"/>
                <w:color w:val="0000EE"/>
              </w:rPr>
            </w:pPr>
            <w:hyperlink w:anchor="page307">
              <w:r>
                <w:rPr>
                  <w:rFonts w:ascii="Arial" w:cs="Arial" w:eastAsia="Arial" w:hAnsi="Arial"/>
                  <w:sz w:val="18"/>
                  <w:szCs w:val="18"/>
                  <w:color w:val="0000EE"/>
                </w:rPr>
                <w:t>Sarbanes-Oxley Act of 2002.</w:t>
              </w:r>
            </w:hyperlink>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gridSpan w:val="2"/>
          </w:tcPr>
          <w:p>
            <w:pPr>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24"/>
                <w:szCs w:val="24"/>
                <w:color w:val="auto"/>
              </w:rPr>
            </w:pPr>
          </w:p>
        </w:tc>
        <w:tc>
          <w:tcPr>
            <w:tcW w:w="43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08">
              <w:r>
                <w:rPr>
                  <w:rFonts w:ascii="Arial" w:cs="Arial" w:eastAsia="Arial" w:hAnsi="Arial"/>
                  <w:sz w:val="18"/>
                  <w:szCs w:val="18"/>
                  <w:color w:val="0000EE"/>
                  <w:w w:val="90"/>
                </w:rPr>
                <w:t>Consent of Independent Registered Public Accounting Firm.</w:t>
              </w:r>
            </w:hyperlink>
          </w:p>
        </w:tc>
        <w:tc>
          <w:tcPr>
            <w:tcW w:w="14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3"/>
        </w:trPr>
        <w:tc>
          <w:tcPr>
            <w:tcW w:w="1200" w:type="dxa"/>
            <w:vAlign w:val="bottom"/>
            <w:gridSpan w:val="3"/>
          </w:tcPr>
          <w:p>
            <w:pPr>
              <w:spacing w:after="0"/>
              <w:rPr>
                <w:sz w:val="20"/>
                <w:szCs w:val="20"/>
                <w:color w:val="auto"/>
              </w:rPr>
            </w:pPr>
            <w:r>
              <w:rPr>
                <w:rFonts w:ascii="Arial" w:cs="Arial" w:eastAsia="Arial" w:hAnsi="Arial"/>
                <w:sz w:val="18"/>
                <w:szCs w:val="18"/>
                <w:color w:val="auto"/>
              </w:rPr>
              <w:t>EX-101.INS</w:t>
            </w:r>
          </w:p>
        </w:tc>
        <w:tc>
          <w:tcPr>
            <w:tcW w:w="574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1200" w:type="dxa"/>
            <w:vAlign w:val="bottom"/>
            <w:gridSpan w:val="3"/>
          </w:tcPr>
          <w:p>
            <w:pPr>
              <w:spacing w:after="0"/>
              <w:rPr>
                <w:sz w:val="20"/>
                <w:szCs w:val="20"/>
                <w:color w:val="auto"/>
              </w:rPr>
            </w:pPr>
            <w:r>
              <w:rPr>
                <w:rFonts w:ascii="Arial" w:cs="Arial" w:eastAsia="Arial" w:hAnsi="Arial"/>
                <w:sz w:val="18"/>
                <w:szCs w:val="18"/>
                <w:color w:val="auto"/>
              </w:rPr>
              <w:t>EX-101.SCH</w:t>
            </w:r>
          </w:p>
        </w:tc>
        <w:tc>
          <w:tcPr>
            <w:tcW w:w="57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1200" w:type="dxa"/>
            <w:vAlign w:val="bottom"/>
            <w:gridSpan w:val="3"/>
          </w:tcPr>
          <w:p>
            <w:pPr>
              <w:spacing w:after="0"/>
              <w:rPr>
                <w:sz w:val="20"/>
                <w:szCs w:val="20"/>
                <w:color w:val="auto"/>
              </w:rPr>
            </w:pPr>
            <w:r>
              <w:rPr>
                <w:rFonts w:ascii="Arial" w:cs="Arial" w:eastAsia="Arial" w:hAnsi="Arial"/>
                <w:sz w:val="18"/>
                <w:szCs w:val="18"/>
                <w:color w:val="auto"/>
              </w:rPr>
              <w:t>EX-101.CAL</w:t>
            </w:r>
          </w:p>
        </w:tc>
        <w:tc>
          <w:tcPr>
            <w:tcW w:w="57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1200" w:type="dxa"/>
            <w:vAlign w:val="bottom"/>
            <w:gridSpan w:val="3"/>
          </w:tcPr>
          <w:p>
            <w:pPr>
              <w:spacing w:after="0"/>
              <w:rPr>
                <w:sz w:val="20"/>
                <w:szCs w:val="20"/>
                <w:color w:val="auto"/>
              </w:rPr>
            </w:pPr>
            <w:r>
              <w:rPr>
                <w:rFonts w:ascii="Arial" w:cs="Arial" w:eastAsia="Arial" w:hAnsi="Arial"/>
                <w:sz w:val="18"/>
                <w:szCs w:val="18"/>
                <w:color w:val="auto"/>
              </w:rPr>
              <w:t>EX-101.DEF</w:t>
            </w:r>
          </w:p>
        </w:tc>
        <w:tc>
          <w:tcPr>
            <w:tcW w:w="57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1200" w:type="dxa"/>
            <w:vAlign w:val="bottom"/>
            <w:gridSpan w:val="3"/>
          </w:tcPr>
          <w:p>
            <w:pPr>
              <w:spacing w:after="0"/>
              <w:rPr>
                <w:sz w:val="20"/>
                <w:szCs w:val="20"/>
                <w:color w:val="auto"/>
              </w:rPr>
            </w:pPr>
            <w:r>
              <w:rPr>
                <w:rFonts w:ascii="Arial" w:cs="Arial" w:eastAsia="Arial" w:hAnsi="Arial"/>
                <w:sz w:val="18"/>
                <w:szCs w:val="18"/>
                <w:color w:val="auto"/>
              </w:rPr>
              <w:t>EX-101.IAB</w:t>
            </w:r>
          </w:p>
        </w:tc>
        <w:tc>
          <w:tcPr>
            <w:tcW w:w="57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1200" w:type="dxa"/>
            <w:vAlign w:val="bottom"/>
            <w:gridSpan w:val="3"/>
          </w:tcPr>
          <w:p>
            <w:pPr>
              <w:spacing w:after="0"/>
              <w:rPr>
                <w:sz w:val="20"/>
                <w:szCs w:val="20"/>
                <w:color w:val="auto"/>
              </w:rPr>
            </w:pPr>
            <w:r>
              <w:rPr>
                <w:rFonts w:ascii="Arial" w:cs="Arial" w:eastAsia="Arial" w:hAnsi="Arial"/>
                <w:sz w:val="18"/>
                <w:szCs w:val="18"/>
                <w:color w:val="auto"/>
              </w:rPr>
              <w:t>EX-101.PRE</w:t>
            </w:r>
          </w:p>
        </w:tc>
        <w:tc>
          <w:tcPr>
            <w:tcW w:w="57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8"/>
        </w:trPr>
        <w:tc>
          <w:tcPr>
            <w:tcW w:w="280" w:type="dxa"/>
            <w:vAlign w:val="bottom"/>
          </w:tcPr>
          <w:p>
            <w:pPr>
              <w:spacing w:after="0"/>
              <w:rPr>
                <w:sz w:val="20"/>
                <w:szCs w:val="20"/>
                <w:color w:val="auto"/>
              </w:rPr>
            </w:pPr>
            <w:r>
              <w:rPr>
                <w:rFonts w:ascii="Arial" w:cs="Arial" w:eastAsia="Arial" w:hAnsi="Arial"/>
                <w:sz w:val="18"/>
                <w:szCs w:val="18"/>
                <w:color w:val="auto"/>
                <w:w w:val="86"/>
              </w:rPr>
              <w:t>104</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18"/>
                <w:szCs w:val="18"/>
                <w:color w:val="auto"/>
                <w:w w:val="97"/>
              </w:rPr>
              <w:t>Cover page interactive data file (formatted as Inline XBRL and included in</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40" w:type="dxa"/>
            <w:vAlign w:val="bottom"/>
            <w:gridSpan w:val="7"/>
          </w:tcPr>
          <w:p>
            <w:pPr>
              <w:spacing w:after="0"/>
              <w:rPr>
                <w:sz w:val="20"/>
                <w:szCs w:val="20"/>
                <w:color w:val="auto"/>
              </w:rPr>
            </w:pPr>
            <w:r>
              <w:rPr>
                <w:rFonts w:ascii="Arial" w:cs="Arial" w:eastAsia="Arial" w:hAnsi="Arial"/>
                <w:sz w:val="18"/>
                <w:szCs w:val="18"/>
                <w:color w:val="auto"/>
              </w:rPr>
              <w:t>Exhibit 101).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85090</wp:posOffset>
            </wp:positionV>
            <wp:extent cx="7600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158" w:lineRule="exact"/>
        <w:rPr>
          <w:sz w:val="20"/>
          <w:szCs w:val="20"/>
          <w:color w:val="auto"/>
        </w:rPr>
      </w:pPr>
    </w:p>
    <w:p>
      <w:pPr>
        <w:ind w:left="140"/>
        <w:spacing w:after="0"/>
        <w:tabs>
          <w:tab w:leader="none" w:pos="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has been granted for certain information contained in this Exhibit. Such information has been omitted and filed separately with the SEC.</w:t>
      </w:r>
    </w:p>
    <w:p>
      <w:pPr>
        <w:spacing w:after="0" w:line="22" w:lineRule="exact"/>
        <w:rPr>
          <w:sz w:val="20"/>
          <w:szCs w:val="20"/>
          <w:color w:val="auto"/>
        </w:rPr>
      </w:pPr>
    </w:p>
    <w:p>
      <w:pPr>
        <w:ind w:left="360" w:right="120" w:hanging="225"/>
        <w:spacing w:after="0" w:line="286" w:lineRule="auto"/>
        <w:tabs>
          <w:tab w:leader="none" w:pos="3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Portions of this exhibit (indicated by asterisks) have been omitted pursuant to Regulation S-K, Item 601(b)(10). Such excluded information is not material and is the type that the registrant treats as private or confidential.</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85"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552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75500"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left="140"/>
        <w:spacing w:after="0" w:line="275"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Ascendis Pharma A/S</w:t>
      </w:r>
    </w:p>
    <w:p>
      <w:pPr>
        <w:spacing w:after="0" w:line="2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5539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Jan Møller Mikkelsen</w:t>
      </w:r>
    </w:p>
    <w:p>
      <w:pPr>
        <w:spacing w:after="0" w:line="8"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Chief Executive Officer and Board</w:t>
      </w:r>
    </w:p>
    <w:p>
      <w:pPr>
        <w:spacing w:after="0" w:line="8"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Member (Principal Executive Officer)</w:t>
      </w:r>
    </w:p>
    <w:p>
      <w:pPr>
        <w:spacing w:after="0" w:line="20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Date: March 2, 2022</w:t>
      </w:r>
    </w:p>
    <w:p>
      <w:pPr>
        <w:spacing w:after="0" w:line="2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5539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Scott T. Smith</w:t>
      </w:r>
    </w:p>
    <w:p>
      <w:pPr>
        <w:spacing w:after="0" w:line="8"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Senior Vice President, Chief Financial Officer</w:t>
      </w:r>
    </w:p>
    <w:p>
      <w:pPr>
        <w:spacing w:after="0" w:line="8"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(Principal Financial Officer)</w:t>
      </w:r>
    </w:p>
    <w:p>
      <w:pPr>
        <w:spacing w:after="0" w:line="20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Date: March 2, 2022</w:t>
      </w:r>
    </w:p>
    <w:p>
      <w:pPr>
        <w:sectPr>
          <w:pgSz w:w="11900" w:h="16838" w:orient="portrait"/>
          <w:cols w:equalWidth="0" w:num="1">
            <w:col w:w="11080"/>
          </w:cols>
          <w:pgMar w:left="320" w:top="485" w:right="4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120" w:lineRule="exact"/>
        <w:rPr>
          <w:sz w:val="20"/>
          <w:szCs w:val="20"/>
          <w:color w:val="auto"/>
        </w:rPr>
      </w:pPr>
    </w:p>
    <w:p>
      <w:pPr>
        <w:ind w:right="40" w:firstLine="439"/>
        <w:spacing w:after="0" w:line="288" w:lineRule="auto"/>
        <w:rPr>
          <w:sz w:val="20"/>
          <w:szCs w:val="20"/>
          <w:color w:val="auto"/>
        </w:rPr>
      </w:pPr>
      <w:r>
        <w:rPr>
          <w:rFonts w:ascii="Arial" w:cs="Arial" w:eastAsia="Arial" w:hAnsi="Arial"/>
          <w:sz w:val="16"/>
          <w:szCs w:val="16"/>
          <w:i w:val="1"/>
          <w:iCs w:val="1"/>
          <w:color w:val="auto"/>
        </w:rPr>
        <w:t>Set forth below is a summary of certain information concerning our share capital as well as a description of certain provisions of our articles of association, the registration rights agreement entered into in December 2015 to which we and certain holders of American Depositary Shares, also referred to as ADSs, are parties or the 2015 Registration Rights Agreement, and relevant provisions of the Danish Companies Act (in Danish: Selskabsloven). Because the following is only a summary, it does not contain all of the information that may be important to you. The summary includes certain references to and descriptions of material provisions of our articles of association, the 2015 Registration Rights Agreement and Danish law in effect as of the date of our Annual Report on Form 20-F. The summary below does not purport to be complete and is qualified in its entirety by reference to applicable Danish Law and our articles of association and the 2015 Registration Rights Agreement, copies of which are incorporated by reference into our Annual Report on Form 20-F. Further, please note that ADS holders are not treated as our shareholders and do not have rights as a shareholder. For more information regarding the rights of ADS holders, see “Description of American Depositary Shares”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0"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color w:val="auto"/>
        </w:rPr>
        <w:t xml:space="preserve">Our company was incorporated on September 21, 2006 as a private limited liability company (in Danish: </w:t>
      </w:r>
      <w:r>
        <w:rPr>
          <w:rFonts w:ascii="Arial" w:cs="Arial" w:eastAsia="Arial" w:hAnsi="Arial"/>
          <w:sz w:val="18"/>
          <w:szCs w:val="18"/>
          <w:i w:val="1"/>
          <w:iCs w:val="1"/>
          <w:color w:val="auto"/>
        </w:rPr>
        <w:t>Anpartsselskab</w:t>
      </w:r>
      <w:r>
        <w:rPr>
          <w:rFonts w:ascii="Arial" w:cs="Arial" w:eastAsia="Arial" w:hAnsi="Arial"/>
          <w:sz w:val="18"/>
          <w:szCs w:val="18"/>
          <w:color w:val="auto"/>
        </w:rPr>
        <w:t xml:space="preserve">, or </w:t>
      </w:r>
      <w:r>
        <w:rPr>
          <w:rFonts w:ascii="Arial" w:cs="Arial" w:eastAsia="Arial" w:hAnsi="Arial"/>
          <w:sz w:val="18"/>
          <w:szCs w:val="18"/>
          <w:i w:val="1"/>
          <w:iCs w:val="1"/>
          <w:color w:val="auto"/>
        </w:rPr>
        <w:t>ApS</w:t>
      </w:r>
      <w:r>
        <w:rPr>
          <w:rFonts w:ascii="Arial" w:cs="Arial" w:eastAsia="Arial" w:hAnsi="Arial"/>
          <w:sz w:val="18"/>
          <w:szCs w:val="18"/>
          <w:color w:val="auto"/>
        </w:rPr>
        <w:t xml:space="preserve">) under Danish law and is registered with the Danish Business Authority (in Danish: </w:t>
      </w:r>
      <w:r>
        <w:rPr>
          <w:rFonts w:ascii="Arial" w:cs="Arial" w:eastAsia="Arial" w:hAnsi="Arial"/>
          <w:sz w:val="18"/>
          <w:szCs w:val="18"/>
          <w:i w:val="1"/>
          <w:iCs w:val="1"/>
          <w:color w:val="auto"/>
        </w:rPr>
        <w:t>Erhvervsstyrelsen</w:t>
      </w:r>
      <w:r>
        <w:rPr>
          <w:rFonts w:ascii="Arial" w:cs="Arial" w:eastAsia="Arial" w:hAnsi="Arial"/>
          <w:sz w:val="18"/>
          <w:szCs w:val="18"/>
          <w:color w:val="auto"/>
        </w:rPr>
        <w:t xml:space="preserve">) in Copenhagen, Denmark under registration number 29918791. On December 17, 2007, our company was converted into a public limited liability company (in Danish: </w:t>
      </w:r>
      <w:r>
        <w:rPr>
          <w:rFonts w:ascii="Arial" w:cs="Arial" w:eastAsia="Arial" w:hAnsi="Arial"/>
          <w:sz w:val="18"/>
          <w:szCs w:val="18"/>
          <w:i w:val="1"/>
          <w:iCs w:val="1"/>
          <w:color w:val="auto"/>
        </w:rPr>
        <w:t>Aktieselskab</w:t>
      </w:r>
      <w:r>
        <w:rPr>
          <w:rFonts w:ascii="Arial" w:cs="Arial" w:eastAsia="Arial" w:hAnsi="Arial"/>
          <w:sz w:val="18"/>
          <w:szCs w:val="18"/>
          <w:color w:val="auto"/>
        </w:rPr>
        <w:t xml:space="preserve">, or </w:t>
      </w:r>
      <w:r>
        <w:rPr>
          <w:rFonts w:ascii="Arial" w:cs="Arial" w:eastAsia="Arial" w:hAnsi="Arial"/>
          <w:sz w:val="18"/>
          <w:szCs w:val="18"/>
          <w:i w:val="1"/>
          <w:iCs w:val="1"/>
          <w:color w:val="auto"/>
        </w:rPr>
        <w:t>A/S</w:t>
      </w:r>
      <w:r>
        <w:rPr>
          <w:rFonts w:ascii="Arial" w:cs="Arial" w:eastAsia="Arial" w:hAnsi="Arial"/>
          <w:sz w:val="18"/>
          <w:szCs w:val="18"/>
          <w:color w:val="auto"/>
        </w:rPr>
        <w:t>). Our company’s headquarters and registered office is Tuborg Boulevard 12, DK-2900 Hellerup, Denmark.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Authorizations to our board of directors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2021, our board of directors is authorized to increase the share capital as follows:</w:t>
      </w:r>
    </w:p>
    <w:p>
      <w:pPr>
        <w:spacing w:after="0" w:line="129" w:lineRule="exact"/>
        <w:rPr>
          <w:sz w:val="20"/>
          <w:szCs w:val="20"/>
          <w:color w:val="auto"/>
        </w:rPr>
      </w:pPr>
    </w:p>
    <w:p>
      <w:pPr>
        <w:ind w:left="960" w:right="620" w:hanging="426"/>
        <w:spacing w:after="0" w:line="306" w:lineRule="auto"/>
        <w:tabs>
          <w:tab w:leader="none" w:pos="9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Our board of directors is authorized to increase our share capital by up to 9,000,000 shares with pre-emptive subscription rights for existing shareholders in connection with cash contributions. This authorization is valid until May 28, 2024.</w:t>
      </w:r>
    </w:p>
    <w:p>
      <w:pPr>
        <w:spacing w:after="0" w:line="53" w:lineRule="exact"/>
        <w:rPr>
          <w:rFonts w:ascii="Arial" w:cs="Arial" w:eastAsia="Arial" w:hAnsi="Arial"/>
          <w:sz w:val="17"/>
          <w:szCs w:val="17"/>
          <w:color w:val="auto"/>
        </w:rPr>
      </w:pPr>
    </w:p>
    <w:p>
      <w:pPr>
        <w:ind w:left="960" w:right="140" w:hanging="426"/>
        <w:spacing w:after="0" w:line="258"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board of directors is authorized at one or more times to increase our share capital by up to nominal DKK 6,125,000 without pre-emptive subscription rights for existing shareholders. Capital increases according to this authorization can be carried out by our board of directors by way of contributions in kind, conversion of debt and/or cash contributions, and must be carried out at market price. This authorization is valid until May 27, 2026.</w:t>
      </w:r>
    </w:p>
    <w:p>
      <w:pPr>
        <w:spacing w:after="0" w:line="91" w:lineRule="exact"/>
        <w:rPr>
          <w:rFonts w:ascii="Arial" w:cs="Arial" w:eastAsia="Arial" w:hAnsi="Arial"/>
          <w:sz w:val="18"/>
          <w:szCs w:val="18"/>
          <w:color w:val="auto"/>
        </w:rPr>
      </w:pPr>
    </w:p>
    <w:p>
      <w:pPr>
        <w:ind w:left="960" w:right="240" w:hanging="426"/>
        <w:spacing w:after="0" w:line="262"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board of directors is authorized to issue 597,037 warrants and to increase our share capital by up to nominal 597,037 shares without pre-emptive subscription rights for existing shareholders in connection with the exercise, if any, of said warrants and to determine the terms and conditions thereof. This authorization is valid until May 28, 2025.</w:t>
      </w:r>
    </w:p>
    <w:p>
      <w:pPr>
        <w:spacing w:after="0" w:line="88" w:lineRule="exact"/>
        <w:rPr>
          <w:rFonts w:ascii="Arial" w:cs="Arial" w:eastAsia="Arial" w:hAnsi="Arial"/>
          <w:sz w:val="18"/>
          <w:szCs w:val="18"/>
          <w:color w:val="auto"/>
        </w:rPr>
      </w:pPr>
    </w:p>
    <w:p>
      <w:pPr>
        <w:ind w:left="960" w:right="120" w:hanging="426"/>
        <w:spacing w:after="0" w:line="274" w:lineRule="auto"/>
        <w:tabs>
          <w:tab w:leader="none" w:pos="9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Our board of directors is, without pre-emptive rights for the existing shareholders, authorized to obtain loans against issuance of convertible notes which confer the right to subscribe up to 9,000,000 shares. The convertible notes shall be offered at a subscription price and a conversion price that correspond in aggregate to at least the market price of the shares at the time of the decision of our board of directors to issue the convertible notes. The loans shall be paid in cash and our board of directors shall determine the terms and conditions for the convertible notes. This authorization is valid until May 28, 2024.</w:t>
      </w:r>
    </w:p>
    <w:p>
      <w:pPr>
        <w:spacing w:after="0" w:line="81" w:lineRule="exact"/>
        <w:rPr>
          <w:rFonts w:ascii="Arial" w:cs="Arial" w:eastAsia="Arial" w:hAnsi="Arial"/>
          <w:sz w:val="17"/>
          <w:szCs w:val="17"/>
          <w:color w:val="auto"/>
        </w:rPr>
      </w:pPr>
    </w:p>
    <w:p>
      <w:pPr>
        <w:ind w:left="960" w:right="120" w:hanging="426"/>
        <w:spacing w:after="0" w:line="256"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board of directors is on one or more occasions authorized to issue 719,551 warrants to members of the executive management and employees, advisors and consultants of our company or our subsidiaries and to increase our share capital by up to 719,551 shares, without pre-emptive subscription rights for existing shareholders in connection with the exercise, if any, of said warrants and to determine the terms and conditions thereof. The exercise price for the warrants shall at least be equal to the market price of the shares at the time of issuance. This authorization is valid until May 27, 2026.</w:t>
      </w:r>
    </w:p>
    <w:p>
      <w:pPr>
        <w:sectPr>
          <w:pgSz w:w="11900" w:h="16838" w:orient="portrait"/>
          <w:cols w:equalWidth="0" w:num="1">
            <w:col w:w="10980"/>
          </w:cols>
          <w:pgMar w:left="460" w:top="121" w:right="459" w:bottom="1440" w:gutter="0" w:footer="0" w:header="0"/>
        </w:sectPr>
      </w:pPr>
    </w:p>
    <w:bookmarkStart w:id="198" w:name="page199"/>
    <w:bookmarkEnd w:id="198"/>
    <w:p>
      <w:pPr>
        <w:ind w:right="120" w:firstLine="439"/>
        <w:spacing w:after="0" w:line="34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If our board of directors exercises its authorizations in full, and all warrants and convertible debt instruments are exercised fully (not including already issued warrants), then our share capital will amount to 82,379,270 shares consisting of 82,379,270 shares with a nominal value of DKK 1 each.</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ADSs are listed on The Nasdaq Global Select Market under the symbol “ASND.”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warrants</w:t>
      </w:r>
    </w:p>
    <w:p>
      <w:pPr>
        <w:spacing w:after="0" w:line="120"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As of December 31, 2021, our board of directors is authorized to issue 1,316,588 warrants in the period ending May 27, 2026. As of December 31, 2021, there were outstanding 7,085,073 warrants to subscribe for our ordinary shares and such warrants had a weighted average exercise price of €80.30.</w:t>
      </w:r>
    </w:p>
    <w:p>
      <w:pPr>
        <w:spacing w:after="0" w:line="166" w:lineRule="exact"/>
        <w:rPr>
          <w:sz w:val="20"/>
          <w:szCs w:val="20"/>
          <w:color w:val="auto"/>
        </w:rPr>
      </w:pPr>
    </w:p>
    <w:p>
      <w:pPr>
        <w:ind w:right="60" w:firstLine="439"/>
        <w:spacing w:after="0" w:line="269" w:lineRule="auto"/>
        <w:rPr>
          <w:sz w:val="20"/>
          <w:szCs w:val="20"/>
          <w:color w:val="auto"/>
        </w:rPr>
      </w:pPr>
      <w:r>
        <w:rPr>
          <w:rFonts w:ascii="Arial" w:cs="Arial" w:eastAsia="Arial" w:hAnsi="Arial"/>
          <w:sz w:val="17"/>
          <w:szCs w:val="17"/>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 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the Company’s equity. For the purpose of implementing the capital increases necessary in connection with the exercise of warrants, our board of directors has been authorized to increase our share capital by one or more issuances of shares with a total nominal value corresponding to the number of warrants issued upon cash payment of the exercise price without any pre-emptive subscription rights to existing shareholders.</w:t>
      </w:r>
    </w:p>
    <w:p>
      <w:pPr>
        <w:spacing w:after="0" w:line="181" w:lineRule="exact"/>
        <w:rPr>
          <w:sz w:val="20"/>
          <w:szCs w:val="20"/>
          <w:color w:val="auto"/>
        </w:rPr>
      </w:pPr>
    </w:p>
    <w:p>
      <w:pPr>
        <w:ind w:right="20" w:firstLine="439"/>
        <w:spacing w:after="0" w:line="292" w:lineRule="auto"/>
        <w:rPr>
          <w:sz w:val="20"/>
          <w:szCs w:val="20"/>
          <w:color w:val="auto"/>
        </w:rPr>
      </w:pPr>
      <w:r>
        <w:rPr>
          <w:rFonts w:ascii="Arial" w:cs="Arial" w:eastAsia="Arial" w:hAnsi="Arial"/>
          <w:sz w:val="16"/>
          <w:szCs w:val="16"/>
          <w:color w:val="auto"/>
        </w:rPr>
        <w:t>Subject to earlier vesting upon the occurrence of certain exit events, warrants granted under the program from December 2012 until and including November 2021 generally vest 1/48th per month from the date of grant subject to continued service for employees, consultants and grants to board members. However, effective from December 2015, subsequent grants to board members vest 1/24th per month from the date of grant.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64"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color w:val="auto"/>
        </w:rPr>
        <w:t>Subject to earlier vesting, upon the occurrence of certain exit events, for warrants granted under the program as in effect since December 9, 2021, the following vesting applies:</w:t>
      </w:r>
    </w:p>
    <w:p>
      <w:pPr>
        <w:spacing w:after="0" w:line="171"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25% of the warrants granted to employees and consultants generally vest one year after the time of grant, and the remaining 75% of the warrants granted generally vest with 1/36 per month from one year after the time of grant. As regards warrants which board members are granted in connection with appointment, 25% of the warrants granted generally vest one year after the time of the grant (the initial grant after the board member’s accession), and the remaining 75% of the warrants granted generally vest with 1/36 per month from one year after the time of the grant. Regarding any subsequent grants of warrants to board members (“Subsequent Warrants”) 50% of the Subsequent Warrants generally vest one year after the time of such subsequent grant and the remaining 50% of the Subsequent Warrants shall generally vest with 1/12 per month from one year after the time of such subsequent grant. Warrants will generally cease vesting upon termination of service with respect to employees, consultants and board members.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3" w:right="479" w:bottom="1440" w:gutter="0" w:footer="0" w:header="0"/>
        </w:sectPr>
      </w:pPr>
    </w:p>
    <w:bookmarkStart w:id="199" w:name="page200"/>
    <w:bookmarkEnd w:id="199"/>
    <w:p>
      <w:pPr>
        <w:ind w:firstLine="439"/>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Vested warrants may be exercised during certain exercise periods each year. For 351,181 outstanding warrants, granted in the period 2012 to 2014, there are two annual exercise periods that continue for 21 days from and including the day after the publication of (i) the annual report notification—or if such notification is not published—the annual report and (ii) our interim report (six-month report). For these warrants, the last exercise period is 21 days from and including the day after the publication of our interim report for the first half of 2023. For 49,638 outstanding warrants granted in connection with our preference D financing, there are four annual exercise periods that continue for 21 days following the day of publication of (i) our interim report (three-month report); (ii) the annual report notification—or if such notification is not published—the annual report; (iii) our interim report (six-month report); and (iv) our interim report (nine-month report). For these warrants, the last exercise period is 21 days following the publication of our interim report (nine-month report) in 2023. For 6,684,254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program</w:t>
      </w:r>
    </w:p>
    <w:p>
      <w:pPr>
        <w:spacing w:after="0" w:line="120" w:lineRule="exact"/>
        <w:rPr>
          <w:sz w:val="20"/>
          <w:szCs w:val="20"/>
          <w:color w:val="auto"/>
        </w:rPr>
      </w:pPr>
    </w:p>
    <w:p>
      <w:pPr>
        <w:ind w:firstLine="439"/>
        <w:spacing w:after="0" w:line="306" w:lineRule="auto"/>
        <w:rPr>
          <w:sz w:val="20"/>
          <w:szCs w:val="20"/>
          <w:color w:val="auto"/>
        </w:rPr>
      </w:pPr>
      <w:r>
        <w:rPr>
          <w:rFonts w:ascii="Arial" w:cs="Arial" w:eastAsia="Arial" w:hAnsi="Arial"/>
          <w:sz w:val="17"/>
          <w:szCs w:val="17"/>
          <w:color w:val="auto"/>
        </w:rPr>
        <w:t>Our board of directors is authorized to during the period until May 27, 2026, on one or more occasions, to purchase up to nominal DKK 2,000,000 shares or American Depositary Shares representing a corresponding amount of shares in the Company as treasury shares.</w:t>
      </w:r>
    </w:p>
    <w:p>
      <w:pPr>
        <w:spacing w:after="0" w:line="147" w:lineRule="exact"/>
        <w:rPr>
          <w:sz w:val="20"/>
          <w:szCs w:val="20"/>
          <w:color w:val="auto"/>
        </w:rPr>
      </w:pPr>
    </w:p>
    <w:p>
      <w:pPr>
        <w:ind w:right="220" w:firstLine="439"/>
        <w:spacing w:after="0" w:line="285" w:lineRule="auto"/>
        <w:rPr>
          <w:sz w:val="20"/>
          <w:szCs w:val="20"/>
          <w:color w:val="auto"/>
        </w:rPr>
      </w:pPr>
      <w:r>
        <w:rPr>
          <w:rFonts w:ascii="Arial" w:cs="Arial" w:eastAsia="Arial" w:hAnsi="Arial"/>
          <w:sz w:val="17"/>
          <w:szCs w:val="17"/>
          <w:color w:val="auto"/>
        </w:rPr>
        <w:t>Our board of directors has partially exercised this right and the Company has re-purchased nominal DKK 154,837 American Depositary Shares representing a corresponding amount of shares in the Company as treasury shares primarily to be granted as Restricted Stock Units (“RSUs”) in connection with the implementation of a restricted stock units Program (“RSU Program”) in the Company.</w:t>
      </w:r>
    </w:p>
    <w:p>
      <w:pPr>
        <w:spacing w:after="0" w:line="165" w:lineRule="exact"/>
        <w:rPr>
          <w:sz w:val="20"/>
          <w:szCs w:val="20"/>
          <w:color w:val="auto"/>
        </w:rPr>
      </w:pPr>
    </w:p>
    <w:p>
      <w:pPr>
        <w:ind w:right="140" w:firstLine="439"/>
        <w:spacing w:after="0" w:line="262" w:lineRule="auto"/>
        <w:rPr>
          <w:sz w:val="20"/>
          <w:szCs w:val="20"/>
          <w:color w:val="auto"/>
        </w:rPr>
      </w:pPr>
      <w:r>
        <w:rPr>
          <w:rFonts w:ascii="Arial" w:cs="Arial" w:eastAsia="Arial" w:hAnsi="Arial"/>
          <w:sz w:val="18"/>
          <w:szCs w:val="18"/>
          <w:color w:val="auto"/>
        </w:rPr>
        <w:t>RSUs may be granted to members of the senior management team, non-executive directors, and other employees (“Participants”) employed with the Company or another company within the Company’s group. Our board of directors may also, at its sole discretion, decide to grant RSUs to consultants or members of our board of directors who are then also deemed Participants.</w:t>
      </w:r>
    </w:p>
    <w:p>
      <w:pPr>
        <w:spacing w:after="0" w:line="183" w:lineRule="exact"/>
        <w:rPr>
          <w:sz w:val="20"/>
          <w:szCs w:val="20"/>
          <w:color w:val="auto"/>
        </w:rPr>
      </w:pPr>
    </w:p>
    <w:p>
      <w:pPr>
        <w:ind w:right="160" w:firstLine="439"/>
        <w:spacing w:after="0" w:line="258" w:lineRule="auto"/>
        <w:rPr>
          <w:sz w:val="20"/>
          <w:szCs w:val="20"/>
          <w:color w:val="auto"/>
        </w:rPr>
      </w:pPr>
      <w:r>
        <w:rPr>
          <w:rFonts w:ascii="Arial" w:cs="Arial" w:eastAsia="Arial" w:hAnsi="Arial"/>
          <w:sz w:val="18"/>
          <w:szCs w:val="18"/>
          <w:color w:val="auto"/>
        </w:rPr>
        <w:t>One RSU represents a right for the Participant to receive one Ascendis Pharma A/S American Depositary Share upon vesting. One Ascendis Pharma A/S American Depositary Share (“ADS”) represents one (1) ordinary share in the Company with a nominal value of DKK 1.00. ADSs underlying RSUs are deemed to be treasury shares that have been repurchased in the market and, upon vesting, the Company may at its sole discretion choose to make a cash settlement instead of delivering ADSs.</w:t>
      </w:r>
    </w:p>
    <w:p>
      <w:pPr>
        <w:spacing w:after="0" w:line="186" w:lineRule="exact"/>
        <w:rPr>
          <w:sz w:val="20"/>
          <w:szCs w:val="20"/>
          <w:color w:val="auto"/>
        </w:rPr>
      </w:pPr>
    </w:p>
    <w:p>
      <w:pPr>
        <w:ind w:right="200" w:firstLine="439"/>
        <w:spacing w:after="0" w:line="275" w:lineRule="auto"/>
        <w:rPr>
          <w:sz w:val="20"/>
          <w:szCs w:val="20"/>
          <w:color w:val="auto"/>
        </w:rPr>
      </w:pPr>
      <w:r>
        <w:rPr>
          <w:rFonts w:ascii="Arial" w:cs="Arial" w:eastAsia="Arial" w:hAnsi="Arial"/>
          <w:sz w:val="18"/>
          <w:szCs w:val="18"/>
          <w:color w:val="auto"/>
        </w:rPr>
        <w:t>Our board of directors may, in its sole discretion, at any given point in time, decide to grant RSUs and may at its discretion and on an individual basis decide to deviate from the vesting principles and/or the vesting conditions as set forth in the RSU Program.</w:t>
      </w:r>
    </w:p>
    <w:p>
      <w:pPr>
        <w:spacing w:after="0" w:line="171"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RSUs are issued and granted to the Participant free of charge. It is a condition for vesting that the Participant is still either employed or retained as consultant within the Company or another company within the Company’s group or appointed as member of the board of directors on the vesting date. Subject to earlier vesting, upon the occurrence of certain exit events, for each award of RSUs 1/3 of such RSUs will vest on each anniversary of the date of grant, subject to continued service and, in the case of the RSUs granted to our chief executive officer, subject to the achievement of a performance condition as determined by our board of directors.</w:t>
      </w:r>
    </w:p>
    <w:p>
      <w:pPr>
        <w:spacing w:after="0" w:line="188" w:lineRule="exact"/>
        <w:rPr>
          <w:sz w:val="20"/>
          <w:szCs w:val="20"/>
          <w:color w:val="auto"/>
        </w:rPr>
      </w:pPr>
    </w:p>
    <w:p>
      <w:pPr>
        <w:ind w:right="40" w:firstLine="439"/>
        <w:spacing w:after="0" w:line="262" w:lineRule="auto"/>
        <w:rPr>
          <w:sz w:val="20"/>
          <w:szCs w:val="20"/>
          <w:color w:val="auto"/>
        </w:rPr>
      </w:pPr>
      <w:r>
        <w:rPr>
          <w:rFonts w:ascii="Arial" w:cs="Arial" w:eastAsia="Arial" w:hAnsi="Arial"/>
          <w:sz w:val="18"/>
          <w:szCs w:val="18"/>
          <w:color w:val="auto"/>
        </w:rPr>
        <w:t>On December 9, 2021, our board of directors granted an aggregate of (i) 5,352 RSUs to certain non-employee board members of the company, (ii) 104,886 RSUs to certain members of senior management of the Company, and (iii) 37,910 RSUs to certain other employees of the Company under the terms of the RSU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Under the 2015 Registration Rights Agreement, we were required to timely register with the SEC 1.0 million ordinary shares underlying</w:t>
      </w:r>
    </w:p>
    <w:p>
      <w:pPr>
        <w:spacing w:after="0" w:line="34"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1.0 million ADSs (the “Fidelity Shares”), purchased by Fidelity Securities Fund: Fidelity Series Small Cap Opportunities Fund—Healthcare Sub and Fidelity Stock Selector Small Cap Fund—Health Care Sub on December 14, 2015. In addition, the owners of the Fidelity Shares are entitled to registration of the Fidelity Shares on Form F-3. In accordance with our obligations under the 2015 Registration Rights Agreement, we filed a resale registration statement in February 2016 to register for resale the Fidelity Shares.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3" w:right="479" w:bottom="1440" w:gutter="0" w:footer="0" w:header="0"/>
        </w:sectPr>
      </w:pPr>
    </w:p>
    <w:bookmarkStart w:id="200" w:name="page201"/>
    <w:bookmarkEnd w:id="200"/>
    <w:p>
      <w:pPr>
        <w:ind w:right="80" w:firstLine="439"/>
        <w:spacing w:after="0" w:line="30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Unless our ordinary shares are listed on a national securities exchange or trading system and a market for our ordinary shares not held in the form of ADSs exists, any registrable securities sold pursuant to an exercise of the registration rights will be sold in the form of ADSs.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6" w:lineRule="exact"/>
        <w:rPr>
          <w:sz w:val="20"/>
          <w:szCs w:val="20"/>
          <w:color w:val="auto"/>
        </w:rPr>
      </w:pPr>
    </w:p>
    <w:p>
      <w:pPr>
        <w:jc w:val="both"/>
        <w:ind w:right="160" w:firstLine="439"/>
        <w:spacing w:after="0" w:line="285" w:lineRule="auto"/>
        <w:rPr>
          <w:sz w:val="20"/>
          <w:szCs w:val="20"/>
          <w:color w:val="auto"/>
        </w:rPr>
      </w:pPr>
      <w:r>
        <w:rPr>
          <w:rFonts w:ascii="Arial" w:cs="Arial" w:eastAsia="Arial" w:hAnsi="Arial"/>
          <w:sz w:val="17"/>
          <w:szCs w:val="17"/>
          <w:color w:val="auto"/>
        </w:rPr>
        <w:t>Under the 2015 Registration Rights Agreement, we agreed to pay certain registration expenses of the holders of the shares registered pursuant to the registration rights described above, excluding, among other things, the expenses of counsel for Fidelity Securities Fund: Fidelity Series Small Cap Opportunities Fund—Healthcare Sub and Fidelity Stock Selector Small Cap Fund—Health Care Sub.</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6" w:lineRule="exact"/>
        <w:rPr>
          <w:sz w:val="20"/>
          <w:szCs w:val="20"/>
          <w:color w:val="auto"/>
        </w:rPr>
      </w:pPr>
    </w:p>
    <w:p>
      <w:pPr>
        <w:ind w:right="220" w:firstLine="439"/>
        <w:spacing w:after="0" w:line="262" w:lineRule="auto"/>
        <w:rPr>
          <w:sz w:val="20"/>
          <w:szCs w:val="20"/>
          <w:color w:val="auto"/>
        </w:rPr>
      </w:pPr>
      <w:r>
        <w:rPr>
          <w:rFonts w:ascii="Arial" w:cs="Arial" w:eastAsia="Arial" w:hAnsi="Arial"/>
          <w:sz w:val="18"/>
          <w:szCs w:val="18"/>
          <w:color w:val="auto"/>
        </w:rPr>
        <w:t>Under the 2015 Registration Rights Agreement, the registration rights described above will expire upon the earlier of a change of control event, the disposition of the Fidelity Shares or when the Fidelity Shares can be sold under Rule 144 or Regulation S of the Securities Act during any three-month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 register</w:t>
      </w:r>
    </w:p>
    <w:p>
      <w:pPr>
        <w:spacing w:after="0" w:line="120" w:lineRule="exact"/>
        <w:rPr>
          <w:sz w:val="20"/>
          <w:szCs w:val="20"/>
          <w:color w:val="auto"/>
        </w:rPr>
      </w:pPr>
    </w:p>
    <w:p>
      <w:pPr>
        <w:ind w:right="260" w:firstLine="439"/>
        <w:spacing w:after="0" w:line="262" w:lineRule="auto"/>
        <w:rPr>
          <w:sz w:val="20"/>
          <w:szCs w:val="20"/>
          <w:color w:val="auto"/>
        </w:rPr>
      </w:pPr>
      <w:r>
        <w:rPr>
          <w:rFonts w:ascii="Arial" w:cs="Arial" w:eastAsia="Arial" w:hAnsi="Arial"/>
          <w:sz w:val="18"/>
          <w:szCs w:val="18"/>
          <w:color w:val="auto"/>
        </w:rPr>
        <w:t xml:space="preserve">We are obligated to maintain an owners’ register (in Danish: </w:t>
      </w:r>
      <w:r>
        <w:rPr>
          <w:rFonts w:ascii="Arial" w:cs="Arial" w:eastAsia="Arial" w:hAnsi="Arial"/>
          <w:sz w:val="18"/>
          <w:szCs w:val="18"/>
          <w:i w:val="1"/>
          <w:iCs w:val="1"/>
          <w:color w:val="auto"/>
        </w:rPr>
        <w:t>ejerbog</w:t>
      </w:r>
      <w:r>
        <w:rPr>
          <w:rFonts w:ascii="Arial" w:cs="Arial" w:eastAsia="Arial" w:hAnsi="Arial"/>
          <w:sz w:val="18"/>
          <w:szCs w:val="18"/>
          <w:color w:val="auto"/>
        </w:rPr>
        <w:t>). The owners’ register is maintained by Computershare A/S (Company Registration (CVR) no. 27088899), our Danish share registrar. It is mandatory that the owners’ register is maintained within the European Union and that it is available to public authorities.</w:t>
      </w:r>
    </w:p>
    <w:p>
      <w:pPr>
        <w:spacing w:after="0" w:line="183"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5%, 10%, 15%, 20%, 25%, 50%, 90% or 100%, or 1/3 or 2/3 are reached or no longer reached.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and Danish corporate law</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respect to our articles of association, the following should be emphasized: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Objects clause</w:t>
      </w:r>
    </w:p>
    <w:p>
      <w:pPr>
        <w:spacing w:after="0" w:line="116" w:lineRule="exact"/>
        <w:rPr>
          <w:sz w:val="20"/>
          <w:szCs w:val="20"/>
          <w:color w:val="auto"/>
        </w:rPr>
      </w:pPr>
    </w:p>
    <w:p>
      <w:pPr>
        <w:ind w:right="380" w:firstLine="439"/>
        <w:spacing w:after="0" w:line="262" w:lineRule="auto"/>
        <w:rPr>
          <w:sz w:val="20"/>
          <w:szCs w:val="20"/>
          <w:color w:val="auto"/>
        </w:rPr>
      </w:pPr>
      <w:r>
        <w:rPr>
          <w:rFonts w:ascii="Arial" w:cs="Arial" w:eastAsia="Arial" w:hAnsi="Arial"/>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provisions regarding the board of directors and the executive board</w:t>
      </w:r>
    </w:p>
    <w:p>
      <w:pPr>
        <w:spacing w:after="0" w:line="116" w:lineRule="exact"/>
        <w:rPr>
          <w:sz w:val="20"/>
          <w:szCs w:val="20"/>
          <w:color w:val="auto"/>
        </w:rPr>
      </w:pPr>
    </w:p>
    <w:p>
      <w:pPr>
        <w:ind w:right="20" w:firstLine="439"/>
        <w:spacing w:after="0" w:line="286" w:lineRule="auto"/>
        <w:rPr>
          <w:sz w:val="20"/>
          <w:szCs w:val="20"/>
          <w:color w:val="auto"/>
        </w:rPr>
      </w:pPr>
      <w:r>
        <w:rPr>
          <w:rFonts w:ascii="Arial" w:cs="Arial" w:eastAsia="Arial" w:hAnsi="Arial"/>
          <w:sz w:val="16"/>
          <w:szCs w:val="16"/>
          <w:color w:val="auto"/>
        </w:rPr>
        <w:t>Pursuant to our articles of association, our board of directors shall be elected by our shareholders at the general meeting and shall be composed of not less than three and no more than 10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2021 for a term expiring at the annual general meeting to be held in 2023; and a second class of directors (“Class II”) who were elected at the annual general meeting held in 2020 for a term expiring at the annual general meeting to be held in 2022. Member of Class II Birgitte Volck, M.D., Ph.D., resigned from the board of directors with effect as of July 12, 2021. On November 18, 2021, Rafaèle Tordjman, M.D., Ph.D., was elected as a new member of the board of directors replacing Dr. Volck in Class II for a term expiring at the annual general meeting to be held in 2022.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3" w:right="479" w:bottom="1440" w:gutter="0" w:footer="0" w:header="0"/>
        </w:sectPr>
      </w:pPr>
    </w:p>
    <w:bookmarkStart w:id="201" w:name="page202"/>
    <w:bookmarkEnd w:id="201"/>
    <w:p>
      <w:pPr>
        <w:ind w:right="200" w:firstLine="439"/>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board of directors shall appoint and employ an executive board consisting of one to five members to attend to our day-to-day management, and the board of directors shall determine the terms and conditions of the employment.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6" w:lineRule="exact"/>
        <w:rPr>
          <w:sz w:val="20"/>
          <w:szCs w:val="20"/>
          <w:color w:val="auto"/>
        </w:rPr>
      </w:pPr>
    </w:p>
    <w:p>
      <w:pPr>
        <w:ind w:right="100" w:firstLine="439"/>
        <w:spacing w:after="0" w:line="340" w:lineRule="auto"/>
        <w:rPr>
          <w:sz w:val="20"/>
          <w:szCs w:val="20"/>
          <w:color w:val="auto"/>
        </w:rPr>
      </w:pPr>
      <w:r>
        <w:rPr>
          <w:rFonts w:ascii="Arial" w:cs="Arial" w:eastAsia="Arial" w:hAnsi="Arial"/>
          <w:sz w:val="16"/>
          <w:szCs w:val="16"/>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6" w:lineRule="exact"/>
        <w:rPr>
          <w:sz w:val="20"/>
          <w:szCs w:val="20"/>
          <w:color w:val="auto"/>
        </w:rPr>
      </w:pPr>
    </w:p>
    <w:p>
      <w:pPr>
        <w:ind w:right="40" w:firstLine="439"/>
        <w:spacing w:after="0" w:line="285" w:lineRule="auto"/>
        <w:rPr>
          <w:sz w:val="20"/>
          <w:szCs w:val="20"/>
          <w:color w:val="auto"/>
        </w:rPr>
      </w:pPr>
      <w:r>
        <w:rPr>
          <w:rFonts w:ascii="Arial" w:cs="Arial" w:eastAsia="Arial" w:hAnsi="Arial"/>
          <w:sz w:val="17"/>
          <w:szCs w:val="17"/>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65"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8" w:lineRule="exact"/>
        <w:rPr>
          <w:sz w:val="20"/>
          <w:szCs w:val="20"/>
          <w:color w:val="auto"/>
        </w:rPr>
      </w:pPr>
    </w:p>
    <w:p>
      <w:pPr>
        <w:ind w:right="880" w:firstLine="439"/>
        <w:spacing w:after="0" w:line="275"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Item 10 E. Additional Information—Taxation</w:t>
      </w:r>
      <w:r>
        <w:rPr>
          <w:rFonts w:ascii="Arial" w:cs="Arial" w:eastAsia="Arial" w:hAnsi="Arial"/>
          <w:sz w:val="18"/>
          <w:szCs w:val="18"/>
          <w:color w:val="auto"/>
        </w:rPr>
        <w:t>” in our Annual Report on Form 20-F for a summary of certain tax consequences in respect of dividends or distributions to holders of our ordinary shares or the ADSs.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subscription rights</w:t>
      </w:r>
    </w:p>
    <w:p>
      <w:pPr>
        <w:spacing w:after="0" w:line="116"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92" w:lineRule="exact"/>
        <w:rPr>
          <w:sz w:val="20"/>
          <w:szCs w:val="20"/>
          <w:color w:val="auto"/>
        </w:rPr>
      </w:pPr>
    </w:p>
    <w:p>
      <w:pPr>
        <w:ind w:right="120" w:firstLine="439"/>
        <w:spacing w:after="0" w:line="275"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71" w:lineRule="exact"/>
        <w:rPr>
          <w:sz w:val="20"/>
          <w:szCs w:val="20"/>
          <w:color w:val="auto"/>
        </w:rPr>
      </w:pPr>
    </w:p>
    <w:p>
      <w:pPr>
        <w:ind w:right="260" w:firstLine="439"/>
        <w:spacing w:after="0" w:line="340" w:lineRule="auto"/>
        <w:rPr>
          <w:sz w:val="20"/>
          <w:szCs w:val="20"/>
          <w:color w:val="auto"/>
        </w:rPr>
      </w:pPr>
      <w:r>
        <w:rPr>
          <w:rFonts w:ascii="Arial" w:cs="Arial" w:eastAsia="Arial" w:hAnsi="Arial"/>
          <w:sz w:val="16"/>
          <w:szCs w:val="16"/>
          <w:color w:val="auto"/>
        </w:rPr>
        <w:t>Unless future issuances of new shares and/or pre-emptive rights are registered under the Securities Act or with any authority outside Denmark, U.S. shareholders and shareholders in jurisdictions outside Denmark may be unable to exercise their pre-emptive subscription rights.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on liquidation</w:t>
      </w:r>
    </w:p>
    <w:p>
      <w:pPr>
        <w:spacing w:after="0" w:line="116" w:lineRule="exact"/>
        <w:rPr>
          <w:sz w:val="20"/>
          <w:szCs w:val="20"/>
          <w:color w:val="auto"/>
        </w:rPr>
      </w:pPr>
    </w:p>
    <w:p>
      <w:pPr>
        <w:ind w:right="180" w:firstLine="439"/>
        <w:spacing w:after="0" w:line="275" w:lineRule="auto"/>
        <w:rPr>
          <w:sz w:val="20"/>
          <w:szCs w:val="20"/>
          <w:color w:val="auto"/>
        </w:rPr>
      </w:pPr>
      <w:r>
        <w:rPr>
          <w:rFonts w:ascii="Arial" w:cs="Arial" w:eastAsia="Arial" w:hAnsi="Arial"/>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holding of shares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limitations on the right to hold shares under the articles of association or Danish law.</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60" w:top="273" w:right="51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Liability to capital calls by us</w:t>
      </w:r>
    </w:p>
    <w:p>
      <w:pPr>
        <w:spacing w:after="0" w:line="116" w:lineRule="exact"/>
        <w:rPr>
          <w:sz w:val="20"/>
          <w:szCs w:val="20"/>
          <w:color w:val="auto"/>
        </w:rPr>
      </w:pPr>
    </w:p>
    <w:p>
      <w:pPr>
        <w:ind w:right="200" w:firstLine="439"/>
        <w:spacing w:after="0" w:line="275" w:lineRule="auto"/>
        <w:rPr>
          <w:sz w:val="20"/>
          <w:szCs w:val="20"/>
          <w:color w:val="auto"/>
        </w:rPr>
      </w:pPr>
      <w:r>
        <w:rPr>
          <w:rFonts w:ascii="Arial" w:cs="Arial" w:eastAsia="Arial" w:hAnsi="Arial"/>
          <w:sz w:val="18"/>
          <w:szCs w:val="18"/>
          <w:color w:val="auto"/>
        </w:rPr>
        <w:t>Under our articles of association as well as the Danish Companies Act, our shareholders are not obligated to pay further amounts to us. All our shares are fully-paid.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Sinking fund provisions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sinking fund provisions or similar obligations relating to our ordinary shares.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requirements</w:t>
      </w:r>
    </w:p>
    <w:p>
      <w:pPr>
        <w:spacing w:after="0" w:line="116" w:lineRule="exact"/>
        <w:rPr>
          <w:sz w:val="20"/>
          <w:szCs w:val="20"/>
          <w:color w:val="auto"/>
        </w:rPr>
      </w:pPr>
    </w:p>
    <w:p>
      <w:pPr>
        <w:jc w:val="both"/>
        <w:ind w:right="60" w:firstLine="439"/>
        <w:spacing w:after="0" w:line="278" w:lineRule="auto"/>
        <w:rPr>
          <w:sz w:val="20"/>
          <w:szCs w:val="20"/>
          <w:color w:val="auto"/>
        </w:rPr>
      </w:pPr>
      <w:r>
        <w:rPr>
          <w:rFonts w:ascii="Arial" w:cs="Arial" w:eastAsia="Arial" w:hAnsi="Arial"/>
          <w:sz w:val="17"/>
          <w:szCs w:val="17"/>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or 1/3 or 2/3 are reached or no longer reached. The notification shall be given within two weeks following the date when the limits are reached or are no longer reached.</w:t>
      </w:r>
    </w:p>
    <w:p>
      <w:pPr>
        <w:spacing w:after="0" w:line="170"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The notification must include information on the date of acquisition or disposal of the shares, the number and, if applicable, the share class, the full name, address and civil registration (CPR) number of the shareholder or the name, central business register (CVR) number and registered office of the enterprise. If the shareholder has no civil registration (CPR) number or central business (CVR) number, such notice must be accompanied by other documentation securing unambiguous identification of the shareholder. The notice must also include information on the denomination or nominal value of the shares and the voting rights attaching to the shares.</w:t>
      </w:r>
    </w:p>
    <w:p>
      <w:pPr>
        <w:spacing w:after="0" w:line="188" w:lineRule="exact"/>
        <w:rPr>
          <w:sz w:val="20"/>
          <w:szCs w:val="20"/>
          <w:color w:val="auto"/>
        </w:rPr>
      </w:pPr>
    </w:p>
    <w:p>
      <w:pPr>
        <w:ind w:firstLine="439"/>
        <w:spacing w:after="0" w:line="300" w:lineRule="auto"/>
        <w:rPr>
          <w:sz w:val="20"/>
          <w:szCs w:val="20"/>
          <w:color w:val="auto"/>
        </w:rPr>
      </w:pPr>
      <w:r>
        <w:rPr>
          <w:rFonts w:ascii="Arial" w:cs="Arial" w:eastAsia="Arial" w:hAnsi="Arial"/>
          <w:sz w:val="16"/>
          <w:szCs w:val="16"/>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56" w:lineRule="exact"/>
        <w:rPr>
          <w:sz w:val="20"/>
          <w:szCs w:val="20"/>
          <w:color w:val="auto"/>
        </w:rPr>
      </w:pPr>
    </w:p>
    <w:p>
      <w:pPr>
        <w:ind w:right="640" w:firstLine="439"/>
        <w:spacing w:after="0" w:line="275" w:lineRule="auto"/>
        <w:rPr>
          <w:sz w:val="20"/>
          <w:szCs w:val="20"/>
          <w:color w:val="auto"/>
        </w:rPr>
      </w:pPr>
      <w:r>
        <w:rPr>
          <w:rFonts w:ascii="Arial" w:cs="Arial" w:eastAsia="Arial" w:hAnsi="Arial"/>
          <w:sz w:val="18"/>
          <w:szCs w:val="18"/>
          <w:color w:val="auto"/>
        </w:rPr>
        <w:t>The legal status of the notification obligations is not fully clarified in relation to ADS holders and an ADS holder may be subject to such obligations.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6" w:lineRule="exact"/>
        <w:rPr>
          <w:sz w:val="20"/>
          <w:szCs w:val="20"/>
          <w:color w:val="auto"/>
        </w:rPr>
      </w:pPr>
    </w:p>
    <w:p>
      <w:pPr>
        <w:ind w:right="220" w:firstLine="439"/>
        <w:spacing w:after="0" w:line="306" w:lineRule="auto"/>
        <w:rPr>
          <w:sz w:val="20"/>
          <w:szCs w:val="20"/>
          <w:color w:val="auto"/>
        </w:rPr>
      </w:pPr>
      <w:r>
        <w:rPr>
          <w:rFonts w:ascii="Arial" w:cs="Arial" w:eastAsia="Arial" w:hAnsi="Arial"/>
          <w:sz w:val="17"/>
          <w:szCs w:val="17"/>
          <w:color w:val="auto"/>
        </w:rPr>
        <w:t>The general meeting of shareholders is the highest authority in all matters, subject to the limitations provided by Danish law and the articles of association. The annual general meeting shall be held in the Greater Copenhagen area not later than the end of May in each year.</w:t>
      </w:r>
    </w:p>
    <w:p>
      <w:pPr>
        <w:spacing w:after="0" w:line="147" w:lineRule="exact"/>
        <w:rPr>
          <w:sz w:val="20"/>
          <w:szCs w:val="20"/>
          <w:color w:val="auto"/>
        </w:rPr>
      </w:pPr>
    </w:p>
    <w:p>
      <w:pPr>
        <w:jc w:val="both"/>
        <w:ind w:right="140" w:firstLine="439"/>
        <w:spacing w:after="0" w:line="340" w:lineRule="auto"/>
        <w:rPr>
          <w:sz w:val="20"/>
          <w:szCs w:val="20"/>
          <w:color w:val="auto"/>
        </w:rPr>
      </w:pPr>
      <w:r>
        <w:rPr>
          <w:rFonts w:ascii="Arial" w:cs="Arial" w:eastAsia="Arial" w:hAnsi="Arial"/>
          <w:sz w:val="16"/>
          <w:szCs w:val="16"/>
          <w:color w:val="auto"/>
        </w:rPr>
        <w:t>At the annual general meeting, the audited annual report is submitted for approval, together with the proposed application of profit/treatment of loss, the election of the board of directors and election of our auditors. In addition, the board of directors reports on our activities during the past year.</w:t>
      </w:r>
    </w:p>
    <w:p>
      <w:pPr>
        <w:spacing w:after="0" w:line="124" w:lineRule="exact"/>
        <w:rPr>
          <w:sz w:val="20"/>
          <w:szCs w:val="20"/>
          <w:color w:val="auto"/>
        </w:rPr>
      </w:pPr>
    </w:p>
    <w:p>
      <w:pPr>
        <w:ind w:right="280" w:firstLine="439"/>
        <w:spacing w:after="0" w:line="262" w:lineRule="auto"/>
        <w:rPr>
          <w:sz w:val="20"/>
          <w:szCs w:val="20"/>
          <w:color w:val="auto"/>
        </w:rPr>
      </w:pPr>
      <w:r>
        <w:rPr>
          <w:rFonts w:ascii="Arial" w:cs="Arial" w:eastAsia="Arial" w:hAnsi="Arial"/>
          <w:sz w:val="18"/>
          <w:szCs w:val="18"/>
          <w:color w:val="auto"/>
        </w:rPr>
        <w:t>General meetings are convened by the board of directors with a minimum of two weeks’ notice and a maximum of four weeks’ notice. A convening notice will be forwarded to shareholders recorded in our owners’ register, who have requested such notification and by publication in the Danish Business Authority’s computerized information system and on the company’s website.</w:t>
      </w:r>
    </w:p>
    <w:p>
      <w:pPr>
        <w:spacing w:after="0" w:line="183" w:lineRule="exact"/>
        <w:rPr>
          <w:sz w:val="20"/>
          <w:szCs w:val="20"/>
          <w:color w:val="auto"/>
        </w:rPr>
      </w:pPr>
    </w:p>
    <w:p>
      <w:pPr>
        <w:ind w:right="360" w:firstLine="439"/>
        <w:spacing w:after="0" w:line="275" w:lineRule="auto"/>
        <w:rPr>
          <w:sz w:val="20"/>
          <w:szCs w:val="20"/>
          <w:color w:val="auto"/>
        </w:rPr>
      </w:pPr>
      <w:r>
        <w:rPr>
          <w:rFonts w:ascii="Arial" w:cs="Arial" w:eastAsia="Arial" w:hAnsi="Arial"/>
          <w:sz w:val="18"/>
          <w:szCs w:val="18"/>
          <w:color w:val="auto"/>
        </w:rPr>
        <w:t>At the latest, two weeks before a general meeting (inclusive of the day of the general meeting), we shall make the following information and documents available on our webpage:</w:t>
      </w:r>
    </w:p>
    <w:p>
      <w:pPr>
        <w:spacing w:after="0" w:line="77" w:lineRule="exact"/>
        <w:rPr>
          <w:sz w:val="20"/>
          <w:szCs w:val="20"/>
          <w:color w:val="auto"/>
        </w:rPr>
      </w:pPr>
    </w:p>
    <w:p>
      <w:pPr>
        <w:ind w:left="960" w:hanging="426"/>
        <w:spacing w:after="0"/>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convening notice,</w:t>
      </w:r>
    </w:p>
    <w:p>
      <w:pPr>
        <w:spacing w:after="0" w:line="129" w:lineRule="exact"/>
        <w:rPr>
          <w:rFonts w:ascii="Arial" w:cs="Arial" w:eastAsia="Arial" w:hAnsi="Arial"/>
          <w:sz w:val="18"/>
          <w:szCs w:val="18"/>
          <w:color w:val="auto"/>
        </w:rPr>
      </w:pPr>
    </w:p>
    <w:p>
      <w:pPr>
        <w:ind w:left="960" w:right="320" w:hanging="426"/>
        <w:spacing w:after="0" w:line="275" w:lineRule="auto"/>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documents that shall be presented at the general meeting, which will, in the case of the annual general meeting, include the annual report, and</w:t>
      </w:r>
    </w:p>
    <w:p>
      <w:pPr>
        <w:spacing w:after="0" w:line="77" w:lineRule="exact"/>
        <w:rPr>
          <w:rFonts w:ascii="Arial" w:cs="Arial" w:eastAsia="Arial" w:hAnsi="Arial"/>
          <w:sz w:val="18"/>
          <w:szCs w:val="18"/>
          <w:color w:val="auto"/>
        </w:rPr>
      </w:pPr>
    </w:p>
    <w:p>
      <w:pPr>
        <w:ind w:left="960" w:hanging="426"/>
        <w:spacing w:after="0"/>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agenda and the complete proposals.</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460" w:top="273" w:right="559" w:bottom="1440" w:gutter="0" w:footer="0" w:header="0"/>
        </w:sectPr>
      </w:pPr>
    </w:p>
    <w:bookmarkStart w:id="203" w:name="page204"/>
    <w:bookmarkEnd w:id="203"/>
    <w:p>
      <w:pPr>
        <w:ind w:right="140" w:firstLine="439"/>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 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65" w:lineRule="exact"/>
        <w:rPr>
          <w:sz w:val="20"/>
          <w:szCs w:val="20"/>
          <w:color w:val="auto"/>
        </w:rPr>
      </w:pPr>
    </w:p>
    <w:p>
      <w:pPr>
        <w:ind w:right="80" w:firstLine="439"/>
        <w:spacing w:after="0" w:line="262" w:lineRule="auto"/>
        <w:rPr>
          <w:sz w:val="20"/>
          <w:szCs w:val="20"/>
          <w:color w:val="auto"/>
        </w:rPr>
      </w:pPr>
      <w:r>
        <w:rPr>
          <w:rFonts w:ascii="Arial" w:cs="Arial" w:eastAsia="Arial" w:hAnsi="Arial"/>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ADSs are not entitled to directly receive notices or other materials or to attend or vote at general meetings.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Resolutions in general meetings</w:t>
      </w:r>
    </w:p>
    <w:p>
      <w:pPr>
        <w:spacing w:after="0" w:line="116" w:lineRule="exact"/>
        <w:rPr>
          <w:sz w:val="20"/>
          <w:szCs w:val="20"/>
          <w:color w:val="auto"/>
        </w:rPr>
      </w:pPr>
    </w:p>
    <w:p>
      <w:pPr>
        <w:ind w:right="260" w:firstLine="439"/>
        <w:spacing w:after="0" w:line="295" w:lineRule="auto"/>
        <w:rPr>
          <w:sz w:val="20"/>
          <w:szCs w:val="20"/>
          <w:color w:val="auto"/>
        </w:rPr>
      </w:pPr>
      <w:r>
        <w:rPr>
          <w:rFonts w:ascii="Arial" w:cs="Arial" w:eastAsia="Arial" w:hAnsi="Arial"/>
          <w:sz w:val="16"/>
          <w:szCs w:val="16"/>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6" w:lineRule="exact"/>
        <w:rPr>
          <w:sz w:val="20"/>
          <w:szCs w:val="20"/>
          <w:color w:val="auto"/>
        </w:rPr>
      </w:pPr>
    </w:p>
    <w:p>
      <w:pPr>
        <w:ind w:right="120" w:firstLine="439"/>
        <w:spacing w:after="0" w:line="262" w:lineRule="auto"/>
        <w:rPr>
          <w:sz w:val="20"/>
          <w:szCs w:val="20"/>
          <w:color w:val="auto"/>
        </w:rPr>
      </w:pPr>
      <w:r>
        <w:rPr>
          <w:rFonts w:ascii="Arial" w:cs="Arial" w:eastAsia="Arial" w:hAnsi="Arial"/>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Squeeze out</w:t>
      </w:r>
    </w:p>
    <w:p>
      <w:pPr>
        <w:spacing w:after="0" w:line="116"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color w:val="auto"/>
        </w:rPr>
        <w:t>According to Section 70 of the Danish Companies Act, shares in a company may be redeemed in full or in part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Danish rules intended to prevent market abuse</w:t>
      </w:r>
    </w:p>
    <w:p>
      <w:pPr>
        <w:spacing w:after="0" w:line="116" w:lineRule="exact"/>
        <w:rPr>
          <w:sz w:val="20"/>
          <w:szCs w:val="20"/>
          <w:color w:val="auto"/>
        </w:rPr>
      </w:pPr>
    </w:p>
    <w:p>
      <w:pPr>
        <w:ind w:firstLine="439"/>
        <w:spacing w:after="0" w:line="271" w:lineRule="auto"/>
        <w:rPr>
          <w:sz w:val="20"/>
          <w:szCs w:val="20"/>
          <w:color w:val="auto"/>
        </w:rPr>
      </w:pPr>
      <w:r>
        <w:rPr>
          <w:rFonts w:ascii="Arial" w:cs="Arial" w:eastAsia="Arial" w:hAnsi="Arial"/>
          <w:sz w:val="17"/>
          <w:szCs w:val="17"/>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3" w:right="47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Limitation on liability</w:t>
      </w:r>
    </w:p>
    <w:p>
      <w:pPr>
        <w:spacing w:after="0" w:line="120" w:lineRule="exact"/>
        <w:rPr>
          <w:sz w:val="20"/>
          <w:szCs w:val="20"/>
          <w:color w:val="auto"/>
        </w:rPr>
      </w:pPr>
    </w:p>
    <w:p>
      <w:pPr>
        <w:ind w:right="60" w:firstLine="439"/>
        <w:spacing w:after="0" w:line="262" w:lineRule="auto"/>
        <w:rPr>
          <w:sz w:val="20"/>
          <w:szCs w:val="20"/>
          <w:color w:val="auto"/>
        </w:rPr>
      </w:pPr>
      <w:r>
        <w:rPr>
          <w:rFonts w:ascii="Arial" w:cs="Arial" w:eastAsia="Arial" w:hAnsi="Arial"/>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and to third parties for acting in violation of the articles of association and Danish law.</w:t>
      </w:r>
    </w:p>
    <w:p>
      <w:pPr>
        <w:spacing w:after="0" w:line="183" w:lineRule="exact"/>
        <w:rPr>
          <w:sz w:val="20"/>
          <w:szCs w:val="20"/>
          <w:color w:val="auto"/>
        </w:rPr>
      </w:pPr>
    </w:p>
    <w:p>
      <w:pPr>
        <w:ind w:right="40" w:firstLine="439"/>
        <w:spacing w:after="0" w:line="258"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w:t>
      </w:r>
    </w:p>
    <w:p>
      <w:pPr>
        <w:spacing w:after="0" w:line="186" w:lineRule="exact"/>
        <w:rPr>
          <w:sz w:val="20"/>
          <w:szCs w:val="20"/>
          <w:color w:val="auto"/>
        </w:rPr>
      </w:pPr>
    </w:p>
    <w:p>
      <w:pPr>
        <w:ind w:right="200" w:firstLine="439"/>
        <w:spacing w:after="0" w:line="295" w:lineRule="auto"/>
        <w:rPr>
          <w:sz w:val="20"/>
          <w:szCs w:val="20"/>
          <w:color w:val="auto"/>
        </w:rPr>
      </w:pPr>
      <w:r>
        <w:rPr>
          <w:rFonts w:ascii="Arial" w:cs="Arial" w:eastAsia="Arial" w:hAnsi="Arial"/>
          <w:sz w:val="16"/>
          <w:szCs w:val="16"/>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61" w:lineRule="exact"/>
        <w:rPr>
          <w:sz w:val="20"/>
          <w:szCs w:val="20"/>
          <w:color w:val="auto"/>
        </w:rPr>
      </w:pPr>
    </w:p>
    <w:p>
      <w:pPr>
        <w:ind w:right="40" w:firstLine="439"/>
        <w:spacing w:after="0" w:line="278"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addition to such indemnification, we provide our board members and senior management with directors’ and officers’ liability insurance.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Danish corporate law and our articles of association and Delaware corporate law</w:t>
      </w:r>
    </w:p>
    <w:p>
      <w:pPr>
        <w:spacing w:after="0" w:line="120" w:lineRule="exact"/>
        <w:rPr>
          <w:sz w:val="20"/>
          <w:szCs w:val="20"/>
          <w:color w:val="auto"/>
        </w:rPr>
      </w:pPr>
    </w:p>
    <w:p>
      <w:pPr>
        <w:ind w:right="20" w:firstLine="439"/>
        <w:spacing w:after="0" w:line="278" w:lineRule="auto"/>
        <w:rPr>
          <w:sz w:val="20"/>
          <w:szCs w:val="20"/>
          <w:color w:val="auto"/>
        </w:rPr>
      </w:pPr>
      <w:r>
        <w:rPr>
          <w:rFonts w:ascii="Arial" w:cs="Arial" w:eastAsia="Arial" w:hAnsi="Arial"/>
          <w:sz w:val="17"/>
          <w:szCs w:val="17"/>
          <w:color w:val="auto"/>
        </w:rPr>
        <w:t>The following comparison between Danish corporate law, which applies to us, and Delaware corporate law, the law under which many publicly traded companies in the United States are incorporated, discusses additional matters not otherwise described in our Annual Report on Form 20-F.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 of board members</w:t>
      </w:r>
    </w:p>
    <w:p>
      <w:pPr>
        <w:spacing w:after="0" w:line="116"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Public limited liability companies in Denmark are usually subject to a two-tier governance structure with the board of directors having</w:t>
      </w:r>
      <w:r>
        <w:rPr>
          <w:rFonts w:ascii="Arial" w:cs="Arial" w:eastAsia="Arial" w:hAnsi="Arial"/>
          <w:sz w:val="16"/>
          <w:szCs w:val="16"/>
          <w:i w:val="1"/>
          <w:iCs w:val="1"/>
          <w:color w:val="auto"/>
        </w:rPr>
        <w:t xml:space="preserve"> </w:t>
      </w:r>
      <w:r>
        <w:rPr>
          <w:rFonts w:ascii="Arial" w:cs="Arial" w:eastAsia="Arial" w:hAnsi="Arial"/>
          <w:sz w:val="16"/>
          <w:szCs w:val="16"/>
          <w:color w:val="auto"/>
        </w:rPr>
        <w:t>the ultimate responsibility for the overall supervision and strategic management of the company in question and with an executive board/management being responsible for the day-to-day operations. 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65" w:lineRule="exact"/>
        <w:rPr>
          <w:sz w:val="20"/>
          <w:szCs w:val="20"/>
          <w:color w:val="auto"/>
        </w:rPr>
      </w:pPr>
    </w:p>
    <w:p>
      <w:pPr>
        <w:ind w:right="200" w:firstLine="439"/>
        <w:spacing w:after="0" w:line="310"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board of directors bears the ultimate responsibility for managing the business and affairs of a corporation. In discharging this</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60" w:top="269" w:right="499" w:bottom="1440" w:gutter="0" w:footer="0" w:header="0"/>
        </w:sectPr>
      </w:pPr>
    </w:p>
    <w:bookmarkStart w:id="205" w:name="page206"/>
    <w:bookmarkEnd w:id="205"/>
    <w:p>
      <w:pPr>
        <w:ind w:left="5" w:right="100"/>
        <w:spacing w:after="0" w:line="30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64"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Terms of the members of our board of directors</w:t>
      </w:r>
    </w:p>
    <w:p>
      <w:pPr>
        <w:spacing w:after="0" w:line="116" w:lineRule="exact"/>
        <w:rPr>
          <w:sz w:val="20"/>
          <w:szCs w:val="20"/>
          <w:color w:val="auto"/>
        </w:rPr>
      </w:pPr>
    </w:p>
    <w:p>
      <w:pPr>
        <w:ind w:left="5" w:right="160" w:firstLine="439"/>
        <w:spacing w:after="0" w:line="278"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the members of the board of directors of a limited liability company are generally appointed for an individual term</w:t>
      </w:r>
      <w:r>
        <w:rPr>
          <w:rFonts w:ascii="Arial" w:cs="Arial" w:eastAsia="Arial" w:hAnsi="Arial"/>
          <w:sz w:val="17"/>
          <w:szCs w:val="17"/>
          <w:i w:val="1"/>
          <w:iCs w:val="1"/>
          <w:color w:val="auto"/>
        </w:rPr>
        <w:t xml:space="preserve"> </w:t>
      </w:r>
      <w:r>
        <w:rPr>
          <w:rFonts w:ascii="Arial" w:cs="Arial" w:eastAsia="Arial" w:hAnsi="Arial"/>
          <w:sz w:val="17"/>
          <w:szCs w:val="17"/>
          <w:color w:val="auto"/>
        </w:rPr>
        <w:t>of one 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70" w:lineRule="exact"/>
        <w:rPr>
          <w:sz w:val="20"/>
          <w:szCs w:val="20"/>
          <w:color w:val="auto"/>
        </w:rPr>
      </w:pPr>
    </w:p>
    <w:p>
      <w:pPr>
        <w:ind w:left="445"/>
        <w:spacing w:after="0"/>
        <w:rPr>
          <w:sz w:val="20"/>
          <w:szCs w:val="20"/>
          <w:color w:val="auto"/>
        </w:rPr>
      </w:pPr>
      <w:r>
        <w:rPr>
          <w:rFonts w:ascii="Arial" w:cs="Arial" w:eastAsia="Arial" w:hAnsi="Arial"/>
          <w:sz w:val="18"/>
          <w:szCs w:val="18"/>
          <w:color w:val="auto"/>
        </w:rPr>
        <w:t>At the general meeting, shareholders are entitled at all times to dismiss a board member by a simple majority vote.</w:t>
      </w:r>
    </w:p>
    <w:p>
      <w:pPr>
        <w:spacing w:after="0" w:line="223" w:lineRule="exact"/>
        <w:rPr>
          <w:sz w:val="20"/>
          <w:szCs w:val="20"/>
          <w:color w:val="auto"/>
        </w:rPr>
      </w:pPr>
    </w:p>
    <w:p>
      <w:pPr>
        <w:ind w:left="5" w:right="20" w:firstLine="439"/>
        <w:spacing w:after="0" w:line="258" w:lineRule="auto"/>
        <w:rPr>
          <w:sz w:val="20"/>
          <w:szCs w:val="20"/>
          <w:color w:val="auto"/>
        </w:rPr>
      </w:pPr>
      <w:r>
        <w:rPr>
          <w:rFonts w:ascii="Arial" w:cs="Arial" w:eastAsia="Arial" w:hAnsi="Arial"/>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6" w:lineRule="exact"/>
        <w:rPr>
          <w:sz w:val="20"/>
          <w:szCs w:val="20"/>
          <w:color w:val="auto"/>
        </w:rPr>
      </w:pPr>
    </w:p>
    <w:p>
      <w:pPr>
        <w:jc w:val="both"/>
        <w:ind w:left="5" w:right="300" w:firstLine="439"/>
        <w:spacing w:after="0" w:line="258" w:lineRule="auto"/>
        <w:rPr>
          <w:sz w:val="20"/>
          <w:szCs w:val="20"/>
          <w:color w:val="auto"/>
        </w:rPr>
      </w:pPr>
      <w:r>
        <w:rPr>
          <w:rFonts w:ascii="Arial" w:cs="Arial" w:eastAsia="Arial" w:hAnsi="Arial"/>
          <w:sz w:val="18"/>
          <w:szCs w:val="18"/>
          <w:color w:val="auto"/>
        </w:rPr>
        <w:t>Our company currently employs more than an average of 35 employees and has done so since 2016. Consequently, from 2018, our employees have been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86" w:lineRule="exact"/>
        <w:rPr>
          <w:sz w:val="20"/>
          <w:szCs w:val="20"/>
          <w:color w:val="auto"/>
        </w:rPr>
      </w:pPr>
    </w:p>
    <w:p>
      <w:pPr>
        <w:ind w:left="5" w:firstLine="439"/>
        <w:spacing w:after="0" w:line="300" w:lineRule="auto"/>
        <w:rPr>
          <w:sz w:val="20"/>
          <w:szCs w:val="20"/>
          <w:color w:val="auto"/>
        </w:rPr>
      </w:pPr>
      <w:r>
        <w:rPr>
          <w:rFonts w:ascii="Arial" w:cs="Arial" w:eastAsia="Arial" w:hAnsi="Arial"/>
          <w:sz w:val="16"/>
          <w:szCs w:val="16"/>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and Ascendis Pharma Endocrinology, Inc., and the employees of our other foreign subsidiary, Ascendis Pharma GmbH, may only demand representation on our board of directors provided that our general meeting adopts a resolution to that effect.</w:t>
      </w:r>
    </w:p>
    <w:p>
      <w:pPr>
        <w:spacing w:after="0" w:line="156" w:lineRule="exact"/>
        <w:rPr>
          <w:sz w:val="20"/>
          <w:szCs w:val="20"/>
          <w:color w:val="auto"/>
        </w:rPr>
      </w:pPr>
    </w:p>
    <w:p>
      <w:pPr>
        <w:ind w:left="5" w:right="120" w:firstLine="439"/>
        <w:spacing w:after="0" w:line="27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Delaware General Corporation Law generally provides for a one-year term for directors, but permits directorships to be divided</w:t>
      </w:r>
      <w:r>
        <w:rPr>
          <w:rFonts w:ascii="Arial" w:cs="Arial" w:eastAsia="Arial" w:hAnsi="Arial"/>
          <w:sz w:val="17"/>
          <w:szCs w:val="17"/>
          <w:i w:val="1"/>
          <w:iCs w:val="1"/>
          <w:color w:val="auto"/>
        </w:rPr>
        <w:t xml:space="preserve"> </w:t>
      </w:r>
      <w:r>
        <w:rPr>
          <w:rFonts w:ascii="Arial" w:cs="Arial" w:eastAsia="Arial" w:hAnsi="Arial"/>
          <w:sz w:val="17"/>
          <w:szCs w:val="17"/>
          <w:color w:val="auto"/>
        </w:rPr>
        <w:t>into up 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78"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Board member vacancies</w:t>
      </w:r>
    </w:p>
    <w:p>
      <w:pPr>
        <w:spacing w:after="0" w:line="116" w:lineRule="exact"/>
        <w:rPr>
          <w:sz w:val="20"/>
          <w:szCs w:val="20"/>
          <w:color w:val="auto"/>
        </w:rPr>
      </w:pPr>
    </w:p>
    <w:p>
      <w:pPr>
        <w:ind w:left="5" w:right="100" w:firstLine="439"/>
        <w:spacing w:after="0" w:line="278"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in the event of a vacancy, new board members are elected by the shareholders in a general meeting. Thus, a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will have to be convened to fill a vacancy on the board of directors. However, the board of directors may choose to wait to fill vacancies until the next annual general meeting of the company, provided that the remaining board members can still constitute a quorum. It is only a statutory requirement to convene a general meeting to fill vacancies if the number of remaining members on the board is less than three.</w:t>
      </w:r>
    </w:p>
    <w:p>
      <w:pPr>
        <w:spacing w:after="0" w:line="170" w:lineRule="exact"/>
        <w:rPr>
          <w:sz w:val="20"/>
          <w:szCs w:val="20"/>
          <w:color w:val="auto"/>
        </w:rPr>
      </w:pPr>
    </w:p>
    <w:p>
      <w:pPr>
        <w:ind w:left="5" w:right="20" w:firstLine="439"/>
        <w:spacing w:after="0" w:line="290"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Delaware General Corporation Law provides that vacancies and newly created directorships may be filled by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then in office (even though less than a quorum) unless (1) otherwise provided in the certificate of incorporation or bylaws of the corporation or</w:t>
      </w:r>
    </w:p>
    <w:p>
      <w:pPr>
        <w:ind w:left="5" w:right="60" w:hanging="5"/>
        <w:spacing w:after="0" w:line="259" w:lineRule="auto"/>
        <w:tabs>
          <w:tab w:leader="none" w:pos="25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117"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5"/>
          </w:cols>
          <w:pgMar w:left="455" w:top="273" w:right="49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Conflict-of-interest transactions</w:t>
      </w:r>
    </w:p>
    <w:p>
      <w:pPr>
        <w:spacing w:after="0" w:line="116"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board members may not take part in any matter or decision-making that involves a subject or transaction in 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the board member has a conflict of interest with us.</w:t>
      </w:r>
    </w:p>
    <w:p>
      <w:pPr>
        <w:spacing w:after="0" w:line="171"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generally permits transactions involving a Delaware corporation and an interested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corporation if:</w:t>
      </w:r>
    </w:p>
    <w:p>
      <w:pPr>
        <w:spacing w:after="0" w:line="77" w:lineRule="exact"/>
        <w:rPr>
          <w:sz w:val="20"/>
          <w:szCs w:val="20"/>
          <w:color w:val="auto"/>
        </w:rPr>
      </w:pPr>
    </w:p>
    <w:p>
      <w:pPr>
        <w:ind w:left="960" w:hanging="426"/>
        <w:spacing w:after="0"/>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129" w:lineRule="exact"/>
        <w:rPr>
          <w:rFonts w:ascii="Arial" w:cs="Arial" w:eastAsia="Arial" w:hAnsi="Arial"/>
          <w:sz w:val="18"/>
          <w:szCs w:val="18"/>
          <w:color w:val="auto"/>
        </w:rPr>
      </w:pPr>
    </w:p>
    <w:p>
      <w:pPr>
        <w:ind w:left="960" w:hanging="426"/>
        <w:spacing w:after="0"/>
        <w:tabs>
          <w:tab w:leader="none" w:pos="9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material facts are disclosed as to the director’s relationship or interest and a majority of shares entitled to vote thereon consent; or</w:t>
      </w:r>
    </w:p>
    <w:p>
      <w:pPr>
        <w:spacing w:after="0" w:line="152" w:lineRule="exact"/>
        <w:rPr>
          <w:rFonts w:ascii="Arial" w:cs="Arial" w:eastAsia="Arial" w:hAnsi="Arial"/>
          <w:sz w:val="16"/>
          <w:szCs w:val="16"/>
          <w:color w:val="auto"/>
        </w:rPr>
      </w:pPr>
    </w:p>
    <w:p>
      <w:pPr>
        <w:ind w:left="960" w:right="200" w:hanging="426"/>
        <w:spacing w:after="0" w:line="275" w:lineRule="auto"/>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by board members</w:t>
      </w:r>
    </w:p>
    <w:p>
      <w:pPr>
        <w:spacing w:after="0" w:line="116"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In the event that a board member in a Danish limited liability company is unable to participate in a board meeting, the elected alternate,</w:t>
      </w:r>
      <w:r>
        <w:rPr>
          <w:rFonts w:ascii="Arial" w:cs="Arial" w:eastAsia="Arial" w:hAnsi="Arial"/>
          <w:sz w:val="18"/>
          <w:szCs w:val="18"/>
          <w:i w:val="1"/>
          <w:iCs w:val="1"/>
          <w:color w:val="auto"/>
        </w:rPr>
        <w:t xml:space="preserve"> </w:t>
      </w:r>
      <w:r>
        <w:rPr>
          <w:rFonts w:ascii="Arial" w:cs="Arial" w:eastAsia="Arial" w:hAnsi="Arial"/>
          <w:sz w:val="18"/>
          <w:szCs w:val="18"/>
          <w:color w:val="auto"/>
        </w:rPr>
        <w:t>if any, shall be given access to participate in the board meeting. Unless the board of directors has decided otherwise, or as otherwise is set out in the articles of association, the board member in question may in special cases grant a power of attorney to another board member, provided that this is considered safe considering the agenda in question.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of meeting</w:t>
      </w:r>
    </w:p>
    <w:p>
      <w:pPr>
        <w:spacing w:after="0" w:line="116" w:lineRule="exact"/>
        <w:rPr>
          <w:sz w:val="20"/>
          <w:szCs w:val="20"/>
          <w:color w:val="auto"/>
        </w:rPr>
      </w:pPr>
    </w:p>
    <w:p>
      <w:pPr>
        <w:ind w:right="160" w:firstLine="439"/>
        <w:spacing w:after="0" w:line="278"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According to the Danish Companies Act, general meetings in limited liability companies shall be convened by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with a minimum of two weeks’ notice and a maximum of four weeks’ notice as set forth in the articles of association. A convening notice shall be forwarded to shareholders recorded in the company’s owners’ register, who have requested such notification. There are specific requirements as to the information and documentation required to be disclosed in connection with the convening notice.</w:t>
      </w:r>
    </w:p>
    <w:p>
      <w:pPr>
        <w:spacing w:after="0" w:line="170"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Delaware law, unless otherwise provided in the certificate of incorporation or bylaws, written notice of any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must be given to each stockholder entitled to vote at the meeting not less than ten nor more than 60 days before the date of the meeting and shall specify the place, date, hour, and purpose or purposes of the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6" w:lineRule="exact"/>
        <w:rPr>
          <w:sz w:val="20"/>
          <w:szCs w:val="20"/>
          <w:color w:val="auto"/>
        </w:rPr>
      </w:pPr>
    </w:p>
    <w:p>
      <w:pPr>
        <w:ind w:right="140" w:firstLine="439"/>
        <w:spacing w:after="0" w:line="262"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Each ordinary share confers the right to cast one vote at the general meeting of shareholders, unless the articles of association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Each holder of ordinary shares may cast as many votes as it holds shares. Shares that are held by the company or its direct or indirect subsidiaries do not confer the right to vote.</w:t>
      </w:r>
    </w:p>
    <w:p>
      <w:pPr>
        <w:spacing w:after="0" w:line="183"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60" w:top="273" w:right="519" w:bottom="1440" w:gutter="0" w:footer="0" w:header="0"/>
        </w:sectPr>
      </w:pPr>
    </w:p>
    <w:bookmarkStart w:id="207" w:name="page208"/>
    <w:bookmarkEnd w:id="207"/>
    <w:p>
      <w:pPr>
        <w:ind w:right="120" w:firstLine="439"/>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w:t>
      </w:r>
    </w:p>
    <w:p>
      <w:pPr>
        <w:spacing w:after="0" w:line="116" w:lineRule="exact"/>
        <w:rPr>
          <w:sz w:val="20"/>
          <w:szCs w:val="20"/>
          <w:color w:val="auto"/>
        </w:rPr>
      </w:pPr>
    </w:p>
    <w:p>
      <w:pPr>
        <w:jc w:val="both"/>
        <w:ind w:right="180" w:firstLine="439"/>
        <w:spacing w:after="0" w:line="258"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extraordinary general meetings of shareholders will be held whenever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6" w:lineRule="exact"/>
        <w:rPr>
          <w:sz w:val="20"/>
          <w:szCs w:val="20"/>
          <w:color w:val="auto"/>
        </w:rPr>
      </w:pPr>
    </w:p>
    <w:p>
      <w:pPr>
        <w:ind w:right="60" w:firstLine="439"/>
        <w:spacing w:after="0" w:line="262"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made in writing and forwarded at the latest six weeks prior thereto. In the event that the proposal is received at a later date, the board of directors will decide whether the proposal has been forwarded in due time to be included on the agenda.</w:t>
      </w:r>
    </w:p>
    <w:p>
      <w:pPr>
        <w:spacing w:after="0" w:line="183" w:lineRule="exact"/>
        <w:rPr>
          <w:sz w:val="20"/>
          <w:szCs w:val="20"/>
          <w:color w:val="auto"/>
        </w:rPr>
      </w:pPr>
    </w:p>
    <w:p>
      <w:pPr>
        <w:ind w:right="180" w:firstLine="439"/>
        <w:spacing w:after="0" w:line="310"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Delaware law does not specifically grant stockholders the right to bring business before an annual or special meeting of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by written consent</w:t>
      </w:r>
    </w:p>
    <w:p>
      <w:pPr>
        <w:spacing w:after="0" w:line="116" w:lineRule="exact"/>
        <w:rPr>
          <w:sz w:val="20"/>
          <w:szCs w:val="20"/>
          <w:color w:val="auto"/>
        </w:rPr>
      </w:pPr>
    </w:p>
    <w:p>
      <w:pPr>
        <w:jc w:val="both"/>
        <w:ind w:right="240" w:firstLine="439"/>
        <w:spacing w:after="0" w:line="340"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permissible for shareholders to take action and pass resolutions by written consent in the event of unanimity;</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this will normally not be the case in listed companies and for a listed company, this method of adopting resolutions is generally not feasible.</w:t>
      </w:r>
    </w:p>
    <w:p>
      <w:pPr>
        <w:spacing w:after="0" w:line="124" w:lineRule="exact"/>
        <w:rPr>
          <w:sz w:val="20"/>
          <w:szCs w:val="20"/>
          <w:color w:val="auto"/>
        </w:rPr>
      </w:pPr>
    </w:p>
    <w:p>
      <w:pPr>
        <w:ind w:right="120" w:firstLine="439"/>
        <w:spacing w:after="0" w:line="27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Appraisal rights</w:t>
      </w:r>
    </w:p>
    <w:p>
      <w:pPr>
        <w:spacing w:after="0" w:line="116" w:lineRule="exact"/>
        <w:rPr>
          <w:sz w:val="20"/>
          <w:szCs w:val="20"/>
          <w:color w:val="auto"/>
        </w:rPr>
      </w:pPr>
    </w:p>
    <w:p>
      <w:pPr>
        <w:ind w:right="40" w:firstLine="439"/>
        <w:spacing w:after="0" w:line="275"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The concept of appraisal rights does not exist under Danish law, except in connection with statutory redemptions rights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Danish Companies Act.</w:t>
      </w:r>
    </w:p>
    <w:p>
      <w:pPr>
        <w:spacing w:after="0" w:line="171" w:lineRule="exact"/>
        <w:rPr>
          <w:sz w:val="20"/>
          <w:szCs w:val="20"/>
          <w:color w:val="auto"/>
        </w:rPr>
      </w:pPr>
    </w:p>
    <w:p>
      <w:pPr>
        <w:ind w:firstLine="439"/>
        <w:spacing w:after="0" w:line="253" w:lineRule="auto"/>
        <w:rPr>
          <w:sz w:val="20"/>
          <w:szCs w:val="20"/>
          <w:color w:val="auto"/>
        </w:rPr>
      </w:pPr>
      <w:r>
        <w:rPr>
          <w:rFonts w:ascii="Arial" w:cs="Arial" w:eastAsia="Arial" w:hAnsi="Arial"/>
          <w:sz w:val="18"/>
          <w:szCs w:val="18"/>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95" w:lineRule="exact"/>
        <w:rPr>
          <w:sz w:val="20"/>
          <w:szCs w:val="20"/>
          <w:color w:val="auto"/>
        </w:rPr>
      </w:pPr>
    </w:p>
    <w:p>
      <w:pPr>
        <w:ind w:right="560" w:firstLine="439"/>
        <w:spacing w:after="0" w:line="27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for stockholder appraisal rights, or the right to demand payment in cash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judicially determined fair value of the stockholder’s shares, in connection with certain mergers and consolidations.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suits</w:t>
      </w:r>
    </w:p>
    <w:p>
      <w:pPr>
        <w:spacing w:after="0" w:line="116" w:lineRule="exact"/>
        <w:rPr>
          <w:sz w:val="20"/>
          <w:szCs w:val="20"/>
          <w:color w:val="auto"/>
        </w:rPr>
      </w:pPr>
    </w:p>
    <w:p>
      <w:pPr>
        <w:ind w:right="100" w:firstLine="439"/>
        <w:spacing w:after="0" w:line="310"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only a company itself can bring a civil action against a third party; an individual shareholder does not have the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bring 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3" w:right="459" w:bottom="1440" w:gutter="0" w:footer="0" w:header="0"/>
        </w:sectPr>
      </w:pPr>
    </w:p>
    <w:bookmarkStart w:id="208" w:name="page209"/>
    <w:bookmarkEnd w:id="208"/>
    <w:p>
      <w:pPr>
        <w:ind w:firstLine="439"/>
        <w:spacing w:after="0" w:line="27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Delaware</w:t>
      </w:r>
      <w:r>
        <w:rPr>
          <w:rFonts w:ascii="Arial" w:cs="Arial" w:eastAsia="Arial" w:hAnsi="Arial"/>
          <w:sz w:val="17"/>
          <w:szCs w:val="17"/>
          <w:color w:val="auto"/>
        </w:rPr>
        <w:t>. Under the Delaware General Corporation Law, a stockholder may bring a derivative action on behalf of the corporation to enforce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shares</w:t>
      </w:r>
    </w:p>
    <w:p>
      <w:pPr>
        <w:spacing w:after="0" w:line="116" w:lineRule="exact"/>
        <w:rPr>
          <w:sz w:val="20"/>
          <w:szCs w:val="20"/>
          <w:color w:val="auto"/>
        </w:rPr>
      </w:pPr>
    </w:p>
    <w:p>
      <w:pPr>
        <w:ind w:right="320" w:firstLine="439"/>
        <w:spacing w:after="0" w:line="256"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Danish limited liability companies may not subscribe for newly issued shares in their own capital. Such company may,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188" w:lineRule="exact"/>
        <w:rPr>
          <w:sz w:val="20"/>
          <w:szCs w:val="20"/>
          <w:color w:val="auto"/>
        </w:rPr>
      </w:pPr>
    </w:p>
    <w:p>
      <w:pPr>
        <w:ind w:right="60" w:firstLine="439"/>
        <w:spacing w:after="0" w:line="27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corporation may purchase or redeem its own shares unless the capital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Anti-takeover provisions</w:t>
      </w:r>
    </w:p>
    <w:p>
      <w:pPr>
        <w:spacing w:after="0" w:line="116" w:lineRule="exact"/>
        <w:rPr>
          <w:sz w:val="20"/>
          <w:szCs w:val="20"/>
          <w:color w:val="auto"/>
        </w:rPr>
      </w:pPr>
    </w:p>
    <w:p>
      <w:pPr>
        <w:ind w:firstLine="439"/>
        <w:spacing w:after="0" w:line="285"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it is possible to implement limited protective anti-takeover measures. Such provisions may include,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things, (i) different share classes with different voting rights, (ii) specific requirements to register the shares named in the company’s owners register and (iii) notification requirements concerning participation in general meetings. We have currently not adopted any such provisions.</w:t>
      </w:r>
    </w:p>
    <w:p>
      <w:pPr>
        <w:spacing w:after="0" w:line="165" w:lineRule="exact"/>
        <w:rPr>
          <w:sz w:val="20"/>
          <w:szCs w:val="20"/>
          <w:color w:val="auto"/>
        </w:rPr>
      </w:pPr>
    </w:p>
    <w:p>
      <w:pPr>
        <w:jc w:val="both"/>
        <w:ind w:right="140" w:firstLine="439"/>
        <w:spacing w:after="0" w:line="285"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In addition to other aspects of Delaware law governing fiduciary duties of directors during a potential takeover, the Delaware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65" w:lineRule="exact"/>
        <w:rPr>
          <w:sz w:val="20"/>
          <w:szCs w:val="20"/>
          <w:color w:val="auto"/>
        </w:rPr>
      </w:pPr>
    </w:p>
    <w:p>
      <w:pPr>
        <w:ind w:right="60" w:firstLine="439"/>
        <w:spacing w:after="0" w:line="262"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89" w:lineRule="exact"/>
        <w:rPr>
          <w:sz w:val="20"/>
          <w:szCs w:val="20"/>
          <w:color w:val="auto"/>
        </w:rPr>
      </w:pPr>
    </w:p>
    <w:p>
      <w:pPr>
        <w:ind w:left="960" w:right="20" w:hanging="426"/>
        <w:spacing w:after="0" w:line="275" w:lineRule="auto"/>
        <w:tabs>
          <w:tab w:leader="none" w:pos="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77" w:lineRule="exact"/>
        <w:rPr>
          <w:rFonts w:ascii="Arial" w:cs="Arial" w:eastAsia="Arial" w:hAnsi="Arial"/>
          <w:sz w:val="18"/>
          <w:szCs w:val="18"/>
          <w:color w:val="auto"/>
        </w:rPr>
      </w:pPr>
    </w:p>
    <w:p>
      <w:pPr>
        <w:ind w:left="960" w:right="20" w:hanging="426"/>
        <w:spacing w:after="0" w:line="262" w:lineRule="auto"/>
        <w:tabs>
          <w:tab w:leader="none" w:pos="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8" w:lineRule="exact"/>
        <w:rPr>
          <w:rFonts w:ascii="Arial" w:cs="Arial" w:eastAsia="Arial" w:hAnsi="Arial"/>
          <w:sz w:val="18"/>
          <w:szCs w:val="18"/>
          <w:color w:val="auto"/>
        </w:rPr>
      </w:pPr>
    </w:p>
    <w:p>
      <w:pPr>
        <w:ind w:left="960" w:right="160" w:hanging="426"/>
        <w:spacing w:after="0" w:line="306" w:lineRule="auto"/>
        <w:tabs>
          <w:tab w:leader="none" w:pos="9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7" w:lineRule="exact"/>
        <w:rPr>
          <w:sz w:val="20"/>
          <w:szCs w:val="20"/>
          <w:color w:val="auto"/>
        </w:rPr>
      </w:pPr>
    </w:p>
    <w:p>
      <w:pPr>
        <w:ind w:right="120" w:firstLine="439"/>
        <w:spacing w:after="0" w:line="258"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Inspection of books and records</w:t>
      </w:r>
    </w:p>
    <w:p>
      <w:pPr>
        <w:spacing w:after="0" w:line="116"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Section 150 of the Danish Companies Act, a shareholder may request an inspection of the company’s books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86" w:lineRule="exact"/>
        <w:rPr>
          <w:sz w:val="20"/>
          <w:szCs w:val="20"/>
          <w:color w:val="auto"/>
        </w:rPr>
      </w:pPr>
    </w:p>
    <w:p>
      <w:pPr>
        <w:ind w:right="340" w:firstLine="439"/>
        <w:spacing w:after="0" w:line="275"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certain of the corporation’s books and records,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proper purpose, during the corporation’s usual hours of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116" w:lineRule="exact"/>
        <w:rPr>
          <w:sz w:val="20"/>
          <w:szCs w:val="20"/>
          <w:color w:val="auto"/>
        </w:rPr>
      </w:pPr>
    </w:p>
    <w:p>
      <w:pPr>
        <w:ind w:right="40" w:firstLine="439"/>
        <w:spacing w:after="0" w:line="272"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all shareholders have pre-emptive subscription rights in connection with capital increases that are carried out as cash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The board of directors may resolve to increase our share capital without pre-emptive subscription rights for existing shareholders pursuant to the authorizations described above under the caption “Authorizations to Our Board of Directors.”</w:t>
      </w:r>
    </w:p>
    <w:p>
      <w:pPr>
        <w:spacing w:after="0" w:line="177" w:lineRule="exact"/>
        <w:rPr>
          <w:sz w:val="20"/>
          <w:szCs w:val="20"/>
          <w:color w:val="auto"/>
        </w:rPr>
      </w:pPr>
    </w:p>
    <w:p>
      <w:pPr>
        <w:ind w:right="540" w:firstLine="439"/>
        <w:spacing w:after="0" w:line="275" w:lineRule="auto"/>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71" w:lineRule="exact"/>
        <w:rPr>
          <w:sz w:val="20"/>
          <w:szCs w:val="20"/>
          <w:color w:val="auto"/>
        </w:rPr>
      </w:pPr>
    </w:p>
    <w:p>
      <w:pPr>
        <w:ind w:right="60" w:firstLine="439"/>
        <w:spacing w:after="0" w:line="340"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w:t>
      </w:r>
      <w:r>
        <w:rPr>
          <w:rFonts w:ascii="Arial" w:cs="Arial" w:eastAsia="Arial" w:hAnsi="Arial"/>
          <w:sz w:val="16"/>
          <w:szCs w:val="16"/>
          <w:i w:val="1"/>
          <w:iCs w:val="1"/>
          <w:color w:val="auto"/>
        </w:rPr>
        <w:t xml:space="preserve"> </w:t>
      </w:r>
      <w:r>
        <w:rPr>
          <w:rFonts w:ascii="Arial" w:cs="Arial" w:eastAsia="Arial" w:hAnsi="Arial"/>
          <w:sz w:val="16"/>
          <w:szCs w:val="16"/>
          <w:color w:val="auto"/>
        </w:rPr>
        <w:t>any security convertible into such stock unless, and to the extent that, such rights are expressly provided for in the certificate of incorporation.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6" w:lineRule="exact"/>
        <w:rPr>
          <w:sz w:val="20"/>
          <w:szCs w:val="20"/>
          <w:color w:val="auto"/>
        </w:rPr>
      </w:pPr>
    </w:p>
    <w:p>
      <w:pPr>
        <w:ind w:right="20" w:firstLine="439"/>
        <w:spacing w:after="0" w:line="268"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the distribution of ordinary and extraordinary dividends requires the approval of a company’s shareholders at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general meeting. Under the Danish Companies Act the general meeting may authorise the board of directors to resolve to distribute extraordinary dividends after presentation of a company’s first financial statements. The authorisation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extraordinary dividends.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w:t>
      </w:r>
    </w:p>
    <w:p>
      <w:pPr>
        <w:spacing w:after="0" w:line="185" w:lineRule="exact"/>
        <w:rPr>
          <w:sz w:val="20"/>
          <w:szCs w:val="20"/>
          <w:color w:val="auto"/>
        </w:rPr>
      </w:pPr>
    </w:p>
    <w:p>
      <w:pPr>
        <w:ind w:firstLine="439"/>
        <w:spacing w:after="0" w:line="292"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Under the Delaware General Corporation Law, a Delaware corporation may pay dividends out of its surplus (the excess of net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3" w:right="47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Shareholder vote on certain reorganizations</w:t>
      </w:r>
    </w:p>
    <w:p>
      <w:pPr>
        <w:spacing w:after="0" w:line="116" w:lineRule="exact"/>
        <w:rPr>
          <w:sz w:val="20"/>
          <w:szCs w:val="20"/>
          <w:color w:val="auto"/>
        </w:rPr>
      </w:pPr>
    </w:p>
    <w:p>
      <w:pPr>
        <w:ind w:right="60" w:firstLine="439"/>
        <w:spacing w:after="0" w:line="292"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all amendments to the articles of association shall be approved by the general meeting of shareholders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of two-thirds of the votes cast and two-thirds of the represented share capital. The same applies to solvent liquidations, mergers with the company as the discontinuing entity, mergers with the company as the continuing entity if shares are issued in connection therewith, demergers with the company as the transferor company and demergers with the company as the existing transferee if amendment of the articles of association for any purpose other than the adoption of the transferor company’s name or secondary name as the transferee company’s secondary name is required to be made,. Under Danish law, it is debatable whether the shareholders must approve a decision to sell all or virtually all of the company’s business/assets.</w:t>
      </w:r>
    </w:p>
    <w:p>
      <w:pPr>
        <w:spacing w:after="0" w:line="164" w:lineRule="exact"/>
        <w:rPr>
          <w:sz w:val="20"/>
          <w:szCs w:val="20"/>
          <w:color w:val="auto"/>
        </w:rPr>
      </w:pPr>
    </w:p>
    <w:p>
      <w:pPr>
        <w:ind w:right="100" w:firstLine="439"/>
        <w:spacing w:after="0" w:line="27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the vote of a majority of the outstanding shares of capital stock entitled to vote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0" w:lineRule="exact"/>
        <w:rPr>
          <w:sz w:val="20"/>
          <w:szCs w:val="20"/>
          <w:color w:val="auto"/>
        </w:rPr>
      </w:pPr>
    </w:p>
    <w:p>
      <w:pPr>
        <w:ind w:right="40" w:firstLine="439"/>
        <w:spacing w:after="0" w:line="253" w:lineRule="auto"/>
        <w:rPr>
          <w:sz w:val="20"/>
          <w:szCs w:val="20"/>
          <w:color w:val="auto"/>
        </w:rPr>
      </w:pPr>
      <w:r>
        <w:rPr>
          <w:rFonts w:ascii="Arial" w:cs="Arial" w:eastAsia="Arial" w:hAnsi="Arial"/>
          <w:sz w:val="18"/>
          <w:szCs w:val="18"/>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governing documents</w:t>
      </w:r>
    </w:p>
    <w:p>
      <w:pPr>
        <w:spacing w:after="0" w:line="116" w:lineRule="exact"/>
        <w:rPr>
          <w:sz w:val="20"/>
          <w:szCs w:val="20"/>
          <w:color w:val="auto"/>
        </w:rPr>
      </w:pPr>
    </w:p>
    <w:p>
      <w:pPr>
        <w:ind w:firstLine="439"/>
        <w:spacing w:after="0" w:line="295"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All resolutions made by the general meeting may be adopted by a simple majority of the votes, subject only to the mandatory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61"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 corporation’s certificate of incorporation may be amended only if adopted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211" w:name="page212"/>
    <w:bookmarkEnd w:id="211"/>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DESCRIPTION OF AMERICAN DEPOSITARY SHARES</w:t>
      </w:r>
    </w:p>
    <w:p>
      <w:pPr>
        <w:spacing w:after="0" w:line="11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Depositary</w:t>
      </w:r>
    </w:p>
    <w:p>
      <w:pPr>
        <w:spacing w:after="0" w:line="120" w:lineRule="exact"/>
        <w:rPr>
          <w:sz w:val="20"/>
          <w:szCs w:val="20"/>
          <w:color w:val="auto"/>
        </w:rPr>
      </w:pPr>
    </w:p>
    <w:p>
      <w:pPr>
        <w:ind w:left="5" w:right="400" w:firstLine="439"/>
        <w:spacing w:after="0" w:line="275" w:lineRule="auto"/>
        <w:rPr>
          <w:sz w:val="20"/>
          <w:szCs w:val="20"/>
          <w:color w:val="auto"/>
        </w:rPr>
      </w:pPr>
      <w:r>
        <w:rPr>
          <w:rFonts w:ascii="Arial" w:cs="Arial" w:eastAsia="Arial" w:hAnsi="Arial"/>
          <w:sz w:val="18"/>
          <w:szCs w:val="18"/>
          <w:color w:val="auto"/>
        </w:rPr>
        <w:t>The depositary for the ADSs is The Bank of New York Mellon. The Bank of New York Mellon’s depositary office and its principal executive office are located at 240 Greenwich Street, New York, New York 10286.</w:t>
      </w:r>
    </w:p>
    <w:p>
      <w:pPr>
        <w:spacing w:after="0" w:line="27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American Depositary Shares</w:t>
      </w:r>
    </w:p>
    <w:p>
      <w:pPr>
        <w:spacing w:after="0" w:line="120" w:lineRule="exact"/>
        <w:rPr>
          <w:sz w:val="20"/>
          <w:szCs w:val="20"/>
          <w:color w:val="auto"/>
        </w:rPr>
      </w:pPr>
    </w:p>
    <w:p>
      <w:pPr>
        <w:ind w:left="5" w:right="100" w:firstLine="439"/>
        <w:spacing w:after="0" w:line="256" w:lineRule="auto"/>
        <w:rPr>
          <w:sz w:val="20"/>
          <w:szCs w:val="20"/>
          <w:color w:val="auto"/>
        </w:rPr>
      </w:pPr>
      <w:r>
        <w:rPr>
          <w:rFonts w:ascii="Arial" w:cs="Arial" w:eastAsia="Arial" w:hAnsi="Arial"/>
          <w:sz w:val="18"/>
          <w:szCs w:val="18"/>
          <w:color w:val="auto"/>
        </w:rPr>
        <w:t>The Bank of New York Mellon, as depositary, registers and delivers the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8" w:lineRule="exact"/>
        <w:rPr>
          <w:sz w:val="20"/>
          <w:szCs w:val="20"/>
          <w:color w:val="auto"/>
        </w:rPr>
      </w:pPr>
    </w:p>
    <w:p>
      <w:pPr>
        <w:ind w:left="5" w:right="260" w:firstLine="439"/>
        <w:spacing w:after="0" w:line="290" w:lineRule="auto"/>
        <w:rPr>
          <w:sz w:val="20"/>
          <w:szCs w:val="20"/>
          <w:color w:val="auto"/>
        </w:rPr>
      </w:pPr>
      <w:r>
        <w:rPr>
          <w:rFonts w:ascii="Arial" w:cs="Arial" w:eastAsia="Arial" w:hAnsi="Arial"/>
          <w:sz w:val="16"/>
          <w:szCs w:val="16"/>
          <w:color w:val="auto"/>
        </w:rPr>
        <w:t>You may hold ADSs either (1) directly (a) by having an American Depositary Receipt, also referred to as an ADR, which is a certificate evidencing a specific number of ADSs, registered in your name, or (b) by having ADSs registered in your name in the Direct Registration System, or</w:t>
      </w:r>
    </w:p>
    <w:p>
      <w:pPr>
        <w:ind w:left="5" w:right="100" w:hanging="5"/>
        <w:spacing w:after="0" w:line="252" w:lineRule="auto"/>
        <w:tabs>
          <w:tab w:leader="none" w:pos="25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92" w:lineRule="exact"/>
        <w:rPr>
          <w:sz w:val="20"/>
          <w:szCs w:val="20"/>
          <w:color w:val="auto"/>
        </w:rPr>
      </w:pPr>
    </w:p>
    <w:p>
      <w:pPr>
        <w:ind w:left="5" w:right="100" w:firstLine="439"/>
        <w:spacing w:after="0" w:line="262" w:lineRule="auto"/>
        <w:rPr>
          <w:sz w:val="20"/>
          <w:szCs w:val="20"/>
          <w:color w:val="auto"/>
        </w:rPr>
      </w:pPr>
      <w:r>
        <w:rPr>
          <w:rFonts w:ascii="Arial" w:cs="Arial" w:eastAsia="Arial" w:hAnsi="Arial"/>
          <w:sz w:val="18"/>
          <w:szCs w:val="18"/>
          <w:color w:val="auto"/>
        </w:rPr>
        <w:t>The Direct Registration System, or DRS, is a system administered by The Depository Trust Company, also referred to as DTC, pursuant to which the depositary may register the ownership of uncertificated ADSs, which ownership is confirmed by periodic statements sent by the depositary to the registered holders of uncertificated ADSs.</w:t>
      </w:r>
    </w:p>
    <w:p>
      <w:pPr>
        <w:spacing w:after="0" w:line="183" w:lineRule="exact"/>
        <w:rPr>
          <w:sz w:val="20"/>
          <w:szCs w:val="20"/>
          <w:color w:val="auto"/>
        </w:rPr>
      </w:pPr>
    </w:p>
    <w:p>
      <w:pPr>
        <w:ind w:left="5" w:right="120" w:firstLine="439"/>
        <w:spacing w:after="0" w:line="256" w:lineRule="auto"/>
        <w:rPr>
          <w:sz w:val="20"/>
          <w:szCs w:val="20"/>
          <w:color w:val="auto"/>
        </w:rPr>
      </w:pPr>
      <w:r>
        <w:rPr>
          <w:rFonts w:ascii="Arial" w:cs="Arial" w:eastAsia="Arial" w:hAnsi="Arial"/>
          <w:sz w:val="18"/>
          <w:szCs w:val="18"/>
          <w:color w:val="auto"/>
        </w:rPr>
        <w:t>ADS holders are not treated as shareholders and do not have shareholder rights. Danish law governs shareholder rights. The depositary is the holder of the ordinary shares underlying the ADSs. As a holder of ADSs, you will have ADS holder rights. A deposit agreement among us, the depositary and you, as an ADS holder, and all other persons directly and indirectly holding ADSs sets out ADS holder rights as well as the rights and obligations of the depositary. A copy of the deposit agreement is incorporated by reference as an exhibit to our Annual Report on form 20-F. New York law governs the deposit agreement and the ADSs.</w:t>
      </w:r>
    </w:p>
    <w:p>
      <w:pPr>
        <w:spacing w:after="0" w:line="188" w:lineRule="exact"/>
        <w:rPr>
          <w:sz w:val="20"/>
          <w:szCs w:val="20"/>
          <w:color w:val="auto"/>
        </w:rPr>
      </w:pPr>
    </w:p>
    <w:p>
      <w:pPr>
        <w:ind w:left="5" w:right="260" w:firstLine="439"/>
        <w:spacing w:after="0" w:line="262"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ADS. For directions on how to obtain copies of those documents, see the section titled “Item 19—Exhibits” in our Annual Report on Form 20-F.</w:t>
      </w:r>
    </w:p>
    <w:p>
      <w:pPr>
        <w:spacing w:after="0" w:line="28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Dividends and Other Distributions</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ordinary shares?</w:t>
      </w:r>
    </w:p>
    <w:p>
      <w:pPr>
        <w:spacing w:after="0" w:line="116" w:lineRule="exact"/>
        <w:rPr>
          <w:sz w:val="20"/>
          <w:szCs w:val="20"/>
          <w:color w:val="auto"/>
        </w:rPr>
      </w:pPr>
    </w:p>
    <w:p>
      <w:pPr>
        <w:jc w:val="both"/>
        <w:ind w:left="5" w:right="200" w:firstLine="439"/>
        <w:spacing w:after="0" w:line="262" w:lineRule="auto"/>
        <w:rPr>
          <w:sz w:val="20"/>
          <w:szCs w:val="20"/>
          <w:color w:val="auto"/>
        </w:rPr>
      </w:pPr>
      <w:r>
        <w:rPr>
          <w:rFonts w:ascii="Arial" w:cs="Arial" w:eastAsia="Arial" w:hAnsi="Arial"/>
          <w:sz w:val="18"/>
          <w:szCs w:val="18"/>
          <w:color w:val="auto"/>
        </w:rPr>
        <w:t>The depositary has agreed to pay you the cash dividends or other distributions it or the custodian receives on ordinary shares or other deposited securities, after deducting its fees and expenses. As an ADS holder, you will receive these distributions in proportion to the number of ordinary shares your ADSs represent.</w:t>
      </w:r>
    </w:p>
    <w:p>
      <w:pPr>
        <w:spacing w:after="0" w:line="183" w:lineRule="exact"/>
        <w:rPr>
          <w:sz w:val="20"/>
          <w:szCs w:val="20"/>
          <w:color w:val="auto"/>
        </w:rPr>
      </w:pPr>
    </w:p>
    <w:p>
      <w:pPr>
        <w:ind w:left="5" w:firstLine="439"/>
        <w:spacing w:after="0" w:line="254"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We do not expect to declare or pay any cash dividends or cash distributions on our ordinary shares for the foreseeable future. The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convert any cash dividend or other cash distribution we pay on the ordinary shares or any net proceeds from the sale of any ordinary shares, rights, securities or other entitlements into U.S. dollars if it can do so on a reasonable basis and at the then prevailing market rate, and can transfer the U.S. dollars to the United States. If that is not possible and lawful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w:t>
      </w:r>
    </w:p>
    <w:p>
      <w:pPr>
        <w:spacing w:after="0" w:line="125"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5"/>
          </w:cols>
          <w:pgMar w:left="455" w:top="269" w:right="479" w:bottom="1440" w:gutter="0" w:footer="0" w:header="0"/>
        </w:sectPr>
      </w:pPr>
    </w:p>
    <w:bookmarkStart w:id="212" w:name="page213"/>
    <w:bookmarkEnd w:id="212"/>
    <w:p>
      <w:pPr>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who have not been paid. It will not invest the foreign currency and it will not be liable for any interest. Before making a distribution, any taxes or other governmental charges, together with fees and expenses of the depositary that must be paid, will be deducted. See the section titled “</w:t>
      </w:r>
      <w:r>
        <w:rPr>
          <w:rFonts w:ascii="Arial" w:cs="Arial" w:eastAsia="Arial" w:hAnsi="Arial"/>
          <w:sz w:val="16"/>
          <w:szCs w:val="16"/>
          <w:i w:val="1"/>
          <w:iCs w:val="1"/>
          <w:color w:val="auto"/>
        </w:rPr>
        <w:t>Item 10 E.</w:t>
      </w:r>
      <w:r>
        <w:rPr>
          <w:rFonts w:ascii="Arial" w:cs="Arial" w:eastAsia="Arial" w:hAnsi="Arial"/>
          <w:sz w:val="16"/>
          <w:szCs w:val="16"/>
          <w:color w:val="auto"/>
        </w:rPr>
        <w:t xml:space="preserve"> </w:t>
      </w:r>
      <w:r>
        <w:rPr>
          <w:rFonts w:ascii="Arial" w:cs="Arial" w:eastAsia="Arial" w:hAnsi="Arial"/>
          <w:sz w:val="16"/>
          <w:szCs w:val="16"/>
          <w:i w:val="1"/>
          <w:iCs w:val="1"/>
          <w:color w:val="auto"/>
        </w:rPr>
        <w:t>Additional Information—Taxation</w:t>
      </w:r>
      <w:r>
        <w:rPr>
          <w:rFonts w:ascii="Arial" w:cs="Arial" w:eastAsia="Arial" w:hAnsi="Arial"/>
          <w:sz w:val="16"/>
          <w:szCs w:val="16"/>
          <w:color w:val="auto"/>
        </w:rPr>
        <w:t>” in our Annual Report on Form 20-F for a summary of certain tax consequences in respect of dividends 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to holders of ADSs.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61"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The depositary may distribute additional ADSs representing any ordinary shares we distribute as a dividend or free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reasonably practicable and permissible under law. The depositary will only distribute whole ADSs.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186" w:lineRule="exact"/>
        <w:rPr>
          <w:sz w:val="20"/>
          <w:szCs w:val="20"/>
          <w:color w:val="auto"/>
        </w:rPr>
      </w:pPr>
    </w:p>
    <w:p>
      <w:pPr>
        <w:ind w:right="20" w:firstLine="439"/>
        <w:spacing w:after="0" w:line="295" w:lineRule="auto"/>
        <w:rPr>
          <w:sz w:val="20"/>
          <w:szCs w:val="20"/>
          <w:color w:val="auto"/>
        </w:rPr>
      </w:pPr>
      <w:r>
        <w:rPr>
          <w:rFonts w:ascii="Arial" w:cs="Arial" w:eastAsia="Arial" w:hAnsi="Arial"/>
          <w:sz w:val="16"/>
          <w:szCs w:val="16"/>
          <w:i w:val="1"/>
          <w:iCs w:val="1"/>
          <w:color w:val="auto"/>
        </w:rPr>
        <w:t>Elective Distributions in Cash or Shares</w:t>
      </w:r>
      <w:r>
        <w:rPr>
          <w:rFonts w:ascii="Arial" w:cs="Arial" w:eastAsia="Arial" w:hAnsi="Arial"/>
          <w:sz w:val="16"/>
          <w:szCs w:val="16"/>
          <w:color w:val="auto"/>
        </w:rPr>
        <w:t>. If we offer holders of our ordinary shares the option to receive dividends in either cash or shares,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after consultation with us, may make such elective distribution available to you as a holder of the ADSs. We must first instruct the depositary to make such elective distribution available to you. As a condition of making a distribution election available to ADS holders, the depositary may require satisfactory assurances from us that doing so would not require registration of any securities under the Securities Act. There can be no assurance that you will be given the opportunity to receive elective distributions on the same terms and conditions as the holders of ordinary shares, or at all.</w:t>
      </w:r>
    </w:p>
    <w:p>
      <w:pPr>
        <w:spacing w:after="0" w:line="161"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i w:val="1"/>
          <w:iCs w:val="1"/>
          <w:color w:val="auto"/>
        </w:rPr>
        <w:t>Rights to Purchase Additional Ordinary Shares</w:t>
      </w:r>
      <w:r>
        <w:rPr>
          <w:rFonts w:ascii="Arial" w:cs="Arial" w:eastAsia="Arial" w:hAnsi="Arial"/>
          <w:sz w:val="18"/>
          <w:szCs w:val="18"/>
          <w:color w:val="auto"/>
        </w:rPr>
        <w:t>. If we offer holders of our securities any rights to subscribe for additional ordinary shares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rights, the depositary may make these rights available to ADS holders. If the depositary decides it is not legal and practical to make the rights available but that it is practical to sell the rights, the depositary will use reasonable efforts to sell the rights and distribute the proceeds in the same way as it does with cash distributions. The depositary will allow rights that are not distributed or sold to lapse. In that case, you will receive no value for them.</w:t>
      </w:r>
    </w:p>
    <w:p>
      <w:pPr>
        <w:spacing w:after="0" w:line="188" w:lineRule="exact"/>
        <w:rPr>
          <w:sz w:val="20"/>
          <w:szCs w:val="20"/>
          <w:color w:val="auto"/>
        </w:rPr>
      </w:pPr>
    </w:p>
    <w:p>
      <w:pPr>
        <w:ind w:right="160" w:firstLine="439"/>
        <w:spacing w:after="0" w:line="262" w:lineRule="auto"/>
        <w:rPr>
          <w:sz w:val="20"/>
          <w:szCs w:val="20"/>
          <w:color w:val="auto"/>
        </w:rPr>
      </w:pPr>
      <w:r>
        <w:rPr>
          <w:rFonts w:ascii="Arial" w:cs="Arial" w:eastAsia="Arial" w:hAnsi="Arial"/>
          <w:sz w:val="18"/>
          <w:szCs w:val="18"/>
          <w:color w:val="auto"/>
        </w:rPr>
        <w:t>If the depositary makes rights available to you, it will exercise the rights and purchase the ordinary shares on your behalf and in accordance with your instructions. The depositary will then deposit the ordinary shares and deliver ADSs to you. It will only exercise rights if you pay it the exercise price and any other charges the rights require you to pay and comply with other applicable instructions.</w:t>
      </w:r>
    </w:p>
    <w:p>
      <w:pPr>
        <w:spacing w:after="0" w:line="183" w:lineRule="exact"/>
        <w:rPr>
          <w:sz w:val="20"/>
          <w:szCs w:val="20"/>
          <w:color w:val="auto"/>
        </w:rPr>
      </w:pPr>
    </w:p>
    <w:p>
      <w:pPr>
        <w:ind w:right="220" w:firstLine="439"/>
        <w:spacing w:after="0" w:line="310" w:lineRule="auto"/>
        <w:rPr>
          <w:sz w:val="20"/>
          <w:szCs w:val="20"/>
          <w:color w:val="auto"/>
        </w:rPr>
      </w:pPr>
      <w:r>
        <w:rPr>
          <w:rFonts w:ascii="Arial" w:cs="Arial" w:eastAsia="Arial" w:hAnsi="Arial"/>
          <w:sz w:val="16"/>
          <w:szCs w:val="16"/>
          <w:color w:val="auto"/>
        </w:rPr>
        <w:t>U.S. securities laws may restrict transfers and cancellation of the ADSs representing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48" w:lineRule="exact"/>
        <w:rPr>
          <w:sz w:val="20"/>
          <w:szCs w:val="20"/>
          <w:color w:val="auto"/>
        </w:rPr>
      </w:pPr>
    </w:p>
    <w:p>
      <w:pPr>
        <w:jc w:val="both"/>
        <w:ind w:right="160" w:firstLine="439"/>
        <w:spacing w:after="0" w:line="258" w:lineRule="auto"/>
        <w:rPr>
          <w:sz w:val="20"/>
          <w:szCs w:val="20"/>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The depositary will send to you anything else we distribute to holders of deposited securities by any means it determines is</w:t>
      </w:r>
      <w:r>
        <w:rPr>
          <w:rFonts w:ascii="Arial" w:cs="Arial" w:eastAsia="Arial" w:hAnsi="Arial"/>
          <w:sz w:val="18"/>
          <w:szCs w:val="18"/>
          <w:i w:val="1"/>
          <w:iCs w:val="1"/>
          <w:color w:val="auto"/>
        </w:rPr>
        <w:t xml:space="preserve"> </w:t>
      </w:r>
      <w:r>
        <w:rPr>
          <w:rFonts w:ascii="Arial" w:cs="Arial" w:eastAsia="Arial" w:hAnsi="Arial"/>
          <w:sz w:val="18"/>
          <w:szCs w:val="18"/>
          <w:color w:val="auto"/>
        </w:rPr>
        <w:t>equitable and practicable. If it cannot make the distribution proportionally among the owners, the depositary may adopt another equitable and practical method. It may decide to sell what we distributed and distribute the net proceeds, in the same way as it does with cash. Or, it may decide to hold what we distributed, in which case ADSs will also represent the newly distributed property.</w:t>
      </w:r>
    </w:p>
    <w:p>
      <w:pPr>
        <w:spacing w:after="0" w:line="186" w:lineRule="exact"/>
        <w:rPr>
          <w:sz w:val="20"/>
          <w:szCs w:val="20"/>
          <w:color w:val="auto"/>
        </w:rPr>
      </w:pPr>
    </w:p>
    <w:p>
      <w:pPr>
        <w:jc w:val="both"/>
        <w:ind w:right="20" w:firstLine="439"/>
        <w:spacing w:after="0" w:line="262" w:lineRule="auto"/>
        <w:rPr>
          <w:sz w:val="20"/>
          <w:szCs w:val="20"/>
          <w:color w:val="auto"/>
        </w:rPr>
      </w:pPr>
      <w:r>
        <w:rPr>
          <w:rFonts w:ascii="Arial" w:cs="Arial" w:eastAsia="Arial" w:hAnsi="Arial"/>
          <w:sz w:val="18"/>
          <w:szCs w:val="18"/>
          <w:color w:val="auto"/>
        </w:rPr>
        <w:t>However, the depositary is not required to distribute any securities (other than ADSs) to ADS holders unless it receives satisfactory evidence from us that it is legal to make that distribution. In addition, the depositary may sell a portion of the distributed securities or property sufficient to pay its fees and expenses in connection with that distribution.</w:t>
      </w:r>
    </w:p>
    <w:p>
      <w:pPr>
        <w:spacing w:after="0" w:line="183" w:lineRule="exact"/>
        <w:rPr>
          <w:sz w:val="20"/>
          <w:szCs w:val="20"/>
          <w:color w:val="auto"/>
        </w:rPr>
      </w:pPr>
    </w:p>
    <w:p>
      <w:pPr>
        <w:jc w:val="both"/>
        <w:ind w:right="140" w:firstLine="439"/>
        <w:spacing w:after="0" w:line="310" w:lineRule="auto"/>
        <w:rPr>
          <w:sz w:val="20"/>
          <w:szCs w:val="20"/>
          <w:color w:val="auto"/>
        </w:rPr>
      </w:pPr>
      <w:r>
        <w:rPr>
          <w:rFonts w:ascii="Arial" w:cs="Arial" w:eastAsia="Arial" w:hAnsi="Arial"/>
          <w:sz w:val="16"/>
          <w:szCs w:val="16"/>
          <w:color w:val="auto"/>
        </w:rPr>
        <w:t>Neither we nor the depositary are responsible for any failure to determine that it may be lawful or feasible to make a distribution available to any ADS holders. We have no obligation to register ADSs, ordinary shares, rights or other securities under the Securities Act. This means that you may not receive the distributions we make on our ordinary shares or any value for them if it is illegal or impractical for us to make them available to you.</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3" w:right="47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Deposit, Withdrawal and Cancellation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6" w:lineRule="exact"/>
        <w:rPr>
          <w:sz w:val="20"/>
          <w:szCs w:val="20"/>
          <w:color w:val="auto"/>
        </w:rPr>
      </w:pPr>
    </w:p>
    <w:p>
      <w:pPr>
        <w:ind w:right="20" w:firstLine="439"/>
        <w:spacing w:after="0" w:line="300" w:lineRule="auto"/>
        <w:rPr>
          <w:sz w:val="20"/>
          <w:szCs w:val="20"/>
          <w:color w:val="auto"/>
        </w:rPr>
      </w:pPr>
      <w:r>
        <w:rPr>
          <w:rFonts w:ascii="Arial" w:cs="Arial" w:eastAsia="Arial" w:hAnsi="Arial"/>
          <w:sz w:val="16"/>
          <w:szCs w:val="16"/>
          <w:color w:val="auto"/>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 instruments of transfer required by the depositary, the depositary will register the appropriate number of ADSs in the names you request and will deliver the ADSs to or upon the order of the person or persons that made the deposit.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6" w:lineRule="exact"/>
        <w:rPr>
          <w:sz w:val="20"/>
          <w:szCs w:val="20"/>
          <w:color w:val="auto"/>
        </w:rPr>
      </w:pPr>
    </w:p>
    <w:p>
      <w:pPr>
        <w:ind w:right="100" w:firstLine="439"/>
        <w:spacing w:after="0" w:line="300" w:lineRule="auto"/>
        <w:rPr>
          <w:sz w:val="20"/>
          <w:szCs w:val="20"/>
          <w:color w:val="auto"/>
        </w:rPr>
      </w:pPr>
      <w:r>
        <w:rPr>
          <w:rFonts w:ascii="Arial" w:cs="Arial" w:eastAsia="Arial" w:hAnsi="Arial"/>
          <w:sz w:val="16"/>
          <w:szCs w:val="16"/>
          <w:color w:val="auto"/>
        </w:rPr>
        <w:t>You may surrender your ADSs at the depositary’s corporate trust office. Upon payment of its fees and expenses and of any taxes or charges, such as stamp taxes or share transfer taxes or fees, the depositary will transfer and deliver the ordinary shares and any other deposited securities underlying the ADSs to you or a person designated by you at the office of the custodian or through a book-entry delivery. Alternatively, at your request, risk and expense, the depositary will transfer and deliver the deposited securities at its corporate trust office, if feasible.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interchange between certificated ADSs and uncertificated ADSs?</w:t>
      </w:r>
    </w:p>
    <w:p>
      <w:pPr>
        <w:spacing w:after="0" w:line="116" w:lineRule="exact"/>
        <w:rPr>
          <w:sz w:val="20"/>
          <w:szCs w:val="20"/>
          <w:color w:val="auto"/>
        </w:rPr>
      </w:pPr>
    </w:p>
    <w:p>
      <w:pPr>
        <w:ind w:right="40" w:firstLine="439"/>
        <w:spacing w:after="0" w:line="258" w:lineRule="auto"/>
        <w:rPr>
          <w:sz w:val="20"/>
          <w:szCs w:val="20"/>
          <w:color w:val="auto"/>
        </w:rPr>
      </w:pPr>
      <w:r>
        <w:rPr>
          <w:rFonts w:ascii="Arial" w:cs="Arial" w:eastAsia="Arial" w:hAnsi="Arial"/>
          <w:sz w:val="18"/>
          <w:szCs w:val="18"/>
          <w:color w:val="auto"/>
        </w:rPr>
        <w:t>You may surrender your ADRs to the depositary for the purpose of exchanging your ADRs for uncertificated ADSs. The depositary will cancel the ADRs and will send you a statement confirming that you are the owner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6"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color w:val="auto"/>
        </w:rPr>
        <w:t>You may instruct the depositary to vote the number of whole deposited ordinary shares your ADSs represent. The depositary will notify you of shareholders’ meetings or other solicitations of consents and arrange to deliver our voting materials to you if we ask it to. Those materials will describe the matters to be voted on and explain how you may instruct the depositary how to vote. For instructions to be valid, they must reach the depositary by a date set by the depositary.</w:t>
      </w:r>
    </w:p>
    <w:p>
      <w:pPr>
        <w:spacing w:after="0" w:line="186" w:lineRule="exact"/>
        <w:rPr>
          <w:sz w:val="20"/>
          <w:szCs w:val="20"/>
          <w:color w:val="auto"/>
        </w:rPr>
      </w:pPr>
    </w:p>
    <w:p>
      <w:pPr>
        <w:ind w:right="220" w:firstLine="439"/>
        <w:spacing w:after="0" w:line="275" w:lineRule="auto"/>
        <w:rPr>
          <w:sz w:val="20"/>
          <w:szCs w:val="20"/>
          <w:color w:val="auto"/>
        </w:rPr>
      </w:pPr>
      <w:r>
        <w:rPr>
          <w:rFonts w:ascii="Arial" w:cs="Arial" w:eastAsia="Arial" w:hAnsi="Arial"/>
          <w:sz w:val="18"/>
          <w:szCs w:val="18"/>
          <w:color w:val="auto"/>
        </w:rPr>
        <w:t>The depositary will try, as far as practical, and subject to the laws of Denmark and our Articles of Association, to vote or to have its agents vote the ordinary shares or other deposited securities as instructed by ADS holders.</w:t>
      </w:r>
    </w:p>
    <w:p>
      <w:pPr>
        <w:spacing w:after="0" w:line="171" w:lineRule="exact"/>
        <w:rPr>
          <w:sz w:val="20"/>
          <w:szCs w:val="20"/>
          <w:color w:val="auto"/>
        </w:rPr>
      </w:pPr>
    </w:p>
    <w:p>
      <w:pPr>
        <w:ind w:right="120" w:firstLine="439"/>
        <w:spacing w:after="0" w:line="274" w:lineRule="auto"/>
        <w:rPr>
          <w:sz w:val="20"/>
          <w:szCs w:val="20"/>
          <w:color w:val="auto"/>
        </w:rPr>
      </w:pPr>
      <w:r>
        <w:rPr>
          <w:rFonts w:ascii="Arial" w:cs="Arial" w:eastAsia="Arial" w:hAnsi="Arial"/>
          <w:sz w:val="17"/>
          <w:szCs w:val="17"/>
          <w:color w:val="auto"/>
        </w:rPr>
        <w:t>The depositary will only vote or attempt to vote as you instruct or as described above. If we ask the depositary to solicit the ADS holders’ instructions to vote and an ADS holder fails to instruct the depositary as to the manner in which to vote by the specified date, such ADS holder will be deemed to have given a discretionary proxy to a person designated by us to vote the number of deposited securities represented by its ADSs, unless we notify the depositary that we do not wish to receive a discretionary proxy, there is substantial shareholder opposition to the particular question, or the particular question would have an adverse impact on our shareholders.</w:t>
      </w:r>
    </w:p>
    <w:p>
      <w:pPr>
        <w:spacing w:after="0" w:line="176" w:lineRule="exact"/>
        <w:rPr>
          <w:sz w:val="20"/>
          <w:szCs w:val="20"/>
          <w:color w:val="auto"/>
        </w:rPr>
      </w:pPr>
    </w:p>
    <w:p>
      <w:pPr>
        <w:ind w:right="60" w:firstLine="439"/>
        <w:spacing w:after="0" w:line="258"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provided that any such failure is in good faith. This means that you may not be able to exercise your right to vote and there may be nothing you can do if your ordinary shares are not voted as you requested.</w:t>
      </w:r>
    </w:p>
    <w:p>
      <w:pPr>
        <w:spacing w:after="0" w:line="186" w:lineRule="exact"/>
        <w:rPr>
          <w:sz w:val="20"/>
          <w:szCs w:val="20"/>
          <w:color w:val="auto"/>
        </w:rPr>
      </w:pPr>
    </w:p>
    <w:p>
      <w:pPr>
        <w:ind w:right="340" w:firstLine="439"/>
        <w:spacing w:after="0" w:line="262"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try to give the depositary notice of any such meeting and details concerning the matters to be voted upon sufficiently in advance of the meeting date.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60" w:top="269" w:right="499" w:bottom="1440" w:gutter="0" w:footer="0" w:header="0"/>
        </w:sectPr>
      </w:pPr>
    </w:p>
    <w:bookmarkStart w:id="214" w:name="page215"/>
    <w:bookmarkEnd w:id="214"/>
    <w:p>
      <w:pPr>
        <w:ind w:right="280" w:firstLine="439"/>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Except as described above, you will not be able to exercise your right to vote unless you withdraw the ordinary shares. However, you may not know about the shareholder meeting far enough in advance to withdraw the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you be responsible for paying?</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terms of the deposit agreement, the holders of ADSs will be required to pay the following fees:</w:t>
      </w:r>
    </w:p>
    <w:p>
      <w:pPr>
        <w:sectPr>
          <w:pgSz w:w="11900" w:h="16838" w:orient="portrait"/>
          <w:cols w:equalWidth="0" w:num="1">
            <w:col w:w="10900"/>
          </w:cols>
          <w:pgMar w:left="460" w:top="273" w:right="539" w:bottom="1440" w:gutter="0" w:footer="0" w:header="0"/>
        </w:sectPr>
      </w:pPr>
    </w:p>
    <w:p>
      <w:pPr>
        <w:spacing w:after="0" w:line="354"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b w:val="1"/>
          <w:bCs w:val="1"/>
          <w:color w:val="auto"/>
        </w:rPr>
        <w:t>Persons depositing or withdrawing ordinary shares or For: ADSs must pay: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$0.05 (or less) per ADS</w:t>
      </w:r>
    </w:p>
    <w:p>
      <w:pPr>
        <w:spacing w:after="0" w:line="331"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shares had been deposited for issue of ADSs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$0.05 (or less) per ADS per calendar year</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1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Taxes and other governmental charges the depositary or the custodian have to pay on any ADS or share underlying an ADS, for example, share transfer taxes, stamp duty or withholding taxes</w:t>
      </w:r>
    </w:p>
    <w:p>
      <w:pPr>
        <w:spacing w:after="0" w:line="10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278" w:right="320" w:hanging="278"/>
        <w:spacing w:after="0" w:line="275" w:lineRule="auto"/>
        <w:tabs>
          <w:tab w:leader="none" w:pos="26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Issue of ADSs, including issues resulting from a distribution of ordinary shares or rights or other property</w:t>
      </w:r>
    </w:p>
    <w:p>
      <w:pPr>
        <w:spacing w:after="0" w:line="77" w:lineRule="exact"/>
        <w:rPr>
          <w:rFonts w:ascii="Arial" w:cs="Arial" w:eastAsia="Arial" w:hAnsi="Arial"/>
          <w:sz w:val="18"/>
          <w:szCs w:val="18"/>
          <w:color w:val="auto"/>
        </w:rPr>
      </w:pPr>
    </w:p>
    <w:p>
      <w:pPr>
        <w:ind w:left="278" w:right="180" w:hanging="278"/>
        <w:spacing w:after="0" w:line="275" w:lineRule="auto"/>
        <w:tabs>
          <w:tab w:leader="none" w:pos="26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77" w:lineRule="exact"/>
        <w:rPr>
          <w:rFonts w:ascii="Arial" w:cs="Arial" w:eastAsia="Arial" w:hAnsi="Arial"/>
          <w:sz w:val="18"/>
          <w:szCs w:val="18"/>
          <w:color w:val="auto"/>
        </w:rPr>
      </w:pPr>
    </w:p>
    <w:p>
      <w:pPr>
        <w:ind w:left="238" w:hanging="238"/>
        <w:spacing w:after="0"/>
        <w:tabs>
          <w:tab w:leader="none" w:pos="23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cash distribution to you</w:t>
      </w:r>
    </w:p>
    <w:p>
      <w:pPr>
        <w:spacing w:after="0" w:line="115" w:lineRule="exact"/>
        <w:rPr>
          <w:rFonts w:ascii="Arial" w:cs="Arial" w:eastAsia="Arial" w:hAnsi="Arial"/>
          <w:sz w:val="18"/>
          <w:szCs w:val="18"/>
          <w:color w:val="auto"/>
        </w:rPr>
      </w:pPr>
    </w:p>
    <w:p>
      <w:pPr>
        <w:ind w:left="278" w:right="560" w:hanging="278"/>
        <w:spacing w:after="0" w:line="340" w:lineRule="auto"/>
        <w:tabs>
          <w:tab w:leader="none" w:pos="26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Distribution of securities distributed to holders of deposited securities which are distributed by the depositary to you</w:t>
      </w:r>
    </w:p>
    <w:p>
      <w:pPr>
        <w:spacing w:after="0" w:line="16" w:lineRule="exact"/>
        <w:rPr>
          <w:rFonts w:ascii="Arial" w:cs="Arial" w:eastAsia="Arial" w:hAnsi="Arial"/>
          <w:sz w:val="16"/>
          <w:szCs w:val="16"/>
          <w:color w:val="auto"/>
        </w:rPr>
      </w:pPr>
    </w:p>
    <w:p>
      <w:pPr>
        <w:ind w:left="258" w:hanging="258"/>
        <w:spacing w:after="0"/>
        <w:tabs>
          <w:tab w:leader="none" w:pos="2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00" w:lineRule="exact"/>
        <w:rPr>
          <w:rFonts w:ascii="Arial" w:cs="Arial" w:eastAsia="Arial" w:hAnsi="Arial"/>
          <w:sz w:val="18"/>
          <w:szCs w:val="18"/>
          <w:color w:val="auto"/>
        </w:rPr>
      </w:pPr>
    </w:p>
    <w:p>
      <w:pPr>
        <w:spacing w:after="0" w:line="346" w:lineRule="exact"/>
        <w:rPr>
          <w:rFonts w:ascii="Arial" w:cs="Arial" w:eastAsia="Arial" w:hAnsi="Arial"/>
          <w:sz w:val="18"/>
          <w:szCs w:val="18"/>
          <w:color w:val="auto"/>
        </w:rPr>
      </w:pPr>
    </w:p>
    <w:p>
      <w:pPr>
        <w:jc w:val="both"/>
        <w:ind w:left="278" w:hanging="278"/>
        <w:spacing w:after="0" w:line="262" w:lineRule="auto"/>
        <w:tabs>
          <w:tab w:leader="none" w:pos="25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Transfer and registration of ordinary shares on our share register to or from the name of the depositary or its agent when you deposit or withdraw shares</w:t>
      </w:r>
    </w:p>
    <w:p>
      <w:pPr>
        <w:spacing w:after="0" w:line="75" w:lineRule="exact"/>
        <w:rPr>
          <w:rFonts w:ascii="Arial" w:cs="Arial" w:eastAsia="Arial" w:hAnsi="Arial"/>
          <w:sz w:val="18"/>
          <w:szCs w:val="18"/>
          <w:color w:val="auto"/>
        </w:rPr>
      </w:pPr>
    </w:p>
    <w:p>
      <w:pPr>
        <w:ind w:left="278" w:right="60" w:hanging="278"/>
        <w:spacing w:after="0" w:line="275" w:lineRule="auto"/>
        <w:tabs>
          <w:tab w:leader="none" w:pos="26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Cable, telex and facsimile transmissions (when expressly provided in the deposit agreement)</w:t>
      </w:r>
    </w:p>
    <w:p>
      <w:pPr>
        <w:spacing w:after="0" w:line="63" w:lineRule="exact"/>
        <w:rPr>
          <w:rFonts w:ascii="Arial" w:cs="Arial" w:eastAsia="Arial" w:hAnsi="Arial"/>
          <w:sz w:val="18"/>
          <w:szCs w:val="18"/>
          <w:color w:val="auto"/>
        </w:rPr>
      </w:pPr>
    </w:p>
    <w:p>
      <w:pPr>
        <w:ind w:left="258" w:hanging="258"/>
        <w:spacing w:after="0"/>
        <w:tabs>
          <w:tab w:leader="none" w:pos="2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115" w:lineRule="exact"/>
        <w:rPr>
          <w:rFonts w:ascii="Arial" w:cs="Arial" w:eastAsia="Arial" w:hAnsi="Arial"/>
          <w:sz w:val="18"/>
          <w:szCs w:val="18"/>
          <w:color w:val="auto"/>
        </w:rPr>
      </w:pPr>
    </w:p>
    <w:p>
      <w:pPr>
        <w:ind w:left="238" w:hanging="238"/>
        <w:spacing w:after="0"/>
        <w:tabs>
          <w:tab w:leader="none" w:pos="23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373" w:lineRule="exact"/>
        <w:rPr>
          <w:rFonts w:ascii="Arial" w:cs="Arial" w:eastAsia="Arial" w:hAnsi="Arial"/>
          <w:sz w:val="18"/>
          <w:szCs w:val="18"/>
          <w:color w:val="auto"/>
        </w:rPr>
      </w:pPr>
    </w:p>
    <w:p>
      <w:pPr>
        <w:ind w:left="238" w:hanging="238"/>
        <w:spacing w:after="0"/>
        <w:tabs>
          <w:tab w:leader="none" w:pos="23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necessary</w:t>
      </w:r>
    </w:p>
    <w:p>
      <w:pPr>
        <w:sectPr>
          <w:pgSz w:w="11900" w:h="16838" w:orient="portrait"/>
          <w:cols w:equalWidth="0" w:num="2">
            <w:col w:w="5580" w:space="222"/>
            <w:col w:w="5098"/>
          </w:cols>
          <w:pgMar w:left="460" w:top="273" w:right="539" w:bottom="1440" w:gutter="0" w:footer="0" w:header="0"/>
          <w:type w:val="continuous"/>
        </w:sectPr>
      </w:pPr>
    </w:p>
    <w:bookmarkStart w:id="215" w:name="page216"/>
    <w:bookmarkEnd w:id="215"/>
    <w:p>
      <w:pPr>
        <w:ind w:right="120" w:firstLine="439"/>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64"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0" w:lineRule="exact"/>
        <w:rPr>
          <w:sz w:val="20"/>
          <w:szCs w:val="20"/>
          <w:color w:val="auto"/>
        </w:rPr>
      </w:pPr>
    </w:p>
    <w:p>
      <w:pPr>
        <w:ind w:right="140" w:firstLine="439"/>
        <w:spacing w:after="0" w:line="295"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registered in your name to reflect the sale and pay you any net proceeds, or send you any property, remaining after it has paid the taxes.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36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i w:val="1"/>
          <w:iCs w:val="1"/>
          <w:color w:val="auto"/>
        </w:rPr>
        <w:t>If we:</w:t>
      </w:r>
      <w:r>
        <w:rPr>
          <w:sz w:val="20"/>
          <w:szCs w:val="20"/>
          <w:color w:val="auto"/>
        </w:rPr>
        <w:tab/>
      </w:r>
      <w:r>
        <w:rPr>
          <w:rFonts w:ascii="Arial" w:cs="Arial" w:eastAsia="Arial" w:hAnsi="Arial"/>
          <w:sz w:val="16"/>
          <w:szCs w:val="16"/>
          <w:b w:val="1"/>
          <w:bCs w:val="1"/>
          <w:i w:val="1"/>
          <w:iCs w:val="1"/>
          <w:color w:val="auto"/>
        </w:rPr>
        <w:t>Then:</w:t>
      </w:r>
    </w:p>
    <w:p>
      <w:pPr>
        <w:spacing w:after="0" w:line="116" w:lineRule="exact"/>
        <w:rPr>
          <w:sz w:val="20"/>
          <w:szCs w:val="20"/>
          <w:color w:val="auto"/>
        </w:rPr>
      </w:pPr>
    </w:p>
    <w:p>
      <w:pPr>
        <w:ind w:left="80"/>
        <w:spacing w:after="0"/>
        <w:tabs>
          <w:tab w:leader="none" w:pos="320" w:val="left"/>
          <w:tab w:leader="none" w:pos="5700" w:val="left"/>
        </w:tabs>
        <w:rPr>
          <w:sz w:val="20"/>
          <w:szCs w:val="20"/>
          <w:color w:val="auto"/>
        </w:rPr>
      </w:pPr>
      <w:r>
        <w:rPr>
          <w:rFonts w:ascii="Arial" w:cs="Arial" w:eastAsia="Arial" w:hAnsi="Arial"/>
          <w:sz w:val="18"/>
          <w:szCs w:val="18"/>
          <w:color w:val="auto"/>
        </w:rPr>
        <w:t>•</w:t>
        <w:tab/>
        <w:t>Change the nominal or par value of our ordinary shares</w:t>
      </w:r>
      <w:r>
        <w:rPr>
          <w:sz w:val="20"/>
          <w:szCs w:val="20"/>
          <w:color w:val="auto"/>
        </w:rPr>
        <w:tab/>
      </w:r>
      <w:r>
        <w:rPr>
          <w:rFonts w:ascii="Arial" w:cs="Arial" w:eastAsia="Arial" w:hAnsi="Arial"/>
          <w:sz w:val="16"/>
          <w:szCs w:val="16"/>
          <w:color w:val="auto"/>
        </w:rPr>
        <w:t>The cash, ordinary shares or other securities received by the depositary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 become deposited securities.</w:t>
      </w:r>
    </w:p>
    <w:p>
      <w:pPr>
        <w:spacing w:after="0" w:line="101" w:lineRule="exact"/>
        <w:rPr>
          <w:sz w:val="20"/>
          <w:szCs w:val="20"/>
          <w:color w:val="auto"/>
        </w:rPr>
      </w:pPr>
    </w:p>
    <w:p>
      <w:pPr>
        <w:ind w:left="80"/>
        <w:spacing w:after="0"/>
        <w:tabs>
          <w:tab w:leader="none" w:pos="320" w:val="left"/>
          <w:tab w:leader="none" w:pos="5700" w:val="left"/>
        </w:tabs>
        <w:rPr>
          <w:sz w:val="20"/>
          <w:szCs w:val="20"/>
          <w:color w:val="auto"/>
        </w:rPr>
      </w:pPr>
      <w:r>
        <w:rPr>
          <w:rFonts w:ascii="Arial" w:cs="Arial" w:eastAsia="Arial" w:hAnsi="Arial"/>
          <w:sz w:val="18"/>
          <w:szCs w:val="18"/>
          <w:color w:val="auto"/>
        </w:rPr>
        <w:t>•</w:t>
        <w:tab/>
        <w:t>Reclassify, split up or consolidate any of the deposited securities</w:t>
      </w:r>
      <w:r>
        <w:rPr>
          <w:sz w:val="20"/>
          <w:szCs w:val="20"/>
          <w:color w:val="auto"/>
        </w:rPr>
        <w:tab/>
      </w:r>
      <w:r>
        <w:rPr>
          <w:rFonts w:ascii="Arial" w:cs="Arial" w:eastAsia="Arial" w:hAnsi="Arial"/>
          <w:sz w:val="16"/>
          <w:szCs w:val="16"/>
          <w:color w:val="auto"/>
        </w:rPr>
        <w:t>Each ADS will automatically represent its equal share of the new</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deposited securities.</w:t>
      </w:r>
    </w:p>
    <w:p>
      <w:pPr>
        <w:sectPr>
          <w:pgSz w:w="11900" w:h="16838" w:orient="portrait"/>
          <w:cols w:equalWidth="0" w:num="1">
            <w:col w:w="10940"/>
          </w:cols>
          <w:pgMar w:left="460" w:top="273" w:right="499" w:bottom="1440" w:gutter="0" w:footer="0" w:header="0"/>
        </w:sectPr>
      </w:pPr>
    </w:p>
    <w:p>
      <w:pPr>
        <w:spacing w:after="0" w:line="101" w:lineRule="exact"/>
        <w:rPr>
          <w:sz w:val="20"/>
          <w:szCs w:val="20"/>
          <w:color w:val="auto"/>
        </w:rPr>
      </w:pPr>
    </w:p>
    <w:p>
      <w:pPr>
        <w:ind w:left="340" w:hanging="255"/>
        <w:spacing w:after="0"/>
        <w:tabs>
          <w:tab w:leader="none" w:pos="3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Distribute securities on the ordinary shares that are not distributed to you</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360" w:right="140" w:hanging="275"/>
        <w:spacing w:after="0" w:line="275" w:lineRule="auto"/>
        <w:tabs>
          <w:tab w:leader="none" w:pos="34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Recapitalize, reorganize, merge, liquidate, sell all or substantially all of our assets, or take any similar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depositary may also deliver new ADSs or ask you to surrender your outstanding ADRs in exchange for new ADRs identifying the new deposited securities. The depositary may also sell the new deposited securities and distribute the net proceeds if we are unable to assure the depositary that the distribution (a) does not require registration under the Securities Act or (b) is exempt from registration under the Securities Act.</w:t>
      </w:r>
    </w:p>
    <w:p>
      <w:pPr>
        <w:spacing w:after="0" w:line="8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Any replacement securities received by the depositary shall be treated as newly deposited securities and either the existing ADSs or, if necessary, replacement ADSs distributed by the depositary will represent the replacement securities. The depositary may also sell the replacement securities and distribute the net proceeds if the replacement securities may not be lawfully distributed to all ADS holders.</w:t>
      </w:r>
    </w:p>
    <w:p>
      <w:pPr>
        <w:sectPr>
          <w:pgSz w:w="11900" w:h="16838" w:orient="portrait"/>
          <w:cols w:equalWidth="0" w:num="2">
            <w:col w:w="5580" w:space="140"/>
            <w:col w:w="5220"/>
          </w:cols>
          <w:pgMar w:left="460" w:top="273" w:right="499"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Amendment and Termination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6" w:lineRule="exact"/>
        <w:rPr>
          <w:sz w:val="20"/>
          <w:szCs w:val="20"/>
          <w:color w:val="auto"/>
        </w:rPr>
      </w:pPr>
    </w:p>
    <w:p>
      <w:pPr>
        <w:ind w:firstLine="439"/>
        <w:spacing w:after="0" w:line="274" w:lineRule="auto"/>
        <w:rPr>
          <w:sz w:val="20"/>
          <w:szCs w:val="20"/>
          <w:color w:val="auto"/>
        </w:rPr>
      </w:pPr>
      <w:r>
        <w:rPr>
          <w:rFonts w:ascii="Arial" w:cs="Arial" w:eastAsia="Arial" w:hAnsi="Arial"/>
          <w:sz w:val="17"/>
          <w:szCs w:val="17"/>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6" w:lineRule="exact"/>
        <w:rPr>
          <w:sz w:val="20"/>
          <w:szCs w:val="20"/>
          <w:color w:val="auto"/>
        </w:rPr>
      </w:pPr>
    </w:p>
    <w:p>
      <w:pPr>
        <w:ind w:right="60" w:firstLine="439"/>
        <w:spacing w:after="0" w:line="258" w:lineRule="auto"/>
        <w:rPr>
          <w:sz w:val="20"/>
          <w:szCs w:val="20"/>
          <w:color w:val="auto"/>
        </w:rPr>
      </w:pPr>
      <w:r>
        <w:rPr>
          <w:rFonts w:ascii="Arial" w:cs="Arial" w:eastAsia="Arial" w:hAnsi="Arial"/>
          <w:sz w:val="18"/>
          <w:szCs w:val="18"/>
          <w:color w:val="auto"/>
        </w:rPr>
        <w:t>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a notice of termination to us and the ADS holders if 60 days have passed since the depositary told us it wants to resign but a successor depositary has not been appointed and accepted its appointment.</w:t>
      </w:r>
    </w:p>
    <w:p>
      <w:pPr>
        <w:spacing w:after="0" w:line="186"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under the deposit agreement will be to indemnify the depositary and to pay fees and expenses of the depositary that we agreed to pay and we will not have any obligations thereunder to current or former ADS 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6" w:lineRule="exact"/>
        <w:rPr>
          <w:sz w:val="20"/>
          <w:szCs w:val="20"/>
          <w:color w:val="auto"/>
        </w:rPr>
      </w:pPr>
    </w:p>
    <w:p>
      <w:pPr>
        <w:ind w:right="420" w:firstLine="439"/>
        <w:spacing w:after="0" w:line="275"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7" w:lineRule="exact"/>
        <w:rPr>
          <w:sz w:val="20"/>
          <w:szCs w:val="20"/>
          <w:color w:val="auto"/>
        </w:rPr>
      </w:pPr>
    </w:p>
    <w:p>
      <w:pPr>
        <w:ind w:left="960" w:hanging="426"/>
        <w:spacing w:after="0"/>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129" w:lineRule="exact"/>
        <w:rPr>
          <w:rFonts w:ascii="Arial" w:cs="Arial" w:eastAsia="Arial" w:hAnsi="Arial"/>
          <w:sz w:val="18"/>
          <w:szCs w:val="18"/>
          <w:color w:val="auto"/>
        </w:rPr>
      </w:pPr>
    </w:p>
    <w:p>
      <w:pPr>
        <w:ind w:left="960" w:hanging="426"/>
        <w:spacing w:after="0"/>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not liable if either of us is prevented or delayed by law or circumstances beyond our control from performing our</w:t>
      </w:r>
    </w:p>
    <w:p>
      <w:pPr>
        <w:spacing w:after="0" w:line="129" w:lineRule="exact"/>
        <w:rPr>
          <w:rFonts w:ascii="Arial" w:cs="Arial" w:eastAsia="Arial" w:hAnsi="Arial"/>
          <w:sz w:val="18"/>
          <w:szCs w:val="18"/>
          <w:color w:val="auto"/>
        </w:rPr>
      </w:pPr>
    </w:p>
    <w:p>
      <w:pPr>
        <w:ind w:left="960" w:hanging="426"/>
        <w:spacing w:after="0"/>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ligations under the deposit agreement;</w:t>
      </w:r>
    </w:p>
    <w:p>
      <w:pPr>
        <w:spacing w:after="0" w:line="129" w:lineRule="exact"/>
        <w:rPr>
          <w:rFonts w:ascii="Arial" w:cs="Arial" w:eastAsia="Arial" w:hAnsi="Arial"/>
          <w:sz w:val="18"/>
          <w:szCs w:val="18"/>
          <w:color w:val="auto"/>
        </w:rPr>
      </w:pPr>
    </w:p>
    <w:p>
      <w:pPr>
        <w:ind w:left="960" w:hanging="426"/>
        <w:spacing w:after="0"/>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not liable if either of us exercises, or fails to exercise, discretion permitted under the deposit agreement;</w:t>
      </w:r>
    </w:p>
    <w:p>
      <w:pPr>
        <w:spacing w:after="0" w:line="129" w:lineRule="exact"/>
        <w:rPr>
          <w:rFonts w:ascii="Arial" w:cs="Arial" w:eastAsia="Arial" w:hAnsi="Arial"/>
          <w:sz w:val="18"/>
          <w:szCs w:val="18"/>
          <w:color w:val="auto"/>
        </w:rPr>
      </w:pPr>
    </w:p>
    <w:p>
      <w:pPr>
        <w:ind w:left="960" w:hanging="426"/>
        <w:spacing w:after="0"/>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w:t>
      </w:r>
    </w:p>
    <w:p>
      <w:pPr>
        <w:spacing w:after="0" w:line="129" w:lineRule="exact"/>
        <w:rPr>
          <w:rFonts w:ascii="Arial" w:cs="Arial" w:eastAsia="Arial" w:hAnsi="Arial"/>
          <w:sz w:val="18"/>
          <w:szCs w:val="18"/>
          <w:color w:val="auto"/>
        </w:rPr>
      </w:pPr>
    </w:p>
    <w:p>
      <w:pPr>
        <w:ind w:left="960" w:right="460" w:hanging="426"/>
        <w:spacing w:after="0" w:line="275" w:lineRule="auto"/>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available to holders of ADSs under the terms of the deposit agreement, or for any special, consequential or punitive damages for any breach of the terms of the deposit agreement;</w:t>
      </w:r>
    </w:p>
    <w:p>
      <w:pPr>
        <w:spacing w:after="0" w:line="77" w:lineRule="exact"/>
        <w:rPr>
          <w:rFonts w:ascii="Arial" w:cs="Arial" w:eastAsia="Arial" w:hAnsi="Arial"/>
          <w:sz w:val="18"/>
          <w:szCs w:val="18"/>
          <w:color w:val="auto"/>
        </w:rPr>
      </w:pPr>
    </w:p>
    <w:p>
      <w:pPr>
        <w:ind w:left="960" w:hanging="426"/>
        <w:spacing w:after="0"/>
        <w:tabs>
          <w:tab w:leader="none" w:pos="9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not liable for any tax consequences to any holders of ADSs on account of their ownership of ADSs;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60" w:top="269" w:right="499" w:bottom="1440" w:gutter="0" w:footer="0" w:header="0"/>
        </w:sectPr>
      </w:pPr>
    </w:p>
    <w:bookmarkStart w:id="217" w:name="page218"/>
    <w:bookmarkEnd w:id="217"/>
    <w:p>
      <w:pPr>
        <w:ind w:left="960" w:right="100" w:hanging="426"/>
        <w:spacing w:after="0" w:line="275" w:lineRule="auto"/>
        <w:tabs>
          <w:tab w:leader="none" w:pos="9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have no obligation to become involved in a lawsuit or other proceeding related to the ADSs or the deposit agreement on your behalf or on behalf of any other person; and</w:t>
      </w:r>
    </w:p>
    <w:p>
      <w:pPr>
        <w:spacing w:after="0" w:line="77" w:lineRule="exact"/>
        <w:rPr>
          <w:rFonts w:ascii="Arial" w:cs="Arial" w:eastAsia="Arial" w:hAnsi="Arial"/>
          <w:sz w:val="18"/>
          <w:szCs w:val="18"/>
          <w:color w:val="auto"/>
        </w:rPr>
      </w:pPr>
    </w:p>
    <w:p>
      <w:pPr>
        <w:ind w:left="960" w:hanging="426"/>
        <w:spacing w:after="0"/>
        <w:tabs>
          <w:tab w:leader="none" w:pos="9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may rely upon any documents we believe in good faith to be genuine and to have been signed or presented by the proper person.</w:t>
      </w:r>
    </w:p>
    <w:p>
      <w:pPr>
        <w:spacing w:after="0" w:line="235"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color w:val="auto"/>
        </w:rPr>
        <w:t>In the deposit agreement, we and the depositary agree to indemnify each other under certain circumstances. Additionally, we, the depositary and each owner and holder, to the fullest extent permitted by applicable law, waive the right to a jury trial in an action against us or the depositary arising out of or relating to the deposit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0" w:lineRule="exact"/>
        <w:rPr>
          <w:sz w:val="20"/>
          <w:szCs w:val="20"/>
          <w:color w:val="auto"/>
        </w:rPr>
      </w:pPr>
    </w:p>
    <w:p>
      <w:pPr>
        <w:ind w:right="240" w:firstLine="439"/>
        <w:spacing w:after="0" w:line="275" w:lineRule="auto"/>
        <w:rPr>
          <w:sz w:val="20"/>
          <w:szCs w:val="20"/>
          <w:color w:val="auto"/>
        </w:rPr>
      </w:pPr>
      <w:r>
        <w:rPr>
          <w:rFonts w:ascii="Arial" w:cs="Arial" w:eastAsia="Arial" w:hAnsi="Arial"/>
          <w:sz w:val="18"/>
          <w:szCs w:val="18"/>
          <w:color w:val="auto"/>
        </w:rPr>
        <w:t>Before the depositary will deliver or register a transfer of an ADS, make a distribution on an ADS, or permit withdrawal of ordinary shares, the depositary may require:</w:t>
      </w:r>
    </w:p>
    <w:p>
      <w:pPr>
        <w:spacing w:after="0" w:line="77" w:lineRule="exact"/>
        <w:rPr>
          <w:sz w:val="20"/>
          <w:szCs w:val="20"/>
          <w:color w:val="auto"/>
        </w:rPr>
      </w:pPr>
    </w:p>
    <w:p>
      <w:pPr>
        <w:ind w:left="960" w:right="380" w:hanging="426"/>
        <w:spacing w:after="0" w:line="275" w:lineRule="auto"/>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payment of share transfer or other taxes or other governmental charges and transfer or registration fees charged by third parties for the transfer of any ordinary shares or other deposited securities;</w:t>
      </w:r>
    </w:p>
    <w:p>
      <w:pPr>
        <w:spacing w:after="0" w:line="77" w:lineRule="exact"/>
        <w:rPr>
          <w:rFonts w:ascii="Arial" w:cs="Arial" w:eastAsia="Arial" w:hAnsi="Arial"/>
          <w:sz w:val="18"/>
          <w:szCs w:val="18"/>
          <w:color w:val="auto"/>
        </w:rPr>
      </w:pPr>
    </w:p>
    <w:p>
      <w:pPr>
        <w:ind w:left="960" w:hanging="426"/>
        <w:spacing w:after="0"/>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29" w:lineRule="exact"/>
        <w:rPr>
          <w:rFonts w:ascii="Arial" w:cs="Arial" w:eastAsia="Arial" w:hAnsi="Arial"/>
          <w:sz w:val="18"/>
          <w:szCs w:val="18"/>
          <w:color w:val="auto"/>
        </w:rPr>
      </w:pPr>
    </w:p>
    <w:p>
      <w:pPr>
        <w:ind w:left="960" w:right="180" w:hanging="426"/>
        <w:spacing w:after="0" w:line="275" w:lineRule="auto"/>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1" w:lineRule="exact"/>
        <w:rPr>
          <w:sz w:val="20"/>
          <w:szCs w:val="20"/>
          <w:color w:val="auto"/>
        </w:rPr>
      </w:pPr>
    </w:p>
    <w:p>
      <w:pPr>
        <w:ind w:right="40" w:firstLine="439"/>
        <w:spacing w:after="0" w:line="275" w:lineRule="auto"/>
        <w:rPr>
          <w:sz w:val="20"/>
          <w:szCs w:val="20"/>
          <w:color w:val="auto"/>
        </w:rPr>
      </w:pPr>
      <w:r>
        <w:rPr>
          <w:rFonts w:ascii="Arial" w:cs="Arial" w:eastAsia="Arial" w:hAnsi="Arial"/>
          <w:sz w:val="18"/>
          <w:szCs w:val="18"/>
          <w:color w:val="auto"/>
        </w:rPr>
        <w:t>The depositary may refuse to deliver ADSs or register transfers of ADSs generally when the transfer books of the depositary or our transfer books are closed or at any time if the depositary or we think it advisable to do so.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Ordinary Shares Underlying Your ADSs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ADS holders have the right to cancel their ADSs and withdraw the underlying ordinary shares at any time except:</w:t>
      </w:r>
    </w:p>
    <w:p>
      <w:pPr>
        <w:spacing w:after="0" w:line="129" w:lineRule="exact"/>
        <w:rPr>
          <w:sz w:val="20"/>
          <w:szCs w:val="20"/>
          <w:color w:val="auto"/>
        </w:rPr>
      </w:pPr>
    </w:p>
    <w:p>
      <w:pPr>
        <w:ind w:left="960" w:right="60" w:hanging="426"/>
        <w:spacing w:after="0" w:line="340" w:lineRule="auto"/>
        <w:tabs>
          <w:tab w:leader="none" w:pos="9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30" w:lineRule="exact"/>
        <w:rPr>
          <w:rFonts w:ascii="Arial" w:cs="Arial" w:eastAsia="Arial" w:hAnsi="Arial"/>
          <w:sz w:val="16"/>
          <w:szCs w:val="16"/>
          <w:color w:val="auto"/>
        </w:rPr>
      </w:pPr>
    </w:p>
    <w:p>
      <w:pPr>
        <w:ind w:left="960" w:hanging="426"/>
        <w:spacing w:after="0"/>
        <w:tabs>
          <w:tab w:leader="none" w:pos="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and</w:t>
      </w:r>
    </w:p>
    <w:p>
      <w:pPr>
        <w:spacing w:after="0" w:line="129" w:lineRule="exact"/>
        <w:rPr>
          <w:rFonts w:ascii="Arial" w:cs="Arial" w:eastAsia="Arial" w:hAnsi="Arial"/>
          <w:sz w:val="18"/>
          <w:szCs w:val="18"/>
          <w:color w:val="auto"/>
        </w:rPr>
      </w:pPr>
    </w:p>
    <w:p>
      <w:pPr>
        <w:ind w:left="960" w:right="300" w:hanging="426"/>
        <w:spacing w:after="0" w:line="275" w:lineRule="auto"/>
        <w:tabs>
          <w:tab w:leader="none" w:pos="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right of withdrawal is not limited by any other provision of the deposit agreement.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120" w:lineRule="exact"/>
        <w:rPr>
          <w:sz w:val="20"/>
          <w:szCs w:val="20"/>
          <w:color w:val="auto"/>
        </w:rPr>
      </w:pPr>
    </w:p>
    <w:p>
      <w:pPr>
        <w:ind w:right="100" w:firstLine="439"/>
        <w:spacing w:after="0" w:line="310" w:lineRule="auto"/>
        <w:rPr>
          <w:sz w:val="20"/>
          <w:szCs w:val="20"/>
          <w:color w:val="auto"/>
        </w:rPr>
      </w:pPr>
      <w:r>
        <w:rPr>
          <w:rFonts w:ascii="Arial" w:cs="Arial" w:eastAsia="Arial" w:hAnsi="Arial"/>
          <w:sz w:val="16"/>
          <w:szCs w:val="16"/>
          <w:color w:val="auto"/>
        </w:rPr>
        <w:t>The deposit agreement permits the depositary to deliver ADSs before deposit of the underlying ordinary shares. This is called a pre-release of the ADSs. The depositary may also deliver ordinary shares upon cancellation of pre-released ADSs (even if the ADSs are canceled before the pre-release transaction has been closed out). A pre-release is closed out as soon as the underlying ordinary shares are delivered to the depositary.</w:t>
      </w:r>
    </w:p>
    <w:p>
      <w:pPr>
        <w:spacing w:after="0" w:line="148" w:lineRule="exact"/>
        <w:rPr>
          <w:sz w:val="20"/>
          <w:szCs w:val="20"/>
          <w:color w:val="auto"/>
        </w:rPr>
      </w:pPr>
    </w:p>
    <w:p>
      <w:pPr>
        <w:ind w:right="100" w:firstLine="439"/>
        <w:spacing w:after="0" w:line="292" w:lineRule="auto"/>
        <w:rPr>
          <w:sz w:val="20"/>
          <w:szCs w:val="20"/>
          <w:color w:val="auto"/>
        </w:rPr>
      </w:pPr>
      <w:r>
        <w:rPr>
          <w:rFonts w:ascii="Arial" w:cs="Arial" w:eastAsia="Arial" w:hAnsi="Arial"/>
          <w:sz w:val="16"/>
          <w:szCs w:val="16"/>
          <w:color w:val="auto"/>
        </w:rPr>
        <w:t>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owns the ordinary shares or ADSs to be deposited;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to 30% of the number of deposited shares, although the depositary may disregard this limit from time to time if it determines it is appropriate to do so.</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60" w:top="273" w:right="47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Direct Registration System</w:t>
      </w:r>
    </w:p>
    <w:p>
      <w:pPr>
        <w:spacing w:after="0" w:line="120" w:lineRule="exact"/>
        <w:rPr>
          <w:sz w:val="20"/>
          <w:szCs w:val="20"/>
          <w:color w:val="auto"/>
        </w:rPr>
      </w:pPr>
    </w:p>
    <w:p>
      <w:pPr>
        <w:ind w:firstLine="439"/>
        <w:spacing w:after="0" w:line="272" w:lineRule="auto"/>
        <w:rPr>
          <w:sz w:val="20"/>
          <w:szCs w:val="20"/>
          <w:color w:val="auto"/>
        </w:rPr>
      </w:pPr>
      <w:r>
        <w:rPr>
          <w:rFonts w:ascii="Arial" w:cs="Arial" w:eastAsia="Arial" w:hAnsi="Arial"/>
          <w:sz w:val="17"/>
          <w:szCs w:val="17"/>
          <w:color w:val="auto"/>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and such ownership will be evidenced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77" w:lineRule="exact"/>
        <w:rPr>
          <w:sz w:val="20"/>
          <w:szCs w:val="20"/>
          <w:color w:val="auto"/>
        </w:rPr>
      </w:pPr>
    </w:p>
    <w:p>
      <w:pPr>
        <w:ind w:right="100" w:firstLine="439"/>
        <w:spacing w:after="0" w:line="254"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 ADS Holder Information</w:t>
      </w:r>
    </w:p>
    <w:p>
      <w:pPr>
        <w:spacing w:after="0" w:line="120"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60" w:top="269" w:right="5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4.16</w:t>
      </w:r>
    </w:p>
    <w:p>
      <w:pPr>
        <w:spacing w:after="0" w:line="200" w:lineRule="exact"/>
        <w:rPr>
          <w:sz w:val="20"/>
          <w:szCs w:val="20"/>
          <w:color w:val="auto"/>
        </w:rPr>
      </w:pPr>
    </w:p>
    <w:p>
      <w:pPr>
        <w:spacing w:after="0" w:line="239" w:lineRule="exact"/>
        <w:rPr>
          <w:sz w:val="20"/>
          <w:szCs w:val="20"/>
          <w:color w:val="auto"/>
        </w:rPr>
      </w:pPr>
    </w:p>
    <w:p>
      <w:pPr>
        <w:ind w:left="1460" w:right="2440" w:firstLine="210"/>
        <w:spacing w:after="0" w:line="292" w:lineRule="auto"/>
        <w:tabs>
          <w:tab w:leader="none" w:pos="2107"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excluded pursuant to Regulation S-K, Item 601(b)(10). Such excluded information is not material and</w:t>
      </w:r>
    </w:p>
    <w:p>
      <w:pPr>
        <w:spacing w:after="0" w:line="1" w:lineRule="exact"/>
        <w:rPr>
          <w:rFonts w:ascii="Arial" w:cs="Arial" w:eastAsia="Arial" w:hAnsi="Arial"/>
          <w:sz w:val="16"/>
          <w:szCs w:val="16"/>
          <w:b w:val="1"/>
          <w:bCs w:val="1"/>
          <w:color w:val="auto"/>
        </w:rPr>
      </w:pPr>
    </w:p>
    <w:p>
      <w:pPr>
        <w:ind w:left="21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is the type that the registrant treats as private or confidential.</w:t>
      </w:r>
    </w:p>
    <w:p>
      <w:pPr>
        <w:spacing w:after="0" w:line="20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MANUFACTURING AND SUPPLY AGREEMENT</w:t>
      </w:r>
    </w:p>
    <w:p>
      <w:pPr>
        <w:spacing w:after="0" w:line="2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(“Agreement”)</w:t>
      </w:r>
    </w:p>
    <w:p>
      <w:pPr>
        <w:spacing w:after="0" w:line="2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1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Ascendis Pharma A/S</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Tuborg Boulevard 12</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2900 Hellerup</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Denmark</w:t>
      </w:r>
    </w:p>
    <w:p>
      <w:pPr>
        <w:spacing w:after="0" w:line="20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(hereinafter referred to as “Ascendis”)</w:t>
      </w:r>
    </w:p>
    <w:p>
      <w:pPr>
        <w:spacing w:after="0" w:line="2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Bachem AG</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Hauptstrasse 144</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4416 Bubendorf</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Switzerland</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(hereinafter referred to as “Bachem”)</w:t>
      </w:r>
    </w:p>
    <w:p>
      <w:pPr>
        <w:spacing w:after="0" w:line="20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(hereinafter individually referred to as “Party” and collectively as “the Parties”)</w:t>
      </w:r>
    </w:p>
    <w:p>
      <w:pPr>
        <w:sectPr>
          <w:pgSz w:w="11900" w:h="16838" w:orient="portrait"/>
          <w:cols w:equalWidth="0" w:num="1">
            <w:col w:w="10000"/>
          </w:cols>
          <w:pgMar w:left="1440" w:top="121" w:right="459" w:bottom="1440" w:gutter="0" w:footer="0" w:header="0"/>
        </w:sectPr>
      </w:pPr>
    </w:p>
    <w:bookmarkStart w:id="220" w:name="page221"/>
    <w:bookmarkEnd w:id="220"/>
    <w:tbl>
      <w:tblPr>
        <w:tblLayout w:type="fixed"/>
        <w:tblInd w:w="5" w:type="dxa"/>
        <w:tblCellMar>
          <w:top w:w="0" w:type="dxa"/>
          <w:left w:w="0" w:type="dxa"/>
          <w:bottom w:w="0" w:type="dxa"/>
          <w:right w:w="0" w:type="dxa"/>
        </w:tblCellMar>
      </w:tblP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1.</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INTRODUCTION</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3.</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SUBJECT MATTER OF THE AGREEMENT</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OBLIGATIONS OF THE PARTIES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5.</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JOINT STEERING COMMITTEE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MATERIALS AND SUBCONTRACTING</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7.</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CAPACITY AND BATCH SIZE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8.</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FORECAST</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9.</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PURCHASE ORDERS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10.</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DELIVERY AND RELEASE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11.</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STORAGE AND INSURANCE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12.</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PURCHASE PRICE AND PAYMENT TERMS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13.</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REGULATORY COMPLIANCE AND SUPPORT</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14.</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NON-COMPLIANCE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15.</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RECALL</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16.</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TERM AND TERMINATION</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17.</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CONFIDENTIALITY</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18.</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INTELLECTUAL PROPERTY RIGHTS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19.</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LIABILITY</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20.</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COMPLIANCE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21.</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REPRESENTATIONS AND WARRANTIES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22.</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ASSIGNABILITY AND SUB-CONTRACTING</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23.</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FORCE MAJEURE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24.</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ARBITRATION AND LAW</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25.</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MISCELLANEOUS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bl>
    <w:p>
      <w:pPr>
        <w:spacing w:after="0" w:line="3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p>
      <w:pPr>
        <w:ind w:left="5"/>
        <w:spacing w:after="0"/>
        <w:rPr>
          <w:sz w:val="20"/>
          <w:szCs w:val="20"/>
          <w:color w:val="auto"/>
        </w:rPr>
      </w:pPr>
      <w:r>
        <w:rPr>
          <w:rFonts w:ascii="Arial" w:cs="Arial" w:eastAsia="Arial" w:hAnsi="Arial"/>
          <w:sz w:val="18"/>
          <w:szCs w:val="18"/>
          <w:color w:val="auto"/>
        </w:rPr>
        <w:t>APPENDICES</w:t>
      </w:r>
    </w:p>
    <w:p>
      <w:pPr>
        <w:spacing w:after="0" w:line="129" w:lineRule="exact"/>
        <w:rPr>
          <w:sz w:val="20"/>
          <w:szCs w:val="20"/>
          <w:color w:val="auto"/>
        </w:rPr>
      </w:pPr>
    </w:p>
    <w:p>
      <w:pPr>
        <w:ind w:left="425" w:hanging="425"/>
        <w:spacing w:after="0"/>
        <w:tabs>
          <w:tab w:leader="none" w:pos="42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Specifications</w:t>
      </w:r>
    </w:p>
    <w:p>
      <w:pPr>
        <w:spacing w:after="0" w:line="23" w:lineRule="exact"/>
        <w:rPr>
          <w:sz w:val="20"/>
          <w:szCs w:val="20"/>
          <w:color w:val="auto"/>
        </w:rPr>
      </w:pPr>
    </w:p>
    <w:p>
      <w:pPr>
        <w:ind w:left="425" w:hanging="425"/>
        <w:spacing w:after="0"/>
        <w:tabs>
          <w:tab w:leader="none" w:pos="42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Pricing</w:t>
      </w:r>
    </w:p>
    <w:p>
      <w:pPr>
        <w:spacing w:after="0" w:line="8" w:lineRule="exact"/>
        <w:rPr>
          <w:sz w:val="20"/>
          <w:szCs w:val="20"/>
          <w:color w:val="auto"/>
        </w:rPr>
      </w:pPr>
    </w:p>
    <w:p>
      <w:pPr>
        <w:ind w:left="425" w:hanging="425"/>
        <w:spacing w:after="0"/>
        <w:tabs>
          <w:tab w:leader="none" w:pos="42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Quality Agreement</w:t>
      </w:r>
    </w:p>
    <w:p>
      <w:pPr>
        <w:spacing w:after="0" w:line="263"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Page 2 of 26</w:t>
      </w:r>
    </w:p>
    <w:p>
      <w:pPr>
        <w:sectPr>
          <w:pgSz w:w="11900" w:h="16838" w:orient="portrait"/>
          <w:cols w:equalWidth="0" w:num="1">
            <w:col w:w="10925"/>
          </w:cols>
          <w:pgMar w:left="455" w:top="269" w:right="519" w:bottom="1440" w:gutter="0" w:footer="0" w:header="0"/>
        </w:sectPr>
      </w:pPr>
    </w:p>
    <w:bookmarkStart w:id="221" w:name="page222"/>
    <w:bookmarkEnd w:id="221"/>
    <w:p>
      <w:pPr>
        <w:ind w:left="425" w:hanging="425"/>
        <w:spacing w:after="0"/>
        <w:tabs>
          <w:tab w:leader="none" w:pos="425"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INTRODUCTION</w:t>
      </w:r>
    </w:p>
    <w:p>
      <w:pPr>
        <w:spacing w:after="0" w:line="227" w:lineRule="exact"/>
        <w:rPr>
          <w:sz w:val="20"/>
          <w:szCs w:val="20"/>
          <w:color w:val="auto"/>
        </w:rPr>
      </w:pPr>
    </w:p>
    <w:p>
      <w:pPr>
        <w:ind w:left="5"/>
        <w:spacing w:after="0"/>
        <w:rPr>
          <w:sz w:val="20"/>
          <w:szCs w:val="20"/>
          <w:color w:val="auto"/>
        </w:rPr>
      </w:pPr>
      <w:r>
        <w:rPr>
          <w:rFonts w:ascii="Arial" w:cs="Arial" w:eastAsia="Arial" w:hAnsi="Arial"/>
          <w:sz w:val="18"/>
          <w:szCs w:val="18"/>
          <w:color w:val="auto"/>
        </w:rPr>
        <w:t>WHEREAS:</w:t>
      </w:r>
    </w:p>
    <w:p>
      <w:pPr>
        <w:spacing w:after="0" w:line="129" w:lineRule="exact"/>
        <w:rPr>
          <w:sz w:val="20"/>
          <w:szCs w:val="20"/>
          <w:color w:val="auto"/>
        </w:rPr>
      </w:pPr>
    </w:p>
    <w:p>
      <w:pPr>
        <w:ind w:left="965" w:right="20" w:hanging="534"/>
        <w:spacing w:after="0" w:line="275" w:lineRule="auto"/>
        <w:tabs>
          <w:tab w:leader="none" w:pos="96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The Parties entered into that certain </w:t>
      </w:r>
      <w:r>
        <w:rPr>
          <w:rFonts w:ascii="Arial" w:cs="Arial" w:eastAsia="Arial" w:hAnsi="Arial"/>
          <w:sz w:val="18"/>
          <w:szCs w:val="18"/>
          <w:i w:val="1"/>
          <w:iCs w:val="1"/>
          <w:color w:val="auto"/>
        </w:rPr>
        <w:t>Master Agreement for Development, Manufacture and Supply of Peptides to be used in Clinical Trials</w:t>
      </w:r>
      <w:r>
        <w:rPr>
          <w:rFonts w:ascii="Arial" w:cs="Arial" w:eastAsia="Arial" w:hAnsi="Arial"/>
          <w:sz w:val="18"/>
          <w:szCs w:val="18"/>
          <w:color w:val="auto"/>
        </w:rPr>
        <w:t xml:space="preserve"> dated October 26</w:t>
      </w:r>
      <w:r>
        <w:rPr>
          <w:rFonts w:ascii="Arial" w:cs="Arial" w:eastAsia="Arial" w:hAnsi="Arial"/>
          <w:sz w:val="15"/>
          <w:szCs w:val="15"/>
          <w:color w:val="auto"/>
        </w:rPr>
        <w:t>th</w:t>
      </w:r>
      <w:r>
        <w:rPr>
          <w:rFonts w:ascii="Arial" w:cs="Arial" w:eastAsia="Arial" w:hAnsi="Arial"/>
          <w:sz w:val="18"/>
          <w:szCs w:val="18"/>
          <w:color w:val="auto"/>
        </w:rPr>
        <w:t xml:space="preserve"> 2016.</w:t>
      </w:r>
    </w:p>
    <w:p>
      <w:pPr>
        <w:spacing w:after="0" w:line="77" w:lineRule="exact"/>
        <w:rPr>
          <w:rFonts w:ascii="Arial" w:cs="Arial" w:eastAsia="Arial" w:hAnsi="Arial"/>
          <w:sz w:val="18"/>
          <w:szCs w:val="18"/>
          <w:color w:val="auto"/>
        </w:rPr>
      </w:pPr>
    </w:p>
    <w:p>
      <w:pPr>
        <w:ind w:left="965" w:hanging="534"/>
        <w:spacing w:after="0" w:line="306" w:lineRule="auto"/>
        <w:tabs>
          <w:tab w:leader="none" w:pos="965"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Parties have agreed to enter into a commercial supply partnership with the objective to ensure delivery of agreed quantities of Product of the specified quality at agreed times, for world-wide commercial use by Ascendis, starting with the post-PPQ Batches.</w:t>
      </w:r>
    </w:p>
    <w:p>
      <w:pPr>
        <w:spacing w:after="0" w:line="53" w:lineRule="exact"/>
        <w:rPr>
          <w:rFonts w:ascii="Arial" w:cs="Arial" w:eastAsia="Arial" w:hAnsi="Arial"/>
          <w:sz w:val="17"/>
          <w:szCs w:val="17"/>
          <w:color w:val="auto"/>
        </w:rPr>
      </w:pPr>
    </w:p>
    <w:p>
      <w:pPr>
        <w:ind w:left="965" w:right="20" w:hanging="534"/>
        <w:spacing w:after="0" w:line="275" w:lineRule="auto"/>
        <w:tabs>
          <w:tab w:leader="none" w:pos="96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Parties have agreed to enter into this Manufacturing and Supply Agreement to set forth the general terms and conditions on which the supply of Product (as defined herein) will be carried out.</w:t>
      </w:r>
    </w:p>
    <w:p>
      <w:pPr>
        <w:spacing w:after="0" w:line="315" w:lineRule="exact"/>
        <w:rPr>
          <w:rFonts w:ascii="Arial" w:cs="Arial" w:eastAsia="Arial" w:hAnsi="Arial"/>
          <w:sz w:val="18"/>
          <w:szCs w:val="18"/>
          <w:color w:val="auto"/>
        </w:rPr>
      </w:pPr>
    </w:p>
    <w:p>
      <w:pPr>
        <w:ind w:left="425" w:hanging="425"/>
        <w:spacing w:after="0"/>
        <w:tabs>
          <w:tab w:leader="none" w:pos="425"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6"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Manufacturing and Supply Agreement.</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Appendix”</w:t>
      </w:r>
      <w:r>
        <w:rPr>
          <w:rFonts w:ascii="Arial" w:cs="Arial" w:eastAsia="Arial" w:hAnsi="Arial"/>
          <w:sz w:val="17"/>
          <w:szCs w:val="17"/>
          <w:color w:val="auto"/>
        </w:rPr>
        <w:t xml:space="preserve"> shall mean any Appendix as amended, dated, signed and renumbered (e.g. Appendix 1, 2, 3… and so forth) from time to time.</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“Bachem Materials” </w:t>
      </w:r>
      <w:r>
        <w:rPr>
          <w:rFonts w:ascii="Arial" w:cs="Arial" w:eastAsia="Arial" w:hAnsi="Arial"/>
          <w:sz w:val="18"/>
          <w:szCs w:val="18"/>
          <w:color w:val="auto"/>
        </w:rPr>
        <w:t>shall mean all materials necessary for the manufacture of the Product, excluding the Customer Materials.</w:t>
      </w:r>
    </w:p>
    <w:p>
      <w:pPr>
        <w:spacing w:after="0" w:line="223" w:lineRule="exact"/>
        <w:rPr>
          <w:sz w:val="20"/>
          <w:szCs w:val="20"/>
          <w:color w:val="auto"/>
        </w:rPr>
      </w:pPr>
    </w:p>
    <w:p>
      <w:pPr>
        <w:ind w:left="5" w:right="320"/>
        <w:spacing w:after="0" w:line="280" w:lineRule="auto"/>
        <w:rPr>
          <w:sz w:val="20"/>
          <w:szCs w:val="20"/>
          <w:color w:val="auto"/>
        </w:rPr>
      </w:pPr>
      <w:r>
        <w:rPr>
          <w:rFonts w:ascii="Arial" w:cs="Arial" w:eastAsia="Arial" w:hAnsi="Arial"/>
          <w:sz w:val="18"/>
          <w:szCs w:val="18"/>
          <w:b w:val="1"/>
          <w:bCs w:val="1"/>
          <w:color w:val="auto"/>
        </w:rPr>
        <w:t xml:space="preserve">“Background Technology” </w:t>
      </w:r>
      <w:r>
        <w:rPr>
          <w:rFonts w:ascii="Arial" w:cs="Arial" w:eastAsia="Arial" w:hAnsi="Arial"/>
          <w:sz w:val="18"/>
          <w:szCs w:val="18"/>
          <w:color w:val="auto"/>
        </w:rPr>
        <w:t>shall mean the full range of Bachem’s Intellectual Property Rights and factual knowledge in relation to manufacture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 xml:space="preserve">“Batch” </w:t>
      </w:r>
      <w:r>
        <w:rPr>
          <w:rFonts w:ascii="Arial" w:cs="Arial" w:eastAsia="Arial" w:hAnsi="Arial"/>
          <w:sz w:val="17"/>
          <w:szCs w:val="17"/>
          <w:color w:val="auto"/>
        </w:rPr>
        <w:t>shall mean a quantity of Product or intermediate product manufactured at the same time and controlled and released as one entity</w:t>
      </w:r>
    </w:p>
    <w:p>
      <w:pPr>
        <w:spacing w:after="0" w:line="235" w:lineRule="exact"/>
        <w:rPr>
          <w:sz w:val="20"/>
          <w:szCs w:val="20"/>
          <w:color w:val="auto"/>
        </w:rPr>
      </w:pPr>
    </w:p>
    <w:p>
      <w:pPr>
        <w:ind w:left="5" w:right="24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Day(s)”</w:t>
      </w:r>
      <w:r>
        <w:rPr>
          <w:rFonts w:ascii="Arial" w:cs="Arial" w:eastAsia="Arial" w:hAnsi="Arial"/>
          <w:sz w:val="18"/>
          <w:szCs w:val="18"/>
          <w:color w:val="auto"/>
        </w:rPr>
        <w:t xml:space="preserve"> shall mean any working days (with the exclusion of Saturday and Sunday) on which banks are normally open in Switzerland and Denmark.</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shall mean each three (3) successive calendar months starting on 1 January, 1 April, 1 July or 1 October, respectively.</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“Calendar Year” </w:t>
      </w:r>
      <w:r>
        <w:rPr>
          <w:rFonts w:ascii="Arial" w:cs="Arial" w:eastAsia="Arial" w:hAnsi="Arial"/>
          <w:sz w:val="18"/>
          <w:szCs w:val="18"/>
          <w:color w:val="auto"/>
        </w:rPr>
        <w:t>shall mean 12 successive calendar months starting on 1 January.</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“Campaign” </w:t>
      </w:r>
      <w:r>
        <w:rPr>
          <w:rFonts w:ascii="Arial" w:cs="Arial" w:eastAsia="Arial" w:hAnsi="Arial"/>
          <w:sz w:val="18"/>
          <w:szCs w:val="18"/>
          <w:color w:val="auto"/>
        </w:rPr>
        <w:t>shall mean one intermediate Batch and three Product Batches</w:t>
      </w:r>
    </w:p>
    <w:p>
      <w:pPr>
        <w:spacing w:after="0" w:line="223" w:lineRule="exact"/>
        <w:rPr>
          <w:sz w:val="20"/>
          <w:szCs w:val="20"/>
          <w:color w:val="auto"/>
        </w:rPr>
      </w:pPr>
    </w:p>
    <w:p>
      <w:pPr>
        <w:ind w:left="5" w:right="80"/>
        <w:spacing w:after="0" w:line="259"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shall mean any proprietary information, samples, technical data, trade secrets or know-how,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product plans, products, services, lists of collaborators and corporate partners, markets, developments, inventions, processes, formulas, technology, marketing, finances or other business information disclosed by either Party (the “Discloser”) (either directly or indirectly in writing, orally or otherwise) to the other Party (the “Recipient”).</w:t>
      </w:r>
    </w:p>
    <w:p>
      <w:pPr>
        <w:spacing w:after="0" w:line="119" w:lineRule="exact"/>
        <w:rPr>
          <w:sz w:val="20"/>
          <w:szCs w:val="20"/>
          <w:color w:val="auto"/>
        </w:rPr>
      </w:pPr>
    </w:p>
    <w:p>
      <w:pPr>
        <w:jc w:val="center"/>
        <w:ind w:right="-84"/>
        <w:spacing w:after="0"/>
        <w:rPr>
          <w:sz w:val="20"/>
          <w:szCs w:val="20"/>
          <w:color w:val="auto"/>
        </w:rPr>
      </w:pPr>
      <w:r>
        <w:rPr>
          <w:rFonts w:ascii="Arial" w:cs="Arial" w:eastAsia="Arial" w:hAnsi="Arial"/>
          <w:sz w:val="18"/>
          <w:szCs w:val="18"/>
          <w:color w:val="auto"/>
        </w:rPr>
        <w:t>Page 3 of 26</w:t>
      </w:r>
    </w:p>
    <w:p>
      <w:pPr>
        <w:sectPr>
          <w:pgSz w:w="11900" w:h="16838" w:orient="portrait"/>
          <w:cols w:equalWidth="0" w:num="1">
            <w:col w:w="10905"/>
          </w:cols>
          <w:pgMar w:left="455" w:top="269" w:right="5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“Customer Materials” </w:t>
      </w:r>
      <w:r>
        <w:rPr>
          <w:rFonts w:ascii="Arial" w:cs="Arial" w:eastAsia="Arial" w:hAnsi="Arial"/>
          <w:sz w:val="18"/>
          <w:szCs w:val="18"/>
          <w:color w:val="auto"/>
        </w:rPr>
        <w:t>shall mean materials supplied by Ascendis, in this case [***].</w:t>
      </w:r>
    </w:p>
    <w:p>
      <w:pPr>
        <w:spacing w:after="0" w:line="223" w:lineRule="exact"/>
        <w:rPr>
          <w:sz w:val="20"/>
          <w:szCs w:val="20"/>
          <w:color w:val="auto"/>
        </w:rPr>
      </w:pPr>
    </w:p>
    <w:p>
      <w:pPr>
        <w:ind w:right="4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Date</w:t>
      </w:r>
      <w:r>
        <w:rPr>
          <w:rFonts w:ascii="Arial" w:cs="Arial" w:eastAsia="Arial" w:hAnsi="Arial"/>
          <w:sz w:val="18"/>
          <w:szCs w:val="18"/>
          <w:color w:val="auto"/>
        </w:rPr>
        <w:t>” shall mean the date when Bachem has released the Product and submitted the agreed release documentation (to be detailed in the Quality Agreement) to Ascendis.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the date by which this Agreement has been signed by both Parties.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“Final Release” </w:t>
      </w:r>
      <w:r>
        <w:rPr>
          <w:rFonts w:ascii="Arial" w:cs="Arial" w:eastAsia="Arial" w:hAnsi="Arial"/>
          <w:sz w:val="18"/>
          <w:szCs w:val="18"/>
          <w:color w:val="auto"/>
        </w:rPr>
        <w:t>shall mean the final release, performed by Ascendis or its designated representative, of Product for further use.</w:t>
      </w:r>
    </w:p>
    <w:p>
      <w:pPr>
        <w:spacing w:after="0" w:line="223"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b w:val="1"/>
          <w:bCs w:val="1"/>
          <w:color w:val="auto"/>
        </w:rPr>
        <w:t xml:space="preserve">“GMP” </w:t>
      </w:r>
      <w:r>
        <w:rPr>
          <w:rFonts w:ascii="Arial" w:cs="Arial" w:eastAsia="Arial" w:hAnsi="Arial"/>
          <w:sz w:val="18"/>
          <w:szCs w:val="18"/>
          <w:color w:val="auto"/>
        </w:rPr>
        <w:t>shall mean the regulation for Good Manufacturing Practice as outlined in the ICH Q7 guideline for the production and release of active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substances and in EC Directive 2003/94/EC as amended from time to time and transposed into the respective national laws of the member states of the European Union or the equivalent US (FDA) laws and regulations.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Authorities or HA</w:t>
      </w:r>
      <w:r>
        <w:rPr>
          <w:rFonts w:ascii="Arial" w:cs="Arial" w:eastAsia="Arial" w:hAnsi="Arial"/>
          <w:sz w:val="18"/>
          <w:szCs w:val="18"/>
          <w:color w:val="auto"/>
        </w:rPr>
        <w:t>” shall mean any national or international health authority including but not limited to those of [***].</w:t>
      </w:r>
    </w:p>
    <w:p>
      <w:pPr>
        <w:spacing w:after="0" w:line="223" w:lineRule="exact"/>
        <w:rPr>
          <w:sz w:val="20"/>
          <w:szCs w:val="20"/>
          <w:color w:val="auto"/>
        </w:rPr>
      </w:pPr>
    </w:p>
    <w:p>
      <w:pPr>
        <w:ind w:right="400"/>
        <w:spacing w:after="0" w:line="280" w:lineRule="auto"/>
        <w:rPr>
          <w:sz w:val="20"/>
          <w:szCs w:val="20"/>
          <w:color w:val="auto"/>
        </w:rPr>
      </w:pPr>
      <w:r>
        <w:rPr>
          <w:rFonts w:ascii="Arial" w:cs="Arial" w:eastAsia="Arial" w:hAnsi="Arial"/>
          <w:sz w:val="18"/>
          <w:szCs w:val="18"/>
          <w:b w:val="1"/>
          <w:bCs w:val="1"/>
          <w:color w:val="auto"/>
        </w:rPr>
        <w:t xml:space="preserve">“Intellectual Property Rights or IPR” </w:t>
      </w:r>
      <w:r>
        <w:rPr>
          <w:rFonts w:ascii="Arial" w:cs="Arial" w:eastAsia="Arial" w:hAnsi="Arial"/>
          <w:sz w:val="18"/>
          <w:szCs w:val="18"/>
          <w:color w:val="auto"/>
        </w:rPr>
        <w:t>shall mean without limitation, proprietary information, Know-how, patents, patent applications, formulae,</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trade-mark applications, trade-names, inventions, copyright, industrial designs etc.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“Joint Steering Committee” or “JSC” </w:t>
      </w:r>
      <w:r>
        <w:rPr>
          <w:rFonts w:ascii="Arial" w:cs="Arial" w:eastAsia="Arial" w:hAnsi="Arial"/>
          <w:sz w:val="18"/>
          <w:szCs w:val="18"/>
          <w:color w:val="auto"/>
        </w:rPr>
        <w:t>shall have the meaning assigned to it in Article 5.1.</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color w:val="auto"/>
        </w:rPr>
        <w:t xml:space="preserve">“Know-how” </w:t>
      </w:r>
      <w:r>
        <w:rPr>
          <w:rFonts w:ascii="Arial" w:cs="Arial" w:eastAsia="Arial" w:hAnsi="Arial"/>
          <w:sz w:val="17"/>
          <w:szCs w:val="17"/>
          <w:color w:val="auto"/>
        </w:rPr>
        <w:t>shall mean any and all present and future data concerning Ascendis, Product, and any derivatives hereof e.g., but not limited to</w:t>
      </w:r>
      <w:r>
        <w:rPr>
          <w:rFonts w:ascii="Arial" w:cs="Arial" w:eastAsia="Arial" w:hAnsi="Arial"/>
          <w:sz w:val="17"/>
          <w:szCs w:val="17"/>
          <w:b w:val="1"/>
          <w:bCs w:val="1"/>
          <w:color w:val="auto"/>
        </w:rPr>
        <w:t xml:space="preserve"> </w:t>
      </w:r>
      <w:r>
        <w:rPr>
          <w:rFonts w:ascii="Arial" w:cs="Arial" w:eastAsia="Arial" w:hAnsi="Arial"/>
          <w:sz w:val="17"/>
          <w:szCs w:val="17"/>
          <w:color w:val="auto"/>
        </w:rPr>
        <w:t>production know-how, quality specifications, analytical data, patents, use-, packaging- and improvement data, which data are possessed, performed and/or developed by either Ascendis or Bachem and/or exchanged under any secrecy agreement between the parties or any other agreement entered into between the parties during the negotiations prior to execution of this Agreement or during the currency of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“Materials” </w:t>
      </w:r>
      <w:r>
        <w:rPr>
          <w:rFonts w:ascii="Arial" w:cs="Arial" w:eastAsia="Arial" w:hAnsi="Arial"/>
          <w:sz w:val="18"/>
          <w:szCs w:val="18"/>
          <w:color w:val="auto"/>
        </w:rPr>
        <w:t>shall mean Bachem Materials and Customer Materials jointly.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 as further set out in Appendix 1.</w:t>
      </w:r>
    </w:p>
    <w:p>
      <w:pPr>
        <w:spacing w:after="0" w:line="223" w:lineRule="exact"/>
        <w:rPr>
          <w:sz w:val="20"/>
          <w:szCs w:val="20"/>
          <w:color w:val="auto"/>
        </w:rPr>
      </w:pPr>
    </w:p>
    <w:p>
      <w:pPr>
        <w:ind w:right="40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Order</w:t>
      </w:r>
      <w:r>
        <w:rPr>
          <w:rFonts w:ascii="Arial" w:cs="Arial" w:eastAsia="Arial" w:hAnsi="Arial"/>
          <w:sz w:val="18"/>
          <w:szCs w:val="18"/>
          <w:color w:val="auto"/>
        </w:rPr>
        <w:t>” shall mean an order submitted by Ascendis under Article 9 specifying Ascendis’ purchase order number, required quantities of Product and requested delivery day.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shall mean the price agreed to be paid by Ascendis to Bachem as set forth in Appendix 2</w:t>
      </w:r>
    </w:p>
    <w:p>
      <w:pPr>
        <w:spacing w:after="0" w:line="16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Page 4 of 26</w:t>
      </w:r>
    </w:p>
    <w:p>
      <w:pPr>
        <w:sectPr>
          <w:pgSz w:w="11900" w:h="16838" w:orient="portrait"/>
          <w:cols w:equalWidth="0" w:num="1">
            <w:col w:w="10920"/>
          </w:cols>
          <w:pgMar w:left="460" w:top="269" w:right="519" w:bottom="1440" w:gutter="0" w:footer="0" w:header="0"/>
        </w:sectPr>
      </w:pPr>
    </w:p>
    <w:bookmarkStart w:id="223" w:name="page224"/>
    <w:bookmarkEnd w:id="223"/>
    <w:p>
      <w:pPr>
        <w:ind w:lef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“PPQ” </w:t>
      </w:r>
      <w:r>
        <w:rPr>
          <w:rFonts w:ascii="Arial" w:cs="Arial" w:eastAsia="Arial" w:hAnsi="Arial"/>
          <w:sz w:val="18"/>
          <w:szCs w:val="18"/>
          <w:color w:val="auto"/>
        </w:rPr>
        <w:t>shall mean Process Performance Qualification.</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Quality Agreement</w:t>
      </w:r>
      <w:r>
        <w:rPr>
          <w:rFonts w:ascii="Arial" w:cs="Arial" w:eastAsia="Arial" w:hAnsi="Arial"/>
          <w:sz w:val="18"/>
          <w:szCs w:val="18"/>
          <w:color w:val="auto"/>
        </w:rPr>
        <w:t>” shall mean the agreement set out in Appendix 3 hereto.</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shall mean the release of Product by Bachem to Ascendis or its designated representative for Final Release.</w:t>
      </w:r>
    </w:p>
    <w:p>
      <w:pPr>
        <w:spacing w:after="0" w:line="223" w:lineRule="exact"/>
        <w:rPr>
          <w:sz w:val="20"/>
          <w:szCs w:val="20"/>
          <w:color w:val="auto"/>
        </w:rPr>
      </w:pPr>
    </w:p>
    <w:p>
      <w:pPr>
        <w:ind w:left="5" w:right="360"/>
        <w:spacing w:after="0" w:line="280" w:lineRule="auto"/>
        <w:rPr>
          <w:sz w:val="20"/>
          <w:szCs w:val="20"/>
          <w:color w:val="auto"/>
        </w:rPr>
      </w:pPr>
      <w:r>
        <w:rPr>
          <w:rFonts w:ascii="Arial" w:cs="Arial" w:eastAsia="Arial" w:hAnsi="Arial"/>
          <w:sz w:val="18"/>
          <w:szCs w:val="18"/>
          <w:b w:val="1"/>
          <w:bCs w:val="1"/>
          <w:color w:val="auto"/>
        </w:rPr>
        <w:t xml:space="preserve">“Release Documentation” </w:t>
      </w:r>
      <w:r>
        <w:rPr>
          <w:rFonts w:ascii="Arial" w:cs="Arial" w:eastAsia="Arial" w:hAnsi="Arial"/>
          <w:sz w:val="18"/>
          <w:szCs w:val="18"/>
          <w:color w:val="auto"/>
        </w:rPr>
        <w:t>shall mean the documentation which Bachem shall provide to Ascendis subsequent to Bachem’s internal Release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Such documentation will be detailed in the Quality Agreement.</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“Services” </w:t>
      </w:r>
      <w:r>
        <w:rPr>
          <w:rFonts w:ascii="Arial" w:cs="Arial" w:eastAsia="Arial" w:hAnsi="Arial"/>
          <w:sz w:val="18"/>
          <w:szCs w:val="18"/>
          <w:color w:val="auto"/>
        </w:rPr>
        <w:t>shall mean the manufacture and delivery of Product as set out in this Agreement.</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shall mean the specifications of Product as set forth in Appendix 1.</w:t>
      </w:r>
    </w:p>
    <w:p>
      <w:pPr>
        <w:spacing w:after="0" w:line="129" w:lineRule="exact"/>
        <w:rPr>
          <w:sz w:val="20"/>
          <w:szCs w:val="20"/>
          <w:color w:val="auto"/>
        </w:rPr>
      </w:pPr>
    </w:p>
    <w:p>
      <w:pPr>
        <w:ind w:left="425" w:hanging="425"/>
        <w:spacing w:after="0"/>
        <w:tabs>
          <w:tab w:leader="none" w:pos="425"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SUBJECT MATTER OF THE AGREEMENT</w:t>
      </w:r>
    </w:p>
    <w:p>
      <w:pPr>
        <w:spacing w:after="0" w:line="133" w:lineRule="exact"/>
        <w:rPr>
          <w:sz w:val="20"/>
          <w:szCs w:val="20"/>
          <w:color w:val="auto"/>
        </w:rPr>
      </w:pPr>
    </w:p>
    <w:p>
      <w:pPr>
        <w:ind w:left="1405" w:hanging="430"/>
        <w:spacing w:after="0" w:line="258" w:lineRule="auto"/>
        <w:tabs>
          <w:tab w:leader="none" w:pos="1384" w:val="left"/>
        </w:tabs>
        <w:rPr>
          <w:sz w:val="20"/>
          <w:szCs w:val="20"/>
          <w:color w:val="auto"/>
        </w:rPr>
      </w:pPr>
      <w:r>
        <w:rPr>
          <w:rFonts w:ascii="Arial" w:cs="Arial" w:eastAsia="Arial" w:hAnsi="Arial"/>
          <w:sz w:val="18"/>
          <w:szCs w:val="18"/>
          <w:color w:val="auto"/>
        </w:rPr>
        <w:t>3.1.</w:t>
        <w:tab/>
        <w:t>Bachem hereby undertakes, upon Ascendis’ request, to manufacture, analyse, package including labelling, quality control and deliver the Product to Ascendis or a designated supplier to Ascendis, in accordance with the terms and conditions of this Agreement; and Ascendis hereby undertakes from time to time place Purchase Orders for Product according to forecasts as set forth in Article 8. Manufacturing shall take place in compliance with the Quality Agreement.</w:t>
      </w:r>
    </w:p>
    <w:p>
      <w:pPr>
        <w:spacing w:after="0" w:line="88" w:lineRule="exact"/>
        <w:rPr>
          <w:sz w:val="20"/>
          <w:szCs w:val="20"/>
          <w:color w:val="auto"/>
        </w:rPr>
      </w:pPr>
    </w:p>
    <w:p>
      <w:pPr>
        <w:ind w:left="425" w:hanging="425"/>
        <w:spacing w:after="0"/>
        <w:tabs>
          <w:tab w:leader="none" w:pos="425"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THE PARTIES</w:t>
      </w:r>
    </w:p>
    <w:p>
      <w:pPr>
        <w:spacing w:after="0" w:line="133" w:lineRule="exact"/>
        <w:rPr>
          <w:sz w:val="20"/>
          <w:szCs w:val="20"/>
          <w:color w:val="auto"/>
        </w:rPr>
      </w:pPr>
    </w:p>
    <w:p>
      <w:pPr>
        <w:ind w:left="1405" w:right="120" w:hanging="430"/>
        <w:spacing w:after="0" w:line="275" w:lineRule="auto"/>
        <w:tabs>
          <w:tab w:leader="none" w:pos="1384" w:val="left"/>
        </w:tabs>
        <w:rPr>
          <w:sz w:val="20"/>
          <w:szCs w:val="20"/>
          <w:color w:val="auto"/>
        </w:rPr>
      </w:pPr>
      <w:r>
        <w:rPr>
          <w:rFonts w:ascii="Arial" w:cs="Arial" w:eastAsia="Arial" w:hAnsi="Arial"/>
          <w:sz w:val="18"/>
          <w:szCs w:val="18"/>
          <w:color w:val="auto"/>
        </w:rPr>
        <w:t>4.1.</w:t>
        <w:tab/>
        <w:t>Bachem hereby undertakes to supply Product to Ascendis on the terms and conditions agreed upon hereunder, and Ascendis hereby undertakes to purchase such Product in the quantities ordered by Ascendis from time to time.</w:t>
      </w:r>
    </w:p>
    <w:p>
      <w:pPr>
        <w:spacing w:after="0" w:line="77" w:lineRule="exact"/>
        <w:rPr>
          <w:sz w:val="20"/>
          <w:szCs w:val="20"/>
          <w:color w:val="auto"/>
        </w:rPr>
      </w:pPr>
    </w:p>
    <w:p>
      <w:pPr>
        <w:ind w:left="1405" w:right="460" w:hanging="430"/>
        <w:spacing w:after="0" w:line="275" w:lineRule="auto"/>
        <w:tabs>
          <w:tab w:leader="none" w:pos="1384" w:val="left"/>
        </w:tabs>
        <w:rPr>
          <w:sz w:val="20"/>
          <w:szCs w:val="20"/>
          <w:color w:val="auto"/>
        </w:rPr>
      </w:pPr>
      <w:r>
        <w:rPr>
          <w:rFonts w:ascii="Arial" w:cs="Arial" w:eastAsia="Arial" w:hAnsi="Arial"/>
          <w:sz w:val="18"/>
          <w:szCs w:val="18"/>
          <w:color w:val="auto"/>
        </w:rPr>
        <w:t>4.2.</w:t>
        <w:tab/>
        <w:t>Ascendis is neither bound to purchase certain quantities of Product from Bachem under this Agreement other than as set out in Sections 8 and 9, nor are the Parties granting any kind of exclusivity under this Agreement.</w:t>
      </w:r>
    </w:p>
    <w:p>
      <w:pPr>
        <w:spacing w:after="0" w:line="77" w:lineRule="exact"/>
        <w:rPr>
          <w:sz w:val="20"/>
          <w:szCs w:val="20"/>
          <w:color w:val="auto"/>
        </w:rPr>
      </w:pPr>
    </w:p>
    <w:p>
      <w:pPr>
        <w:ind w:left="1405" w:right="640" w:hanging="430"/>
        <w:spacing w:after="0" w:line="340" w:lineRule="auto"/>
        <w:tabs>
          <w:tab w:leader="none" w:pos="138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Bachem and Ascendis shall discuss and liaise regarding the present status of the manufacturing and analysis of Product on a continuous basis. Upon Ascendis’ request Bachem shall inform Ascendis of the present status and the results obtained.</w:t>
      </w:r>
    </w:p>
    <w:p>
      <w:pPr>
        <w:spacing w:after="0" w:line="57"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Page 5 of 26</w:t>
      </w:r>
    </w:p>
    <w:p>
      <w:pPr>
        <w:sectPr>
          <w:pgSz w:w="11900" w:h="16838" w:orient="portrait"/>
          <w:cols w:equalWidth="0" w:num="1">
            <w:col w:w="10945"/>
          </w:cols>
          <w:pgMar w:left="455" w:top="269" w:right="499" w:bottom="1440" w:gutter="0" w:footer="0" w:header="0"/>
        </w:sectPr>
      </w:pPr>
    </w:p>
    <w:bookmarkStart w:id="224" w:name="page225"/>
    <w:bookmarkEnd w:id="224"/>
    <w:p>
      <w:pPr>
        <w:ind w:left="420" w:right="120" w:hanging="430"/>
        <w:spacing w:after="0" w:line="278"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4.4.</w:t>
      </w:r>
      <w:r>
        <w:rPr>
          <w:sz w:val="20"/>
          <w:szCs w:val="20"/>
          <w:color w:val="auto"/>
        </w:rPr>
        <w:tab/>
      </w:r>
      <w:r>
        <w:rPr>
          <w:rFonts w:ascii="Arial" w:cs="Arial" w:eastAsia="Arial" w:hAnsi="Arial"/>
          <w:sz w:val="17"/>
          <w:szCs w:val="17"/>
          <w:color w:val="auto"/>
        </w:rPr>
        <w:t>In the performance of the Services, Bachem shall, for all processes subject to GMP, comply with all relevant FDA, EMA and Swissmedic rules and regulations as outlined in the ICH Q7 guideline for the production and release of active substances and in EC Directive 2003/94/EC as amended from time to time and transposed into the respective national laws of Switzerland, the member states of the European Union or the equivalent US (FDA) laws and regulations.</w:t>
      </w:r>
    </w:p>
    <w:p>
      <w:pPr>
        <w:spacing w:after="0" w:line="76" w:lineRule="exact"/>
        <w:rPr>
          <w:sz w:val="20"/>
          <w:szCs w:val="20"/>
          <w:color w:val="auto"/>
        </w:rPr>
      </w:pPr>
    </w:p>
    <w:p>
      <w:pPr>
        <w:ind w:left="420" w:hanging="430"/>
        <w:spacing w:after="0" w:line="262" w:lineRule="auto"/>
        <w:tabs>
          <w:tab w:leader="none" w:pos="400" w:val="left"/>
        </w:tabs>
        <w:rPr>
          <w:sz w:val="20"/>
          <w:szCs w:val="20"/>
          <w:color w:val="auto"/>
        </w:rPr>
      </w:pPr>
      <w:r>
        <w:rPr>
          <w:rFonts w:ascii="Arial" w:cs="Arial" w:eastAsia="Arial" w:hAnsi="Arial"/>
          <w:sz w:val="18"/>
          <w:szCs w:val="18"/>
          <w:color w:val="auto"/>
        </w:rPr>
        <w:t>4.5.</w:t>
        <w:tab/>
        <w:t>During and following the term of this Agreement, Bachem shall make available [***] is required for (i) issue of patents and/or patent applications; (ii) regulatory filings to any regulatory body to which Ascendis may apply for registration of Product in its final presentation.</w:t>
      </w:r>
    </w:p>
    <w:p>
      <w:pPr>
        <w:spacing w:after="0" w:line="89" w:lineRule="exact"/>
        <w:rPr>
          <w:sz w:val="20"/>
          <w:szCs w:val="20"/>
          <w:color w:val="auto"/>
        </w:rPr>
      </w:pPr>
    </w:p>
    <w:p>
      <w:pPr>
        <w:ind w:left="420" w:right="80" w:hanging="430"/>
        <w:spacing w:after="0" w:line="300" w:lineRule="auto"/>
        <w:tabs>
          <w:tab w:leader="none" w:pos="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Bachem shall, up to [***], during the term of this Agreement grant up to [***] of Ascendis [***] access (during normal business hours and upon reasonable prior notice of at least [***]) to visit Bachem’s premises for routine audits of facilities, equipment, procedures, records and personnel. Ascendis shall also be allowed to perform for-cause audits upon reasonable advance notice, such reasonable causes to be defined in the Quality Agreement. For reasons of clarity, Bachem reserves the right to [***].</w:t>
      </w:r>
    </w:p>
    <w:p>
      <w:pPr>
        <w:spacing w:after="0" w:line="62" w:lineRule="exact"/>
        <w:rPr>
          <w:sz w:val="20"/>
          <w:szCs w:val="20"/>
          <w:color w:val="auto"/>
        </w:rPr>
      </w:pPr>
    </w:p>
    <w:p>
      <w:pPr>
        <w:ind w:left="420" w:right="280" w:hanging="430"/>
        <w:spacing w:after="0" w:line="262" w:lineRule="auto"/>
        <w:tabs>
          <w:tab w:leader="none" w:pos="400" w:val="left"/>
        </w:tabs>
        <w:rPr>
          <w:sz w:val="20"/>
          <w:szCs w:val="20"/>
          <w:color w:val="auto"/>
        </w:rPr>
      </w:pPr>
      <w:r>
        <w:rPr>
          <w:rFonts w:ascii="Arial" w:cs="Arial" w:eastAsia="Arial" w:hAnsi="Arial"/>
          <w:sz w:val="18"/>
          <w:szCs w:val="18"/>
          <w:color w:val="auto"/>
        </w:rPr>
        <w:t>4.7.</w:t>
        <w:tab/>
        <w:t>Bachem shall during the term of this Agreement allow inspectors from Health Authorities [***], to perform required inspections. Bachem shall submit any observations directly related to the manufacturing or analytical control of Ascendis Products from inspections by Health Authorities to Ascendis in accordance with the Quality Agreement.</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4.8.</w:t>
        <w:tab/>
        <w:t>[***]</w:t>
      </w:r>
    </w:p>
    <w:p>
      <w:pPr>
        <w:spacing w:after="0" w:line="1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4.9.</w:t>
        <w:tab/>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4.10. As further set out in the Quality Agreement, Ascendis shall have the option [***].</w:t>
      </w:r>
    </w:p>
    <w:p>
      <w:pPr>
        <w:spacing w:after="0" w:line="129" w:lineRule="exact"/>
        <w:rPr>
          <w:sz w:val="20"/>
          <w:szCs w:val="20"/>
          <w:color w:val="auto"/>
        </w:rPr>
      </w:pPr>
    </w:p>
    <w:p>
      <w:pPr>
        <w:ind w:left="420" w:right="80" w:hanging="430"/>
        <w:spacing w:after="0" w:line="256" w:lineRule="auto"/>
        <w:rPr>
          <w:sz w:val="20"/>
          <w:szCs w:val="20"/>
          <w:color w:val="auto"/>
        </w:rPr>
      </w:pPr>
      <w:r>
        <w:rPr>
          <w:rFonts w:ascii="Arial" w:cs="Arial" w:eastAsia="Arial" w:hAnsi="Arial"/>
          <w:sz w:val="18"/>
          <w:szCs w:val="18"/>
          <w:color w:val="auto"/>
        </w:rPr>
        <w:t>4.11. Significant post-approval changes to [***] must be agreed upon by the Joint Steering Committee prior to implementation by Bachem, unless such changes are mandated by regulatory changes. Bachem shall [***] implement post-approval changes (e.g. Bachem site internal, SOPs) caused by new or changed regulatory requirements or caused by changes decided by Bachem provided however that such changes are not only required for Ascendis’ Product. [***] shall [***] costs of implementing other post-approval changes.</w:t>
      </w:r>
    </w:p>
    <w:p>
      <w:pPr>
        <w:spacing w:after="0" w:line="93" w:lineRule="exact"/>
        <w:rPr>
          <w:sz w:val="20"/>
          <w:szCs w:val="20"/>
          <w:color w:val="auto"/>
        </w:rPr>
      </w:pPr>
    </w:p>
    <w:p>
      <w:pPr>
        <w:ind w:left="420" w:right="160" w:hanging="430"/>
        <w:spacing w:after="0" w:line="262" w:lineRule="auto"/>
        <w:rPr>
          <w:sz w:val="20"/>
          <w:szCs w:val="20"/>
          <w:color w:val="auto"/>
        </w:rPr>
      </w:pPr>
      <w:r>
        <w:rPr>
          <w:rFonts w:ascii="Arial" w:cs="Arial" w:eastAsia="Arial" w:hAnsi="Arial"/>
          <w:sz w:val="18"/>
          <w:szCs w:val="18"/>
          <w:color w:val="auto"/>
        </w:rPr>
        <w:t>4.12. Ascendis agrees to keep Bachem informed of notification of any action by, or notification or other information which it receives (directly or indirectly) from any governmental or regulatory authority, which raises any concern regarding safety in the handling of Product.</w:t>
      </w:r>
    </w:p>
    <w:p>
      <w:pPr>
        <w:spacing w:after="0" w:line="116"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6 of 26</w:t>
      </w:r>
    </w:p>
    <w:p>
      <w:pPr>
        <w:sectPr>
          <w:pgSz w:w="11900" w:h="16838" w:orient="portrait"/>
          <w:cols w:equalWidth="0" w:num="1">
            <w:col w:w="9980"/>
          </w:cols>
          <w:pgMar w:left="1440" w:top="273" w:right="479" w:bottom="1440" w:gutter="0" w:footer="0" w:header="0"/>
        </w:sectPr>
      </w:pPr>
    </w:p>
    <w:bookmarkStart w:id="225" w:name="page226"/>
    <w:bookmarkEnd w:id="225"/>
    <w:p>
      <w:pPr>
        <w:ind w:left="98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4.13. Bachem shall be responsible for performing Continuous Process Verification.</w:t>
      </w:r>
    </w:p>
    <w:p>
      <w:pPr>
        <w:spacing w:after="0" w:line="129" w:lineRule="exact"/>
        <w:rPr>
          <w:sz w:val="20"/>
          <w:szCs w:val="20"/>
          <w:color w:val="auto"/>
        </w:rPr>
      </w:pPr>
    </w:p>
    <w:p>
      <w:pPr>
        <w:ind w:left="1405" w:right="560" w:hanging="430"/>
        <w:spacing w:after="0" w:line="275" w:lineRule="auto"/>
        <w:rPr>
          <w:sz w:val="20"/>
          <w:szCs w:val="20"/>
          <w:color w:val="auto"/>
        </w:rPr>
      </w:pPr>
      <w:r>
        <w:rPr>
          <w:rFonts w:ascii="Arial" w:cs="Arial" w:eastAsia="Arial" w:hAnsi="Arial"/>
          <w:sz w:val="18"/>
          <w:szCs w:val="18"/>
          <w:color w:val="auto"/>
        </w:rPr>
        <w:t>4.14. Bachem shall be responsible for the preparation and qualification of relevant reference standards as per Ascendis’ directions, according to mutually agreed purchase or work orders.</w:t>
      </w:r>
    </w:p>
    <w:p>
      <w:pPr>
        <w:spacing w:after="0" w:line="77" w:lineRule="exact"/>
        <w:rPr>
          <w:sz w:val="20"/>
          <w:szCs w:val="20"/>
          <w:color w:val="auto"/>
        </w:rPr>
      </w:pPr>
    </w:p>
    <w:p>
      <w:pPr>
        <w:ind w:left="1405" w:right="60" w:hanging="430"/>
        <w:spacing w:after="0" w:line="275" w:lineRule="auto"/>
        <w:rPr>
          <w:sz w:val="20"/>
          <w:szCs w:val="20"/>
          <w:color w:val="auto"/>
        </w:rPr>
      </w:pPr>
      <w:r>
        <w:rPr>
          <w:rFonts w:ascii="Arial" w:cs="Arial" w:eastAsia="Arial" w:hAnsi="Arial"/>
          <w:sz w:val="18"/>
          <w:szCs w:val="18"/>
          <w:color w:val="auto"/>
        </w:rPr>
        <w:t>4.15. Ongoing stability studies shall be performed by Bachem according to an agreed stability program as agreed between the Parties and shall be quoted and invoiced as separate work orders</w:t>
      </w:r>
    </w:p>
    <w:p>
      <w:pPr>
        <w:spacing w:after="0" w:line="73" w:lineRule="exact"/>
        <w:rPr>
          <w:sz w:val="20"/>
          <w:szCs w:val="20"/>
          <w:color w:val="auto"/>
        </w:rPr>
      </w:pPr>
    </w:p>
    <w:p>
      <w:pPr>
        <w:ind w:left="425" w:hanging="425"/>
        <w:spacing w:after="0"/>
        <w:tabs>
          <w:tab w:leader="none" w:pos="425"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JOINT STEERING COMMITTEE</w:t>
      </w:r>
    </w:p>
    <w:p>
      <w:pPr>
        <w:spacing w:after="0" w:line="133"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Parties shall form a Joint Steering Committee comprising of [***] members from each Party, including at least [***].</w:t>
      </w:r>
    </w:p>
    <w:p>
      <w:pPr>
        <w:spacing w:after="0" w:line="129" w:lineRule="exact"/>
        <w:rPr>
          <w:sz w:val="20"/>
          <w:szCs w:val="20"/>
          <w:color w:val="auto"/>
        </w:rPr>
      </w:pPr>
    </w:p>
    <w:p>
      <w:pPr>
        <w:ind w:left="1405" w:hanging="430"/>
        <w:spacing w:after="0" w:line="310" w:lineRule="auto"/>
        <w:tabs>
          <w:tab w:leader="none" w:pos="138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JSC shall meet at least [***] and shall discuss and evaluate the mutual collaboration and shall in good faith attempt to resolve any disputes in connection with the Agreement. Each Party may call for an additional JSC as such Party deems necessary. As agreed between the Parties in each case, the meetings of the JSC may be carried out by teleconference, or face-to-face, as the case may be.</w:t>
      </w:r>
    </w:p>
    <w:p>
      <w:pPr>
        <w:spacing w:after="0" w:line="54"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5.3.</w:t>
        <w:tab/>
        <w:t>[***].</w:t>
      </w:r>
    </w:p>
    <w:p>
      <w:pPr>
        <w:spacing w:after="0" w:line="129" w:lineRule="exact"/>
        <w:rPr>
          <w:sz w:val="20"/>
          <w:szCs w:val="20"/>
          <w:color w:val="auto"/>
        </w:rPr>
      </w:pPr>
    </w:p>
    <w:p>
      <w:pPr>
        <w:ind w:left="1405" w:right="200" w:hanging="430"/>
        <w:spacing w:after="0" w:line="275" w:lineRule="auto"/>
        <w:tabs>
          <w:tab w:leader="none" w:pos="1384" w:val="left"/>
        </w:tabs>
        <w:rPr>
          <w:sz w:val="20"/>
          <w:szCs w:val="20"/>
          <w:color w:val="auto"/>
        </w:rPr>
      </w:pPr>
      <w:r>
        <w:rPr>
          <w:rFonts w:ascii="Arial" w:cs="Arial" w:eastAsia="Arial" w:hAnsi="Arial"/>
          <w:sz w:val="18"/>
          <w:szCs w:val="18"/>
          <w:color w:val="auto"/>
        </w:rPr>
        <w:t>5.4.</w:t>
        <w:tab/>
        <w:t>Written minutes of JSC meetings must be made alternately by each Party and must be circulated for comments no later than [***] after each meeting.</w:t>
      </w:r>
    </w:p>
    <w:p>
      <w:pPr>
        <w:spacing w:after="0" w:line="73" w:lineRule="exact"/>
        <w:rPr>
          <w:sz w:val="20"/>
          <w:szCs w:val="20"/>
          <w:color w:val="auto"/>
        </w:rPr>
      </w:pPr>
    </w:p>
    <w:p>
      <w:pPr>
        <w:ind w:left="425" w:hanging="425"/>
        <w:spacing w:after="0"/>
        <w:tabs>
          <w:tab w:leader="none" w:pos="425"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MATERIALS AND SUBCONTRACTING</w:t>
      </w:r>
    </w:p>
    <w:p>
      <w:pPr>
        <w:spacing w:after="0" w:line="133" w:lineRule="exact"/>
        <w:rPr>
          <w:sz w:val="20"/>
          <w:szCs w:val="20"/>
          <w:color w:val="auto"/>
        </w:rPr>
      </w:pPr>
    </w:p>
    <w:p>
      <w:pPr>
        <w:ind w:left="1745" w:right="80" w:hanging="537"/>
        <w:spacing w:after="0" w:line="285" w:lineRule="auto"/>
        <w:tabs>
          <w:tab w:leader="none" w:pos="17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Bachem shall be responsible for purchasing, managing and storing Materials other than Customer Materials as required from reputable third Party manufacturers. [***]. In case of loss of Customer Materials while [***], [***] shall cover the cost in case of [***], [***] shall cover the costs in all other cases. Ascendis shall be responsible for all purchasing activities of Customer Materials as detailed in the Quality Agreement. Ascendis shall also be responsible for ensuring that the Customer Material</w:t>
      </w:r>
    </w:p>
    <w:p>
      <w:pPr>
        <w:spacing w:after="0" w:line="2" w:lineRule="exact"/>
        <w:rPr>
          <w:sz w:val="20"/>
          <w:szCs w:val="20"/>
          <w:color w:val="auto"/>
        </w:rPr>
      </w:pPr>
    </w:p>
    <w:p>
      <w:pPr>
        <w:jc w:val="both"/>
        <w:ind w:left="1745" w:right="20" w:hanging="9"/>
        <w:spacing w:after="0" w:line="254" w:lineRule="auto"/>
        <w:tabs>
          <w:tab w:leader="none" w:pos="195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complies with the agreed specifications and is free from any defects when delivered to Bachem, and (ii) is delivered with the agreed quality and quantity, and (iii) is delivered in a timely manner in order to avoid any delays in Bachem’s manufacturing of Product.</w:t>
      </w:r>
    </w:p>
    <w:p>
      <w:pPr>
        <w:spacing w:after="0" w:line="122"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Page 7 of 26</w:t>
      </w:r>
    </w:p>
    <w:p>
      <w:pPr>
        <w:sectPr>
          <w:pgSz w:w="11900" w:h="16838" w:orient="portrait"/>
          <w:cols w:equalWidth="0" w:num="1">
            <w:col w:w="10925"/>
          </w:cols>
          <w:pgMar w:left="455" w:top="273" w:right="519" w:bottom="1440" w:gutter="0" w:footer="0" w:header="0"/>
        </w:sectPr>
      </w:pPr>
    </w:p>
    <w:bookmarkStart w:id="226" w:name="page227"/>
    <w:bookmarkEnd w:id="226"/>
    <w:p>
      <w:pPr>
        <w:ind w:left="1405" w:right="180" w:hanging="430"/>
        <w:spacing w:after="0" w:line="275" w:lineRule="auto"/>
        <w:tabs>
          <w:tab w:leader="none" w:pos="13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6.2.</w:t>
        <w:tab/>
        <w:t>Bachem shall report its consumption of Customer Materials upon manufacture of a [***] in the respective executed manufacturing batch records. [***].</w:t>
      </w:r>
    </w:p>
    <w:p>
      <w:pPr>
        <w:spacing w:after="0" w:line="77"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Key Performance Indicators to measure [***] shall be defined and monitored by the JSC.</w:t>
      </w:r>
    </w:p>
    <w:p>
      <w:pPr>
        <w:spacing w:after="0" w:line="129" w:lineRule="exact"/>
        <w:rPr>
          <w:sz w:val="20"/>
          <w:szCs w:val="20"/>
          <w:color w:val="auto"/>
        </w:rPr>
      </w:pPr>
    </w:p>
    <w:p>
      <w:pPr>
        <w:ind w:left="1405" w:right="680" w:hanging="430"/>
        <w:spacing w:after="0" w:line="275" w:lineRule="auto"/>
        <w:tabs>
          <w:tab w:leader="none" w:pos="1384" w:val="left"/>
        </w:tabs>
        <w:rPr>
          <w:sz w:val="20"/>
          <w:szCs w:val="20"/>
          <w:color w:val="auto"/>
        </w:rPr>
      </w:pPr>
      <w:r>
        <w:rPr>
          <w:rFonts w:ascii="Arial" w:cs="Arial" w:eastAsia="Arial" w:hAnsi="Arial"/>
          <w:sz w:val="18"/>
          <w:szCs w:val="18"/>
          <w:color w:val="auto"/>
        </w:rPr>
        <w:t>6.4.</w:t>
        <w:tab/>
        <w:t>Customer Material stock levels shall be agreed upon by the Parties, provided, however, that Ascendis may choose to supply Customer Materials up to [***] prior to planned use by Bachem.</w:t>
      </w:r>
    </w:p>
    <w:p>
      <w:pPr>
        <w:spacing w:after="0" w:line="77" w:lineRule="exact"/>
        <w:rPr>
          <w:sz w:val="20"/>
          <w:szCs w:val="20"/>
          <w:color w:val="auto"/>
        </w:rPr>
      </w:pPr>
    </w:p>
    <w:p>
      <w:pPr>
        <w:jc w:val="right"/>
        <w:ind w:left="985" w:right="300"/>
        <w:spacing w:after="0" w:line="340" w:lineRule="auto"/>
        <w:rPr>
          <w:sz w:val="20"/>
          <w:szCs w:val="20"/>
          <w:color w:val="auto"/>
        </w:rPr>
      </w:pPr>
      <w:r>
        <w:rPr>
          <w:rFonts w:ascii="Arial" w:cs="Arial" w:eastAsia="Arial" w:hAnsi="Arial"/>
          <w:sz w:val="16"/>
          <w:szCs w:val="16"/>
          <w:color w:val="auto"/>
        </w:rPr>
        <w:t>6.5.  Subcontractors [***] that Bachem wishes to use must be approved by Ascendis in writing prior to use, and Bachem shall remain liable towards Ascendis for such subcontractors’ performance. All agreed subcontractors will be listed in the Quality Agreement.</w:t>
      </w:r>
    </w:p>
    <w:p>
      <w:pPr>
        <w:spacing w:after="0" w:line="26" w:lineRule="exact"/>
        <w:rPr>
          <w:sz w:val="20"/>
          <w:szCs w:val="20"/>
          <w:color w:val="auto"/>
        </w:rPr>
      </w:pPr>
    </w:p>
    <w:p>
      <w:pPr>
        <w:ind w:left="425" w:hanging="425"/>
        <w:spacing w:after="0"/>
        <w:tabs>
          <w:tab w:leader="none" w:pos="425"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CAPACITY AND BATCH SIZE</w:t>
      </w:r>
    </w:p>
    <w:p>
      <w:pPr>
        <w:spacing w:after="0" w:line="133" w:lineRule="exact"/>
        <w:rPr>
          <w:sz w:val="20"/>
          <w:szCs w:val="20"/>
          <w:color w:val="auto"/>
        </w:rPr>
      </w:pPr>
    </w:p>
    <w:p>
      <w:pPr>
        <w:jc w:val="both"/>
        <w:ind w:left="1405" w:hanging="430"/>
        <w:spacing w:after="0" w:line="278" w:lineRule="auto"/>
        <w:tabs>
          <w:tab w:leader="none" w:pos="138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 At the initial Batch sizes, Bachem shall ensure the ability to deliver [***] of Product per [***] period, provided that Ascendis has forecast such quantity in accordance with Section 8 below. Bachem will cooperate with Ascendis on upscaling the Process in due time to meet Ascendis’ long term forecast. Contingent upon a successful upscaling of [***], Bachem shall ensure an annual capacity of at least [***] of Product. The parties agree to cooperate in good faith to mitigate any supply shortages.</w:t>
      </w:r>
    </w:p>
    <w:p>
      <w:pPr>
        <w:spacing w:after="0" w:line="76"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Initial Batch sizes to be included in the validation range shall be:</w:t>
      </w:r>
    </w:p>
    <w:p>
      <w:pPr>
        <w:spacing w:after="0" w:line="129" w:lineRule="exact"/>
        <w:rPr>
          <w:sz w:val="20"/>
          <w:szCs w:val="20"/>
          <w:color w:val="auto"/>
        </w:rPr>
      </w:pPr>
    </w:p>
    <w:p>
      <w:pPr>
        <w:ind w:left="2065" w:hanging="531"/>
        <w:spacing w:after="0"/>
        <w:tabs>
          <w:tab w:leader="none" w:pos="20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batch size of [***] Linker Thiol intermediate expected to yield approximately [***]</w:t>
      </w:r>
    </w:p>
    <w:p>
      <w:pPr>
        <w:spacing w:after="0" w:line="129" w:lineRule="exact"/>
        <w:rPr>
          <w:rFonts w:ascii="Arial" w:cs="Arial" w:eastAsia="Arial" w:hAnsi="Arial"/>
          <w:sz w:val="18"/>
          <w:szCs w:val="18"/>
          <w:color w:val="auto"/>
        </w:rPr>
      </w:pPr>
    </w:p>
    <w:p>
      <w:pPr>
        <w:ind w:left="2065" w:hanging="531"/>
        <w:spacing w:after="0"/>
        <w:tabs>
          <w:tab w:leader="none" w:pos="20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batch size of Product, expected to yield [***]</w:t>
      </w:r>
    </w:p>
    <w:p>
      <w:pPr>
        <w:spacing w:after="0" w:line="129" w:lineRule="exact"/>
        <w:rPr>
          <w:sz w:val="20"/>
          <w:szCs w:val="20"/>
          <w:color w:val="auto"/>
        </w:rPr>
      </w:pPr>
    </w:p>
    <w:p>
      <w:pPr>
        <w:ind w:left="1405" w:right="140" w:hanging="430"/>
        <w:spacing w:after="0" w:line="275" w:lineRule="auto"/>
        <w:tabs>
          <w:tab w:leader="none" w:pos="1384" w:val="left"/>
        </w:tabs>
        <w:rPr>
          <w:sz w:val="20"/>
          <w:szCs w:val="20"/>
          <w:color w:val="auto"/>
        </w:rPr>
      </w:pPr>
      <w:r>
        <w:rPr>
          <w:rFonts w:ascii="Arial" w:cs="Arial" w:eastAsia="Arial" w:hAnsi="Arial"/>
          <w:sz w:val="18"/>
          <w:szCs w:val="18"/>
          <w:color w:val="auto"/>
        </w:rPr>
        <w:t>7.3.</w:t>
        <w:tab/>
        <w:t>For the initial Batch size, Bachem will manufacture [***] and [***] in a campaign, so Minimum Order Quantity (“MOQ”) shall be [***] of Product.</w:t>
      </w:r>
    </w:p>
    <w:p>
      <w:pPr>
        <w:spacing w:after="0" w:line="77" w:lineRule="exact"/>
        <w:rPr>
          <w:sz w:val="20"/>
          <w:szCs w:val="20"/>
          <w:color w:val="auto"/>
        </w:rPr>
      </w:pPr>
    </w:p>
    <w:p>
      <w:pPr>
        <w:ind w:left="1405" w:right="60" w:hanging="430"/>
        <w:spacing w:after="0" w:line="275" w:lineRule="auto"/>
        <w:tabs>
          <w:tab w:leader="none" w:pos="1384" w:val="left"/>
        </w:tabs>
        <w:rPr>
          <w:sz w:val="20"/>
          <w:szCs w:val="20"/>
          <w:color w:val="auto"/>
        </w:rPr>
      </w:pPr>
      <w:r>
        <w:rPr>
          <w:rFonts w:ascii="Arial" w:cs="Arial" w:eastAsia="Arial" w:hAnsi="Arial"/>
          <w:sz w:val="18"/>
          <w:szCs w:val="18"/>
          <w:color w:val="auto"/>
        </w:rPr>
        <w:t>7.4.</w:t>
        <w:tab/>
        <w:t>Batch sizes may be upscaled later upon mutual agreement, in which case MOQ shall be adjusted (e.g. if Product Batch size becomes [***], MOQ is planned to become [***]) and pricing shall be revised.</w:t>
      </w:r>
    </w:p>
    <w:p>
      <w:pPr>
        <w:spacing w:after="0" w:line="77"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In order to allow for use of any [***], the first orders for post-PPQ Product may deviate from the MOQ.</w:t>
      </w:r>
    </w:p>
    <w:p>
      <w:pPr>
        <w:spacing w:after="0" w:line="156"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Page 8 of 26</w:t>
      </w:r>
    </w:p>
    <w:p>
      <w:pPr>
        <w:sectPr>
          <w:pgSz w:w="11900" w:h="16838" w:orient="portrait"/>
          <w:cols w:equalWidth="0" w:num="1">
            <w:col w:w="10965"/>
          </w:cols>
          <w:pgMar w:left="455" w:top="273" w:right="479" w:bottom="1440" w:gutter="0" w:footer="0" w:header="0"/>
        </w:sectPr>
      </w:pPr>
    </w:p>
    <w:bookmarkStart w:id="227" w:name="page228"/>
    <w:bookmarkEnd w:id="227"/>
    <w:p>
      <w:pPr>
        <w:ind w:left="425" w:hanging="425"/>
        <w:spacing w:after="0"/>
        <w:tabs>
          <w:tab w:leader="none" w:pos="425"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FORECAST</w:t>
      </w:r>
    </w:p>
    <w:p>
      <w:pPr>
        <w:spacing w:after="0" w:line="133" w:lineRule="exact"/>
        <w:rPr>
          <w:sz w:val="20"/>
          <w:szCs w:val="20"/>
          <w:color w:val="auto"/>
        </w:rPr>
      </w:pPr>
    </w:p>
    <w:p>
      <w:pPr>
        <w:ind w:left="1405" w:right="20" w:hanging="430"/>
        <w:spacing w:after="0" w:line="290" w:lineRule="auto"/>
        <w:tabs>
          <w:tab w:leader="none" w:pos="138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Ascendis shall provide Bachem with a written rolling forecast showing Ascendis’ expected requirements for Product to be delivered under this Agreement during the following [***]. The forecast for [***] will be considered fully binding. [***] may be postponed</w:t>
      </w:r>
    </w:p>
    <w:p>
      <w:pPr>
        <w:jc w:val="both"/>
        <w:ind w:left="1405" w:right="180" w:firstLine="8"/>
        <w:spacing w:after="0" w:line="254" w:lineRule="auto"/>
        <w:tabs>
          <w:tab w:leader="none" w:pos="183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by [***] from [***] and [***] may be added to [***] provided that the previous forecast for those quarters was [***]. [***] shall be considered non-binding. The first such forecast shall be supplied upon [***]. The forecast shall be updated [***] no later than [***].</w:t>
      </w:r>
    </w:p>
    <w:p>
      <w:pPr>
        <w:spacing w:after="0" w:line="95" w:lineRule="exact"/>
        <w:rPr>
          <w:sz w:val="20"/>
          <w:szCs w:val="20"/>
          <w:color w:val="auto"/>
        </w:rPr>
      </w:pPr>
    </w:p>
    <w:p>
      <w:pPr>
        <w:jc w:val="both"/>
        <w:ind w:left="1405" w:right="120" w:hanging="430"/>
        <w:spacing w:after="0" w:line="262" w:lineRule="auto"/>
        <w:tabs>
          <w:tab w:leader="none" w:pos="1384" w:val="left"/>
        </w:tabs>
        <w:rPr>
          <w:sz w:val="20"/>
          <w:szCs w:val="20"/>
          <w:color w:val="auto"/>
        </w:rPr>
      </w:pPr>
      <w:r>
        <w:rPr>
          <w:rFonts w:ascii="Arial" w:cs="Arial" w:eastAsia="Arial" w:hAnsi="Arial"/>
          <w:sz w:val="18"/>
          <w:szCs w:val="18"/>
          <w:color w:val="auto"/>
        </w:rPr>
        <w:t>8.2.</w:t>
        <w:tab/>
        <w:t>For forecasts placed until [***] in the first country, a Campaign forecast for [***] may not be removed at the next forecast update, but may be postponed [***]. An extra campaign may be added in [***] if the previous forecast for [***]. [***] shall be considered non-binding.</w:t>
      </w:r>
    </w:p>
    <w:p>
      <w:pPr>
        <w:spacing w:after="0" w:line="89" w:lineRule="exact"/>
        <w:rPr>
          <w:sz w:val="20"/>
          <w:szCs w:val="20"/>
          <w:color w:val="auto"/>
        </w:rPr>
      </w:pPr>
    </w:p>
    <w:p>
      <w:pPr>
        <w:ind w:left="1405" w:hanging="430"/>
        <w:spacing w:after="0" w:line="275" w:lineRule="auto"/>
        <w:tabs>
          <w:tab w:leader="none" w:pos="1384" w:val="left"/>
        </w:tabs>
        <w:rPr>
          <w:sz w:val="20"/>
          <w:szCs w:val="20"/>
          <w:color w:val="auto"/>
        </w:rPr>
      </w:pPr>
      <w:r>
        <w:rPr>
          <w:rFonts w:ascii="Arial" w:cs="Arial" w:eastAsia="Arial" w:hAnsi="Arial"/>
          <w:sz w:val="18"/>
          <w:szCs w:val="18"/>
          <w:color w:val="auto"/>
        </w:rPr>
        <w:t>8.3.</w:t>
        <w:tab/>
        <w:t>Ascendis may forecast more than [***] in a running [***] period, but Bachem shall have no commitment to accept forecast volumes beyond an agreed [***] capacity.</w:t>
      </w:r>
    </w:p>
    <w:p>
      <w:pPr>
        <w:spacing w:after="0" w:line="77"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A non-binding long-term forecast ([***]) shall be provided by Ascendis [***].</w:t>
      </w:r>
    </w:p>
    <w:p>
      <w:pPr>
        <w:spacing w:after="0" w:line="125" w:lineRule="exact"/>
        <w:rPr>
          <w:sz w:val="20"/>
          <w:szCs w:val="20"/>
          <w:color w:val="auto"/>
        </w:rPr>
      </w:pPr>
    </w:p>
    <w:p>
      <w:pPr>
        <w:ind w:left="425" w:hanging="425"/>
        <w:spacing w:after="0"/>
        <w:tabs>
          <w:tab w:leader="none" w:pos="425"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ORDERS</w:t>
      </w:r>
    </w:p>
    <w:p>
      <w:pPr>
        <w:spacing w:after="0" w:line="133" w:lineRule="exact"/>
        <w:rPr>
          <w:sz w:val="20"/>
          <w:szCs w:val="20"/>
          <w:color w:val="auto"/>
        </w:rPr>
      </w:pPr>
    </w:p>
    <w:p>
      <w:pPr>
        <w:ind w:left="1405" w:right="120" w:hanging="430"/>
        <w:spacing w:after="0" w:line="300" w:lineRule="auto"/>
        <w:tabs>
          <w:tab w:leader="none" w:pos="138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Ascendis will from time to time and according to written forecasts place Purchase Orders with Bachem on the terms agreed herein. Ascendis shall on each Purchase Order specify required delivery day which shall be no earlier than [***] from submission of each Purchase Order. Subject to the Art. 8 above, Bachem shall confirm or decline such Purchase Orders in writing no later than [***] upon receipt of said Purchase Orders [***]. Once a Purchase Order is confirmed by Bachem, it may not be cancelled, [***].</w:t>
      </w:r>
    </w:p>
    <w:p>
      <w:pPr>
        <w:spacing w:after="0" w:line="58" w:lineRule="exact"/>
        <w:rPr>
          <w:sz w:val="20"/>
          <w:szCs w:val="20"/>
          <w:color w:val="auto"/>
        </w:rPr>
      </w:pPr>
    </w:p>
    <w:p>
      <w:pPr>
        <w:ind w:left="425" w:hanging="425"/>
        <w:spacing w:after="0"/>
        <w:tabs>
          <w:tab w:leader="none" w:pos="425"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RELEASE</w:t>
      </w:r>
    </w:p>
    <w:p>
      <w:pPr>
        <w:spacing w:after="0" w:line="133" w:lineRule="exact"/>
        <w:rPr>
          <w:sz w:val="20"/>
          <w:szCs w:val="20"/>
          <w:color w:val="auto"/>
        </w:rPr>
      </w:pPr>
    </w:p>
    <w:p>
      <w:pPr>
        <w:ind w:left="1405" w:right="220" w:hanging="430"/>
        <w:spacing w:after="0" w:line="262" w:lineRule="auto"/>
        <w:rPr>
          <w:sz w:val="20"/>
          <w:szCs w:val="20"/>
          <w:color w:val="auto"/>
        </w:rPr>
      </w:pPr>
      <w:r>
        <w:rPr>
          <w:rFonts w:ascii="Arial" w:cs="Arial" w:eastAsia="Arial" w:hAnsi="Arial"/>
          <w:sz w:val="18"/>
          <w:szCs w:val="18"/>
          <w:color w:val="auto"/>
        </w:rPr>
        <w:t>10.1. Bachem shall deliver Product ordered under Article 9 within the agreed timeframe and in the agreed quantities. Product delivered under this Agreement shall comply with Specifications and the Quality Agreement. Ascendis shall purchase, and Bachem shall deliver, the full yield of a Batch of Product (less sampling).</w:t>
      </w:r>
    </w:p>
    <w:p>
      <w:pPr>
        <w:spacing w:after="0" w:line="116"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Page 9 of 26</w:t>
      </w:r>
    </w:p>
    <w:p>
      <w:pPr>
        <w:sectPr>
          <w:pgSz w:w="11900" w:h="16838" w:orient="portrait"/>
          <w:cols w:equalWidth="0" w:num="1">
            <w:col w:w="10925"/>
          </w:cols>
          <w:pgMar w:left="455" w:top="269" w:right="519" w:bottom="1440" w:gutter="0" w:footer="0" w:header="0"/>
        </w:sectPr>
      </w:pPr>
    </w:p>
    <w:bookmarkStart w:id="228" w:name="page229"/>
    <w:bookmarkEnd w:id="228"/>
    <w:p>
      <w:pPr>
        <w:ind w:left="1405" w:right="580" w:hanging="43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10.2. Bachem bears the responsibility towards Ascendis that any agreed conditions for storage and transportation of the Product as specified in Appendix 1 are fulfilled until delivery thereof to Ascendis or its designee.</w:t>
      </w:r>
    </w:p>
    <w:p>
      <w:pPr>
        <w:spacing w:after="0" w:line="77" w:lineRule="exact"/>
        <w:rPr>
          <w:sz w:val="20"/>
          <w:szCs w:val="20"/>
          <w:color w:val="auto"/>
        </w:rPr>
      </w:pPr>
    </w:p>
    <w:p>
      <w:pPr>
        <w:ind w:left="1405" w:right="200" w:hanging="430"/>
        <w:spacing w:after="0" w:line="275" w:lineRule="auto"/>
        <w:rPr>
          <w:sz w:val="20"/>
          <w:szCs w:val="20"/>
          <w:color w:val="auto"/>
        </w:rPr>
      </w:pPr>
      <w:r>
        <w:rPr>
          <w:rFonts w:ascii="Arial" w:cs="Arial" w:eastAsia="Arial" w:hAnsi="Arial"/>
          <w:sz w:val="18"/>
          <w:szCs w:val="18"/>
          <w:color w:val="auto"/>
        </w:rPr>
        <w:t>10.3. The Product shall be delivered to Ascendis or its designee [***] at [***], according to Incoterms 2010, packed in accordance with the requirements set out in Appendix 1.</w:t>
      </w:r>
    </w:p>
    <w:p>
      <w:pPr>
        <w:spacing w:after="0" w:line="77" w:lineRule="exact"/>
        <w:rPr>
          <w:sz w:val="20"/>
          <w:szCs w:val="20"/>
          <w:color w:val="auto"/>
        </w:rPr>
      </w:pPr>
    </w:p>
    <w:p>
      <w:pPr>
        <w:ind w:left="1405" w:right="20" w:hanging="430"/>
        <w:spacing w:after="0" w:line="262" w:lineRule="auto"/>
        <w:rPr>
          <w:sz w:val="20"/>
          <w:szCs w:val="20"/>
          <w:color w:val="auto"/>
        </w:rPr>
      </w:pPr>
      <w:r>
        <w:rPr>
          <w:rFonts w:ascii="Arial" w:cs="Arial" w:eastAsia="Arial" w:hAnsi="Arial"/>
          <w:sz w:val="18"/>
          <w:szCs w:val="18"/>
          <w:color w:val="auto"/>
        </w:rPr>
        <w:t>10.4. In accordance with the Quality Agreement Bachem shall perform Release of Product to Ascendis. Bachem shall forward the Release Documentation to Ascendis. Delivery is subject to both of these conditions having been fulfilled. Ascendis performs Final Release for further use.</w:t>
      </w:r>
    </w:p>
    <w:p>
      <w:pPr>
        <w:spacing w:after="0" w:line="8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10.5. [***].</w:t>
      </w:r>
    </w:p>
    <w:p>
      <w:pPr>
        <w:spacing w:after="0" w:line="129" w:lineRule="exact"/>
        <w:rPr>
          <w:sz w:val="20"/>
          <w:szCs w:val="20"/>
          <w:color w:val="auto"/>
        </w:rPr>
      </w:pPr>
    </w:p>
    <w:p>
      <w:pPr>
        <w:jc w:val="both"/>
        <w:ind w:left="1405" w:right="120" w:hanging="430"/>
        <w:spacing w:after="0" w:line="285" w:lineRule="auto"/>
        <w:rPr>
          <w:sz w:val="20"/>
          <w:szCs w:val="20"/>
          <w:color w:val="auto"/>
        </w:rPr>
      </w:pPr>
      <w:r>
        <w:rPr>
          <w:rFonts w:ascii="Arial" w:cs="Arial" w:eastAsia="Arial" w:hAnsi="Arial"/>
          <w:sz w:val="17"/>
          <w:szCs w:val="17"/>
          <w:color w:val="auto"/>
        </w:rPr>
        <w:t>10.6. If Ascendis finds that the Release Documentation does not comply with the Specifications or with any other requirement under this Agreement, Ascendis shall notify Bachem in writing of Ascendis’ observations with respect to the non-compliance without undue delay after receipt of such documentation and in any event within [***] of receipt of by Ascendis..</w:t>
      </w:r>
    </w:p>
    <w:p>
      <w:pPr>
        <w:spacing w:after="0" w:line="66" w:lineRule="exact"/>
        <w:rPr>
          <w:sz w:val="20"/>
          <w:szCs w:val="20"/>
          <w:color w:val="auto"/>
        </w:rPr>
      </w:pPr>
    </w:p>
    <w:p>
      <w:pPr>
        <w:ind w:left="425" w:hanging="425"/>
        <w:spacing w:after="0"/>
        <w:tabs>
          <w:tab w:leader="none" w:pos="425"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STORAGE AND INSURANCE</w:t>
      </w:r>
    </w:p>
    <w:p>
      <w:pPr>
        <w:spacing w:after="0" w:line="133" w:lineRule="exact"/>
        <w:rPr>
          <w:sz w:val="20"/>
          <w:szCs w:val="20"/>
          <w:color w:val="auto"/>
        </w:rPr>
      </w:pPr>
    </w:p>
    <w:p>
      <w:pPr>
        <w:ind w:left="1405" w:right="200" w:hanging="430"/>
        <w:spacing w:after="0" w:line="340" w:lineRule="auto"/>
        <w:rPr>
          <w:sz w:val="20"/>
          <w:szCs w:val="20"/>
          <w:color w:val="auto"/>
        </w:rPr>
      </w:pPr>
      <w:r>
        <w:rPr>
          <w:rFonts w:ascii="Arial" w:cs="Arial" w:eastAsia="Arial" w:hAnsi="Arial"/>
          <w:sz w:val="16"/>
          <w:szCs w:val="16"/>
          <w:color w:val="auto"/>
        </w:rPr>
        <w:t>11.1. All Bachem Materials, Customer Materials, intermediates and Product will be stored [***]. Bachem shall ensure adequate storage conditions (e.g. cold storage, alarms, emergency power supply, etc.). Customer Material stock levels are to be mutually agreed.</w:t>
      </w:r>
    </w:p>
    <w:p>
      <w:pPr>
        <w:spacing w:after="0" w:line="30" w:lineRule="exact"/>
        <w:rPr>
          <w:sz w:val="20"/>
          <w:szCs w:val="20"/>
          <w:color w:val="auto"/>
        </w:rPr>
      </w:pPr>
    </w:p>
    <w:p>
      <w:pPr>
        <w:ind w:left="1405" w:right="360" w:hanging="430"/>
        <w:spacing w:after="0" w:line="275" w:lineRule="auto"/>
        <w:rPr>
          <w:sz w:val="20"/>
          <w:szCs w:val="20"/>
          <w:color w:val="auto"/>
        </w:rPr>
      </w:pPr>
      <w:r>
        <w:rPr>
          <w:rFonts w:ascii="Arial" w:cs="Arial" w:eastAsia="Arial" w:hAnsi="Arial"/>
          <w:sz w:val="18"/>
          <w:szCs w:val="18"/>
          <w:color w:val="auto"/>
        </w:rPr>
        <w:t>11.2. Ascendis may choose to store up to [***] of delivered Product at Bachem for up to [***], subject to reasonable storage fees and Storage Agreement.</w:t>
      </w:r>
    </w:p>
    <w:p>
      <w:pPr>
        <w:spacing w:after="0" w:line="77" w:lineRule="exact"/>
        <w:rPr>
          <w:sz w:val="20"/>
          <w:szCs w:val="20"/>
          <w:color w:val="auto"/>
        </w:rPr>
      </w:pPr>
    </w:p>
    <w:p>
      <w:pPr>
        <w:ind w:left="1405" w:hanging="430"/>
        <w:spacing w:after="0" w:line="275" w:lineRule="auto"/>
        <w:rPr>
          <w:sz w:val="20"/>
          <w:szCs w:val="20"/>
          <w:color w:val="auto"/>
        </w:rPr>
      </w:pPr>
      <w:r>
        <w:rPr>
          <w:rFonts w:ascii="Arial" w:cs="Arial" w:eastAsia="Arial" w:hAnsi="Arial"/>
          <w:sz w:val="18"/>
          <w:szCs w:val="18"/>
          <w:color w:val="auto"/>
        </w:rPr>
        <w:t>11.3. Bachem shall take out and on Ascendis’ request prove to have taken out, insurance in order to cover damages on Customer Materials and Product, and documentation related to this Agreement as a result of [***]:</w:t>
      </w:r>
    </w:p>
    <w:p>
      <w:pPr>
        <w:spacing w:after="0" w:line="77" w:lineRule="exact"/>
        <w:rPr>
          <w:sz w:val="20"/>
          <w:szCs w:val="20"/>
          <w:color w:val="auto"/>
        </w:rPr>
      </w:pPr>
    </w:p>
    <w:p>
      <w:pPr>
        <w:ind w:left="2065" w:hanging="531"/>
        <w:spacing w:after="0"/>
        <w:tabs>
          <w:tab w:leader="none" w:pos="206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p>
    <w:p>
      <w:pPr>
        <w:spacing w:after="0" w:line="129" w:lineRule="exact"/>
        <w:rPr>
          <w:sz w:val="20"/>
          <w:szCs w:val="20"/>
          <w:color w:val="auto"/>
        </w:rPr>
      </w:pPr>
    </w:p>
    <w:p>
      <w:pPr>
        <w:jc w:val="both"/>
        <w:ind w:left="1405" w:right="60" w:hanging="430"/>
        <w:spacing w:after="0" w:line="262" w:lineRule="auto"/>
        <w:rPr>
          <w:sz w:val="20"/>
          <w:szCs w:val="20"/>
          <w:color w:val="auto"/>
        </w:rPr>
      </w:pPr>
      <w:r>
        <w:rPr>
          <w:rFonts w:ascii="Arial" w:cs="Arial" w:eastAsia="Arial" w:hAnsi="Arial"/>
          <w:sz w:val="18"/>
          <w:szCs w:val="18"/>
          <w:color w:val="auto"/>
        </w:rPr>
        <w:t>11.4. During the term of this Agreement the Parties shall at their own expense maintain adequate insurance cover in respect of the Parties undertakings under the provisions of this Agreement. Specifically, [***] shall maintain insurance to cover [***], including, [***] or other treatment of Customer Materials and Product</w:t>
      </w:r>
    </w:p>
    <w:p>
      <w:pPr>
        <w:spacing w:after="0" w:line="116"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Page 10 of 26</w:t>
      </w:r>
    </w:p>
    <w:p>
      <w:pPr>
        <w:sectPr>
          <w:pgSz w:w="11900" w:h="16838" w:orient="portrait"/>
          <w:cols w:equalWidth="0" w:num="1">
            <w:col w:w="10945"/>
          </w:cols>
          <w:pgMar w:left="455" w:top="273" w:right="499" w:bottom="1440" w:gutter="0" w:footer="0" w:header="0"/>
        </w:sectPr>
      </w:pPr>
    </w:p>
    <w:bookmarkStart w:id="229" w:name="page230"/>
    <w:bookmarkEnd w:id="229"/>
    <w:p>
      <w:pPr>
        <w:ind w:left="1205"/>
        <w:spacing w:after="0"/>
        <w:tabs>
          <w:tab w:leader="none" w:pos="1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11.5.</w:t>
      </w:r>
      <w:r>
        <w:rPr>
          <w:sz w:val="20"/>
          <w:szCs w:val="20"/>
          <w:color w:val="auto"/>
        </w:rPr>
        <w:tab/>
      </w:r>
      <w:r>
        <w:rPr>
          <w:rFonts w:ascii="Arial" w:cs="Arial" w:eastAsia="Arial" w:hAnsi="Arial"/>
          <w:sz w:val="15"/>
          <w:szCs w:val="15"/>
          <w:color w:val="auto"/>
        </w:rPr>
        <w:t>Each Party shall upon request prove to the other Party the existence of such an insurance.</w:t>
      </w:r>
    </w:p>
    <w:p>
      <w:pPr>
        <w:spacing w:after="0" w:line="367" w:lineRule="exact"/>
        <w:rPr>
          <w:sz w:val="20"/>
          <w:szCs w:val="20"/>
          <w:color w:val="auto"/>
        </w:rPr>
      </w:pPr>
    </w:p>
    <w:p>
      <w:pPr>
        <w:ind w:left="425" w:hanging="425"/>
        <w:spacing w:after="0"/>
        <w:tabs>
          <w:tab w:leader="none" w:pos="425"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AND PAYMENT TERMS</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12.1. Ascendis will pay to Bachem the Purchase Price for Product. [***].</w:t>
      </w:r>
    </w:p>
    <w:p>
      <w:pPr>
        <w:spacing w:after="0" w:line="129" w:lineRule="exact"/>
        <w:rPr>
          <w:sz w:val="20"/>
          <w:szCs w:val="20"/>
          <w:color w:val="auto"/>
        </w:rPr>
      </w:pPr>
    </w:p>
    <w:p>
      <w:pPr>
        <w:ind w:left="1405" w:right="80" w:hanging="430"/>
        <w:spacing w:after="0" w:line="275" w:lineRule="auto"/>
        <w:rPr>
          <w:sz w:val="20"/>
          <w:szCs w:val="20"/>
          <w:color w:val="auto"/>
        </w:rPr>
      </w:pPr>
      <w:r>
        <w:rPr>
          <w:rFonts w:ascii="Arial" w:cs="Arial" w:eastAsia="Arial" w:hAnsi="Arial"/>
          <w:sz w:val="18"/>
          <w:szCs w:val="18"/>
          <w:color w:val="auto"/>
        </w:rPr>
        <w:t>12.2. Pricing is based on [***]. Estimate prices shall be provided to Ascendis by Bachem after [***]. Separate pricing shall be agreed for the following:</w:t>
      </w:r>
    </w:p>
    <w:p>
      <w:pPr>
        <w:spacing w:after="0" w:line="77" w:lineRule="exact"/>
        <w:rPr>
          <w:sz w:val="20"/>
          <w:szCs w:val="20"/>
          <w:color w:val="auto"/>
        </w:rPr>
      </w:pPr>
    </w:p>
    <w:p>
      <w:pPr>
        <w:ind w:left="2065" w:hanging="531"/>
        <w:spacing w:after="0"/>
        <w:tabs>
          <w:tab w:leader="none" w:pos="20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2065" w:hanging="531"/>
        <w:spacing w:after="0"/>
        <w:tabs>
          <w:tab w:leader="none" w:pos="20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p>
    <w:p>
      <w:pPr>
        <w:spacing w:after="0" w:line="12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12.3. Prices shall be based on the following assumptions:</w:t>
      </w:r>
    </w:p>
    <w:p>
      <w:pPr>
        <w:spacing w:after="0" w:line="129" w:lineRule="exact"/>
        <w:rPr>
          <w:sz w:val="20"/>
          <w:szCs w:val="20"/>
          <w:color w:val="auto"/>
        </w:rPr>
      </w:pPr>
    </w:p>
    <w:p>
      <w:pPr>
        <w:ind w:left="2065" w:hanging="531"/>
        <w:spacing w:after="0"/>
        <w:tabs>
          <w:tab w:leader="none" w:pos="206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p>
    <w:p>
      <w:pPr>
        <w:spacing w:after="0" w:line="129" w:lineRule="exact"/>
        <w:rPr>
          <w:sz w:val="20"/>
          <w:szCs w:val="20"/>
          <w:color w:val="auto"/>
        </w:rPr>
      </w:pPr>
    </w:p>
    <w:p>
      <w:pPr>
        <w:ind w:left="1405" w:hanging="430"/>
        <w:spacing w:after="0" w:line="275" w:lineRule="auto"/>
        <w:rPr>
          <w:sz w:val="20"/>
          <w:szCs w:val="20"/>
          <w:color w:val="auto"/>
        </w:rPr>
      </w:pPr>
      <w:r>
        <w:rPr>
          <w:rFonts w:ascii="Arial" w:cs="Arial" w:eastAsia="Arial" w:hAnsi="Arial"/>
          <w:sz w:val="18"/>
          <w:szCs w:val="18"/>
          <w:color w:val="auto"/>
        </w:rPr>
        <w:t>12.4. Each [***], Bachem may invoice Ascendis a fee of [***] if no Purchase Orders have been issued for delivery of at least [***] within that [***].</w:t>
      </w:r>
    </w:p>
    <w:p>
      <w:pPr>
        <w:spacing w:after="0" w:line="77"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12.5. Prices may be adjusted if [***].</w:t>
      </w:r>
    </w:p>
    <w:p>
      <w:pPr>
        <w:spacing w:after="0" w:line="12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12.6. Prices may be adjusted [***] in accordance with [***].</w:t>
      </w:r>
    </w:p>
    <w:p>
      <w:pPr>
        <w:spacing w:after="0" w:line="129" w:lineRule="exact"/>
        <w:rPr>
          <w:sz w:val="20"/>
          <w:szCs w:val="20"/>
          <w:color w:val="auto"/>
        </w:rPr>
      </w:pPr>
    </w:p>
    <w:p>
      <w:pPr>
        <w:ind w:left="1405" w:hanging="430"/>
        <w:spacing w:after="0" w:line="275" w:lineRule="auto"/>
        <w:rPr>
          <w:sz w:val="20"/>
          <w:szCs w:val="20"/>
          <w:color w:val="auto"/>
        </w:rPr>
      </w:pPr>
      <w:r>
        <w:rPr>
          <w:rFonts w:ascii="Arial" w:cs="Arial" w:eastAsia="Arial" w:hAnsi="Arial"/>
          <w:sz w:val="18"/>
          <w:szCs w:val="18"/>
          <w:color w:val="auto"/>
        </w:rPr>
        <w:t>12.7. Price changes due to [***] will mainly benefit [***]. Cost reductions from [***] will benefit [***]. Cost reductions which are due to [***] will benefit [***]. Other cost reductions from [***] will [***].</w:t>
      </w:r>
    </w:p>
    <w:p>
      <w:pPr>
        <w:spacing w:after="0" w:line="77" w:lineRule="exact"/>
        <w:rPr>
          <w:sz w:val="20"/>
          <w:szCs w:val="20"/>
          <w:color w:val="auto"/>
        </w:rPr>
      </w:pPr>
    </w:p>
    <w:p>
      <w:pPr>
        <w:ind w:left="1405" w:right="80" w:hanging="430"/>
        <w:spacing w:after="0" w:line="252" w:lineRule="auto"/>
        <w:rPr>
          <w:sz w:val="20"/>
          <w:szCs w:val="20"/>
          <w:color w:val="auto"/>
        </w:rPr>
      </w:pPr>
      <w:r>
        <w:rPr>
          <w:rFonts w:ascii="Arial" w:cs="Arial" w:eastAsia="Arial" w:hAnsi="Arial"/>
          <w:sz w:val="18"/>
          <w:szCs w:val="18"/>
          <w:color w:val="auto"/>
        </w:rPr>
        <w:t>12.8. Except for [***], Bachem’s price for the Services [***]. If Bachem is obligated by law to charge any value added and/or similar tax to Ascendis, Bachem shall ensure that if such value-added and/or similar tax is applicable, that it is invoiced to Ascendis in accordance with the laws applicable at its domicile so as to allow Ascendis to reclaim such value-added and/or similar tax from the appropriate government authority. Neither Party is responsible for taxes on the other Party’s income or the income of the other Party’s personnel or subcontractors. If Ascendis is required by government regulation to withhold taxes for which Supplier is responsible, Ascendis will deduct such withholding tax from payment to Supplier and provide to Supplier a valid tax receipt in Bachem’s name. If Bachem is exempt from such withholding taxes as a result of a tax treaty or other regime, Bachem shall provide to Ascendis a valid tax treaty residency certificate or other tax exemption certificate at a minimum of [***] prior to payment being due.</w:t>
      </w:r>
    </w:p>
    <w:p>
      <w:pPr>
        <w:spacing w:after="0" w:line="129"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Page 11 of 26</w:t>
      </w:r>
    </w:p>
    <w:p>
      <w:pPr>
        <w:sectPr>
          <w:pgSz w:w="11900" w:h="16838" w:orient="portrait"/>
          <w:cols w:equalWidth="0" w:num="1">
            <w:col w:w="10945"/>
          </w:cols>
          <w:pgMar w:left="455" w:top="273" w:right="499" w:bottom="1440" w:gutter="0" w:footer="0" w:header="0"/>
        </w:sectPr>
      </w:pPr>
    </w:p>
    <w:bookmarkStart w:id="230" w:name="page231"/>
    <w:bookmarkEnd w:id="230"/>
    <w:p>
      <w:pPr>
        <w:ind w:left="98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12.9. Payments by Ascendis will be made in [***] net [***] after receipt of invoice by Ascendis.</w:t>
      </w:r>
    </w:p>
    <w:p>
      <w:pPr>
        <w:spacing w:after="0" w:line="125" w:lineRule="exact"/>
        <w:rPr>
          <w:sz w:val="20"/>
          <w:szCs w:val="20"/>
          <w:color w:val="auto"/>
        </w:rPr>
      </w:pPr>
    </w:p>
    <w:p>
      <w:pPr>
        <w:ind w:left="425" w:hanging="425"/>
        <w:spacing w:after="0"/>
        <w:tabs>
          <w:tab w:leader="none" w:pos="425"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AND SUPPORT</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13.1. Product must comply with the Specifications as set out in appendix 1.</w:t>
      </w:r>
    </w:p>
    <w:p>
      <w:pPr>
        <w:spacing w:after="0" w:line="129" w:lineRule="exact"/>
        <w:rPr>
          <w:sz w:val="20"/>
          <w:szCs w:val="20"/>
          <w:color w:val="auto"/>
        </w:rPr>
      </w:pPr>
    </w:p>
    <w:p>
      <w:pPr>
        <w:ind w:left="1405" w:right="260" w:hanging="430"/>
        <w:spacing w:after="0" w:line="275" w:lineRule="auto"/>
        <w:rPr>
          <w:sz w:val="20"/>
          <w:szCs w:val="20"/>
          <w:color w:val="auto"/>
        </w:rPr>
      </w:pPr>
      <w:r>
        <w:rPr>
          <w:rFonts w:ascii="Arial" w:cs="Arial" w:eastAsia="Arial" w:hAnsi="Arial"/>
          <w:sz w:val="18"/>
          <w:szCs w:val="18"/>
          <w:color w:val="auto"/>
        </w:rPr>
        <w:t>13.2. Bachem must comply with relevant rules and regulations of the US, the EU and Switzerland in addition to relevant FDA and ICH guidelines.</w:t>
      </w:r>
    </w:p>
    <w:p>
      <w:pPr>
        <w:spacing w:after="0" w:line="77" w:lineRule="exact"/>
        <w:rPr>
          <w:sz w:val="20"/>
          <w:szCs w:val="20"/>
          <w:color w:val="auto"/>
        </w:rPr>
      </w:pPr>
    </w:p>
    <w:p>
      <w:pPr>
        <w:ind w:left="1405" w:hanging="430"/>
        <w:spacing w:after="0" w:line="272" w:lineRule="auto"/>
        <w:rPr>
          <w:sz w:val="20"/>
          <w:szCs w:val="20"/>
          <w:color w:val="auto"/>
        </w:rPr>
      </w:pPr>
      <w:r>
        <w:rPr>
          <w:rFonts w:ascii="Arial" w:cs="Arial" w:eastAsia="Arial" w:hAnsi="Arial"/>
          <w:sz w:val="17"/>
          <w:szCs w:val="17"/>
          <w:color w:val="auto"/>
        </w:rPr>
        <w:t>13.3. Bachem is obligated to support global regulatory requirements/requests by Health Authorities in [***], provided that Ascendis informs Bachem of any additional requirements. Ascendis shall [***] for Bachem. Health Authority Requirements are in this context defined as direct legal requirements imposed on Ascendis where non-compliance results in loss of license to operate or financial penalties due to non-compliance in the respective region. Health Authority Requests are defined as enquires from Health Authorities with relation to regulatory submissions (including but not limited to marketing authorization applications, clinical trial applications, line extensions, variations and safety requests).</w:t>
      </w:r>
    </w:p>
    <w:p>
      <w:pPr>
        <w:spacing w:after="0" w:line="83" w:lineRule="exact"/>
        <w:rPr>
          <w:sz w:val="20"/>
          <w:szCs w:val="20"/>
          <w:color w:val="auto"/>
        </w:rPr>
      </w:pPr>
    </w:p>
    <w:p>
      <w:pPr>
        <w:ind w:left="1405" w:right="160" w:hanging="430"/>
        <w:spacing w:after="0" w:line="275" w:lineRule="auto"/>
        <w:rPr>
          <w:sz w:val="20"/>
          <w:szCs w:val="20"/>
          <w:color w:val="auto"/>
        </w:rPr>
      </w:pPr>
      <w:r>
        <w:rPr>
          <w:rFonts w:ascii="Arial" w:cs="Arial" w:eastAsia="Arial" w:hAnsi="Arial"/>
          <w:sz w:val="18"/>
          <w:szCs w:val="18"/>
          <w:color w:val="auto"/>
        </w:rPr>
        <w:t>13.4. [***] If Bachem agrees, Bachem shall also comply with any country-specific rules and regulations of such countries, provided that Ascendis informs Bachem of any additional requirements. Ascendis shall [***] for Bachem.</w:t>
      </w:r>
    </w:p>
    <w:p>
      <w:pPr>
        <w:spacing w:after="0" w:line="77" w:lineRule="exact"/>
        <w:rPr>
          <w:sz w:val="20"/>
          <w:szCs w:val="20"/>
          <w:color w:val="auto"/>
        </w:rPr>
      </w:pPr>
    </w:p>
    <w:p>
      <w:pPr>
        <w:jc w:val="both"/>
        <w:ind w:left="1405" w:right="100" w:hanging="430"/>
        <w:spacing w:after="0" w:line="262" w:lineRule="auto"/>
        <w:rPr>
          <w:sz w:val="20"/>
          <w:szCs w:val="20"/>
          <w:color w:val="auto"/>
        </w:rPr>
      </w:pPr>
      <w:r>
        <w:rPr>
          <w:rFonts w:ascii="Arial" w:cs="Arial" w:eastAsia="Arial" w:hAnsi="Arial"/>
          <w:sz w:val="18"/>
          <w:szCs w:val="18"/>
          <w:color w:val="auto"/>
        </w:rPr>
        <w:t>13.5. Bachem is obligated to deliver any information/data required to support both Health Authority Requirements and Health Authority Requests. Data should be delivered to Ascendis according to respective Health Authority Controlled Terms as applicable and where possible in structured format (in a suitable file format).</w:t>
      </w:r>
    </w:p>
    <w:p>
      <w:pPr>
        <w:spacing w:after="0" w:line="89" w:lineRule="exact"/>
        <w:rPr>
          <w:sz w:val="20"/>
          <w:szCs w:val="20"/>
          <w:color w:val="auto"/>
        </w:rPr>
      </w:pPr>
    </w:p>
    <w:p>
      <w:pPr>
        <w:ind w:left="1405" w:right="380" w:hanging="430"/>
        <w:spacing w:after="0" w:line="275" w:lineRule="auto"/>
        <w:rPr>
          <w:sz w:val="20"/>
          <w:szCs w:val="20"/>
          <w:color w:val="auto"/>
        </w:rPr>
      </w:pPr>
      <w:r>
        <w:rPr>
          <w:rFonts w:ascii="Arial" w:cs="Arial" w:eastAsia="Arial" w:hAnsi="Arial"/>
          <w:sz w:val="18"/>
          <w:szCs w:val="18"/>
          <w:color w:val="auto"/>
        </w:rPr>
        <w:t>13.6. [***] It is a combined responsibility between Bachem and Ascendis to ensure that the content of a regulatory filing conforms to Bachem’s internal documentation for the manufacturing and release of the Product.</w:t>
      </w:r>
    </w:p>
    <w:p>
      <w:pPr>
        <w:spacing w:after="0" w:line="77" w:lineRule="exact"/>
        <w:rPr>
          <w:sz w:val="20"/>
          <w:szCs w:val="20"/>
          <w:color w:val="auto"/>
        </w:rPr>
      </w:pPr>
    </w:p>
    <w:p>
      <w:pPr>
        <w:ind w:left="1405" w:right="400" w:hanging="430"/>
        <w:spacing w:after="0" w:line="340" w:lineRule="auto"/>
        <w:rPr>
          <w:sz w:val="20"/>
          <w:szCs w:val="20"/>
          <w:color w:val="auto"/>
        </w:rPr>
      </w:pPr>
      <w:r>
        <w:rPr>
          <w:rFonts w:ascii="Arial" w:cs="Arial" w:eastAsia="Arial" w:hAnsi="Arial"/>
          <w:sz w:val="16"/>
          <w:szCs w:val="16"/>
          <w:color w:val="auto"/>
        </w:rPr>
        <w:t>13.7. Bachem agrees to provide any information/documentation/data reasonably required to support regulatory requirements/requests within a mutually agreed timeframe taking into account the urgency of the request as determined by Ascendis.</w:t>
      </w:r>
    </w:p>
    <w:p>
      <w:pPr>
        <w:spacing w:after="0" w:line="5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12 of 26</w:t>
      </w:r>
    </w:p>
    <w:p>
      <w:pPr>
        <w:sectPr>
          <w:pgSz w:w="11900" w:h="16838" w:orient="portrait"/>
          <w:cols w:equalWidth="0" w:num="1">
            <w:col w:w="10965"/>
          </w:cols>
          <w:pgMar w:left="455" w:top="273" w:right="479" w:bottom="1440" w:gutter="0" w:footer="0" w:header="0"/>
        </w:sectPr>
      </w:pPr>
    </w:p>
    <w:bookmarkStart w:id="231" w:name="page232"/>
    <w:bookmarkEnd w:id="231"/>
    <w:p>
      <w:pPr>
        <w:jc w:val="center"/>
        <w:ind w:right="1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13.8. When providing regulatory support, Bachem shall quote and invoice such support as separate work orders, using [***].</w:t>
      </w:r>
    </w:p>
    <w:p>
      <w:pPr>
        <w:spacing w:after="0" w:line="125" w:lineRule="exact"/>
        <w:rPr>
          <w:sz w:val="20"/>
          <w:szCs w:val="20"/>
          <w:color w:val="auto"/>
        </w:rPr>
      </w:pPr>
    </w:p>
    <w:p>
      <w:pPr>
        <w:ind w:left="425" w:hanging="425"/>
        <w:spacing w:after="0"/>
        <w:tabs>
          <w:tab w:leader="none" w:pos="425"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NON-COMPLIANCE</w:t>
      </w:r>
    </w:p>
    <w:p>
      <w:pPr>
        <w:spacing w:after="0" w:line="133" w:lineRule="exact"/>
        <w:rPr>
          <w:sz w:val="20"/>
          <w:szCs w:val="20"/>
          <w:color w:val="auto"/>
        </w:rPr>
      </w:pPr>
    </w:p>
    <w:p>
      <w:pPr>
        <w:ind w:left="1405" w:right="40" w:hanging="430"/>
        <w:spacing w:after="0" w:line="258" w:lineRule="auto"/>
        <w:rPr>
          <w:sz w:val="20"/>
          <w:szCs w:val="20"/>
          <w:color w:val="auto"/>
        </w:rPr>
      </w:pPr>
      <w:r>
        <w:rPr>
          <w:rFonts w:ascii="Arial" w:cs="Arial" w:eastAsia="Arial" w:hAnsi="Arial"/>
          <w:sz w:val="18"/>
          <w:szCs w:val="18"/>
          <w:color w:val="auto"/>
        </w:rPr>
        <w:t>14.1. If Ascendis finds that Product delivered does not conform to the terms and conditions of the Specifications or Quality Agreement or GMP, Ascendis shall no later than [***] after delivery notify Bachem hereof in writing with Ascendis’ observations with respect to the non-compliance. For latent defects (as defined in the Quality Agreement), Ascendis shall notify Bachem no later than [***] after discovery of the defect [***].</w:t>
      </w:r>
    </w:p>
    <w:p>
      <w:pPr>
        <w:spacing w:after="0" w:line="92" w:lineRule="exact"/>
        <w:rPr>
          <w:sz w:val="20"/>
          <w:szCs w:val="20"/>
          <w:color w:val="auto"/>
        </w:rPr>
      </w:pPr>
    </w:p>
    <w:p>
      <w:pPr>
        <w:ind w:left="1405" w:right="20" w:hanging="430"/>
        <w:spacing w:after="0" w:line="340" w:lineRule="auto"/>
        <w:rPr>
          <w:sz w:val="20"/>
          <w:szCs w:val="20"/>
          <w:color w:val="auto"/>
        </w:rPr>
      </w:pPr>
      <w:r>
        <w:rPr>
          <w:rFonts w:ascii="Arial" w:cs="Arial" w:eastAsia="Arial" w:hAnsi="Arial"/>
          <w:sz w:val="16"/>
          <w:szCs w:val="16"/>
          <w:color w:val="auto"/>
        </w:rPr>
        <w:t>14.2. Bachem shall within [***] calculated from the day on which such written complaint has been received by Bachem, provide an initial response and a report as soon as possible afterwards but in any case within any timelines given in the Quality Agreement.</w:t>
      </w:r>
    </w:p>
    <w:p>
      <w:pPr>
        <w:spacing w:after="0" w:line="30" w:lineRule="exact"/>
        <w:rPr>
          <w:sz w:val="20"/>
          <w:szCs w:val="20"/>
          <w:color w:val="auto"/>
        </w:rPr>
      </w:pPr>
    </w:p>
    <w:p>
      <w:pPr>
        <w:ind w:left="1405" w:right="40" w:hanging="430"/>
        <w:spacing w:after="0" w:line="258" w:lineRule="auto"/>
        <w:rPr>
          <w:sz w:val="20"/>
          <w:szCs w:val="20"/>
          <w:color w:val="auto"/>
        </w:rPr>
      </w:pPr>
      <w:r>
        <w:rPr>
          <w:rFonts w:ascii="Arial" w:cs="Arial" w:eastAsia="Arial" w:hAnsi="Arial"/>
          <w:sz w:val="18"/>
          <w:szCs w:val="18"/>
          <w:color w:val="auto"/>
        </w:rPr>
        <w:t>14.3. In the event that the Parties are in agreement that Product delivered does not conform with the Specifications, GMP and/or the provisions of the Quality Agreement, Ascendis shall not pay for such Product. At Ascendis’ sole discretion, without prejudice to any other claim that Ascendis may have under this Agreement and/or applicable law, Bachem shall [***]. If the confirmed defect was detected after shipment from Bachem, [***].</w:t>
      </w:r>
    </w:p>
    <w:p>
      <w:pPr>
        <w:spacing w:after="0" w:line="92" w:lineRule="exact"/>
        <w:rPr>
          <w:sz w:val="20"/>
          <w:szCs w:val="20"/>
          <w:color w:val="auto"/>
        </w:rPr>
      </w:pPr>
    </w:p>
    <w:p>
      <w:pPr>
        <w:jc w:val="both"/>
        <w:ind w:left="1405" w:right="120" w:hanging="430"/>
        <w:spacing w:after="0" w:line="262" w:lineRule="auto"/>
        <w:rPr>
          <w:sz w:val="20"/>
          <w:szCs w:val="20"/>
          <w:color w:val="auto"/>
        </w:rPr>
      </w:pPr>
      <w:r>
        <w:rPr>
          <w:rFonts w:ascii="Arial" w:cs="Arial" w:eastAsia="Arial" w:hAnsi="Arial"/>
          <w:sz w:val="18"/>
          <w:szCs w:val="18"/>
          <w:color w:val="auto"/>
        </w:rPr>
        <w:t>14.4. In the event of a dispute as to the acceptance by Ascendis of a Batch of Product, the Parties agree to seek an amicable settlement by way of discussions between quality assurance representatives from either Party. If the dispute is not resolved amicably within [***] from Ascendis’ notice mentioned in Article 14.1, the issue may be referred to [***].</w:t>
      </w:r>
    </w:p>
    <w:p>
      <w:pPr>
        <w:spacing w:after="0" w:line="85" w:lineRule="exact"/>
        <w:rPr>
          <w:sz w:val="20"/>
          <w:szCs w:val="20"/>
          <w:color w:val="auto"/>
        </w:rPr>
      </w:pPr>
    </w:p>
    <w:p>
      <w:pPr>
        <w:ind w:left="425" w:hanging="425"/>
        <w:spacing w:after="0"/>
        <w:tabs>
          <w:tab w:leader="none" w:pos="425"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RECALL</w:t>
      </w:r>
    </w:p>
    <w:p>
      <w:pPr>
        <w:spacing w:after="0" w:line="133" w:lineRule="exact"/>
        <w:rPr>
          <w:sz w:val="20"/>
          <w:szCs w:val="20"/>
          <w:color w:val="auto"/>
        </w:rPr>
      </w:pPr>
    </w:p>
    <w:p>
      <w:pPr>
        <w:ind w:left="1405" w:right="180" w:hanging="430"/>
        <w:spacing w:after="0" w:line="275" w:lineRule="auto"/>
        <w:rPr>
          <w:sz w:val="20"/>
          <w:szCs w:val="20"/>
          <w:color w:val="auto"/>
        </w:rPr>
      </w:pPr>
      <w:r>
        <w:rPr>
          <w:rFonts w:ascii="Arial" w:cs="Arial" w:eastAsia="Arial" w:hAnsi="Arial"/>
          <w:sz w:val="18"/>
          <w:szCs w:val="18"/>
          <w:color w:val="auto"/>
        </w:rPr>
        <w:t>15.1. [***] shall [***] whether and under what circumstances to require the recall of Batches of Product. [***]. In the event that a recall of a Batch from sale is necessary [***].</w:t>
      </w:r>
    </w:p>
    <w:p>
      <w:pPr>
        <w:spacing w:after="0" w:line="315" w:lineRule="exact"/>
        <w:rPr>
          <w:sz w:val="20"/>
          <w:szCs w:val="20"/>
          <w:color w:val="auto"/>
        </w:rPr>
      </w:pPr>
    </w:p>
    <w:p>
      <w:pPr>
        <w:ind w:left="425" w:hanging="425"/>
        <w:spacing w:after="0"/>
        <w:tabs>
          <w:tab w:leader="none" w:pos="425"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33" w:lineRule="exact"/>
        <w:rPr>
          <w:sz w:val="20"/>
          <w:szCs w:val="20"/>
          <w:color w:val="auto"/>
        </w:rPr>
      </w:pPr>
    </w:p>
    <w:p>
      <w:pPr>
        <w:ind w:left="1405" w:hanging="430"/>
        <w:spacing w:after="0" w:line="275" w:lineRule="auto"/>
        <w:rPr>
          <w:sz w:val="20"/>
          <w:szCs w:val="20"/>
          <w:color w:val="auto"/>
        </w:rPr>
      </w:pPr>
      <w:r>
        <w:rPr>
          <w:rFonts w:ascii="Arial" w:cs="Arial" w:eastAsia="Arial" w:hAnsi="Arial"/>
          <w:sz w:val="18"/>
          <w:szCs w:val="18"/>
          <w:color w:val="auto"/>
        </w:rPr>
        <w:t>16.1. This Agreement will come into effect on the date of last signing hereof and will continue in effect until December 31</w:t>
      </w:r>
      <w:r>
        <w:rPr>
          <w:rFonts w:ascii="Arial" w:cs="Arial" w:eastAsia="Arial" w:hAnsi="Arial"/>
          <w:sz w:val="15"/>
          <w:szCs w:val="15"/>
          <w:color w:val="auto"/>
        </w:rPr>
        <w:t>st</w:t>
      </w:r>
      <w:r>
        <w:rPr>
          <w:rFonts w:ascii="Arial" w:cs="Arial" w:eastAsia="Arial" w:hAnsi="Arial"/>
          <w:sz w:val="18"/>
          <w:szCs w:val="18"/>
          <w:color w:val="auto"/>
        </w:rPr>
        <w:t>, 2027 (“Initial Term”).</w:t>
      </w:r>
    </w:p>
    <w:p>
      <w:pPr>
        <w:spacing w:after="0" w:line="10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Page 13 of 26</w:t>
      </w:r>
    </w:p>
    <w:p>
      <w:pPr>
        <w:sectPr>
          <w:pgSz w:w="11900" w:h="16838" w:orient="portrait"/>
          <w:cols w:equalWidth="0" w:num="1">
            <w:col w:w="10965"/>
          </w:cols>
          <w:pgMar w:left="455" w:top="273" w:right="479" w:bottom="1440" w:gutter="0" w:footer="0" w:header="0"/>
        </w:sectPr>
      </w:pPr>
    </w:p>
    <w:bookmarkStart w:id="232" w:name="page233"/>
    <w:bookmarkEnd w:id="232"/>
    <w:p>
      <w:pPr>
        <w:ind w:left="420" w:right="100" w:hanging="43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16.2. After the Initial Term, the Agreement shall automatically continue in effect until terminated by either Party, provided, however, that the Agreement shall expire automatically by the end of the Initial Term if no market authorization approval has been granted for Product within the Initial Term.</w:t>
      </w:r>
    </w:p>
    <w:p>
      <w:pPr>
        <w:spacing w:after="0" w:line="75" w:lineRule="exact"/>
        <w:rPr>
          <w:sz w:val="20"/>
          <w:szCs w:val="20"/>
          <w:color w:val="auto"/>
        </w:rPr>
      </w:pPr>
    </w:p>
    <w:p>
      <w:pPr>
        <w:ind w:left="440" w:right="140"/>
        <w:spacing w:after="0" w:line="340" w:lineRule="auto"/>
        <w:rPr>
          <w:sz w:val="20"/>
          <w:szCs w:val="20"/>
          <w:color w:val="auto"/>
        </w:rPr>
      </w:pPr>
      <w:r>
        <w:rPr>
          <w:rFonts w:ascii="Arial" w:cs="Arial" w:eastAsia="Arial" w:hAnsi="Arial"/>
          <w:sz w:val="16"/>
          <w:szCs w:val="16"/>
          <w:color w:val="auto"/>
        </w:rPr>
        <w:t>Notwithstanding any termination of this Agreement, the rights and duties of the Parties with respect to any terms, which by their nature are intended to survive termination, shall survive and continue to be enforceable, including but not limited to Articles [***].</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16.3. This Agreement may be terminated:</w:t>
      </w:r>
    </w:p>
    <w:p>
      <w:pPr>
        <w:spacing w:after="0" w:line="129" w:lineRule="exact"/>
        <w:rPr>
          <w:sz w:val="20"/>
          <w:szCs w:val="20"/>
          <w:color w:val="auto"/>
        </w:rPr>
      </w:pPr>
    </w:p>
    <w:p>
      <w:pPr>
        <w:ind w:left="980" w:hanging="539"/>
        <w:spacing w:after="0"/>
        <w:tabs>
          <w:tab w:leader="none" w:pos="9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either Party upon notice to take effect immediately in the event of:</w:t>
      </w:r>
    </w:p>
    <w:p>
      <w:pPr>
        <w:spacing w:after="0" w:line="129" w:lineRule="exact"/>
        <w:rPr>
          <w:rFonts w:ascii="Arial" w:cs="Arial" w:eastAsia="Arial" w:hAnsi="Arial"/>
          <w:sz w:val="18"/>
          <w:szCs w:val="18"/>
          <w:color w:val="auto"/>
        </w:rPr>
      </w:pPr>
    </w:p>
    <w:p>
      <w:pPr>
        <w:ind w:left="1420" w:hanging="441"/>
        <w:spacing w:after="0"/>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 assignment by the other Party for the benefit of creditors;</w:t>
      </w:r>
    </w:p>
    <w:p>
      <w:pPr>
        <w:spacing w:after="0" w:line="129" w:lineRule="exact"/>
        <w:rPr>
          <w:rFonts w:ascii="Arial" w:cs="Arial" w:eastAsia="Arial" w:hAnsi="Arial"/>
          <w:sz w:val="18"/>
          <w:szCs w:val="18"/>
          <w:color w:val="auto"/>
        </w:rPr>
      </w:pPr>
    </w:p>
    <w:p>
      <w:pPr>
        <w:ind w:left="1420" w:hanging="441"/>
        <w:spacing w:after="0"/>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admitted insolvency of the other Party;</w:t>
      </w:r>
    </w:p>
    <w:p>
      <w:pPr>
        <w:spacing w:after="0" w:line="129" w:lineRule="exact"/>
        <w:rPr>
          <w:rFonts w:ascii="Arial" w:cs="Arial" w:eastAsia="Arial" w:hAnsi="Arial"/>
          <w:sz w:val="18"/>
          <w:szCs w:val="18"/>
          <w:color w:val="auto"/>
        </w:rPr>
      </w:pPr>
    </w:p>
    <w:p>
      <w:pPr>
        <w:ind w:left="1420" w:right="380" w:hanging="441"/>
        <w:spacing w:after="0" w:line="340" w:lineRule="auto"/>
        <w:tabs>
          <w:tab w:leader="none" w:pos="142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institution of voluntary or involuntary proceedings by or against the other Party in bankruptcy, insolvency, moratorium or for a receivership, or for a winding-up or for the dissolution or reorganization of the other Party; or</w:t>
      </w:r>
    </w:p>
    <w:p>
      <w:pPr>
        <w:spacing w:after="0" w:line="30" w:lineRule="exact"/>
        <w:rPr>
          <w:rFonts w:ascii="Arial" w:cs="Arial" w:eastAsia="Arial" w:hAnsi="Arial"/>
          <w:sz w:val="16"/>
          <w:szCs w:val="16"/>
          <w:color w:val="auto"/>
        </w:rPr>
      </w:pPr>
    </w:p>
    <w:p>
      <w:pPr>
        <w:ind w:left="1420" w:hanging="441"/>
        <w:spacing w:after="0"/>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taking of any action by the other Party under an act for relief from creditors;</w:t>
      </w:r>
    </w:p>
    <w:p>
      <w:pPr>
        <w:spacing w:after="0" w:line="129" w:lineRule="exact"/>
        <w:rPr>
          <w:rFonts w:ascii="Arial" w:cs="Arial" w:eastAsia="Arial" w:hAnsi="Arial"/>
          <w:sz w:val="18"/>
          <w:szCs w:val="18"/>
          <w:color w:val="auto"/>
        </w:rPr>
      </w:pPr>
    </w:p>
    <w:p>
      <w:pPr>
        <w:jc w:val="both"/>
        <w:ind w:left="980" w:hanging="539"/>
        <w:spacing w:after="0" w:line="262" w:lineRule="auto"/>
        <w:tabs>
          <w:tab w:leader="none" w:pos="9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either Party upon [***] written notice to the other Party in the event of a failure of such other Party to perform or observe a material obligation imposed by this Agreement, unless such failure is cured or the parties have reached agreement on a plan to achieve a cure of such failure prior to the end of such [***] period.</w:t>
      </w:r>
    </w:p>
    <w:p>
      <w:pPr>
        <w:spacing w:after="0" w:line="88" w:lineRule="exact"/>
        <w:rPr>
          <w:rFonts w:ascii="Arial" w:cs="Arial" w:eastAsia="Arial" w:hAnsi="Arial"/>
          <w:sz w:val="18"/>
          <w:szCs w:val="18"/>
          <w:color w:val="auto"/>
        </w:rPr>
      </w:pPr>
    </w:p>
    <w:p>
      <w:pPr>
        <w:ind w:left="980" w:right="320" w:hanging="539"/>
        <w:spacing w:after="0" w:line="306" w:lineRule="auto"/>
        <w:tabs>
          <w:tab w:leader="none" w:pos="9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By Ascendis after the Initial Term with [***] written notice. For the avoidance of doubt, the earliest possible termination under this clause would have effect by 31 December 2027, provided notice is given no later than [***].</w:t>
      </w:r>
    </w:p>
    <w:p>
      <w:pPr>
        <w:spacing w:after="0" w:line="53" w:lineRule="exact"/>
        <w:rPr>
          <w:rFonts w:ascii="Arial" w:cs="Arial" w:eastAsia="Arial" w:hAnsi="Arial"/>
          <w:sz w:val="17"/>
          <w:szCs w:val="17"/>
          <w:color w:val="auto"/>
        </w:rPr>
      </w:pPr>
    </w:p>
    <w:p>
      <w:pPr>
        <w:ind w:left="980" w:right="400" w:hanging="539"/>
        <w:spacing w:after="0" w:line="306" w:lineRule="auto"/>
        <w:tabs>
          <w:tab w:leader="none" w:pos="9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By Bachem after the Initial Term with [***] written notice. For the avoidance of doubt, the earliest possible termination under this clause would have effect by 31 December 2027, provided notice is given no later than [***].</w:t>
      </w:r>
    </w:p>
    <w:p>
      <w:pPr>
        <w:spacing w:after="0" w:line="8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14 of 26</w:t>
      </w:r>
    </w:p>
    <w:p>
      <w:pPr>
        <w:sectPr>
          <w:pgSz w:w="11900" w:h="16838" w:orient="portrait"/>
          <w:cols w:equalWidth="0" w:num="1">
            <w:col w:w="9980"/>
          </w:cols>
          <w:pgMar w:left="1440" w:top="273" w:right="479" w:bottom="1440" w:gutter="0" w:footer="0" w:header="0"/>
        </w:sectPr>
      </w:pPr>
    </w:p>
    <w:bookmarkStart w:id="233" w:name="page234"/>
    <w:bookmarkEnd w:id="233"/>
    <w:p>
      <w:pPr>
        <w:ind w:left="980" w:right="240" w:hanging="539"/>
        <w:spacing w:after="0" w:line="275" w:lineRule="auto"/>
        <w:tabs>
          <w:tab w:leader="none" w:pos="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By Ascendis if Bachem is acquired by a company marketing a competing drug to Ascendis’ [***], with usual notice, also before the expiry of the Initial Term.</w:t>
      </w:r>
    </w:p>
    <w:p>
      <w:pPr>
        <w:spacing w:after="0" w:line="77" w:lineRule="exact"/>
        <w:rPr>
          <w:rFonts w:ascii="Arial" w:cs="Arial" w:eastAsia="Arial" w:hAnsi="Arial"/>
          <w:sz w:val="18"/>
          <w:szCs w:val="18"/>
          <w:color w:val="auto"/>
        </w:rPr>
      </w:pPr>
    </w:p>
    <w:p>
      <w:pPr>
        <w:ind w:left="980" w:hanging="539"/>
        <w:spacing w:after="0"/>
        <w:tabs>
          <w:tab w:leader="none" w:pos="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By mutual agreement of the Parties.</w:t>
      </w:r>
    </w:p>
    <w:p>
      <w:pPr>
        <w:spacing w:after="0" w:line="129" w:lineRule="exact"/>
        <w:rPr>
          <w:sz w:val="20"/>
          <w:szCs w:val="20"/>
          <w:color w:val="auto"/>
        </w:rPr>
      </w:pPr>
    </w:p>
    <w:p>
      <w:pPr>
        <w:ind w:left="420" w:hanging="430"/>
        <w:spacing w:after="0" w:line="274" w:lineRule="auto"/>
        <w:rPr>
          <w:sz w:val="20"/>
          <w:szCs w:val="20"/>
          <w:color w:val="auto"/>
        </w:rPr>
      </w:pPr>
      <w:r>
        <w:rPr>
          <w:rFonts w:ascii="Arial" w:cs="Arial" w:eastAsia="Arial" w:hAnsi="Arial"/>
          <w:sz w:val="17"/>
          <w:szCs w:val="17"/>
          <w:color w:val="auto"/>
        </w:rPr>
        <w:t>16.4. Termination of this Agreement, for any reason, shall not release either Party from any liability which at said time it has already incurred to the other Party, nor affect in any way the survival of any rights, duties or obligations of either Party which are stated elsewhere in this Agreement to survive said expiration or prior termination. Nothing in the immediately preceding sentence shall affect, be construed or operate as a waiver of the right of the Party aggrieved by any breach of this Agreement to be compensated for any injury or damage resulting therefrom which is incurred before or after such expiration or termination.</w:t>
      </w:r>
    </w:p>
    <w:p>
      <w:pPr>
        <w:spacing w:after="0" w:line="81" w:lineRule="exact"/>
        <w:rPr>
          <w:sz w:val="20"/>
          <w:szCs w:val="20"/>
          <w:color w:val="auto"/>
        </w:rPr>
      </w:pPr>
    </w:p>
    <w:p>
      <w:pPr>
        <w:jc w:val="both"/>
        <w:ind w:left="420" w:right="20" w:hanging="430"/>
        <w:spacing w:after="0" w:line="258" w:lineRule="auto"/>
        <w:rPr>
          <w:sz w:val="20"/>
          <w:szCs w:val="20"/>
          <w:color w:val="auto"/>
        </w:rPr>
      </w:pPr>
      <w:r>
        <w:rPr>
          <w:rFonts w:ascii="Arial" w:cs="Arial" w:eastAsia="Arial" w:hAnsi="Arial"/>
          <w:sz w:val="18"/>
          <w:szCs w:val="18"/>
          <w:color w:val="auto"/>
        </w:rPr>
        <w:t>16.5. On the request of Ascendis and at termination of this Agreement, Bachem shall [***] together with Product manufactured. Bachem is entitled to retain one (1) copy of such documents forwarded with respect [***] and Product manufactured, in order for Bachem to comply with the current GMP regulations and may not be used for any other purpose. Copies so retained shall be destroyed once the statutory retention period, subject to GMP, has elapsed.</w:t>
      </w:r>
    </w:p>
    <w:p>
      <w:pPr>
        <w:spacing w:after="0" w:line="92" w:lineRule="exact"/>
        <w:rPr>
          <w:sz w:val="20"/>
          <w:szCs w:val="20"/>
          <w:color w:val="auto"/>
        </w:rPr>
      </w:pPr>
    </w:p>
    <w:p>
      <w:pPr>
        <w:ind w:left="420" w:right="360" w:hanging="430"/>
        <w:spacing w:after="0" w:line="275" w:lineRule="auto"/>
        <w:rPr>
          <w:sz w:val="20"/>
          <w:szCs w:val="20"/>
          <w:color w:val="auto"/>
        </w:rPr>
      </w:pPr>
      <w:r>
        <w:rPr>
          <w:rFonts w:ascii="Arial" w:cs="Arial" w:eastAsia="Arial" w:hAnsi="Arial"/>
          <w:sz w:val="18"/>
          <w:szCs w:val="18"/>
          <w:color w:val="auto"/>
        </w:rPr>
        <w:t>16.6. Upon termination Bachem shall keep the original Batch documentation for Products manufactured and/or packed by Bachem in accordance with the obligations laid down in Appendix 1.</w:t>
      </w:r>
    </w:p>
    <w:p>
      <w:pPr>
        <w:spacing w:after="0" w:line="77" w:lineRule="exact"/>
        <w:rPr>
          <w:sz w:val="20"/>
          <w:szCs w:val="20"/>
          <w:color w:val="auto"/>
        </w:rPr>
      </w:pPr>
    </w:p>
    <w:p>
      <w:pPr>
        <w:ind w:left="420" w:right="60" w:hanging="430"/>
        <w:spacing w:after="0" w:line="275" w:lineRule="auto"/>
        <w:rPr>
          <w:sz w:val="20"/>
          <w:szCs w:val="20"/>
          <w:color w:val="auto"/>
        </w:rPr>
      </w:pPr>
      <w:r>
        <w:rPr>
          <w:rFonts w:ascii="Arial" w:cs="Arial" w:eastAsia="Arial" w:hAnsi="Arial"/>
          <w:sz w:val="18"/>
          <w:szCs w:val="18"/>
          <w:color w:val="auto"/>
        </w:rPr>
        <w:t>16.7. Upon termination Bachem shall [***] regarding the Products manufactured and/or packed by Bachem and [***] in relation to [***] about the quality of the Products in accordance with the obligations laid down in Appendix 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16.8. If the Agreement is terminated [***], [***] shall [***].</w:t>
      </w:r>
    </w:p>
    <w:p>
      <w:pPr>
        <w:spacing w:after="0" w:line="129" w:lineRule="exact"/>
        <w:rPr>
          <w:sz w:val="20"/>
          <w:szCs w:val="20"/>
          <w:color w:val="auto"/>
        </w:rPr>
      </w:pPr>
    </w:p>
    <w:p>
      <w:pPr>
        <w:ind w:left="420" w:right="240" w:hanging="430"/>
        <w:spacing w:after="0" w:line="275" w:lineRule="auto"/>
        <w:rPr>
          <w:sz w:val="20"/>
          <w:szCs w:val="20"/>
          <w:color w:val="auto"/>
        </w:rPr>
      </w:pPr>
      <w:r>
        <w:rPr>
          <w:rFonts w:ascii="Arial" w:cs="Arial" w:eastAsia="Arial" w:hAnsi="Arial"/>
          <w:sz w:val="18"/>
          <w:szCs w:val="18"/>
          <w:color w:val="auto"/>
        </w:rPr>
        <w:t>16.9. Upon termination Bachem shall send back unused Customer Materials and any Product still in storage as per the termination date upon the request [***] of Ascendis.</w:t>
      </w:r>
    </w:p>
    <w:p>
      <w:pPr>
        <w:spacing w:after="0" w:line="77" w:lineRule="exact"/>
        <w:rPr>
          <w:sz w:val="20"/>
          <w:szCs w:val="20"/>
          <w:color w:val="auto"/>
        </w:rPr>
      </w:pPr>
    </w:p>
    <w:p>
      <w:pPr>
        <w:ind w:left="460" w:right="40" w:hanging="456"/>
        <w:spacing w:after="0" w:line="275" w:lineRule="auto"/>
        <w:rPr>
          <w:sz w:val="20"/>
          <w:szCs w:val="20"/>
          <w:color w:val="auto"/>
        </w:rPr>
      </w:pPr>
      <w:r>
        <w:rPr>
          <w:rFonts w:ascii="Arial" w:cs="Arial" w:eastAsia="Arial" w:hAnsi="Arial"/>
          <w:sz w:val="18"/>
          <w:szCs w:val="18"/>
          <w:color w:val="auto"/>
        </w:rPr>
        <w:t>16.10.Upon Ascendis’ request or in case of termination by either Party, [***]. In the event of termination by Bachem, [***] shall [***]. If applicable, [***] shall [***].</w:t>
      </w:r>
    </w:p>
    <w:p>
      <w:pPr>
        <w:spacing w:after="0" w:line="10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15 of 26</w:t>
      </w:r>
    </w:p>
    <w:p>
      <w:pPr>
        <w:sectPr>
          <w:pgSz w:w="11900" w:h="16838" w:orient="portrait"/>
          <w:cols w:equalWidth="0" w:num="1">
            <w:col w:w="9940"/>
          </w:cols>
          <w:pgMar w:left="1440" w:top="273" w:right="519" w:bottom="1440" w:gutter="0" w:footer="0" w:header="0"/>
        </w:sectPr>
      </w:pPr>
    </w:p>
    <w:bookmarkStart w:id="234" w:name="page235"/>
    <w:bookmarkEnd w:id="234"/>
    <w:p>
      <w:pPr>
        <w:ind w:left="425" w:hanging="425"/>
        <w:spacing w:after="0"/>
        <w:tabs>
          <w:tab w:leader="none" w:pos="425"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CONFIDENTIALITY</w:t>
      </w:r>
    </w:p>
    <w:p>
      <w:pPr>
        <w:spacing w:after="0" w:line="133" w:lineRule="exact"/>
        <w:rPr>
          <w:sz w:val="20"/>
          <w:szCs w:val="20"/>
          <w:color w:val="auto"/>
        </w:rPr>
      </w:pPr>
    </w:p>
    <w:p>
      <w:pPr>
        <w:ind w:left="1405" w:hanging="430"/>
        <w:spacing w:after="0" w:line="254" w:lineRule="auto"/>
        <w:rPr>
          <w:sz w:val="20"/>
          <w:szCs w:val="20"/>
          <w:color w:val="auto"/>
        </w:rPr>
      </w:pPr>
      <w:r>
        <w:rPr>
          <w:rFonts w:ascii="Arial" w:cs="Arial" w:eastAsia="Arial" w:hAnsi="Arial"/>
          <w:sz w:val="18"/>
          <w:szCs w:val="18"/>
          <w:color w:val="auto"/>
        </w:rPr>
        <w:t>17.1. Recipient will not, during or subsequent to the term of this Agreement, use Confidential Information for any purpose whatsoever other than for the performance of this Agreement or disclose Confidential Information to any third Party other than employees, affiliates or representatives who have a need to know in order to perform the Services. Recipient agrees that Confidential Information shall remain the sole property of Discloser. Recipient further agrees to take all reasonable precautions to prevent any unauthorized disclosure of Confidential Information. Notwithstanding the above, Recipients’ obligation under this Clause 17 relating to Confidential Information shall not apply to information which:</w:t>
      </w:r>
    </w:p>
    <w:p>
      <w:pPr>
        <w:spacing w:after="0" w:line="98" w:lineRule="exact"/>
        <w:rPr>
          <w:sz w:val="20"/>
          <w:szCs w:val="20"/>
          <w:color w:val="auto"/>
        </w:rPr>
      </w:pPr>
    </w:p>
    <w:p>
      <w:pPr>
        <w:ind w:left="1965" w:hanging="539"/>
        <w:spacing w:after="0"/>
        <w:tabs>
          <w:tab w:leader="none" w:pos="196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is known to Recipient at the time of disclosure to Recipient by Discloser as evidenced by written records of Recipient,</w:t>
      </w:r>
    </w:p>
    <w:p>
      <w:pPr>
        <w:spacing w:after="0" w:line="140" w:lineRule="exact"/>
        <w:rPr>
          <w:rFonts w:ascii="Arial" w:cs="Arial" w:eastAsia="Arial" w:hAnsi="Arial"/>
          <w:sz w:val="17"/>
          <w:szCs w:val="17"/>
          <w:color w:val="auto"/>
        </w:rPr>
      </w:pPr>
    </w:p>
    <w:p>
      <w:pPr>
        <w:ind w:left="1965" w:hanging="539"/>
        <w:spacing w:after="0"/>
        <w:tabs>
          <w:tab w:leader="none" w:pos="19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has become publicly known and made generally available through no wrongful act of Recipient,</w:t>
      </w:r>
    </w:p>
    <w:p>
      <w:pPr>
        <w:spacing w:after="0" w:line="129" w:lineRule="exact"/>
        <w:rPr>
          <w:rFonts w:ascii="Arial" w:cs="Arial" w:eastAsia="Arial" w:hAnsi="Arial"/>
          <w:sz w:val="18"/>
          <w:szCs w:val="18"/>
          <w:color w:val="auto"/>
        </w:rPr>
      </w:pPr>
    </w:p>
    <w:p>
      <w:pPr>
        <w:ind w:left="1965" w:right="140" w:hanging="539"/>
        <w:spacing w:after="0" w:line="275" w:lineRule="auto"/>
        <w:tabs>
          <w:tab w:leader="none" w:pos="19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has been developed independently by or on behalf of the Recipient with no use of or reliance upon Discloser’s Confidential Information; or</w:t>
      </w:r>
    </w:p>
    <w:p>
      <w:pPr>
        <w:spacing w:after="0" w:line="77" w:lineRule="exact"/>
        <w:rPr>
          <w:rFonts w:ascii="Arial" w:cs="Arial" w:eastAsia="Arial" w:hAnsi="Arial"/>
          <w:sz w:val="18"/>
          <w:szCs w:val="18"/>
          <w:color w:val="auto"/>
        </w:rPr>
      </w:pPr>
    </w:p>
    <w:p>
      <w:pPr>
        <w:ind w:left="1965" w:hanging="539"/>
        <w:spacing w:after="0"/>
        <w:tabs>
          <w:tab w:leader="none" w:pos="19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has been received by Recipient without restriction on disclosure from a third Party.</w:t>
      </w:r>
    </w:p>
    <w:p>
      <w:pPr>
        <w:spacing w:after="0" w:line="116" w:lineRule="exact"/>
        <w:rPr>
          <w:sz w:val="20"/>
          <w:szCs w:val="20"/>
          <w:color w:val="auto"/>
        </w:rPr>
      </w:pPr>
    </w:p>
    <w:p>
      <w:pPr>
        <w:ind w:left="1425" w:right="340"/>
        <w:spacing w:after="0" w:line="340" w:lineRule="auto"/>
        <w:rPr>
          <w:sz w:val="20"/>
          <w:szCs w:val="20"/>
          <w:color w:val="auto"/>
        </w:rPr>
      </w:pPr>
      <w:r>
        <w:rPr>
          <w:rFonts w:ascii="Arial" w:cs="Arial" w:eastAsia="Arial" w:hAnsi="Arial"/>
          <w:sz w:val="16"/>
          <w:szCs w:val="16"/>
          <w:color w:val="auto"/>
        </w:rPr>
        <w:t>Upon the termination of this Agreement (irrespective of the reason therefore), or upon Discloser’s earlier request, Recipient will deliver on request to Discloser all of Discloser’s Confidential Information, which is in Recipient’s possession or control.</w:t>
      </w:r>
    </w:p>
    <w:p>
      <w:pPr>
        <w:spacing w:after="0" w:line="30" w:lineRule="exact"/>
        <w:rPr>
          <w:sz w:val="20"/>
          <w:szCs w:val="20"/>
          <w:color w:val="auto"/>
        </w:rPr>
      </w:pPr>
    </w:p>
    <w:p>
      <w:pPr>
        <w:ind w:left="1405" w:right="220" w:hanging="430"/>
        <w:spacing w:after="0" w:line="275" w:lineRule="auto"/>
        <w:rPr>
          <w:sz w:val="20"/>
          <w:szCs w:val="20"/>
          <w:color w:val="auto"/>
        </w:rPr>
      </w:pPr>
      <w:r>
        <w:rPr>
          <w:rFonts w:ascii="Arial" w:cs="Arial" w:eastAsia="Arial" w:hAnsi="Arial"/>
          <w:sz w:val="18"/>
          <w:szCs w:val="18"/>
          <w:color w:val="auto"/>
        </w:rPr>
        <w:t>17.2. The obligations of Recipient under this Clause 17 shall remain in effect for a period of [***] after the termination or expiry of this Agreement.</w:t>
      </w:r>
    </w:p>
    <w:p>
      <w:pPr>
        <w:spacing w:after="0" w:line="73" w:lineRule="exact"/>
        <w:rPr>
          <w:sz w:val="20"/>
          <w:szCs w:val="20"/>
          <w:color w:val="auto"/>
        </w:rPr>
      </w:pPr>
    </w:p>
    <w:p>
      <w:pPr>
        <w:ind w:left="985" w:right="7340" w:hanging="985"/>
        <w:spacing w:after="0" w:line="392" w:lineRule="auto"/>
        <w:tabs>
          <w:tab w:leader="none" w:pos="43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INTELLECTUAL PROPERTY RIGHTS </w:t>
      </w:r>
      <w:r>
        <w:rPr>
          <w:rFonts w:ascii="Arial" w:cs="Arial" w:eastAsia="Arial" w:hAnsi="Arial"/>
          <w:sz w:val="18"/>
          <w:szCs w:val="18"/>
          <w:color w:val="auto"/>
        </w:rPr>
        <w:t>18.1. [***].</w:t>
      </w:r>
    </w:p>
    <w:p>
      <w:pPr>
        <w:ind w:left="985"/>
        <w:spacing w:after="0"/>
        <w:rPr>
          <w:rFonts w:ascii="Arial" w:cs="Arial" w:eastAsia="Arial" w:hAnsi="Arial"/>
          <w:sz w:val="18"/>
          <w:szCs w:val="18"/>
          <w:b w:val="1"/>
          <w:bCs w:val="1"/>
          <w:color w:val="auto"/>
        </w:rPr>
      </w:pPr>
      <w:r>
        <w:rPr>
          <w:rFonts w:ascii="Arial" w:cs="Arial" w:eastAsia="Arial" w:hAnsi="Arial"/>
          <w:sz w:val="18"/>
          <w:szCs w:val="18"/>
          <w:color w:val="auto"/>
        </w:rPr>
        <w:t>18.2. [***].</w:t>
      </w:r>
    </w:p>
    <w:p>
      <w:pPr>
        <w:spacing w:after="0" w:line="129" w:lineRule="exact"/>
        <w:rPr>
          <w:rFonts w:ascii="Arial" w:cs="Arial" w:eastAsia="Arial" w:hAnsi="Arial"/>
          <w:sz w:val="18"/>
          <w:szCs w:val="18"/>
          <w:b w:val="1"/>
          <w:bCs w:val="1"/>
          <w:color w:val="auto"/>
        </w:rPr>
      </w:pPr>
    </w:p>
    <w:p>
      <w:pPr>
        <w:ind w:left="985"/>
        <w:spacing w:after="0"/>
        <w:rPr>
          <w:rFonts w:ascii="Arial" w:cs="Arial" w:eastAsia="Arial" w:hAnsi="Arial"/>
          <w:sz w:val="18"/>
          <w:szCs w:val="18"/>
          <w:b w:val="1"/>
          <w:bCs w:val="1"/>
          <w:color w:val="auto"/>
        </w:rPr>
      </w:pPr>
      <w:r>
        <w:rPr>
          <w:rFonts w:ascii="Arial" w:cs="Arial" w:eastAsia="Arial" w:hAnsi="Arial"/>
          <w:sz w:val="18"/>
          <w:szCs w:val="18"/>
          <w:color w:val="auto"/>
        </w:rPr>
        <w:t>18.3. Ownership of [***] shall be [***]. Bachem, hereby grants to Ascendis a [***]. Ascendis hereby grants to Bachem a [***].</w:t>
      </w:r>
    </w:p>
    <w:p>
      <w:pPr>
        <w:spacing w:after="0" w:line="125" w:lineRule="exact"/>
        <w:rPr>
          <w:rFonts w:ascii="Arial" w:cs="Arial" w:eastAsia="Arial" w:hAnsi="Arial"/>
          <w:sz w:val="18"/>
          <w:szCs w:val="18"/>
          <w:b w:val="1"/>
          <w:bCs w:val="1"/>
          <w:color w:val="auto"/>
        </w:rPr>
      </w:pPr>
    </w:p>
    <w:p>
      <w:pPr>
        <w:ind w:left="425" w:hanging="425"/>
        <w:spacing w:after="0"/>
        <w:tabs>
          <w:tab w:leader="none" w:pos="425"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LIABILITY</w:t>
      </w:r>
    </w:p>
    <w:p>
      <w:pPr>
        <w:spacing w:after="0" w:line="133" w:lineRule="exact"/>
        <w:rPr>
          <w:sz w:val="20"/>
          <w:szCs w:val="20"/>
          <w:color w:val="auto"/>
        </w:rPr>
      </w:pPr>
    </w:p>
    <w:p>
      <w:pPr>
        <w:ind w:left="1405" w:right="40" w:hanging="430"/>
        <w:spacing w:after="0" w:line="258" w:lineRule="auto"/>
        <w:rPr>
          <w:sz w:val="20"/>
          <w:szCs w:val="20"/>
          <w:color w:val="auto"/>
        </w:rPr>
      </w:pPr>
      <w:r>
        <w:rPr>
          <w:rFonts w:ascii="Arial" w:cs="Arial" w:eastAsia="Arial" w:hAnsi="Arial"/>
          <w:sz w:val="18"/>
          <w:szCs w:val="18"/>
          <w:color w:val="auto"/>
        </w:rPr>
        <w:t>19.1. A Party (the “Indemnifying Party”) shall indemnify the other Party, its directors, officers and employees, for any and all damages, costs, expenses and other liabilities, including reasonable attorney’s fees and court costs, incurred in connection with [***] to have arisen from the negligence or intentional misconduct of the Indemnifying Party or the breach by the Indemnifying Party of any of its obligations under this Agreement.</w:t>
      </w:r>
    </w:p>
    <w:p>
      <w:pPr>
        <w:spacing w:after="0" w:line="11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16 of 26</w:t>
      </w:r>
    </w:p>
    <w:p>
      <w:pPr>
        <w:sectPr>
          <w:pgSz w:w="11900" w:h="16838" w:orient="portrait"/>
          <w:cols w:equalWidth="0" w:num="1">
            <w:col w:w="10965"/>
          </w:cols>
          <w:pgMar w:left="455" w:top="269" w:right="479" w:bottom="1440" w:gutter="0" w:footer="0" w:header="0"/>
        </w:sectPr>
      </w:pPr>
    </w:p>
    <w:bookmarkStart w:id="235" w:name="page236"/>
    <w:bookmarkEnd w:id="235"/>
    <w:p>
      <w:pPr>
        <w:ind w:left="1405" w:right="160" w:hanging="43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19.2. The Indemnifying Party shall be entitled, at its option, to control the defense and settlement of any claim for which it is liable, provided that the Indemnifying Party shall act reasonably and in good faith with respect to all matters relating to the settlement or disposition of the claim as the disposition or settlement relates to the Party entitled to indemnification. The indemnified Party shall reasonably cooperate in the investigation, defense and settlement of any claim for which indemnification is sought or provided hereunder and shall provide prompt notice of any such claim or reasonably anticipated claim to the Indemnifying Party.</w:t>
      </w:r>
    </w:p>
    <w:p>
      <w:pPr>
        <w:spacing w:after="0" w:line="67" w:lineRule="exact"/>
        <w:rPr>
          <w:sz w:val="20"/>
          <w:szCs w:val="20"/>
          <w:color w:val="auto"/>
        </w:rPr>
      </w:pPr>
    </w:p>
    <w:p>
      <w:pPr>
        <w:jc w:val="center"/>
        <w:ind w:left="880"/>
        <w:spacing w:after="0"/>
        <w:rPr>
          <w:sz w:val="20"/>
          <w:szCs w:val="20"/>
          <w:color w:val="auto"/>
        </w:rPr>
      </w:pPr>
      <w:r>
        <w:rPr>
          <w:rFonts w:ascii="Arial" w:cs="Arial" w:eastAsia="Arial" w:hAnsi="Arial"/>
          <w:sz w:val="16"/>
          <w:szCs w:val="16"/>
          <w:color w:val="auto"/>
        </w:rPr>
        <w:t>19.3. Except in the event of breach of warranty or in the event of gross negligence, and/or unless required by applicable law, neither Party</w:t>
      </w:r>
    </w:p>
    <w:p>
      <w:pPr>
        <w:spacing w:after="0" w:line="46" w:lineRule="exact"/>
        <w:rPr>
          <w:sz w:val="20"/>
          <w:szCs w:val="20"/>
          <w:color w:val="auto"/>
        </w:rPr>
      </w:pPr>
    </w:p>
    <w:p>
      <w:pPr>
        <w:ind w:left="1405" w:right="140"/>
        <w:spacing w:after="0" w:line="254" w:lineRule="auto"/>
        <w:rPr>
          <w:sz w:val="20"/>
          <w:szCs w:val="20"/>
          <w:color w:val="auto"/>
        </w:rPr>
      </w:pPr>
      <w:r>
        <w:rPr>
          <w:rFonts w:ascii="Arial" w:cs="Arial" w:eastAsia="Arial" w:hAnsi="Arial"/>
          <w:sz w:val="18"/>
          <w:szCs w:val="18"/>
          <w:color w:val="auto"/>
        </w:rPr>
        <w:t>shall be liable for any indirect, consequential, incidental or special damages whether arising under any legal theory of liability (including under any indemnification obligation) regardless of whether such Party knew or should have known of the possibility of such damages.</w:t>
      </w:r>
    </w:p>
    <w:p>
      <w:pPr>
        <w:spacing w:after="0" w:line="95"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19.4. In the event of [***], Bachem’s liability towards Ascendis [***].</w:t>
      </w:r>
    </w:p>
    <w:p>
      <w:pPr>
        <w:spacing w:after="0" w:line="12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19.5. In the event of [***], Bachem’s liability towards Ascendis [***].</w:t>
      </w:r>
    </w:p>
    <w:p>
      <w:pPr>
        <w:spacing w:after="0" w:line="12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19.6. In the event of [***], Bachem’s liability [***].</w:t>
      </w:r>
    </w:p>
    <w:p>
      <w:pPr>
        <w:spacing w:after="0" w:line="125" w:lineRule="exact"/>
        <w:rPr>
          <w:sz w:val="20"/>
          <w:szCs w:val="20"/>
          <w:color w:val="auto"/>
        </w:rPr>
      </w:pPr>
    </w:p>
    <w:p>
      <w:pPr>
        <w:ind w:left="425" w:hanging="425"/>
        <w:spacing w:after="0"/>
        <w:tabs>
          <w:tab w:leader="none" w:pos="425"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p>
    <w:p>
      <w:pPr>
        <w:spacing w:after="0" w:line="133" w:lineRule="exact"/>
        <w:rPr>
          <w:sz w:val="20"/>
          <w:szCs w:val="20"/>
          <w:color w:val="auto"/>
        </w:rPr>
      </w:pPr>
    </w:p>
    <w:p>
      <w:pPr>
        <w:ind w:left="1405" w:right="140" w:hanging="430"/>
        <w:spacing w:after="0" w:line="275" w:lineRule="auto"/>
        <w:rPr>
          <w:sz w:val="20"/>
          <w:szCs w:val="20"/>
          <w:color w:val="auto"/>
        </w:rPr>
      </w:pPr>
      <w:r>
        <w:rPr>
          <w:rFonts w:ascii="Arial" w:cs="Arial" w:eastAsia="Arial" w:hAnsi="Arial"/>
          <w:sz w:val="18"/>
          <w:szCs w:val="18"/>
          <w:color w:val="auto"/>
        </w:rPr>
        <w:t>20.1. Bachem undertakes to conduct its business in accordance with all applicable laws and regulations and the principles in the Bachem Code of Conduct.</w:t>
      </w:r>
    </w:p>
    <w:p>
      <w:pPr>
        <w:spacing w:after="0" w:line="77" w:lineRule="exact"/>
        <w:rPr>
          <w:sz w:val="20"/>
          <w:szCs w:val="20"/>
          <w:color w:val="auto"/>
        </w:rPr>
      </w:pPr>
    </w:p>
    <w:p>
      <w:pPr>
        <w:ind w:left="1405" w:hanging="430"/>
        <w:spacing w:after="0" w:line="272" w:lineRule="auto"/>
        <w:rPr>
          <w:sz w:val="20"/>
          <w:szCs w:val="20"/>
          <w:color w:val="auto"/>
        </w:rPr>
      </w:pPr>
      <w:r>
        <w:rPr>
          <w:rFonts w:ascii="Arial" w:cs="Arial" w:eastAsia="Arial" w:hAnsi="Arial"/>
          <w:sz w:val="17"/>
          <w:szCs w:val="17"/>
          <w:color w:val="auto"/>
        </w:rPr>
        <w:t>20.2. Bachem acknowledges that Ascendis is committed to maintaining high standards of ethical conduct and will not tolerate the use of bribery or corruption to achieve its business objectives. Thus, Bachem, including its affiliates, and their directors, employees, agents, representatives, contractors or sub-contractors, shall comply at all times with all applicable anti-bribery laws, rules and regulations (including but not limited to the UK Bribery Act and the United States Foreign Corrupt Practices Act (FCPA)). For the avoidance of doubt, this will include, not offering or giving a financial or other advantage with the intention of influencing in connection with the performance of the duties to obtain or retain a business advantage for Ascendis.</w:t>
      </w:r>
    </w:p>
    <w:p>
      <w:pPr>
        <w:spacing w:after="0" w:line="110"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Page 17 of 26</w:t>
      </w:r>
    </w:p>
    <w:p>
      <w:pPr>
        <w:sectPr>
          <w:pgSz w:w="11900" w:h="16838" w:orient="portrait"/>
          <w:cols w:equalWidth="0" w:num="1">
            <w:col w:w="10945"/>
          </w:cols>
          <w:pgMar w:left="455" w:top="273" w:right="499" w:bottom="1440" w:gutter="0" w:footer="0" w:header="0"/>
        </w:sectPr>
      </w:pPr>
    </w:p>
    <w:bookmarkStart w:id="236" w:name="page237"/>
    <w:bookmarkEnd w:id="236"/>
    <w:p>
      <w:pPr>
        <w:ind w:left="1405" w:right="20" w:hanging="43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20.3. Bachem shall (and shall procure that its affiliates shall) have in place adequate procedures designed to prevent any person working for or engaged by Bachem and its affiliates or any other third Party in any way connected to this Agreement, from engaging in any activity, practice or conduct which would infringe any anti-bribery and anti-corruption laws, regulations and codes, including but not limited to the UK Bribery Act 2010 and the FCPA.</w:t>
      </w:r>
    </w:p>
    <w:p>
      <w:pPr>
        <w:spacing w:after="0" w:line="92" w:lineRule="exact"/>
        <w:rPr>
          <w:sz w:val="20"/>
          <w:szCs w:val="20"/>
          <w:color w:val="auto"/>
        </w:rPr>
      </w:pPr>
    </w:p>
    <w:p>
      <w:pPr>
        <w:jc w:val="both"/>
        <w:ind w:left="1405" w:right="60" w:hanging="430"/>
        <w:spacing w:after="0" w:line="262" w:lineRule="auto"/>
        <w:rPr>
          <w:sz w:val="20"/>
          <w:szCs w:val="20"/>
          <w:color w:val="auto"/>
        </w:rPr>
      </w:pPr>
      <w:r>
        <w:rPr>
          <w:rFonts w:ascii="Arial" w:cs="Arial" w:eastAsia="Arial" w:hAnsi="Arial"/>
          <w:sz w:val="18"/>
          <w:szCs w:val="18"/>
          <w:color w:val="auto"/>
        </w:rPr>
        <w:t>20.4. Bachem and Ascendis agree that each Party shall be entitled to use the information obtained from the other Party for its professional purposes, and that they are entitled to keep the other Party’s name and address in its confidential files in accordance with applicable personal data legislation as further set out in the GDPR Data Protection Rights.</w:t>
      </w:r>
    </w:p>
    <w:p>
      <w:pPr>
        <w:spacing w:after="0" w:line="85" w:lineRule="exact"/>
        <w:rPr>
          <w:sz w:val="20"/>
          <w:szCs w:val="20"/>
          <w:color w:val="auto"/>
        </w:rPr>
      </w:pPr>
    </w:p>
    <w:p>
      <w:pPr>
        <w:ind w:left="425" w:hanging="425"/>
        <w:spacing w:after="0"/>
        <w:tabs>
          <w:tab w:leader="none" w:pos="425"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8"/>
          <w:szCs w:val="18"/>
          <w:color w:val="auto"/>
        </w:rPr>
        <w:t>21.1. Bachem hereby represents and warrants the following:</w:t>
      </w:r>
    </w:p>
    <w:p>
      <w:pPr>
        <w:spacing w:after="0" w:line="129" w:lineRule="exact"/>
        <w:rPr>
          <w:sz w:val="20"/>
          <w:szCs w:val="20"/>
          <w:color w:val="auto"/>
        </w:rPr>
      </w:pPr>
    </w:p>
    <w:p>
      <w:pPr>
        <w:ind w:left="1965" w:right="820" w:hanging="539"/>
        <w:spacing w:after="0" w:line="275" w:lineRule="auto"/>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it has obtained (and will maintain throughout the existence of this Agreement) all necessary approvals, licenses or registrations necessary or desirable for the performance of the Services,</w:t>
      </w:r>
    </w:p>
    <w:p>
      <w:pPr>
        <w:spacing w:after="0" w:line="77" w:lineRule="exact"/>
        <w:rPr>
          <w:rFonts w:ascii="Arial" w:cs="Arial" w:eastAsia="Arial" w:hAnsi="Arial"/>
          <w:sz w:val="18"/>
          <w:szCs w:val="18"/>
          <w:color w:val="auto"/>
        </w:rPr>
      </w:pPr>
    </w:p>
    <w:p>
      <w:pPr>
        <w:ind w:left="1965" w:hanging="539"/>
        <w:spacing w:after="0"/>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it has the necessary experience to perform the Services,</w:t>
      </w:r>
    </w:p>
    <w:p>
      <w:pPr>
        <w:spacing w:after="0" w:line="129" w:lineRule="exact"/>
        <w:rPr>
          <w:rFonts w:ascii="Arial" w:cs="Arial" w:eastAsia="Arial" w:hAnsi="Arial"/>
          <w:sz w:val="18"/>
          <w:szCs w:val="18"/>
          <w:color w:val="auto"/>
        </w:rPr>
      </w:pPr>
    </w:p>
    <w:p>
      <w:pPr>
        <w:ind w:left="1965" w:right="320" w:hanging="539"/>
        <w:spacing w:after="0" w:line="275" w:lineRule="auto"/>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personnel that Bachem causes to be applied in the performance of the Agreement shall be appropriately qualified and experienced for the tasks that they are to perform,</w:t>
      </w:r>
    </w:p>
    <w:p>
      <w:pPr>
        <w:spacing w:after="0" w:line="77" w:lineRule="exact"/>
        <w:rPr>
          <w:rFonts w:ascii="Arial" w:cs="Arial" w:eastAsia="Arial" w:hAnsi="Arial"/>
          <w:sz w:val="18"/>
          <w:szCs w:val="18"/>
          <w:color w:val="auto"/>
        </w:rPr>
      </w:pPr>
    </w:p>
    <w:p>
      <w:pPr>
        <w:ind w:left="1965" w:hanging="539"/>
        <w:spacing w:after="0" w:line="262" w:lineRule="auto"/>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machinery and equipment that the Bachem provides or causes to be applied in the performance of the Agreement shall be of an appropriate quality and, as required by normal practice shall be qualified and approved by the relevant body or organization at Bachem,</w:t>
      </w:r>
    </w:p>
    <w:p>
      <w:pPr>
        <w:spacing w:after="0" w:line="88" w:lineRule="exact"/>
        <w:rPr>
          <w:rFonts w:ascii="Arial" w:cs="Arial" w:eastAsia="Arial" w:hAnsi="Arial"/>
          <w:sz w:val="18"/>
          <w:szCs w:val="18"/>
          <w:color w:val="auto"/>
        </w:rPr>
      </w:pPr>
    </w:p>
    <w:p>
      <w:pPr>
        <w:ind w:left="1965" w:right="700" w:hanging="539"/>
        <w:spacing w:after="0" w:line="275" w:lineRule="auto"/>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capital equipment used in the manufacturing or analytical processes shall be owned, maintained and replaced at Bachem’s cost,</w:t>
      </w:r>
    </w:p>
    <w:p>
      <w:pPr>
        <w:spacing w:after="0" w:line="77" w:lineRule="exact"/>
        <w:rPr>
          <w:rFonts w:ascii="Arial" w:cs="Arial" w:eastAsia="Arial" w:hAnsi="Arial"/>
          <w:sz w:val="18"/>
          <w:szCs w:val="18"/>
          <w:color w:val="auto"/>
        </w:rPr>
      </w:pPr>
    </w:p>
    <w:p>
      <w:pPr>
        <w:ind w:left="1965" w:right="260" w:hanging="539"/>
        <w:spacing w:after="0" w:line="275" w:lineRule="auto"/>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Services are conducted in compliance with the laws as applicable at its domicile and relevant standards of comparable contract manufacturing organizations, such as but not limited to GMP,</w:t>
      </w:r>
    </w:p>
    <w:p>
      <w:pPr>
        <w:spacing w:after="0" w:line="77" w:lineRule="exact"/>
        <w:rPr>
          <w:rFonts w:ascii="Arial" w:cs="Arial" w:eastAsia="Arial" w:hAnsi="Arial"/>
          <w:sz w:val="18"/>
          <w:szCs w:val="18"/>
          <w:color w:val="auto"/>
        </w:rPr>
      </w:pPr>
    </w:p>
    <w:p>
      <w:pPr>
        <w:ind w:left="1965" w:hanging="539"/>
        <w:spacing w:after="0"/>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Services are conducted in compliance with GMP relevant FDA, EMA and SwissMedic rules and regulations,</w:t>
      </w:r>
    </w:p>
    <w:p>
      <w:pPr>
        <w:spacing w:after="0" w:line="129" w:lineRule="exact"/>
        <w:rPr>
          <w:rFonts w:ascii="Arial" w:cs="Arial" w:eastAsia="Arial" w:hAnsi="Arial"/>
          <w:sz w:val="18"/>
          <w:szCs w:val="18"/>
          <w:color w:val="auto"/>
        </w:rPr>
      </w:pPr>
    </w:p>
    <w:p>
      <w:pPr>
        <w:ind w:left="1965" w:right="200" w:hanging="539"/>
        <w:spacing w:after="0" w:line="275" w:lineRule="auto"/>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Bachem is not debarred under the provisions of the Generic Drug Enforcement Act of 1992, 21 U.S.C. Sec. 335a(a) or any foreign equivalents, and</w:t>
      </w:r>
    </w:p>
    <w:p>
      <w:pPr>
        <w:spacing w:after="0" w:line="77" w:lineRule="exact"/>
        <w:rPr>
          <w:rFonts w:ascii="Arial" w:cs="Arial" w:eastAsia="Arial" w:hAnsi="Arial"/>
          <w:sz w:val="18"/>
          <w:szCs w:val="18"/>
          <w:color w:val="auto"/>
        </w:rPr>
      </w:pPr>
    </w:p>
    <w:p>
      <w:pPr>
        <w:ind w:left="1965" w:hanging="539"/>
        <w:spacing w:after="0" w:line="262" w:lineRule="auto"/>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event that during the term of this Agreement Bachem (i) becomes debarred; or (ii) receives notice of an action or threat of an action with respect to its debarment, Bachem agrees to immediately notify Ascendis and shall immediately cease all activities relating to this Agreement.</w:t>
      </w:r>
    </w:p>
    <w:p>
      <w:pPr>
        <w:spacing w:after="0" w:line="11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18 of 26</w:t>
      </w:r>
    </w:p>
    <w:p>
      <w:pPr>
        <w:sectPr>
          <w:pgSz w:w="11900" w:h="16838" w:orient="portrait"/>
          <w:cols w:equalWidth="0" w:num="1">
            <w:col w:w="10965"/>
          </w:cols>
          <w:pgMar w:left="455" w:top="273" w:right="479" w:bottom="1440" w:gutter="0" w:footer="0" w:header="0"/>
        </w:sectPr>
      </w:pPr>
    </w:p>
    <w:bookmarkStart w:id="237" w:name="page238"/>
    <w:bookmarkEnd w:id="237"/>
    <w:p>
      <w:pPr>
        <w:ind w:left="1965" w:hanging="539"/>
        <w:spacing w:after="0"/>
        <w:tabs>
          <w:tab w:leader="none" w:pos="1965"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p>
    <w:p>
      <w:pPr>
        <w:spacing w:after="0" w:line="129" w:lineRule="exact"/>
        <w:rPr>
          <w:sz w:val="20"/>
          <w:szCs w:val="20"/>
          <w:color w:val="auto"/>
        </w:rPr>
      </w:pPr>
    </w:p>
    <w:p>
      <w:pPr>
        <w:ind w:left="1405" w:right="120" w:hanging="430"/>
        <w:spacing w:after="0" w:line="275" w:lineRule="auto"/>
        <w:rPr>
          <w:sz w:val="20"/>
          <w:szCs w:val="20"/>
          <w:color w:val="auto"/>
        </w:rPr>
      </w:pPr>
      <w:r>
        <w:rPr>
          <w:rFonts w:ascii="Arial" w:cs="Arial" w:eastAsia="Arial" w:hAnsi="Arial"/>
          <w:sz w:val="18"/>
          <w:szCs w:val="18"/>
          <w:color w:val="auto"/>
        </w:rPr>
        <w:t>21.2. Ascendis represents and warrants to Bachem that Ascendis is the owner or licensee or otherwise has the right to use and provide to Bachem all information provided to Bachem relating to Product.</w:t>
      </w:r>
    </w:p>
    <w:p>
      <w:pPr>
        <w:spacing w:after="0" w:line="73" w:lineRule="exact"/>
        <w:rPr>
          <w:sz w:val="20"/>
          <w:szCs w:val="20"/>
          <w:color w:val="auto"/>
        </w:rPr>
      </w:pPr>
    </w:p>
    <w:p>
      <w:pPr>
        <w:ind w:left="425" w:hanging="425"/>
        <w:spacing w:after="0"/>
        <w:tabs>
          <w:tab w:leader="none" w:pos="425"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SUB-CONTRACTING</w:t>
      </w:r>
    </w:p>
    <w:p>
      <w:pPr>
        <w:spacing w:after="0" w:line="133" w:lineRule="exact"/>
        <w:rPr>
          <w:sz w:val="20"/>
          <w:szCs w:val="20"/>
          <w:color w:val="auto"/>
        </w:rPr>
      </w:pPr>
    </w:p>
    <w:p>
      <w:pPr>
        <w:jc w:val="both"/>
        <w:ind w:left="1405" w:hanging="430"/>
        <w:spacing w:after="0" w:line="258" w:lineRule="auto"/>
        <w:rPr>
          <w:sz w:val="20"/>
          <w:szCs w:val="20"/>
          <w:color w:val="auto"/>
        </w:rPr>
      </w:pPr>
      <w:r>
        <w:rPr>
          <w:rFonts w:ascii="Arial" w:cs="Arial" w:eastAsia="Arial" w:hAnsi="Arial"/>
          <w:sz w:val="18"/>
          <w:szCs w:val="18"/>
          <w:color w:val="auto"/>
        </w:rPr>
        <w:t>22.1. Neither Party shall be entitled to assign or sub-contract its rights and/or obligations hereunder in whole or in part to any third Party, including any affiliated companies unless having obtained the other Party’s prior written approval, provided, however, that Ascendis is free to assign its rights and obligations, including (without limitation) to a Third Party acquiring, by purchase or license, rights to further develop or commercialize the Product.</w:t>
      </w:r>
    </w:p>
    <w:p>
      <w:pPr>
        <w:spacing w:after="0" w:line="88" w:lineRule="exact"/>
        <w:rPr>
          <w:sz w:val="20"/>
          <w:szCs w:val="20"/>
          <w:color w:val="auto"/>
        </w:rPr>
      </w:pPr>
    </w:p>
    <w:p>
      <w:pPr>
        <w:ind w:left="425" w:hanging="425"/>
        <w:spacing w:after="0"/>
        <w:tabs>
          <w:tab w:leader="none" w:pos="425"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7"/>
          <w:szCs w:val="17"/>
          <w:color w:val="auto"/>
        </w:rPr>
        <w:t>23.1. Neither Party shall be liable for non-performance of any provisions of this Agreement due to force majeure as defined below.</w:t>
      </w:r>
    </w:p>
    <w:p>
      <w:pPr>
        <w:spacing w:after="0" w:line="141" w:lineRule="exact"/>
        <w:rPr>
          <w:sz w:val="20"/>
          <w:szCs w:val="20"/>
          <w:color w:val="auto"/>
        </w:rPr>
      </w:pPr>
    </w:p>
    <w:p>
      <w:pPr>
        <w:ind w:left="1405" w:right="60" w:hanging="430"/>
        <w:spacing w:after="0" w:line="289" w:lineRule="auto"/>
        <w:rPr>
          <w:sz w:val="20"/>
          <w:szCs w:val="20"/>
          <w:color w:val="auto"/>
        </w:rPr>
      </w:pPr>
      <w:r>
        <w:rPr>
          <w:rFonts w:ascii="Arial" w:cs="Arial" w:eastAsia="Arial" w:hAnsi="Arial"/>
          <w:sz w:val="16"/>
          <w:szCs w:val="16"/>
          <w:color w:val="auto"/>
        </w:rPr>
        <w:t>23.2. Force majeure shall include strikes, lockouts, other industrial disturbances, rebellions, epidemics, pandemics, landslides, earthquakes, fires, storms, floods, sinking, droughts, civil disturbances, explosions, act or decisions of duly constituted national government authorities or of courts of law, impossibility to obtain equipment, supplies, fuel or other required materials, unexpected toxicity findings of Product, beyond the control of the Party pleading force majeure preventing this Party from performing its rights and obligations and not to be overcome by due diligence of such Party and which could not reasonable have been foreseen at the time accepting the relevant order, provided neither Party shall have any obligation to settle a labour dispute in order to exercise due diligence. For the purpose of this Clause 23.2, due diligence shall mean that the Party pleading force majeure has used at least reasonable efforts to overcome the reasons for such Party’s non-performance.</w:t>
      </w:r>
    </w:p>
    <w:p>
      <w:pPr>
        <w:spacing w:after="0" w:line="71" w:lineRule="exact"/>
        <w:rPr>
          <w:sz w:val="20"/>
          <w:szCs w:val="20"/>
          <w:color w:val="auto"/>
        </w:rPr>
      </w:pPr>
    </w:p>
    <w:p>
      <w:pPr>
        <w:jc w:val="both"/>
        <w:ind w:left="1405" w:right="500" w:hanging="430"/>
        <w:spacing w:after="0" w:line="285" w:lineRule="auto"/>
        <w:rPr>
          <w:sz w:val="20"/>
          <w:szCs w:val="20"/>
          <w:color w:val="auto"/>
        </w:rPr>
      </w:pPr>
      <w:r>
        <w:rPr>
          <w:rFonts w:ascii="Arial" w:cs="Arial" w:eastAsia="Arial" w:hAnsi="Arial"/>
          <w:sz w:val="17"/>
          <w:szCs w:val="17"/>
          <w:color w:val="auto"/>
        </w:rPr>
        <w:t>23.3. The Parties agree that if either of them find themselves wholly or partly unable to fulfil their respective obligations under this Agreement by reasons of force majeure the Party pleading force majeure will as soon as possible notify the other Party of its inability to perform giving a detailed explanation of the occurrence which excuses performance. Said notices</w:t>
      </w:r>
    </w:p>
    <w:p>
      <w:pPr>
        <w:spacing w:after="0" w:line="97"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Page 19 of 26</w:t>
      </w:r>
    </w:p>
    <w:p>
      <w:pPr>
        <w:sectPr>
          <w:pgSz w:w="11900" w:h="16838" w:orient="portrait"/>
          <w:cols w:equalWidth="0" w:num="1">
            <w:col w:w="10905"/>
          </w:cols>
          <w:pgMar w:left="455" w:top="273" w:right="539" w:bottom="1440" w:gutter="0" w:footer="0" w:header="0"/>
        </w:sectPr>
      </w:pPr>
    </w:p>
    <w:bookmarkStart w:id="238" w:name="page239"/>
    <w:bookmarkEnd w:id="238"/>
    <w:p>
      <w:pPr>
        <w:ind w:left="1425"/>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giving the performance of the notifying Party shall be abated for so long as the performance may be prevented by force majeure. Except from the payments of funds that are due and payable prior to any force majeure neither Party shall be required to make up for any performance that is prevented by force majeure.</w:t>
      </w:r>
    </w:p>
    <w:p>
      <w:pPr>
        <w:spacing w:after="0" w:line="89" w:lineRule="exact"/>
        <w:rPr>
          <w:sz w:val="20"/>
          <w:szCs w:val="20"/>
          <w:color w:val="auto"/>
        </w:rPr>
      </w:pPr>
    </w:p>
    <w:p>
      <w:pPr>
        <w:ind w:left="1405" w:right="600" w:hanging="430"/>
        <w:spacing w:after="0" w:line="262" w:lineRule="auto"/>
        <w:rPr>
          <w:sz w:val="20"/>
          <w:szCs w:val="20"/>
          <w:color w:val="auto"/>
        </w:rPr>
      </w:pPr>
      <w:r>
        <w:rPr>
          <w:rFonts w:ascii="Arial" w:cs="Arial" w:eastAsia="Arial" w:hAnsi="Arial"/>
          <w:sz w:val="18"/>
          <w:szCs w:val="18"/>
          <w:color w:val="auto"/>
        </w:rPr>
        <w:t>23.4. However, if the force majeure persists for a period of more than [***], and the Party pleading force majeure cannot present a remedial action plan acceptable to both parties within the said [***], the non-failing Party shall be entitled to terminate this agreement with immediate written notice.</w:t>
      </w:r>
    </w:p>
    <w:p>
      <w:pPr>
        <w:spacing w:after="0" w:line="85" w:lineRule="exact"/>
        <w:rPr>
          <w:sz w:val="20"/>
          <w:szCs w:val="20"/>
          <w:color w:val="auto"/>
        </w:rPr>
      </w:pPr>
    </w:p>
    <w:p>
      <w:pPr>
        <w:ind w:left="425" w:hanging="425"/>
        <w:spacing w:after="0"/>
        <w:tabs>
          <w:tab w:leader="none" w:pos="425"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AND LAW</w:t>
      </w:r>
    </w:p>
    <w:p>
      <w:pPr>
        <w:spacing w:after="0" w:line="133" w:lineRule="exact"/>
        <w:rPr>
          <w:sz w:val="20"/>
          <w:szCs w:val="20"/>
          <w:color w:val="auto"/>
        </w:rPr>
      </w:pPr>
    </w:p>
    <w:p>
      <w:pPr>
        <w:ind w:left="1405" w:right="20" w:hanging="430"/>
        <w:spacing w:after="0" w:line="289" w:lineRule="auto"/>
        <w:rPr>
          <w:sz w:val="20"/>
          <w:szCs w:val="20"/>
          <w:color w:val="auto"/>
        </w:rPr>
      </w:pPr>
      <w:r>
        <w:rPr>
          <w:rFonts w:ascii="Arial" w:cs="Arial" w:eastAsia="Arial" w:hAnsi="Arial"/>
          <w:sz w:val="16"/>
          <w:szCs w:val="16"/>
          <w:color w:val="auto"/>
        </w:rPr>
        <w:t>24.1. In the event of any controversy or claim arising out of or relating to any provision of this Agreement or the breach, termination or invalidity thereof, the parties shall try to settle the problem amicably between themselves. In the absence of resolution within [***] from the dispute arising, be referred to the JSC, which shall discuss the matter and attempt to resolve it by mutual consent. The JSC shall meet [***] electronically or face-to-face as agreed between the Parties within [***] to discuss and resolve the dispute. Should they fail to agree, the matter in dispute shall be settled by arbitration in accordance with the Rules of Arbitration of [***]. The award rendered shall be final and binding and enforceable by any court having jurisdiction. The arbitration court shall consist of [***] and shall have its seat in [***]. The language of the proceedings shall be English. The Institute shall appoint [***] on request by a Party hereto and the parties shall consider the appointment of [***] capable of making decisions on the technical aspects of the services.</w:t>
      </w:r>
    </w:p>
    <w:p>
      <w:pPr>
        <w:spacing w:after="0" w:line="71" w:lineRule="exact"/>
        <w:rPr>
          <w:sz w:val="20"/>
          <w:szCs w:val="20"/>
          <w:color w:val="auto"/>
        </w:rPr>
      </w:pPr>
    </w:p>
    <w:p>
      <w:pPr>
        <w:ind w:left="985"/>
        <w:spacing w:after="0"/>
        <w:rPr>
          <w:sz w:val="20"/>
          <w:szCs w:val="20"/>
          <w:color w:val="auto"/>
        </w:rPr>
      </w:pPr>
      <w:r>
        <w:rPr>
          <w:rFonts w:ascii="Arial" w:cs="Arial" w:eastAsia="Arial" w:hAnsi="Arial"/>
          <w:sz w:val="17"/>
          <w:szCs w:val="17"/>
          <w:color w:val="auto"/>
        </w:rPr>
        <w:t>24.2. This Agreement shall be governed by and construed in accordance with [***] Law without regard to its conflict of law rules.</w:t>
      </w:r>
    </w:p>
    <w:p>
      <w:pPr>
        <w:spacing w:after="0" w:line="137" w:lineRule="exact"/>
        <w:rPr>
          <w:sz w:val="20"/>
          <w:szCs w:val="20"/>
          <w:color w:val="auto"/>
        </w:rPr>
      </w:pPr>
    </w:p>
    <w:p>
      <w:pPr>
        <w:ind w:left="425" w:hanging="425"/>
        <w:spacing w:after="0"/>
        <w:tabs>
          <w:tab w:leader="none" w:pos="425"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3" w:lineRule="exact"/>
        <w:rPr>
          <w:sz w:val="20"/>
          <w:szCs w:val="20"/>
          <w:color w:val="auto"/>
        </w:rPr>
      </w:pPr>
    </w:p>
    <w:p>
      <w:pPr>
        <w:ind w:left="1405" w:right="220" w:hanging="430"/>
        <w:spacing w:after="0" w:line="254" w:lineRule="auto"/>
        <w:rPr>
          <w:sz w:val="20"/>
          <w:szCs w:val="20"/>
          <w:color w:val="auto"/>
        </w:rPr>
      </w:pPr>
      <w:r>
        <w:rPr>
          <w:rFonts w:ascii="Arial" w:cs="Arial" w:eastAsia="Arial" w:hAnsi="Arial"/>
          <w:sz w:val="18"/>
          <w:szCs w:val="18"/>
          <w:color w:val="auto"/>
        </w:rPr>
        <w:t>25.1. This Agreement and all Appendixes constitutes the entire agreement between the parties concerning the subject matter hereof and supersedes all written or oral prior agreements or understandings with respect thereto, except any secrecy agreements made by the parties, which shall survive the obligations undertaken hereunder. No variation or modification of the terms of this Agreement nor any change of any of the terms or provisions hereof shall be valid unless stated in an amendment to this Agreement. This notwithstanding, any Appendix associated with this Agreement shall be valid if signed by an Authorised Representative of each Party.</w:t>
      </w:r>
    </w:p>
    <w:p>
      <w:pPr>
        <w:spacing w:after="0" w:line="125"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Page 20 of 26</w:t>
      </w:r>
    </w:p>
    <w:p>
      <w:pPr>
        <w:sectPr>
          <w:pgSz w:w="11900" w:h="16838" w:orient="portrait"/>
          <w:cols w:equalWidth="0" w:num="1">
            <w:col w:w="10965"/>
          </w:cols>
          <w:pgMar w:left="455" w:top="273" w:right="479" w:bottom="1440" w:gutter="0" w:footer="0" w:header="0"/>
        </w:sectPr>
      </w:pPr>
    </w:p>
    <w:bookmarkStart w:id="239" w:name="page240"/>
    <w:bookmarkEnd w:id="239"/>
    <w:p>
      <w:pPr>
        <w:ind w:left="420" w:right="200" w:hanging="43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25.2. The headings contained in this Agreement are for convenience and reference purposes only and shall not affect the meaning of the interpretation of this Agreement.</w:t>
      </w:r>
    </w:p>
    <w:p>
      <w:pPr>
        <w:spacing w:after="0" w:line="77" w:lineRule="exact"/>
        <w:rPr>
          <w:sz w:val="20"/>
          <w:szCs w:val="20"/>
          <w:color w:val="auto"/>
        </w:rPr>
      </w:pPr>
    </w:p>
    <w:p>
      <w:pPr>
        <w:ind w:left="420" w:right="60" w:hanging="430"/>
        <w:spacing w:after="0" w:line="278" w:lineRule="auto"/>
        <w:rPr>
          <w:sz w:val="20"/>
          <w:szCs w:val="20"/>
          <w:color w:val="auto"/>
        </w:rPr>
      </w:pPr>
      <w:r>
        <w:rPr>
          <w:rFonts w:ascii="Arial" w:cs="Arial" w:eastAsia="Arial" w:hAnsi="Arial"/>
          <w:sz w:val="17"/>
          <w:szCs w:val="17"/>
          <w:color w:val="auto"/>
        </w:rPr>
        <w:t>25.3. The provisions of this Agreement are separate and divisible and the invalidity or unenforceability of any part shall not affect the validity or enforceability of any remaining part or parts, all of which shall remain in full force and effect. However, the Parties agree to substitute any invalid or unenforceable provision by a valid and enforceable arrangement, which achieves to the greatest extent possible the financial balance and mutual understanding already established between the parties.</w:t>
      </w:r>
    </w:p>
    <w:p>
      <w:pPr>
        <w:spacing w:after="0" w:line="76" w:lineRule="exact"/>
        <w:rPr>
          <w:sz w:val="20"/>
          <w:szCs w:val="20"/>
          <w:color w:val="auto"/>
        </w:rPr>
      </w:pPr>
    </w:p>
    <w:p>
      <w:pPr>
        <w:ind w:left="420" w:right="140" w:hanging="430"/>
        <w:spacing w:after="0" w:line="262" w:lineRule="auto"/>
        <w:rPr>
          <w:sz w:val="20"/>
          <w:szCs w:val="20"/>
          <w:color w:val="auto"/>
        </w:rPr>
      </w:pPr>
      <w:r>
        <w:rPr>
          <w:rFonts w:ascii="Arial" w:cs="Arial" w:eastAsia="Arial" w:hAnsi="Arial"/>
          <w:sz w:val="18"/>
          <w:szCs w:val="18"/>
          <w:color w:val="auto"/>
        </w:rPr>
        <w:t>25.4. The Appendices to this Agreement shall form an integral part of the Agreement and shall be regarded as incorporated into the Agreement in every respect. In case of inconsistency between the terms and conditions of the said Appendices and this Agreement, the latter shall prevail to the extent of such inconsistency.</w:t>
      </w:r>
    </w:p>
    <w:p>
      <w:pPr>
        <w:spacing w:after="0" w:line="89" w:lineRule="exact"/>
        <w:rPr>
          <w:sz w:val="20"/>
          <w:szCs w:val="20"/>
          <w:color w:val="auto"/>
        </w:rPr>
      </w:pPr>
    </w:p>
    <w:p>
      <w:pPr>
        <w:ind w:left="420" w:hanging="430"/>
        <w:spacing w:after="0" w:line="272" w:lineRule="auto"/>
        <w:rPr>
          <w:sz w:val="20"/>
          <w:szCs w:val="20"/>
          <w:color w:val="auto"/>
        </w:rPr>
      </w:pPr>
      <w:r>
        <w:rPr>
          <w:rFonts w:ascii="Arial" w:cs="Arial" w:eastAsia="Arial" w:hAnsi="Arial"/>
          <w:sz w:val="17"/>
          <w:szCs w:val="17"/>
          <w:color w:val="auto"/>
        </w:rPr>
        <w:t>25.5. All communication between the Parties and all notices made hereunder shall be made in the English language unless public authorities may require any written communication to be made in any other language and if so the Party submitting to the other Party and/or suggesting such written communication shall upon request from the other Party provide a proper translation hereof into English (certified by an authorised translator should the receiving Party so require) at the requesting Party’s cost. All written communications (e.g. meeting minutes, forecast, Purchase Orders, Purchase Order confirmations) may be done electronically (e.g. by email), with the exception of legal notices which must sent by courier.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25.6. Each Party shall appoint primary contact persons for technical operations, logistics, and QA.</w:t>
      </w:r>
    </w:p>
    <w:p>
      <w:pPr>
        <w:spacing w:after="0" w:line="129" w:lineRule="exact"/>
        <w:rPr>
          <w:sz w:val="20"/>
          <w:szCs w:val="20"/>
          <w:color w:val="auto"/>
        </w:rPr>
      </w:pPr>
    </w:p>
    <w:p>
      <w:pPr>
        <w:ind w:left="420" w:right="380" w:hanging="430"/>
        <w:spacing w:after="0" w:line="262" w:lineRule="auto"/>
        <w:rPr>
          <w:sz w:val="20"/>
          <w:szCs w:val="20"/>
          <w:color w:val="auto"/>
        </w:rPr>
      </w:pPr>
      <w:r>
        <w:rPr>
          <w:rFonts w:ascii="Arial" w:cs="Arial" w:eastAsia="Arial" w:hAnsi="Arial"/>
          <w:sz w:val="18"/>
          <w:szCs w:val="18"/>
          <w:color w:val="auto"/>
        </w:rPr>
        <w:t>25.7. Quality related matters, including but not limited to documentation requirements, notification, sampling, testing, rejections, complaints handling, deviation handling, CAPAs, change control, reporting, recalls, etc. shall be governed by a separate Quality Agreement attached to this Agreement as Appendix 3.</w:t>
      </w:r>
    </w:p>
    <w:p>
      <w:pPr>
        <w:spacing w:after="0" w:line="89" w:lineRule="exact"/>
        <w:rPr>
          <w:sz w:val="20"/>
          <w:szCs w:val="20"/>
          <w:color w:val="auto"/>
        </w:rPr>
      </w:pPr>
    </w:p>
    <w:p>
      <w:pPr>
        <w:ind w:left="420" w:right="220" w:hanging="430"/>
        <w:spacing w:after="0" w:line="262" w:lineRule="auto"/>
        <w:rPr>
          <w:sz w:val="20"/>
          <w:szCs w:val="20"/>
          <w:color w:val="auto"/>
        </w:rPr>
      </w:pPr>
      <w:r>
        <w:rPr>
          <w:rFonts w:ascii="Arial" w:cs="Arial" w:eastAsia="Arial" w:hAnsi="Arial"/>
          <w:sz w:val="18"/>
          <w:szCs w:val="18"/>
          <w:color w:val="auto"/>
        </w:rPr>
        <w:t>25.8. In the implementation of and performance under this Agreement, each Party shall comply with any and all relevant and applicable laws valid at at its domicile. Such compliance shall be the sole responsibility of such Party requiring no supervision, direction, responsibility or liability on behalf of the other Party.</w:t>
      </w:r>
    </w:p>
    <w:p>
      <w:pPr>
        <w:spacing w:after="0" w:line="89" w:lineRule="exact"/>
        <w:rPr>
          <w:sz w:val="20"/>
          <w:szCs w:val="20"/>
          <w:color w:val="auto"/>
        </w:rPr>
      </w:pPr>
    </w:p>
    <w:p>
      <w:pPr>
        <w:ind w:left="420" w:right="280" w:hanging="430"/>
        <w:spacing w:after="0" w:line="275" w:lineRule="auto"/>
        <w:rPr>
          <w:sz w:val="20"/>
          <w:szCs w:val="20"/>
          <w:color w:val="auto"/>
        </w:rPr>
      </w:pPr>
      <w:r>
        <w:rPr>
          <w:rFonts w:ascii="Arial" w:cs="Arial" w:eastAsia="Arial" w:hAnsi="Arial"/>
          <w:sz w:val="18"/>
          <w:szCs w:val="18"/>
          <w:color w:val="auto"/>
        </w:rPr>
        <w:t>25.9. Agreement shall not be valid or binding upon the Parties hereto unless made in writing and duly executed on behalf of each Party hereto.</w:t>
      </w:r>
    </w:p>
    <w:p>
      <w:pPr>
        <w:spacing w:after="0" w:line="10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21 of 26</w:t>
      </w:r>
    </w:p>
    <w:p>
      <w:pPr>
        <w:sectPr>
          <w:pgSz w:w="11900" w:h="16838" w:orient="portrait"/>
          <w:cols w:equalWidth="0" w:num="1">
            <w:col w:w="9980"/>
          </w:cols>
          <w:pgMar w:left="1440" w:top="273" w:right="47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[Signature page to follow immediately hereafter]</w:t>
      </w:r>
    </w:p>
    <w:p>
      <w:pPr>
        <w:sectPr>
          <w:pgSz w:w="11900" w:h="16838" w:orient="portrait"/>
          <w:cols w:equalWidth="0" w:num="1">
            <w:col w:w="9019"/>
          </w:cols>
          <w:pgMar w:left="1440" w:top="273"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22 of 26</w:t>
      </w:r>
    </w:p>
    <w:p>
      <w:pPr>
        <w:sectPr>
          <w:pgSz w:w="11900" w:h="16838" w:orient="portrait"/>
          <w:cols w:equalWidth="0" w:num="1">
            <w:col w:w="9019"/>
          </w:cols>
          <w:pgMar w:left="1440" w:top="273" w:right="1440" w:bottom="1440" w:gutter="0" w:footer="0" w:header="0"/>
          <w:type w:val="continuous"/>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 witness thereof, the Parties hereto have caused this Agreement to be executed in duplicate by their duly authorised representatives.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Hellerup, 23-Dec-2020</w:t>
            </w:r>
          </w:p>
        </w:tc>
        <w:tc>
          <w:tcPr>
            <w:tcW w:w="6020" w:type="dxa"/>
            <w:vAlign w:val="bottom"/>
            <w:gridSpan w:val="2"/>
          </w:tcPr>
          <w:p>
            <w:pPr>
              <w:ind w:left="1180"/>
              <w:spacing w:after="0"/>
              <w:rPr>
                <w:sz w:val="20"/>
                <w:szCs w:val="20"/>
                <w:color w:val="auto"/>
              </w:rPr>
            </w:pPr>
            <w:r>
              <w:rPr>
                <w:rFonts w:ascii="Arial" w:cs="Arial" w:eastAsia="Arial" w:hAnsi="Arial"/>
                <w:sz w:val="18"/>
                <w:szCs w:val="18"/>
                <w:color w:val="auto"/>
              </w:rPr>
              <w:t>Bubendorf, 27-Dec-2020</w:t>
            </w:r>
          </w:p>
        </w:tc>
        <w:tc>
          <w:tcPr>
            <w:tcW w:w="0" w:type="dxa"/>
            <w:vAlign w:val="bottom"/>
          </w:tcPr>
          <w:p>
            <w:pPr>
              <w:spacing w:after="0"/>
              <w:rPr>
                <w:sz w:val="1"/>
                <w:szCs w:val="1"/>
                <w:color w:val="auto"/>
              </w:rPr>
            </w:pPr>
          </w:p>
        </w:tc>
      </w:tr>
      <w:tr>
        <w:trPr>
          <w:trHeight w:val="430"/>
        </w:trPr>
        <w:tc>
          <w:tcPr>
            <w:tcW w:w="4960" w:type="dxa"/>
            <w:vAlign w:val="bottom"/>
          </w:tcPr>
          <w:p>
            <w:pPr>
              <w:spacing w:after="0"/>
              <w:rPr>
                <w:sz w:val="20"/>
                <w:szCs w:val="20"/>
                <w:color w:val="auto"/>
              </w:rPr>
            </w:pPr>
            <w:r>
              <w:rPr>
                <w:rFonts w:ascii="Arial" w:cs="Arial" w:eastAsia="Arial" w:hAnsi="Arial"/>
                <w:sz w:val="18"/>
                <w:szCs w:val="18"/>
                <w:b w:val="1"/>
                <w:bCs w:val="1"/>
                <w:color w:val="auto"/>
              </w:rPr>
              <w:t>Ascendis A/S</w:t>
            </w:r>
          </w:p>
        </w:tc>
        <w:tc>
          <w:tcPr>
            <w:tcW w:w="6020" w:type="dxa"/>
            <w:vAlign w:val="bottom"/>
            <w:gridSpan w:val="2"/>
          </w:tcPr>
          <w:p>
            <w:pPr>
              <w:ind w:left="1180"/>
              <w:spacing w:after="0"/>
              <w:rPr>
                <w:sz w:val="20"/>
                <w:szCs w:val="20"/>
                <w:color w:val="auto"/>
              </w:rPr>
            </w:pPr>
            <w:r>
              <w:rPr>
                <w:rFonts w:ascii="Arial" w:cs="Arial" w:eastAsia="Arial" w:hAnsi="Arial"/>
                <w:sz w:val="18"/>
                <w:szCs w:val="18"/>
                <w:b w:val="1"/>
                <w:bCs w:val="1"/>
                <w:color w:val="auto"/>
              </w:rPr>
              <w:t>Bachem AG</w:t>
            </w:r>
          </w:p>
        </w:tc>
        <w:tc>
          <w:tcPr>
            <w:tcW w:w="0" w:type="dxa"/>
            <w:vAlign w:val="bottom"/>
          </w:tcPr>
          <w:p>
            <w:pPr>
              <w:spacing w:after="0"/>
              <w:rPr>
                <w:sz w:val="1"/>
                <w:szCs w:val="1"/>
                <w:color w:val="auto"/>
              </w:rPr>
            </w:pPr>
          </w:p>
        </w:tc>
      </w:tr>
      <w:tr>
        <w:trPr>
          <w:trHeight w:val="430"/>
        </w:trPr>
        <w:tc>
          <w:tcPr>
            <w:tcW w:w="4960" w:type="dxa"/>
            <w:vAlign w:val="bottom"/>
          </w:tcPr>
          <w:p>
            <w:pPr>
              <w:spacing w:after="0"/>
              <w:rPr>
                <w:sz w:val="20"/>
                <w:szCs w:val="20"/>
                <w:color w:val="auto"/>
              </w:rPr>
            </w:pPr>
            <w:r>
              <w:rPr>
                <w:rFonts w:ascii="Arial" w:cs="Arial" w:eastAsia="Arial" w:hAnsi="Arial"/>
                <w:sz w:val="18"/>
                <w:szCs w:val="18"/>
                <w:color w:val="auto"/>
              </w:rPr>
              <w:t>/s/ Michael Wolff Jensen</w:t>
            </w:r>
          </w:p>
        </w:tc>
        <w:tc>
          <w:tcPr>
            <w:tcW w:w="6020" w:type="dxa"/>
            <w:vAlign w:val="bottom"/>
            <w:gridSpan w:val="2"/>
          </w:tcPr>
          <w:p>
            <w:pPr>
              <w:ind w:left="1180"/>
              <w:spacing w:after="0"/>
              <w:rPr>
                <w:sz w:val="20"/>
                <w:szCs w:val="20"/>
                <w:color w:val="auto"/>
              </w:rPr>
            </w:pPr>
            <w:r>
              <w:rPr>
                <w:rFonts w:ascii="Arial" w:cs="Arial" w:eastAsia="Arial" w:hAnsi="Arial"/>
                <w:sz w:val="18"/>
                <w:szCs w:val="18"/>
                <w:color w:val="auto"/>
              </w:rPr>
              <w:t>/s/ Beat Sax</w:t>
            </w:r>
          </w:p>
        </w:tc>
        <w:tc>
          <w:tcPr>
            <w:tcW w:w="0" w:type="dxa"/>
            <w:vAlign w:val="bottom"/>
          </w:tcPr>
          <w:p>
            <w:pPr>
              <w:spacing w:after="0"/>
              <w:rPr>
                <w:sz w:val="1"/>
                <w:szCs w:val="1"/>
                <w:color w:val="auto"/>
              </w:rPr>
            </w:pPr>
          </w:p>
        </w:tc>
      </w:tr>
      <w:tr>
        <w:trPr>
          <w:trHeight w:val="208"/>
        </w:trPr>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Wolff</w:t>
            </w:r>
          </w:p>
        </w:tc>
        <w:tc>
          <w:tcPr>
            <w:tcW w:w="1180" w:type="dxa"/>
            <w:vAlign w:val="bottom"/>
          </w:tcPr>
          <w:p>
            <w:pPr>
              <w:spacing w:after="0"/>
              <w:rPr>
                <w:sz w:val="18"/>
                <w:szCs w:val="18"/>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Beat Sax</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Chief Legal Officer</w:t>
            </w:r>
          </w:p>
        </w:tc>
        <w:tc>
          <w:tcPr>
            <w:tcW w:w="6020" w:type="dxa"/>
            <w:vAlign w:val="bottom"/>
            <w:gridSpan w:val="2"/>
            <w:vMerge w:val="restart"/>
          </w:tcPr>
          <w:p>
            <w:pPr>
              <w:ind w:left="1180"/>
              <w:spacing w:after="0"/>
              <w:rPr>
                <w:sz w:val="20"/>
                <w:szCs w:val="20"/>
                <w:color w:val="auto"/>
              </w:rPr>
            </w:pPr>
            <w:r>
              <w:rPr>
                <w:rFonts w:ascii="Arial" w:cs="Arial" w:eastAsia="Arial" w:hAnsi="Arial"/>
                <w:sz w:val="18"/>
                <w:szCs w:val="18"/>
                <w:color w:val="auto"/>
              </w:rPr>
              <w:t>Site Manager</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6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4960" w:type="dxa"/>
            <w:vAlign w:val="bottom"/>
          </w:tcPr>
          <w:p>
            <w:pPr>
              <w:spacing w:after="0"/>
              <w:rPr>
                <w:sz w:val="24"/>
                <w:szCs w:val="24"/>
                <w:color w:val="auto"/>
              </w:rPr>
            </w:pPr>
          </w:p>
        </w:tc>
        <w:tc>
          <w:tcPr>
            <w:tcW w:w="6020" w:type="dxa"/>
            <w:vAlign w:val="bottom"/>
            <w:gridSpan w:val="2"/>
          </w:tcPr>
          <w:p>
            <w:pPr>
              <w:ind w:left="1180"/>
              <w:spacing w:after="0"/>
              <w:rPr>
                <w:sz w:val="20"/>
                <w:szCs w:val="20"/>
                <w:color w:val="auto"/>
              </w:rPr>
            </w:pPr>
            <w:r>
              <w:rPr>
                <w:rFonts w:ascii="Arial" w:cs="Arial" w:eastAsia="Arial" w:hAnsi="Arial"/>
                <w:sz w:val="18"/>
                <w:szCs w:val="18"/>
                <w:color w:val="auto"/>
              </w:rPr>
              <w:t>/s/ Boris Corpataux</w:t>
            </w:r>
          </w:p>
        </w:tc>
        <w:tc>
          <w:tcPr>
            <w:tcW w:w="0" w:type="dxa"/>
            <w:vAlign w:val="bottom"/>
          </w:tcPr>
          <w:p>
            <w:pPr>
              <w:spacing w:after="0"/>
              <w:rPr>
                <w:sz w:val="1"/>
                <w:szCs w:val="1"/>
                <w:color w:val="auto"/>
              </w:rPr>
            </w:pPr>
          </w:p>
        </w:tc>
      </w:tr>
      <w:tr>
        <w:trPr>
          <w:trHeight w:val="208"/>
        </w:trPr>
        <w:tc>
          <w:tcPr>
            <w:tcW w:w="496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Boris Corpataux</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6020" w:type="dxa"/>
            <w:vAlign w:val="bottom"/>
            <w:gridSpan w:val="2"/>
          </w:tcPr>
          <w:p>
            <w:pPr>
              <w:ind w:left="1180"/>
              <w:spacing w:after="0"/>
              <w:rPr>
                <w:sz w:val="20"/>
                <w:szCs w:val="20"/>
                <w:color w:val="auto"/>
              </w:rPr>
            </w:pPr>
            <w:r>
              <w:rPr>
                <w:rFonts w:ascii="Arial" w:cs="Arial" w:eastAsia="Arial" w:hAnsi="Arial"/>
                <w:sz w:val="18"/>
                <w:szCs w:val="18"/>
                <w:color w:val="auto"/>
              </w:rPr>
              <w:t>Vice President BD &amp; Sales</w:t>
            </w:r>
          </w:p>
        </w:tc>
        <w:tc>
          <w:tcPr>
            <w:tcW w:w="0" w:type="dxa"/>
            <w:vAlign w:val="bottom"/>
          </w:tcPr>
          <w:p>
            <w:pPr>
              <w:spacing w:after="0"/>
              <w:rPr>
                <w:sz w:val="1"/>
                <w:szCs w:val="1"/>
                <w:color w:val="auto"/>
              </w:rPr>
            </w:pPr>
          </w:p>
        </w:tc>
      </w:tr>
      <w:tr>
        <w:trPr>
          <w:trHeight w:val="363"/>
        </w:trPr>
        <w:tc>
          <w:tcPr>
            <w:tcW w:w="4960" w:type="dxa"/>
            <w:vAlign w:val="bottom"/>
          </w:tcPr>
          <w:p>
            <w:pPr>
              <w:spacing w:after="0"/>
              <w:rPr>
                <w:sz w:val="24"/>
                <w:szCs w:val="24"/>
                <w:color w:val="auto"/>
              </w:rPr>
            </w:pP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Page 23 of 26</w:t>
            </w:r>
          </w:p>
        </w:tc>
        <w:tc>
          <w:tcPr>
            <w:tcW w:w="0" w:type="dxa"/>
            <w:vAlign w:val="bottom"/>
          </w:tcPr>
          <w:p>
            <w:pPr>
              <w:spacing w:after="0"/>
              <w:rPr>
                <w:sz w:val="1"/>
                <w:szCs w:val="1"/>
                <w:color w:val="auto"/>
              </w:rPr>
            </w:pPr>
          </w:p>
        </w:tc>
      </w:tr>
    </w:tbl>
    <w:p>
      <w:pPr>
        <w:sectPr>
          <w:pgSz w:w="11900" w:h="16838" w:orient="portrait"/>
          <w:cols w:equalWidth="0" w:num="1">
            <w:col w:w="10980"/>
          </w:cols>
          <w:pgMar w:left="460" w:top="273" w:right="459" w:bottom="1440" w:gutter="0" w:footer="0" w:header="0"/>
        </w:sectPr>
      </w:pPr>
    </w:p>
    <w:bookmarkStart w:id="242" w:name="page243"/>
    <w:bookmarkEnd w:id="242"/>
    <w:p>
      <w:pPr>
        <w:jc w:val="right"/>
        <w:ind w:right="3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1</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Specifications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Page 24 of 26</w:t>
      </w:r>
    </w:p>
    <w:p>
      <w:pPr>
        <w:sectPr>
          <w:pgSz w:w="11900" w:h="16838" w:orient="portrait"/>
          <w:cols w:equalWidth="0" w:num="1">
            <w:col w:w="9999"/>
          </w:cols>
          <w:pgMar w:left="460" w:top="269" w:right="1440" w:bottom="1440" w:gutter="0" w:footer="0" w:header="0"/>
        </w:sectPr>
      </w:pPr>
    </w:p>
    <w:bookmarkStart w:id="243" w:name="page244"/>
    <w:bookmarkEnd w:id="243"/>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2</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Pricing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Page 25 of 26</w:t>
      </w:r>
    </w:p>
    <w:p>
      <w:pPr>
        <w:sectPr>
          <w:pgSz w:w="11900" w:h="16838" w:orient="portrait"/>
          <w:cols w:equalWidth="0" w:num="1">
            <w:col w:w="9999"/>
          </w:cols>
          <w:pgMar w:left="460" w:top="269" w:right="1440" w:bottom="1440" w:gutter="0" w:footer="0" w:header="0"/>
        </w:sectPr>
      </w:pPr>
    </w:p>
    <w:bookmarkStart w:id="244" w:name="page245"/>
    <w:bookmarkEnd w:id="244"/>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3</w:t>
      </w:r>
    </w:p>
    <w:p>
      <w:pPr>
        <w:spacing w:after="0" w:line="223" w:lineRule="exact"/>
        <w:rPr>
          <w:sz w:val="20"/>
          <w:szCs w:val="20"/>
          <w:color w:val="auto"/>
        </w:rPr>
      </w:pPr>
    </w:p>
    <w:p>
      <w:pPr>
        <w:jc w:val="right"/>
        <w:ind w:right="3779"/>
        <w:spacing w:after="0"/>
        <w:rPr>
          <w:sz w:val="20"/>
          <w:szCs w:val="20"/>
          <w:color w:val="auto"/>
        </w:rPr>
      </w:pPr>
      <w:r>
        <w:rPr>
          <w:rFonts w:ascii="Arial" w:cs="Arial" w:eastAsia="Arial" w:hAnsi="Arial"/>
          <w:sz w:val="18"/>
          <w:szCs w:val="18"/>
          <w:b w:val="1"/>
          <w:bCs w:val="1"/>
          <w:color w:val="auto"/>
        </w:rPr>
        <w:t>Quality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26 of 26</w:t>
      </w:r>
    </w:p>
    <w:p>
      <w:pPr>
        <w:sectPr>
          <w:pgSz w:w="11900" w:h="16838" w:orient="portrait"/>
          <w:cols w:equalWidth="0" w:num="1">
            <w:col w:w="9999"/>
          </w:cols>
          <w:pgMar w:left="460" w:top="270" w:right="1440"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4.17</w:t>
      </w:r>
    </w:p>
    <w:p>
      <w:pPr>
        <w:spacing w:after="0" w:line="223" w:lineRule="exact"/>
        <w:rPr>
          <w:sz w:val="20"/>
          <w:szCs w:val="20"/>
          <w:color w:val="auto"/>
        </w:rPr>
      </w:pPr>
    </w:p>
    <w:p>
      <w:pPr>
        <w:ind w:left="1460" w:right="2440" w:firstLine="210"/>
        <w:spacing w:after="0" w:line="292" w:lineRule="auto"/>
        <w:tabs>
          <w:tab w:leader="none" w:pos="2107"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excluded pursuant to Regulation S-K, Item 601(b)(10). Such excluded information is not material and</w:t>
      </w:r>
    </w:p>
    <w:p>
      <w:pPr>
        <w:spacing w:after="0" w:line="1" w:lineRule="exact"/>
        <w:rPr>
          <w:rFonts w:ascii="Arial" w:cs="Arial" w:eastAsia="Arial" w:hAnsi="Arial"/>
          <w:sz w:val="16"/>
          <w:szCs w:val="16"/>
          <w:b w:val="1"/>
          <w:bCs w:val="1"/>
          <w:color w:val="auto"/>
        </w:rPr>
      </w:pPr>
    </w:p>
    <w:p>
      <w:pPr>
        <w:ind w:left="21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is the type that the registrant treats as private or confidential.</w:t>
      </w:r>
    </w:p>
    <w:p>
      <w:pPr>
        <w:spacing w:after="0" w:line="20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MANUFACTURING AND SUPPLY AGREEMENT FOR REAGENT F</w:t>
      </w:r>
    </w:p>
    <w:p>
      <w:pPr>
        <w:spacing w:after="0" w:line="2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(“Agreement”)</w:t>
      </w:r>
    </w:p>
    <w:p>
      <w:pPr>
        <w:spacing w:after="0" w:line="2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1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Ascendis Pharma A/S</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Tuborg Boulevard 12</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2900 Hellerup</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Denmark</w:t>
      </w:r>
    </w:p>
    <w:p>
      <w:pPr>
        <w:spacing w:after="0" w:line="20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(hereinafter referred to as “Ascendis”)</w:t>
      </w:r>
    </w:p>
    <w:p>
      <w:pPr>
        <w:spacing w:after="0" w:line="2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CARBOGEN AMCIS AG</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Hauptstrasse 171</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CH4416 Bubendorf</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Switzerland</w:t>
      </w:r>
    </w:p>
    <w:p>
      <w:pPr>
        <w:spacing w:after="0" w:line="20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(hereinafter referred to as “Carbogen”)</w:t>
      </w:r>
    </w:p>
    <w:p>
      <w:pPr>
        <w:spacing w:after="0" w:line="2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(hereinafter individually referred to as “Party” and collectively as “the Parties”)</w:t>
      </w:r>
    </w:p>
    <w:p>
      <w:pPr>
        <w:sectPr>
          <w:pgSz w:w="11900" w:h="16838" w:orient="portrait"/>
          <w:cols w:equalWidth="0" w:num="1">
            <w:col w:w="10000"/>
          </w:cols>
          <w:pgMar w:left="1440" w:top="121" w:right="459" w:bottom="1440" w:gutter="0" w:footer="0" w:header="0"/>
        </w:sectPr>
      </w:pPr>
    </w:p>
    <w:bookmarkStart w:id="246" w:name="page247"/>
    <w:bookmarkEnd w:id="246"/>
    <w:tbl>
      <w:tblPr>
        <w:tblLayout w:type="fixed"/>
        <w:tblInd w:w="5" w:type="dxa"/>
        <w:tblCellMar>
          <w:top w:w="0" w:type="dxa"/>
          <w:left w:w="0" w:type="dxa"/>
          <w:bottom w:w="0" w:type="dxa"/>
          <w:right w:w="0" w:type="dxa"/>
        </w:tblCellMar>
      </w:tblP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1.</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INTRODUCTION</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3.</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SUBJECT MATTER OF THE AGREEMENT</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OBLIGATIONS OF THE PARTIES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5.</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GOVERNANCE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COMMUNICATIONS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7.</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MATERIALS AND SUBCONTRACTING</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8.</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FORECAST AND PURCHASE ORDERS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9.</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BATCH SIZE AND CAPACITY</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10.</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DELIVERY AND RELEASE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11.</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PURCHASE PRICE AND PAYMENT TERMS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12.</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REGULATORY COMPLIANCE AND SUPPORT</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13.</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NON-COMPLIANCE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14.</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RECALL</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15.</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TERM AND TERMINATION</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16.</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CONFIDENTIALITY</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17.</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INTELLECTUAL PROPERTY RIGHTS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18.</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INSURANCE AND LIABILITY</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19.</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COMPLIANCE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20.</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REPRESENTATIONS AND WARRANTIES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21.</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ASSIGNABILITY AND SUB-CONTRACTING</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22.</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FORCE MAJEURE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23.</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ARBITRATION AND LAW</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24.</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MISCELLANEOUS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bl>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p>
      <w:pPr>
        <w:ind w:left="5"/>
        <w:spacing w:after="0"/>
        <w:rPr>
          <w:sz w:val="20"/>
          <w:szCs w:val="20"/>
          <w:color w:val="auto"/>
        </w:rPr>
      </w:pPr>
      <w:r>
        <w:rPr>
          <w:rFonts w:ascii="Arial" w:cs="Arial" w:eastAsia="Arial" w:hAnsi="Arial"/>
          <w:sz w:val="18"/>
          <w:szCs w:val="18"/>
          <w:b w:val="1"/>
          <w:bCs w:val="1"/>
          <w:color w:val="auto"/>
        </w:rPr>
        <w:t>APPENDICES</w:t>
      </w:r>
    </w:p>
    <w:p>
      <w:pPr>
        <w:spacing w:after="0" w:line="254" w:lineRule="exact"/>
        <w:rPr>
          <w:sz w:val="20"/>
          <w:szCs w:val="20"/>
          <w:color w:val="auto"/>
        </w:rPr>
      </w:pPr>
    </w:p>
    <w:p>
      <w:pPr>
        <w:ind w:left="225" w:hanging="225"/>
        <w:spacing w:after="0"/>
        <w:tabs>
          <w:tab w:leader="none" w:pos="22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List of applicable Intellectual Property Rights</w:t>
      </w:r>
    </w:p>
    <w:p>
      <w:pPr>
        <w:spacing w:after="0" w:line="22"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2  Products</w:t>
      </w:r>
    </w:p>
    <w:p>
      <w:pPr>
        <w:spacing w:after="0" w:line="8"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3  Purchase Price</w:t>
      </w:r>
    </w:p>
    <w:p>
      <w:pPr>
        <w:spacing w:after="0" w:line="8"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4  Quality Agreement</w:t>
      </w:r>
    </w:p>
    <w:p>
      <w:pPr>
        <w:spacing w:after="0" w:line="8"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5  Specifications</w:t>
      </w:r>
    </w:p>
    <w:p>
      <w:pPr>
        <w:spacing w:after="0" w:line="8"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6  Batch sizes</w:t>
      </w:r>
    </w:p>
    <w:p>
      <w:pPr>
        <w:spacing w:after="0" w:line="8"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7  Other Services</w:t>
      </w:r>
    </w:p>
    <w:p>
      <w:pPr>
        <w:spacing w:after="0" w:line="142"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Page 2 of 30</w:t>
      </w:r>
    </w:p>
    <w:p>
      <w:pPr>
        <w:sectPr>
          <w:pgSz w:w="11900" w:h="16838" w:orient="portrait"/>
          <w:cols w:equalWidth="0" w:num="1">
            <w:col w:w="10925"/>
          </w:cols>
          <w:pgMar w:left="455" w:top="270" w:right="519" w:bottom="1440" w:gutter="0" w:footer="0" w:header="0"/>
        </w:sectPr>
      </w:pPr>
    </w:p>
    <w:bookmarkStart w:id="247" w:name="page248"/>
    <w:bookmarkEnd w:id="247"/>
    <w:p>
      <w:pPr>
        <w:ind w:lef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 INTRODUCTION</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8"/>
          <w:szCs w:val="18"/>
          <w:color w:val="auto"/>
        </w:rPr>
        <w:t>WHEREAS:</w:t>
      </w:r>
    </w:p>
    <w:p>
      <w:pPr>
        <w:spacing w:after="0" w:line="129" w:lineRule="exact"/>
        <w:rPr>
          <w:sz w:val="20"/>
          <w:szCs w:val="20"/>
          <w:color w:val="auto"/>
        </w:rPr>
      </w:pPr>
    </w:p>
    <w:p>
      <w:pPr>
        <w:ind w:left="965" w:right="400" w:hanging="534"/>
        <w:spacing w:after="0" w:line="275" w:lineRule="auto"/>
        <w:tabs>
          <w:tab w:leader="none" w:pos="96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Ascendis and Carbogen entered into a Master Services Agreement dated 15 February 2010 pursuant to which Ascendis and Carbogen agreed to collaborate on the development and manufacture of linker reagents;</w:t>
      </w:r>
    </w:p>
    <w:p>
      <w:pPr>
        <w:spacing w:after="0" w:line="77" w:lineRule="exact"/>
        <w:rPr>
          <w:rFonts w:ascii="Arial" w:cs="Arial" w:eastAsia="Arial" w:hAnsi="Arial"/>
          <w:sz w:val="18"/>
          <w:szCs w:val="18"/>
          <w:color w:val="auto"/>
        </w:rPr>
      </w:pPr>
    </w:p>
    <w:p>
      <w:pPr>
        <w:ind w:left="965" w:right="40" w:hanging="534"/>
        <w:spacing w:after="0" w:line="275" w:lineRule="auto"/>
        <w:tabs>
          <w:tab w:leader="none" w:pos="96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Parties have agreed to enter into a commercial supply partnership with the objective to ensure delivery of agreed quantities of Product of the specified quality at agreed times.</w:t>
      </w:r>
    </w:p>
    <w:p>
      <w:pPr>
        <w:spacing w:after="0" w:line="77" w:lineRule="exact"/>
        <w:rPr>
          <w:rFonts w:ascii="Arial" w:cs="Arial" w:eastAsia="Arial" w:hAnsi="Arial"/>
          <w:sz w:val="18"/>
          <w:szCs w:val="18"/>
          <w:color w:val="auto"/>
        </w:rPr>
      </w:pPr>
    </w:p>
    <w:p>
      <w:pPr>
        <w:ind w:left="965" w:hanging="534"/>
        <w:spacing w:after="0" w:line="275" w:lineRule="auto"/>
        <w:tabs>
          <w:tab w:leader="none" w:pos="96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Parties have agreed to enter into this Manufacturing and Supply Agreement for Reagent F to set forth the general terms and conditions on which the supply of different Products and additional services will be carried out.</w:t>
      </w:r>
    </w:p>
    <w:p>
      <w:pPr>
        <w:spacing w:after="0" w:line="274" w:lineRule="exact"/>
        <w:rPr>
          <w:rFonts w:ascii="Arial" w:cs="Arial" w:eastAsia="Arial" w:hAnsi="Arial"/>
          <w:sz w:val="18"/>
          <w:szCs w:val="18"/>
          <w:color w:val="auto"/>
        </w:rPr>
      </w:pPr>
    </w:p>
    <w:p>
      <w:pPr>
        <w:ind w:left="185" w:hanging="185"/>
        <w:spacing w:after="0"/>
        <w:tabs>
          <w:tab w:leader="none" w:pos="185"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Manufacturing and Supply Agreement.</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 xml:space="preserve">“Appendix” </w:t>
      </w:r>
      <w:r>
        <w:rPr>
          <w:rFonts w:ascii="Arial" w:cs="Arial" w:eastAsia="Arial" w:hAnsi="Arial"/>
          <w:sz w:val="17"/>
          <w:szCs w:val="17"/>
          <w:color w:val="auto"/>
        </w:rPr>
        <w:t>shall mean any Appendix as amended, dated, signed and renumbered (e.g. Appendix 1.1, 2.1, 3.1… and so forth) from time to time.</w:t>
      </w:r>
    </w:p>
    <w:p>
      <w:pPr>
        <w:spacing w:after="0" w:line="235" w:lineRule="exact"/>
        <w:rPr>
          <w:sz w:val="20"/>
          <w:szCs w:val="20"/>
          <w:color w:val="auto"/>
        </w:rPr>
      </w:pPr>
    </w:p>
    <w:p>
      <w:pPr>
        <w:ind w:left="5" w:right="20"/>
        <w:spacing w:after="0" w:line="280" w:lineRule="auto"/>
        <w:rPr>
          <w:sz w:val="20"/>
          <w:szCs w:val="20"/>
          <w:color w:val="auto"/>
        </w:rPr>
      </w:pPr>
      <w:r>
        <w:rPr>
          <w:rFonts w:ascii="Arial" w:cs="Arial" w:eastAsia="Arial" w:hAnsi="Arial"/>
          <w:sz w:val="18"/>
          <w:szCs w:val="18"/>
          <w:b w:val="1"/>
          <w:bCs w:val="1"/>
          <w:color w:val="auto"/>
        </w:rPr>
        <w:t xml:space="preserve">“Approved Site(s)” </w:t>
      </w:r>
      <w:r>
        <w:rPr>
          <w:rFonts w:ascii="Arial" w:cs="Arial" w:eastAsia="Arial" w:hAnsi="Arial"/>
          <w:sz w:val="18"/>
          <w:szCs w:val="18"/>
          <w:color w:val="auto"/>
        </w:rPr>
        <w:t>shall mean the facilities and premises, as stated in the Quality Agreement, where manufacturing, analysis, packaging and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Products under this Agreement shall take place.</w:t>
      </w:r>
    </w:p>
    <w:p>
      <w:pPr>
        <w:spacing w:after="0" w:line="163" w:lineRule="exact"/>
        <w:rPr>
          <w:sz w:val="20"/>
          <w:szCs w:val="20"/>
          <w:color w:val="auto"/>
        </w:rPr>
      </w:pPr>
    </w:p>
    <w:p>
      <w:pPr>
        <w:ind w:left="5" w:right="20"/>
        <w:spacing w:after="0" w:line="265" w:lineRule="auto"/>
        <w:rPr>
          <w:sz w:val="20"/>
          <w:szCs w:val="20"/>
          <w:color w:val="auto"/>
        </w:rPr>
      </w:pPr>
      <w:r>
        <w:rPr>
          <w:rFonts w:ascii="Arial" w:cs="Arial" w:eastAsia="Arial" w:hAnsi="Arial"/>
          <w:sz w:val="18"/>
          <w:szCs w:val="18"/>
          <w:b w:val="1"/>
          <w:bCs w:val="1"/>
          <w:color w:val="auto"/>
        </w:rPr>
        <w:t xml:space="preserve">“Background Technology” </w:t>
      </w:r>
      <w:r>
        <w:rPr>
          <w:rFonts w:ascii="Arial" w:cs="Arial" w:eastAsia="Arial" w:hAnsi="Arial"/>
          <w:sz w:val="18"/>
          <w:szCs w:val="18"/>
          <w:color w:val="auto"/>
        </w:rPr>
        <w:t>shall mean the full range of Carbogen’s Intellectual Property Rights and factual knowledge in relation to [***] (i)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on the Effective Date of this Agreement and/or (ii) licensed to, acquired or developed by Carbogen outside of this Agreement but during the term of this Agreement, which Carbogen is free to dispose of.</w:t>
      </w:r>
    </w:p>
    <w:p>
      <w:pPr>
        <w:spacing w:after="0" w:line="175" w:lineRule="exact"/>
        <w:rPr>
          <w:sz w:val="20"/>
          <w:szCs w:val="20"/>
          <w:color w:val="auto"/>
        </w:rPr>
      </w:pPr>
    </w:p>
    <w:p>
      <w:pPr>
        <w:ind w:left="5"/>
        <w:spacing w:after="0" w:line="280" w:lineRule="auto"/>
        <w:rPr>
          <w:sz w:val="20"/>
          <w:szCs w:val="20"/>
          <w:color w:val="auto"/>
        </w:rPr>
      </w:pPr>
      <w:r>
        <w:rPr>
          <w:rFonts w:ascii="Arial" w:cs="Arial" w:eastAsia="Arial" w:hAnsi="Arial"/>
          <w:sz w:val="18"/>
          <w:szCs w:val="18"/>
          <w:b w:val="1"/>
          <w:bCs w:val="1"/>
          <w:color w:val="auto"/>
        </w:rPr>
        <w:t xml:space="preserve">“Business Day(s)” </w:t>
      </w:r>
      <w:r>
        <w:rPr>
          <w:rFonts w:ascii="Arial" w:cs="Arial" w:eastAsia="Arial" w:hAnsi="Arial"/>
          <w:sz w:val="18"/>
          <w:szCs w:val="18"/>
          <w:color w:val="auto"/>
        </w:rPr>
        <w:t>shall mean any working day(s) (with the exclusion of Saturday and Sunday) on which banks are normally open in either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or Denmark, as may be applicable.</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 xml:space="preserve">“Calendar Quarter” </w:t>
      </w:r>
      <w:r>
        <w:rPr>
          <w:rFonts w:ascii="Arial" w:cs="Arial" w:eastAsia="Arial" w:hAnsi="Arial"/>
          <w:sz w:val="17"/>
          <w:szCs w:val="17"/>
          <w:color w:val="auto"/>
        </w:rPr>
        <w:t>shall mean each three (3) successive calendar months starting on 1 January, 1 April, 1 July or 1 October, respectively.</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“Calendar Year” </w:t>
      </w:r>
      <w:r>
        <w:rPr>
          <w:rFonts w:ascii="Arial" w:cs="Arial" w:eastAsia="Arial" w:hAnsi="Arial"/>
          <w:sz w:val="18"/>
          <w:szCs w:val="18"/>
          <w:color w:val="auto"/>
        </w:rPr>
        <w:t>shall mean 12 successive calendar months starting on 1 January.</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 xml:space="preserve">“cGMP” </w:t>
      </w:r>
      <w:r>
        <w:rPr>
          <w:rFonts w:ascii="Arial" w:cs="Arial" w:eastAsia="Arial" w:hAnsi="Arial"/>
          <w:sz w:val="17"/>
          <w:szCs w:val="17"/>
          <w:color w:val="auto"/>
        </w:rPr>
        <w:t>shall mean Current Good Manufacturing Practice as defined in the EC Guidelines to Good Manufacturing Practise, Volume IV, Part 1:</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8"/>
          <w:szCs w:val="18"/>
          <w:color w:val="auto"/>
        </w:rPr>
        <w:t>Medicinal Products for Human and Veterinary Use.</w:t>
      </w:r>
    </w:p>
    <w:p>
      <w:pPr>
        <w:spacing w:after="0" w:line="142"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Page 3 of 30</w:t>
      </w:r>
    </w:p>
    <w:p>
      <w:pPr>
        <w:sectPr>
          <w:pgSz w:w="11900" w:h="16838" w:orient="portrait"/>
          <w:cols w:equalWidth="0" w:num="1">
            <w:col w:w="10945"/>
          </w:cols>
          <w:pgMar w:left="455" w:top="269" w:right="499" w:bottom="1440" w:gutter="0" w:footer="0" w:header="0"/>
        </w:sectPr>
      </w:pPr>
    </w:p>
    <w:bookmarkStart w:id="248" w:name="page249"/>
    <w:bookmarkEnd w:id="248"/>
    <w:p>
      <w:pPr>
        <w:ind w:right="120"/>
        <w:spacing w:after="0" w:line="25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“Confidential Information” </w:t>
      </w:r>
      <w:r>
        <w:rPr>
          <w:rFonts w:ascii="Arial" w:cs="Arial" w:eastAsia="Arial" w:hAnsi="Arial"/>
          <w:sz w:val="18"/>
          <w:szCs w:val="18"/>
          <w:color w:val="auto"/>
        </w:rPr>
        <w:t>shall mean any proprietary information, samples, technical data, trade secrets or know-how,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plans, products, services, lists of collaborators and corporate partners, markets, developments, inventions, processes, formulas, technology, marketing, finances or other business information disclosed by either party (the “Discloser”) (either directly or indirectly in writing, orally or otherwise) to the other party (the “Recipient”).</w:t>
      </w:r>
    </w:p>
    <w:p>
      <w:pPr>
        <w:spacing w:after="0" w:line="183" w:lineRule="exact"/>
        <w:rPr>
          <w:sz w:val="20"/>
          <w:szCs w:val="20"/>
          <w:color w:val="auto"/>
        </w:rPr>
      </w:pPr>
    </w:p>
    <w:p>
      <w:pPr>
        <w:ind w:right="720"/>
        <w:spacing w:after="0" w:line="280" w:lineRule="auto"/>
        <w:rPr>
          <w:sz w:val="20"/>
          <w:szCs w:val="20"/>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or “</w:t>
      </w:r>
      <w:r>
        <w:rPr>
          <w:rFonts w:ascii="Arial" w:cs="Arial" w:eastAsia="Arial" w:hAnsi="Arial"/>
          <w:sz w:val="18"/>
          <w:szCs w:val="18"/>
          <w:b w:val="1"/>
          <w:bCs w:val="1"/>
          <w:color w:val="auto"/>
        </w:rPr>
        <w:t>Deliver</w:t>
      </w:r>
      <w:r>
        <w:rPr>
          <w:rFonts w:ascii="Arial" w:cs="Arial" w:eastAsia="Arial" w:hAnsi="Arial"/>
          <w:sz w:val="18"/>
          <w:szCs w:val="18"/>
          <w:color w:val="auto"/>
        </w:rPr>
        <w:t>” shall mean the transfer of Product at the point where risk and responsibility is transferred from Carbogen to Ascendis</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agreed IncoTerms.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shall mean the date of Delivery of Product by Carbogen to Ascendis or its designee as agreed in a Purchase Order.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mean the date on which this Agreement becomes effective in accordance with Article 15.1.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 </w:t>
      </w:r>
      <w:r>
        <w:rPr>
          <w:rFonts w:ascii="Arial" w:cs="Arial" w:eastAsia="Arial" w:hAnsi="Arial"/>
          <w:sz w:val="18"/>
          <w:szCs w:val="18"/>
          <w:color w:val="auto"/>
        </w:rPr>
        <w:t>shall mean the European Medicines Agency of the European Union.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“FCA” </w:t>
      </w:r>
      <w:r>
        <w:rPr>
          <w:rFonts w:ascii="Arial" w:cs="Arial" w:eastAsia="Arial" w:hAnsi="Arial"/>
          <w:sz w:val="18"/>
          <w:szCs w:val="18"/>
          <w:color w:val="auto"/>
        </w:rPr>
        <w:t>shall mean Free Carrier according to Incoterms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“FDA” </w:t>
      </w:r>
      <w:r>
        <w:rPr>
          <w:rFonts w:ascii="Arial" w:cs="Arial" w:eastAsia="Arial" w:hAnsi="Arial"/>
          <w:sz w:val="18"/>
          <w:szCs w:val="18"/>
          <w:color w:val="auto"/>
        </w:rPr>
        <w:t>shall mean the Food and Drug Administration of the United States Department of Health and Human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“Final Release” </w:t>
      </w:r>
      <w:r>
        <w:rPr>
          <w:rFonts w:ascii="Arial" w:cs="Arial" w:eastAsia="Arial" w:hAnsi="Arial"/>
          <w:sz w:val="18"/>
          <w:szCs w:val="18"/>
          <w:color w:val="auto"/>
        </w:rPr>
        <w:t>shall mean the final release for delivery of Product by Ascendis or its designated representative.</w:t>
      </w:r>
    </w:p>
    <w:p>
      <w:pPr>
        <w:spacing w:after="0" w:line="223" w:lineRule="exact"/>
        <w:rPr>
          <w:sz w:val="20"/>
          <w:szCs w:val="20"/>
          <w:color w:val="auto"/>
        </w:rPr>
      </w:pPr>
    </w:p>
    <w:p>
      <w:pPr>
        <w:ind w:right="400"/>
        <w:spacing w:after="0" w:line="280" w:lineRule="auto"/>
        <w:rPr>
          <w:sz w:val="20"/>
          <w:szCs w:val="20"/>
          <w:color w:val="auto"/>
        </w:rPr>
      </w:pPr>
      <w:r>
        <w:rPr>
          <w:rFonts w:ascii="Arial" w:cs="Arial" w:eastAsia="Arial" w:hAnsi="Arial"/>
          <w:sz w:val="18"/>
          <w:szCs w:val="18"/>
          <w:b w:val="1"/>
          <w:bCs w:val="1"/>
          <w:color w:val="auto"/>
        </w:rPr>
        <w:t xml:space="preserve">“Health Authorities” or “HA” </w:t>
      </w:r>
      <w:r>
        <w:rPr>
          <w:rFonts w:ascii="Arial" w:cs="Arial" w:eastAsia="Arial" w:hAnsi="Arial"/>
          <w:sz w:val="18"/>
          <w:szCs w:val="18"/>
          <w:color w:val="auto"/>
        </w:rPr>
        <w:t>shall mean any national or international health authority including but not limited to those of the European Union,</w:t>
      </w:r>
      <w:r>
        <w:rPr>
          <w:rFonts w:ascii="Arial" w:cs="Arial" w:eastAsia="Arial" w:hAnsi="Arial"/>
          <w:sz w:val="18"/>
          <w:szCs w:val="18"/>
          <w:b w:val="1"/>
          <w:bCs w:val="1"/>
          <w:color w:val="auto"/>
        </w:rPr>
        <w:t xml:space="preserve"> </w:t>
      </w:r>
      <w:r>
        <w:rPr>
          <w:rFonts w:ascii="Arial" w:cs="Arial" w:eastAsia="Arial" w:hAnsi="Arial"/>
          <w:sz w:val="18"/>
          <w:szCs w:val="18"/>
          <w:color w:val="auto"/>
        </w:rPr>
        <w:t>Japan, China and the United States.</w:t>
      </w:r>
    </w:p>
    <w:p>
      <w:pPr>
        <w:spacing w:after="0" w:line="163" w:lineRule="exact"/>
        <w:rPr>
          <w:sz w:val="20"/>
          <w:szCs w:val="20"/>
          <w:color w:val="auto"/>
        </w:rPr>
      </w:pPr>
    </w:p>
    <w:p>
      <w:pPr>
        <w:ind w:right="240"/>
        <w:spacing w:after="0" w:line="280" w:lineRule="auto"/>
        <w:rPr>
          <w:sz w:val="20"/>
          <w:szCs w:val="20"/>
          <w:color w:val="auto"/>
        </w:rPr>
      </w:pPr>
      <w:r>
        <w:rPr>
          <w:rFonts w:ascii="Arial" w:cs="Arial" w:eastAsia="Arial" w:hAnsi="Arial"/>
          <w:sz w:val="18"/>
          <w:szCs w:val="18"/>
          <w:b w:val="1"/>
          <w:bCs w:val="1"/>
          <w:color w:val="auto"/>
        </w:rPr>
        <w:t xml:space="preserve">“Intellectual Property Rights” or “IPR” </w:t>
      </w:r>
      <w:r>
        <w:rPr>
          <w:rFonts w:ascii="Arial" w:cs="Arial" w:eastAsia="Arial" w:hAnsi="Arial"/>
          <w:sz w:val="18"/>
          <w:szCs w:val="18"/>
          <w:color w:val="auto"/>
        </w:rPr>
        <w:t>shall mean without limitation, proprietary information, Know-how, patents, patent applications, formulae,</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trade-mark applications, trade-names, inventions, copyright, industrial designs etc.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“Intermediates” </w:t>
      </w:r>
      <w:r>
        <w:rPr>
          <w:rFonts w:ascii="Arial" w:cs="Arial" w:eastAsia="Arial" w:hAnsi="Arial"/>
          <w:sz w:val="18"/>
          <w:szCs w:val="18"/>
          <w:color w:val="auto"/>
        </w:rPr>
        <w:t>shall mean intermediates as listed in APPENDIX 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“Joint Steering Committee” or “JSC” </w:t>
      </w:r>
      <w:r>
        <w:rPr>
          <w:rFonts w:ascii="Arial" w:cs="Arial" w:eastAsia="Arial" w:hAnsi="Arial"/>
          <w:sz w:val="18"/>
          <w:szCs w:val="18"/>
          <w:color w:val="auto"/>
        </w:rPr>
        <w:t>shall have the meaning assigned to it in Article 5.1.</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“Know-how” </w:t>
      </w:r>
      <w:r>
        <w:rPr>
          <w:rFonts w:ascii="Arial" w:cs="Arial" w:eastAsia="Arial" w:hAnsi="Arial"/>
          <w:sz w:val="18"/>
          <w:szCs w:val="18"/>
          <w:color w:val="auto"/>
        </w:rPr>
        <w:t>shall mean any and all present and future data concerning Ascendis, Product, and any derivatives hereof e.g.,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know-how, quality specifications, analytical data, data indicated in a DMF, patents, use-, packaging- and improvement data, which data are possessed, performed and/or developed by either Ascendis or Carbogen and/or exchanged under any secrecy agreement between the Parties or any other agreement entered into between the Parties during the negotiations prior to execution of this Agreement or during the currency of this Agreement, except for Background Technology.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30</w:t>
      </w:r>
    </w:p>
    <w:p>
      <w:pPr>
        <w:sectPr>
          <w:pgSz w:w="11900" w:h="16838" w:orient="portrait"/>
          <w:cols w:equalWidth="0" w:num="1">
            <w:col w:w="10940"/>
          </w:cols>
          <w:pgMar w:left="460" w:top="269" w:right="49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“Materials</w:t>
      </w:r>
      <w:r>
        <w:rPr>
          <w:rFonts w:ascii="Arial" w:cs="Arial" w:eastAsia="Arial" w:hAnsi="Arial"/>
          <w:sz w:val="18"/>
          <w:szCs w:val="18"/>
          <w:color w:val="auto"/>
        </w:rPr>
        <w:t>” shall mean starting materials &amp; packing materials as listed in the Quality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“NMPA” </w:t>
      </w:r>
      <w:r>
        <w:rPr>
          <w:rFonts w:ascii="Arial" w:cs="Arial" w:eastAsia="Arial" w:hAnsi="Arial"/>
          <w:sz w:val="18"/>
          <w:szCs w:val="18"/>
          <w:color w:val="auto"/>
        </w:rPr>
        <w:t>shall mean the National Medical Products Association of the Peoples Republic of China.</w:t>
      </w:r>
    </w:p>
    <w:p>
      <w:pPr>
        <w:spacing w:after="0" w:line="223"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b w:val="1"/>
          <w:bCs w:val="1"/>
          <w:color w:val="auto"/>
        </w:rPr>
        <w:t xml:space="preserve">“Other Services” </w:t>
      </w:r>
      <w:r>
        <w:rPr>
          <w:rFonts w:ascii="Arial" w:cs="Arial" w:eastAsia="Arial" w:hAnsi="Arial"/>
          <w:sz w:val="18"/>
          <w:szCs w:val="18"/>
          <w:color w:val="auto"/>
        </w:rPr>
        <w:t>shall mean work performed by Carbogen for Ascendis which does not relate directly to the synthesis, manufacture, analysis,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labelling, packaging and Delivery of the Product. Other Services are listed in APPENDIX 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“PMDA” </w:t>
      </w:r>
      <w:r>
        <w:rPr>
          <w:rFonts w:ascii="Arial" w:cs="Arial" w:eastAsia="Arial" w:hAnsi="Arial"/>
          <w:sz w:val="18"/>
          <w:szCs w:val="18"/>
          <w:color w:val="auto"/>
        </w:rPr>
        <w:t>shall mean the Pharmaceuticals and Medical Devices Agency of Japan.</w:t>
      </w:r>
    </w:p>
    <w:p>
      <w:pPr>
        <w:spacing w:after="0" w:line="223"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b w:val="1"/>
          <w:bCs w:val="1"/>
          <w:color w:val="auto"/>
        </w:rPr>
        <w:t xml:space="preserve">“PPQ” </w:t>
      </w:r>
      <w:r>
        <w:rPr>
          <w:rFonts w:ascii="Arial" w:cs="Arial" w:eastAsia="Arial" w:hAnsi="Arial"/>
          <w:sz w:val="18"/>
          <w:szCs w:val="18"/>
          <w:color w:val="auto"/>
        </w:rPr>
        <w:t>shall mean the Process Performance Qualification of the manufacturing process of the Product “Reagent F”, as defined in APPENDIX 2,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Site(s).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shall mean Products as stated in APPENDIX 2.</w:t>
      </w:r>
    </w:p>
    <w:p>
      <w:pPr>
        <w:spacing w:after="0" w:line="223" w:lineRule="exact"/>
        <w:rPr>
          <w:sz w:val="20"/>
          <w:szCs w:val="20"/>
          <w:color w:val="auto"/>
        </w:rPr>
      </w:pPr>
    </w:p>
    <w:p>
      <w:pPr>
        <w:ind w:right="700"/>
        <w:spacing w:after="0" w:line="280" w:lineRule="auto"/>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mean an order submitted by Ascendis according to Section 8.4 specifying Ascendis’ purchase order number,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of Product and requested date of delivery.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shall mean the price agreed to be paid by Ascendis to Carbogen as set forth in APPENDIX 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“Quality Agreement” </w:t>
      </w:r>
      <w:r>
        <w:rPr>
          <w:rFonts w:ascii="Arial" w:cs="Arial" w:eastAsia="Arial" w:hAnsi="Arial"/>
          <w:sz w:val="18"/>
          <w:szCs w:val="18"/>
          <w:color w:val="auto"/>
        </w:rPr>
        <w:t>shall mean the agreement set out in APPENDIX 4 hereto.</w:t>
      </w:r>
    </w:p>
    <w:p>
      <w:pPr>
        <w:spacing w:after="0" w:line="223"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b w:val="1"/>
          <w:bCs w:val="1"/>
          <w:color w:val="auto"/>
        </w:rPr>
        <w:t xml:space="preserve">“Release Documentation” </w:t>
      </w:r>
      <w:r>
        <w:rPr>
          <w:rFonts w:ascii="Arial" w:cs="Arial" w:eastAsia="Arial" w:hAnsi="Arial"/>
          <w:sz w:val="18"/>
          <w:szCs w:val="18"/>
          <w:color w:val="auto"/>
        </w:rPr>
        <w:t>shall be the documentation which Carbogen shall provide to Ascendis following Carbogen’s internal release of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Such documentation shall at least contain a batch summary with certificates of conformance and list of deviations. Further details on the requirements for such documentation are specified in the Quality Agreement (APPENDIX 4).</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“Service Fee” </w:t>
      </w:r>
      <w:r>
        <w:rPr>
          <w:rFonts w:ascii="Arial" w:cs="Arial" w:eastAsia="Arial" w:hAnsi="Arial"/>
          <w:sz w:val="16"/>
          <w:szCs w:val="16"/>
          <w:color w:val="auto"/>
        </w:rPr>
        <w:t>shall mean the fee for the Services performed in connection with a Purchase Order but excluding the cost of materials and 3</w:t>
      </w:r>
      <w:r>
        <w:rPr>
          <w:rFonts w:ascii="Arial" w:cs="Arial" w:eastAsia="Arial" w:hAnsi="Arial"/>
          <w:sz w:val="13"/>
          <w:szCs w:val="13"/>
          <w:color w:val="auto"/>
        </w:rPr>
        <w:t>rd</w:t>
      </w:r>
      <w:r>
        <w:rPr>
          <w:rFonts w:ascii="Arial" w:cs="Arial" w:eastAsia="Arial" w:hAnsi="Arial"/>
          <w:sz w:val="16"/>
          <w:szCs w:val="16"/>
          <w:b w:val="1"/>
          <w:bCs w:val="1"/>
          <w:color w:val="auto"/>
        </w:rPr>
        <w:t xml:space="preserve"> </w:t>
      </w:r>
      <w:r>
        <w:rPr>
          <w:rFonts w:ascii="Arial" w:cs="Arial" w:eastAsia="Arial" w:hAnsi="Arial"/>
          <w:sz w:val="16"/>
          <w:szCs w:val="16"/>
          <w:color w:val="auto"/>
        </w:rPr>
        <w:t>party costs.</w:t>
      </w:r>
    </w:p>
    <w:p>
      <w:pPr>
        <w:spacing w:after="0" w:line="246"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“Services” </w:t>
      </w:r>
      <w:r>
        <w:rPr>
          <w:rFonts w:ascii="Arial" w:cs="Arial" w:eastAsia="Arial" w:hAnsi="Arial"/>
          <w:sz w:val="18"/>
          <w:szCs w:val="18"/>
          <w:color w:val="auto"/>
        </w:rPr>
        <w:t>shall mean the manufacture and Delivery of Product as set out in this Agreement and the provision of Other Services as listed in APPENDIX</w:t>
      </w:r>
      <w:r>
        <w:rPr>
          <w:rFonts w:ascii="Arial" w:cs="Arial" w:eastAsia="Arial" w:hAnsi="Arial"/>
          <w:sz w:val="18"/>
          <w:szCs w:val="18"/>
          <w:b w:val="1"/>
          <w:bCs w:val="1"/>
          <w:color w:val="auto"/>
        </w:rPr>
        <w:t xml:space="preserve"> </w:t>
      </w:r>
      <w:r>
        <w:rPr>
          <w:rFonts w:ascii="Arial" w:cs="Arial" w:eastAsia="Arial" w:hAnsi="Arial"/>
          <w:sz w:val="18"/>
          <w:szCs w:val="18"/>
          <w:color w:val="auto"/>
        </w:rPr>
        <w:t>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“Shelf Life” </w:t>
      </w:r>
      <w:r>
        <w:rPr>
          <w:rFonts w:ascii="Arial" w:cs="Arial" w:eastAsia="Arial" w:hAnsi="Arial"/>
          <w:sz w:val="18"/>
          <w:szCs w:val="18"/>
          <w:color w:val="auto"/>
        </w:rPr>
        <w:t>shall mean the time span between the manufacturing date and the expiry date of a batch, as approved at any given time.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shall mean the specifications of Products, intermediates and key raw materials as listed in APPENDIX 5.</w:t>
      </w:r>
    </w:p>
    <w:p>
      <w:pPr>
        <w:spacing w:after="0" w:line="223"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b w:val="1"/>
          <w:bCs w:val="1"/>
          <w:color w:val="auto"/>
        </w:rPr>
        <w:t xml:space="preserve">“Unused Service Fee” </w:t>
      </w:r>
      <w:r>
        <w:rPr>
          <w:rFonts w:ascii="Arial" w:cs="Arial" w:eastAsia="Arial" w:hAnsi="Arial"/>
          <w:sz w:val="18"/>
          <w:szCs w:val="18"/>
          <w:color w:val="auto"/>
        </w:rPr>
        <w:t>shall mean the difference between the Service Fee connected with a Purchase Order and the costs of already performed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that Purchase Order.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30</w:t>
      </w:r>
    </w:p>
    <w:p>
      <w:pPr>
        <w:sectPr>
          <w:pgSz w:w="11900" w:h="16838" w:orient="portrait"/>
          <w:cols w:equalWidth="0" w:num="1">
            <w:col w:w="10960"/>
          </w:cols>
          <w:pgMar w:left="460" w:top="269" w:right="4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3. SUBJECT MATTER OF THE AGREEMENT</w:t>
      </w:r>
    </w:p>
    <w:p>
      <w:pPr>
        <w:spacing w:after="0" w:line="133" w:lineRule="exact"/>
        <w:rPr>
          <w:sz w:val="20"/>
          <w:szCs w:val="20"/>
          <w:color w:val="auto"/>
        </w:rPr>
      </w:pPr>
    </w:p>
    <w:p>
      <w:pPr>
        <w:ind w:left="1400" w:hanging="430"/>
        <w:spacing w:after="0" w:line="275" w:lineRule="auto"/>
        <w:tabs>
          <w:tab w:leader="none" w:pos="1380" w:val="left"/>
        </w:tabs>
        <w:rPr>
          <w:sz w:val="20"/>
          <w:szCs w:val="20"/>
          <w:color w:val="auto"/>
        </w:rPr>
      </w:pPr>
      <w:r>
        <w:rPr>
          <w:rFonts w:ascii="Arial" w:cs="Arial" w:eastAsia="Arial" w:hAnsi="Arial"/>
          <w:sz w:val="18"/>
          <w:szCs w:val="18"/>
          <w:color w:val="auto"/>
        </w:rPr>
        <w:t>3.1.</w:t>
        <w:tab/>
        <w:t>This Agreement covers the post-PPQ manufacture and supply by Carbogen of Product to Ascendis for commercial use worldwide as part of Ascendis’ TransCon PTH product.</w:t>
      </w:r>
    </w:p>
    <w:p>
      <w:pPr>
        <w:spacing w:after="0" w:line="77" w:lineRule="exact"/>
        <w:rPr>
          <w:sz w:val="20"/>
          <w:szCs w:val="20"/>
          <w:color w:val="auto"/>
        </w:rPr>
      </w:pPr>
    </w:p>
    <w:p>
      <w:pPr>
        <w:ind w:left="1400" w:right="20" w:hanging="430"/>
        <w:spacing w:after="0" w:line="278" w:lineRule="auto"/>
        <w:tabs>
          <w:tab w:leader="none" w:pos="1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Carbogen hereby undertakes, upon Ascendis’ written request, to synthesize, manufacture, analyse, quality control, label, package and Deliver the Product to Ascendis, in accordance with the terms and conditions of this Agreement; and Ascendis will from time to time place Purchase Orders for Product according to forecasts as set forth in Article 6. Operations shall take place in compliance with the Quality Agreement and at the premises listed in the Quality Agreement.</w:t>
      </w:r>
    </w:p>
    <w:p>
      <w:pPr>
        <w:spacing w:after="0" w:line="76" w:lineRule="exact"/>
        <w:rPr>
          <w:sz w:val="20"/>
          <w:szCs w:val="20"/>
          <w:color w:val="auto"/>
        </w:rPr>
      </w:pPr>
    </w:p>
    <w:p>
      <w:pPr>
        <w:ind w:left="1400" w:right="580" w:hanging="430"/>
        <w:spacing w:after="0" w:line="275" w:lineRule="auto"/>
        <w:tabs>
          <w:tab w:leader="none" w:pos="1380" w:val="left"/>
        </w:tabs>
        <w:rPr>
          <w:sz w:val="20"/>
          <w:szCs w:val="20"/>
          <w:color w:val="auto"/>
        </w:rPr>
      </w:pPr>
      <w:r>
        <w:rPr>
          <w:rFonts w:ascii="Arial" w:cs="Arial" w:eastAsia="Arial" w:hAnsi="Arial"/>
          <w:sz w:val="18"/>
          <w:szCs w:val="18"/>
          <w:color w:val="auto"/>
        </w:rPr>
        <w:t>3.3.</w:t>
        <w:tab/>
        <w:t>Carbogen also undertakes to provide Ascendis with Other Services as listed in APPENDIX 7 according to terms agreed on a case-by-case basis in one or more separate agreements to be included in APPENDIX 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OBLIGATIONS OF THE PARTIES</w:t>
      </w:r>
    </w:p>
    <w:p>
      <w:pPr>
        <w:spacing w:after="0" w:line="133" w:lineRule="exact"/>
        <w:rPr>
          <w:sz w:val="20"/>
          <w:szCs w:val="20"/>
          <w:color w:val="auto"/>
        </w:rPr>
      </w:pPr>
    </w:p>
    <w:p>
      <w:pPr>
        <w:ind w:left="1400" w:right="20" w:hanging="430"/>
        <w:spacing w:after="0" w:line="262" w:lineRule="auto"/>
        <w:tabs>
          <w:tab w:leader="none" w:pos="1380" w:val="left"/>
        </w:tabs>
        <w:rPr>
          <w:sz w:val="20"/>
          <w:szCs w:val="20"/>
          <w:color w:val="auto"/>
        </w:rPr>
      </w:pPr>
      <w:r>
        <w:rPr>
          <w:rFonts w:ascii="Arial" w:cs="Arial" w:eastAsia="Arial" w:hAnsi="Arial"/>
          <w:sz w:val="18"/>
          <w:szCs w:val="18"/>
          <w:color w:val="auto"/>
        </w:rPr>
        <w:t>4.1.</w:t>
        <w:tab/>
        <w:t>Ascendis hereby undertakes to purchase the Product in the quantities ordered by Ascendis from time to time and on the terms and conditions agreed upon hereunder, and Carbogen hereby undertakes to supply such Product to Ascendis pursuant to the terms of this Agreement.</w:t>
      </w:r>
    </w:p>
    <w:p>
      <w:pPr>
        <w:spacing w:after="0" w:line="89" w:lineRule="exact"/>
        <w:rPr>
          <w:sz w:val="20"/>
          <w:szCs w:val="20"/>
          <w:color w:val="auto"/>
        </w:rPr>
      </w:pPr>
    </w:p>
    <w:p>
      <w:pPr>
        <w:ind w:left="1400" w:right="220" w:hanging="430"/>
        <w:spacing w:after="0" w:line="262" w:lineRule="auto"/>
        <w:tabs>
          <w:tab w:leader="none" w:pos="1380" w:val="left"/>
        </w:tabs>
        <w:rPr>
          <w:sz w:val="20"/>
          <w:szCs w:val="20"/>
          <w:color w:val="auto"/>
        </w:rPr>
      </w:pPr>
      <w:r>
        <w:rPr>
          <w:rFonts w:ascii="Arial" w:cs="Arial" w:eastAsia="Arial" w:hAnsi="Arial"/>
          <w:sz w:val="18"/>
          <w:szCs w:val="18"/>
          <w:color w:val="auto"/>
        </w:rPr>
        <w:t>4.2.</w:t>
        <w:tab/>
        <w:t>Ascendis is neither bound to grant any kind of exclusivity to Carbogen under this Agreement nor to purchase certain quantities of Product from Carbogen except as a consequence of having forecasted certain quantities in accordance with the provisions of Section 8.1.</w:t>
      </w:r>
    </w:p>
    <w:p>
      <w:pPr>
        <w:spacing w:after="0" w:line="89" w:lineRule="exact"/>
        <w:rPr>
          <w:sz w:val="20"/>
          <w:szCs w:val="20"/>
          <w:color w:val="auto"/>
        </w:rPr>
      </w:pPr>
    </w:p>
    <w:p>
      <w:pPr>
        <w:jc w:val="both"/>
        <w:ind w:left="1400" w:hanging="430"/>
        <w:spacing w:after="0" w:line="262" w:lineRule="auto"/>
        <w:tabs>
          <w:tab w:leader="none" w:pos="1380" w:val="left"/>
        </w:tabs>
        <w:rPr>
          <w:sz w:val="20"/>
          <w:szCs w:val="20"/>
          <w:color w:val="auto"/>
        </w:rPr>
      </w:pPr>
      <w:r>
        <w:rPr>
          <w:rFonts w:ascii="Arial" w:cs="Arial" w:eastAsia="Arial" w:hAnsi="Arial"/>
          <w:sz w:val="18"/>
          <w:szCs w:val="18"/>
          <w:color w:val="auto"/>
        </w:rPr>
        <w:t>4.3.</w:t>
        <w:tab/>
        <w:t>In the performance of the Services, Carbogen shall, for all processes subject to cGMP, comply with all relevant FDA, EMA, NMPA and PMDA rules and regulations. Subject to mutual agreement on a country by country basis, Carbogen shall also comply with rules and regulations of other OECD member states, provided that [***].</w:t>
      </w:r>
    </w:p>
    <w:p>
      <w:pPr>
        <w:spacing w:after="0" w:line="89" w:lineRule="exact"/>
        <w:rPr>
          <w:sz w:val="20"/>
          <w:szCs w:val="20"/>
          <w:color w:val="auto"/>
        </w:rPr>
      </w:pPr>
    </w:p>
    <w:p>
      <w:pPr>
        <w:ind w:left="1400" w:right="500" w:hanging="430"/>
        <w:spacing w:after="0" w:line="340" w:lineRule="auto"/>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Carbogen and Ascendis shall discuss and liaise regarding the present status of the manufacturing and analysis of Product on a continuous basis. Upon Ascendis’ request Carbogen shall inform Ascendis of the present status and the results obtained.</w:t>
      </w:r>
    </w:p>
    <w:p>
      <w:pPr>
        <w:spacing w:after="0" w:line="30" w:lineRule="exact"/>
        <w:rPr>
          <w:sz w:val="20"/>
          <w:szCs w:val="20"/>
          <w:color w:val="auto"/>
        </w:rPr>
      </w:pPr>
    </w:p>
    <w:p>
      <w:pPr>
        <w:jc w:val="both"/>
        <w:ind w:left="1400" w:right="140" w:hanging="430"/>
        <w:spacing w:after="0" w:line="285" w:lineRule="auto"/>
        <w:tabs>
          <w:tab w:leader="none" w:pos="13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During and following the term of this Agreement, Carbogen shall make available any and all documentation regarding the Product which in Ascendis’ reasonable assertion is required for (i) issue of patents and/or patent applications; (ii) regulatory filings to any regulatory body to which Ascendis may apply for registration of Product in its final presentation.</w:t>
      </w:r>
    </w:p>
    <w:p>
      <w:pPr>
        <w:spacing w:after="0" w:line="70" w:lineRule="exact"/>
        <w:rPr>
          <w:sz w:val="20"/>
          <w:szCs w:val="20"/>
          <w:color w:val="auto"/>
        </w:rPr>
      </w:pPr>
    </w:p>
    <w:p>
      <w:pPr>
        <w:jc w:val="both"/>
        <w:ind w:left="1400" w:right="240" w:hanging="430"/>
        <w:spacing w:after="0" w:line="262" w:lineRule="auto"/>
        <w:tabs>
          <w:tab w:leader="none" w:pos="1380" w:val="left"/>
        </w:tabs>
        <w:rPr>
          <w:sz w:val="20"/>
          <w:szCs w:val="20"/>
          <w:color w:val="auto"/>
        </w:rPr>
      </w:pPr>
      <w:r>
        <w:rPr>
          <w:rFonts w:ascii="Arial" w:cs="Arial" w:eastAsia="Arial" w:hAnsi="Arial"/>
          <w:sz w:val="18"/>
          <w:szCs w:val="18"/>
          <w:color w:val="auto"/>
        </w:rPr>
        <w:t>4.6.</w:t>
        <w:tab/>
        <w:t>Carbogen shall, during the term of this Agreement grant up to [***] of Ascendis [***] access (during normal business hours and upon reasonable prior notice of at least [***]) to visit Carbogen’s premises for routine audits of facilities, equipment, procedures, records and personnel. Details will be defined in the Quality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 of 30</w:t>
      </w:r>
    </w:p>
    <w:p>
      <w:pPr>
        <w:sectPr>
          <w:pgSz w:w="11900" w:h="16838" w:orient="portrait"/>
          <w:cols w:equalWidth="0" w:num="1">
            <w:col w:w="10920"/>
          </w:cols>
          <w:pgMar w:left="460" w:top="269" w:right="519" w:bottom="1440" w:gutter="0" w:footer="0" w:header="0"/>
        </w:sectPr>
      </w:pPr>
    </w:p>
    <w:bookmarkStart w:id="251" w:name="page252"/>
    <w:bookmarkEnd w:id="251"/>
    <w:p>
      <w:pPr>
        <w:ind w:left="1400" w:right="20" w:hanging="430"/>
        <w:spacing w:after="0" w:line="258" w:lineRule="auto"/>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4.7.</w:t>
        <w:tab/>
        <w:t>Each party will provide reasonable assistance to the other, [***], if necessary to respond to audits, inspections, inquiries, or requests of any applicable regulatory authority. Carbogen shall advise Ascendis immediately if Carbogen receives notice of an impending Product-specific inspection or if an authorized agent of any applicable regulatory authority or other governmental agency performs Product-specific visit of any of Carbogen’s manufacturing facilities.</w:t>
      </w:r>
    </w:p>
    <w:p>
      <w:pPr>
        <w:spacing w:after="0" w:line="92" w:lineRule="exact"/>
        <w:rPr>
          <w:sz w:val="20"/>
          <w:szCs w:val="20"/>
          <w:color w:val="auto"/>
        </w:rPr>
      </w:pPr>
    </w:p>
    <w:p>
      <w:pPr>
        <w:ind w:left="1400" w:hanging="430"/>
        <w:spacing w:after="0" w:line="254" w:lineRule="auto"/>
        <w:tabs>
          <w:tab w:leader="none" w:pos="1380" w:val="left"/>
        </w:tabs>
        <w:rPr>
          <w:sz w:val="20"/>
          <w:szCs w:val="20"/>
          <w:color w:val="auto"/>
        </w:rPr>
      </w:pPr>
      <w:r>
        <w:rPr>
          <w:rFonts w:ascii="Arial" w:cs="Arial" w:eastAsia="Arial" w:hAnsi="Arial"/>
          <w:sz w:val="18"/>
          <w:szCs w:val="18"/>
          <w:color w:val="auto"/>
        </w:rPr>
        <w:t>4.8.</w:t>
        <w:tab/>
        <w:t>On the request of Ascendis, and upon prior notice of at least [***] Carbogen shall allow up to [***] representatives from Ascendis collaboration partners such as licensees, distributors (possibly accompanied by Ascendis staff), to inspect the Approved Site(s) upon prior signed Secrecy Agreement of such collaboration partners. Such inspections will be strictly related to the manufacturing or analytical control of Products. If Products are implicated in regulatory inspection findings during audits initiated by authorities or other third parties, or if such findings are otherwise relevant for the manufacturing or analytical control of Products Carbogen shall notify Ascendis without delay.</w:t>
      </w:r>
    </w:p>
    <w:p>
      <w:pPr>
        <w:spacing w:after="0" w:line="9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4.9.</w:t>
        <w:tab/>
        <w:t>[***].</w:t>
      </w:r>
    </w:p>
    <w:p>
      <w:pPr>
        <w:spacing w:after="0" w:line="129" w:lineRule="exact"/>
        <w:rPr>
          <w:sz w:val="20"/>
          <w:szCs w:val="20"/>
          <w:color w:val="auto"/>
        </w:rPr>
      </w:pPr>
    </w:p>
    <w:p>
      <w:pPr>
        <w:ind w:left="1400" w:right="400" w:hanging="430"/>
        <w:spacing w:after="0" w:line="275" w:lineRule="auto"/>
        <w:rPr>
          <w:sz w:val="20"/>
          <w:szCs w:val="20"/>
          <w:color w:val="auto"/>
        </w:rPr>
      </w:pPr>
      <w:r>
        <w:rPr>
          <w:rFonts w:ascii="Arial" w:cs="Arial" w:eastAsia="Arial" w:hAnsi="Arial"/>
          <w:sz w:val="18"/>
          <w:szCs w:val="18"/>
          <w:color w:val="auto"/>
        </w:rPr>
        <w:t>4.10. Carbogen shall not implement any change in [***] without having obtained Ascendis’ prior written approval and the JSC shall mutually agree on distribution of costs for such changes.</w:t>
      </w:r>
    </w:p>
    <w:p>
      <w:pPr>
        <w:spacing w:after="0" w:line="77" w:lineRule="exact"/>
        <w:rPr>
          <w:sz w:val="20"/>
          <w:szCs w:val="20"/>
          <w:color w:val="auto"/>
        </w:rPr>
      </w:pPr>
    </w:p>
    <w:p>
      <w:pPr>
        <w:ind w:left="1400" w:right="60" w:hanging="430"/>
        <w:spacing w:after="0" w:line="275" w:lineRule="auto"/>
        <w:rPr>
          <w:sz w:val="20"/>
          <w:szCs w:val="20"/>
          <w:color w:val="auto"/>
        </w:rPr>
      </w:pPr>
      <w:r>
        <w:rPr>
          <w:rFonts w:ascii="Arial" w:cs="Arial" w:eastAsia="Arial" w:hAnsi="Arial"/>
          <w:sz w:val="18"/>
          <w:szCs w:val="18"/>
          <w:color w:val="auto"/>
        </w:rPr>
        <w:t>4.11. Other significant post-approval changes in the manufacturing process or the Specifications shall be mutually agreed by the JSC and the JSC shall mutually agree on the distribution of costs for such changes.</w:t>
      </w:r>
    </w:p>
    <w:p>
      <w:pPr>
        <w:spacing w:after="0" w:line="77" w:lineRule="exact"/>
        <w:rPr>
          <w:sz w:val="20"/>
          <w:szCs w:val="20"/>
          <w:color w:val="auto"/>
        </w:rPr>
      </w:pPr>
    </w:p>
    <w:p>
      <w:pPr>
        <w:ind w:left="1400" w:right="80" w:hanging="430"/>
        <w:spacing w:after="0" w:line="262" w:lineRule="auto"/>
        <w:rPr>
          <w:sz w:val="20"/>
          <w:szCs w:val="20"/>
          <w:color w:val="auto"/>
        </w:rPr>
      </w:pPr>
      <w:r>
        <w:rPr>
          <w:rFonts w:ascii="Arial" w:cs="Arial" w:eastAsia="Arial" w:hAnsi="Arial"/>
          <w:sz w:val="18"/>
          <w:szCs w:val="18"/>
          <w:color w:val="auto"/>
        </w:rPr>
        <w:t>4.12. The Parties agree to keep each other promptly informed of any action by, or notification or other information, which it receives (directly or indirectly) from any governmental or regulatory authority, which raises any concerns regarding the safety or efficacy of Product or any medicinal products containing Product.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GOVERNANCE</w:t>
      </w:r>
    </w:p>
    <w:p>
      <w:pPr>
        <w:spacing w:after="0" w:line="133"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Parties shall form a JSC comprising of [***] members from each Party, including at least [***].</w:t>
      </w:r>
    </w:p>
    <w:p>
      <w:pPr>
        <w:spacing w:after="0" w:line="129" w:lineRule="exact"/>
        <w:rPr>
          <w:sz w:val="20"/>
          <w:szCs w:val="20"/>
          <w:color w:val="auto"/>
        </w:rPr>
      </w:pPr>
    </w:p>
    <w:p>
      <w:pPr>
        <w:ind w:left="1400" w:hanging="430"/>
        <w:spacing w:after="0" w:line="300" w:lineRule="auto"/>
        <w:tabs>
          <w:tab w:leader="none" w:pos="1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JSC shall aim to meet [***] and shall discuss and evaluate the mutual collaboration and shall in good faith attempt to resolve any disputes in connection with the Agreement. Each Party may call for an ad hoc teleconference as such Party deems necessary. As agreed between the Parties in each case, the meetings of the JSC may be carried out by teleconference, video conference or face-to-face, as the case may be, provided however that the Parties endeavour to meet face to face at least [***].</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 of 30</w:t>
      </w:r>
    </w:p>
    <w:p>
      <w:pPr>
        <w:sectPr>
          <w:pgSz w:w="11900" w:h="16838" w:orient="portrait"/>
          <w:cols w:equalWidth="0" w:num="1">
            <w:col w:w="10900"/>
          </w:cols>
          <w:pgMar w:left="460" w:top="274" w:right="539" w:bottom="1440" w:gutter="0" w:footer="0" w:header="0"/>
        </w:sectPr>
      </w:pPr>
    </w:p>
    <w:bookmarkStart w:id="252" w:name="page253"/>
    <w:bookmarkEnd w:id="252"/>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5.3.</w:t>
        <w:tab/>
        <w:t>[***].</w:t>
      </w:r>
    </w:p>
    <w:p>
      <w:pPr>
        <w:spacing w:after="0" w:line="129" w:lineRule="exact"/>
        <w:rPr>
          <w:sz w:val="20"/>
          <w:szCs w:val="20"/>
          <w:color w:val="auto"/>
        </w:rPr>
      </w:pPr>
    </w:p>
    <w:p>
      <w:pPr>
        <w:ind w:left="1400" w:right="160" w:hanging="430"/>
        <w:spacing w:after="0" w:line="275" w:lineRule="auto"/>
        <w:tabs>
          <w:tab w:leader="none" w:pos="1380" w:val="left"/>
        </w:tabs>
        <w:rPr>
          <w:sz w:val="20"/>
          <w:szCs w:val="20"/>
          <w:color w:val="auto"/>
        </w:rPr>
      </w:pPr>
      <w:r>
        <w:rPr>
          <w:rFonts w:ascii="Arial" w:cs="Arial" w:eastAsia="Arial" w:hAnsi="Arial"/>
          <w:sz w:val="18"/>
          <w:szCs w:val="18"/>
          <w:color w:val="auto"/>
        </w:rPr>
        <w:t>5.4.</w:t>
        <w:tab/>
        <w:t>Written minutes of JSC meetings must be made alternately by each Party and must be circulated for comments no later than [***] after each meeting.</w:t>
      </w:r>
    </w:p>
    <w:p>
      <w:pPr>
        <w:spacing w:after="0" w:line="77" w:lineRule="exact"/>
        <w:rPr>
          <w:sz w:val="20"/>
          <w:szCs w:val="20"/>
          <w:color w:val="auto"/>
        </w:rPr>
      </w:pPr>
    </w:p>
    <w:p>
      <w:pPr>
        <w:jc w:val="both"/>
        <w:ind w:left="1400" w:right="60" w:hanging="430"/>
        <w:spacing w:after="0" w:line="262" w:lineRule="auto"/>
        <w:tabs>
          <w:tab w:leader="none" w:pos="1380" w:val="left"/>
        </w:tabs>
        <w:rPr>
          <w:sz w:val="20"/>
          <w:szCs w:val="20"/>
          <w:color w:val="auto"/>
        </w:rPr>
      </w:pPr>
      <w:r>
        <w:rPr>
          <w:rFonts w:ascii="Arial" w:cs="Arial" w:eastAsia="Arial" w:hAnsi="Arial"/>
          <w:sz w:val="18"/>
          <w:szCs w:val="18"/>
          <w:color w:val="auto"/>
        </w:rPr>
        <w:t>5.5.</w:t>
        <w:tab/>
        <w:t>As long as the Manufacturing and Supply Agreement executed on 26 October 2018 between Carbogen and Ascendis for Activated C13 Linker Solution (“C13”) is still in effect, the JSC for C13 and the JSC for this Product shall be one and the same; the members shall be adapted from time to time as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COMMUNICATIONS</w:t>
      </w:r>
    </w:p>
    <w:p>
      <w:pPr>
        <w:spacing w:after="0" w:line="133" w:lineRule="exact"/>
        <w:rPr>
          <w:sz w:val="20"/>
          <w:szCs w:val="20"/>
          <w:color w:val="auto"/>
        </w:rPr>
      </w:pPr>
    </w:p>
    <w:p>
      <w:pPr>
        <w:ind w:left="1400" w:right="20" w:hanging="430"/>
        <w:spacing w:after="0" w:line="262" w:lineRule="auto"/>
        <w:tabs>
          <w:tab w:leader="none" w:pos="1380" w:val="left"/>
        </w:tabs>
        <w:rPr>
          <w:sz w:val="20"/>
          <w:szCs w:val="20"/>
          <w:color w:val="auto"/>
        </w:rPr>
      </w:pPr>
      <w:r>
        <w:rPr>
          <w:rFonts w:ascii="Arial" w:cs="Arial" w:eastAsia="Arial" w:hAnsi="Arial"/>
          <w:sz w:val="18"/>
          <w:szCs w:val="18"/>
          <w:color w:val="auto"/>
        </w:rPr>
        <w:t>6.1.</w:t>
        <w:tab/>
        <w:t>The Parties agree that electronic communications (email) are acceptable for exchanging forecasts, Purchase Orders, order confirmations, agendas, meeting minutes and other information of an operational nature. Legal notices shall be delivered physically by courier.</w:t>
      </w:r>
    </w:p>
    <w:p>
      <w:pPr>
        <w:spacing w:after="0" w:line="89" w:lineRule="exact"/>
        <w:rPr>
          <w:sz w:val="20"/>
          <w:szCs w:val="20"/>
          <w:color w:val="auto"/>
        </w:rPr>
      </w:pPr>
    </w:p>
    <w:p>
      <w:pPr>
        <w:jc w:val="center"/>
        <w:ind w:right="40"/>
        <w:spacing w:after="0"/>
        <w:tabs>
          <w:tab w:leader="none" w:pos="1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Parties agree to each appoint a primary Logistics contact person and a primary Quality Assurance contact person.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MATERIALS AND SUBCONTRACTING</w:t>
      </w:r>
    </w:p>
    <w:p>
      <w:pPr>
        <w:spacing w:after="0" w:line="133" w:lineRule="exact"/>
        <w:rPr>
          <w:sz w:val="20"/>
          <w:szCs w:val="20"/>
          <w:color w:val="auto"/>
        </w:rPr>
      </w:pPr>
    </w:p>
    <w:p>
      <w:pPr>
        <w:ind w:left="1400" w:hanging="430"/>
        <w:spacing w:after="0" w:line="253" w:lineRule="auto"/>
        <w:tabs>
          <w:tab w:leader="none" w:pos="1380" w:val="left"/>
        </w:tabs>
        <w:rPr>
          <w:sz w:val="20"/>
          <w:szCs w:val="20"/>
          <w:color w:val="auto"/>
        </w:rPr>
      </w:pPr>
      <w:r>
        <w:rPr>
          <w:rFonts w:ascii="Arial" w:cs="Arial" w:eastAsia="Arial" w:hAnsi="Arial"/>
          <w:sz w:val="18"/>
          <w:szCs w:val="18"/>
          <w:color w:val="auto"/>
        </w:rPr>
        <w:t>7.1.</w:t>
        <w:tab/>
        <w:t>Carbogen shall – [***] – be responsible for sourcing Materials as required from reputable third party manufacturers. Carbogen shall notify Ascendis in writing once a manufacturer has been appointed and such manufacturer shall be an approved manufacturer of the relevant Material (as defined in the Quality Agreement). Carbogen shall provide Ascendis with all details and information concerning the third party manufacturer as may be required by Ascendis to comply with Applicable Law and Regulations. Once a manufacturer has been appointed as an approved manufacturer of a specific Material, Carbogen shall not appoint a replacement manufacturer or a second manufacturer of the same Material without Ascendis’ prior written consent, which consent shall not be unreasonably withheld or delayed. [***]. Loss of Materials due to expiry caused by lowered forecast or cancelled orders shall be at the risk of Ascendis.</w:t>
      </w:r>
    </w:p>
    <w:p>
      <w:pPr>
        <w:spacing w:after="0" w:line="97" w:lineRule="exact"/>
        <w:rPr>
          <w:sz w:val="20"/>
          <w:szCs w:val="20"/>
          <w:color w:val="auto"/>
        </w:rPr>
      </w:pPr>
    </w:p>
    <w:p>
      <w:pPr>
        <w:ind w:left="1400" w:right="60" w:hanging="430"/>
        <w:spacing w:after="0" w:line="275" w:lineRule="auto"/>
        <w:tabs>
          <w:tab w:leader="none" w:pos="1380" w:val="left"/>
        </w:tabs>
        <w:rPr>
          <w:sz w:val="20"/>
          <w:szCs w:val="20"/>
          <w:color w:val="auto"/>
        </w:rPr>
      </w:pPr>
      <w:r>
        <w:rPr>
          <w:rFonts w:ascii="Arial" w:cs="Arial" w:eastAsia="Arial" w:hAnsi="Arial"/>
          <w:sz w:val="18"/>
          <w:szCs w:val="18"/>
          <w:color w:val="auto"/>
        </w:rPr>
        <w:t>7.2.</w:t>
        <w:tab/>
        <w:t>Any performance of the Services by a third party manufacturer shall be subject to Ascendis’ prior written approval. Approved third party manufacturers are defined in the Quality Agreement (APPENDIX 4).</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8 of 30</w:t>
      </w:r>
    </w:p>
    <w:p>
      <w:pPr>
        <w:sectPr>
          <w:pgSz w:w="11900" w:h="16838" w:orient="portrait"/>
          <w:cols w:equalWidth="0" w:num="1">
            <w:col w:w="10880"/>
          </w:cols>
          <w:pgMar w:left="460" w:top="273" w:right="5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8. FORECAST AND PURCHASE ORDERS</w:t>
      </w:r>
    </w:p>
    <w:p>
      <w:pPr>
        <w:spacing w:after="0" w:line="133"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Forecast:</w:t>
      </w:r>
    </w:p>
    <w:p>
      <w:pPr>
        <w:spacing w:after="0" w:line="116" w:lineRule="exact"/>
        <w:rPr>
          <w:sz w:val="20"/>
          <w:szCs w:val="20"/>
          <w:color w:val="auto"/>
        </w:rPr>
      </w:pPr>
    </w:p>
    <w:p>
      <w:pPr>
        <w:ind w:left="1420"/>
        <w:spacing w:after="0" w:line="271" w:lineRule="auto"/>
        <w:rPr>
          <w:sz w:val="20"/>
          <w:szCs w:val="20"/>
          <w:color w:val="auto"/>
        </w:rPr>
      </w:pPr>
      <w:r>
        <w:rPr>
          <w:rFonts w:ascii="Arial" w:cs="Arial" w:eastAsia="Arial" w:hAnsi="Arial"/>
          <w:sz w:val="17"/>
          <w:szCs w:val="17"/>
          <w:color w:val="auto"/>
        </w:rPr>
        <w:t>Ascendis shall provide Carbogen with a written rolling forecast showing Ascendis’ expected requirements for the Product “Reagent F” ([***]) to be Delivered under this Agreement during the following [***]. The forecast for the [***] will be considered fully binding on the Parties, i.e. Ascendis commits to order and purchase the forecasted quantity and Carbogen commits to Deliver such. The forecast for the [***] shall be considered non-binding. The first such forecast shall be supplied upon [***]. The forecast shall be updated [***] no later [***]. Carbogen shall confirm the forecasts within [***] after receipt. Unless Carbogen expressly objects to a forecast within [***] after receipt, the forecast is deemed approved by Carbogen. Such approval entails Carbogen’s acknowledgement and commitment to have sufficient capacity to satisfy the requirements set forth in the forecast.</w:t>
      </w:r>
    </w:p>
    <w:p>
      <w:pPr>
        <w:spacing w:after="0" w:line="83"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 of Intermediates:</w:t>
      </w:r>
    </w:p>
    <w:p>
      <w:pPr>
        <w:spacing w:after="0" w:line="116" w:lineRule="exact"/>
        <w:rPr>
          <w:sz w:val="20"/>
          <w:szCs w:val="20"/>
          <w:color w:val="auto"/>
        </w:rPr>
      </w:pPr>
    </w:p>
    <w:p>
      <w:pPr>
        <w:ind w:left="1420" w:right="40"/>
        <w:spacing w:after="0" w:line="278" w:lineRule="auto"/>
        <w:rPr>
          <w:sz w:val="20"/>
          <w:szCs w:val="20"/>
          <w:color w:val="auto"/>
        </w:rPr>
      </w:pPr>
      <w:r>
        <w:rPr>
          <w:rFonts w:ascii="Arial" w:cs="Arial" w:eastAsia="Arial" w:hAnsi="Arial"/>
          <w:sz w:val="17"/>
          <w:szCs w:val="17"/>
          <w:color w:val="auto"/>
        </w:rPr>
        <w:t>Based on the forecast for Reagent F, Carbogen shall [***] of [***] corresponding to the [***] of the rolling forecast and plan for the timely manufacture of this intermediate in due time. Carbogen shall in due time request for Ascendis to place Purchase Orders for required quantities of [***], such Purchase Orders to be issued by Ascendis within no more than [***] of having received the request. To be clear: this section only covers [***]; costs of unused materials are covered in chapter 15.4 c).</w:t>
      </w:r>
    </w:p>
    <w:p>
      <w:pPr>
        <w:spacing w:after="0" w:line="7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Purchase Orders:</w:t>
      </w:r>
    </w:p>
    <w:p>
      <w:pPr>
        <w:spacing w:after="0" w:line="116" w:lineRule="exact"/>
        <w:rPr>
          <w:sz w:val="20"/>
          <w:szCs w:val="20"/>
          <w:color w:val="auto"/>
        </w:rPr>
      </w:pPr>
    </w:p>
    <w:p>
      <w:pPr>
        <w:ind w:left="1420" w:right="20"/>
        <w:spacing w:after="0" w:line="271" w:lineRule="auto"/>
        <w:rPr>
          <w:sz w:val="20"/>
          <w:szCs w:val="20"/>
          <w:color w:val="auto"/>
        </w:rPr>
      </w:pPr>
      <w:r>
        <w:rPr>
          <w:rFonts w:ascii="Arial" w:cs="Arial" w:eastAsia="Arial" w:hAnsi="Arial"/>
          <w:sz w:val="17"/>
          <w:szCs w:val="17"/>
          <w:color w:val="auto"/>
        </w:rPr>
        <w:t>Ascendis shall from time to time place Purchase Orders with Carbogen on the terms agreed herein. A Purchase Order shall [***]. For Reagent F, Purchase Orders must be placed in due time for the quantity bound through the binding forecast. Ascendis may also place Purchase Orders for quantities beyond the binding forecast, and Carbogen shall use [***] to Deliver such additional quantities, but shall not be obliged to do so unless Carbogen confirms the full Purchase Order. Ascendis shall on each Purchase Order specify the requested date of Delivery, in accordance with the binding forecast, which shall be no earlier than [***] from submission of each Purchase Order. For Purchase Orders where [***], the [***] shall be [***]. Carbogen shall confirm such Purchase Orders in writing no later than [***] upon receipt of said Purchase Orders [***].</w:t>
      </w:r>
    </w:p>
    <w:p>
      <w:pPr>
        <w:spacing w:after="0" w:line="83"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Cancellation of Purchase Orders and binding forecast</w:t>
      </w:r>
    </w:p>
    <w:p>
      <w:pPr>
        <w:spacing w:after="0" w:line="116" w:lineRule="exact"/>
        <w:rPr>
          <w:sz w:val="20"/>
          <w:szCs w:val="20"/>
          <w:color w:val="auto"/>
        </w:rPr>
      </w:pPr>
    </w:p>
    <w:p>
      <w:pPr>
        <w:ind w:left="1420" w:right="400"/>
        <w:spacing w:after="0" w:line="275" w:lineRule="auto"/>
        <w:rPr>
          <w:sz w:val="20"/>
          <w:szCs w:val="20"/>
          <w:color w:val="auto"/>
        </w:rPr>
      </w:pPr>
      <w:r>
        <w:rPr>
          <w:rFonts w:ascii="Arial" w:cs="Arial" w:eastAsia="Arial" w:hAnsi="Arial"/>
          <w:sz w:val="18"/>
          <w:szCs w:val="18"/>
          <w:color w:val="auto"/>
        </w:rPr>
        <w:t>In case Ascendis cancels Purchase Orders or the binding forecast it shall pay [***]% of all costs for raw materials consumed or purchased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30</w:t>
      </w:r>
    </w:p>
    <w:p>
      <w:pPr>
        <w:sectPr>
          <w:pgSz w:w="11900" w:h="16838" w:orient="portrait"/>
          <w:cols w:equalWidth="0" w:num="1">
            <w:col w:w="10960"/>
          </w:cols>
          <w:pgMar w:left="460" w:top="269" w:right="479" w:bottom="1440" w:gutter="0" w:footer="0" w:header="0"/>
        </w:sectPr>
      </w:pPr>
    </w:p>
    <w:bookmarkStart w:id="254" w:name="page255"/>
    <w:bookmarkEnd w:id="254"/>
    <w:p>
      <w:pPr>
        <w:jc w:val="center"/>
        <w:ind w:right="1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for such Purchase Orders, [***]% of the cost of already performed Services, and the following cancellation fees:</w:t>
      </w:r>
    </w:p>
    <w:p>
      <w:pPr>
        <w:spacing w:after="0" w:line="129" w:lineRule="exact"/>
        <w:rPr>
          <w:sz w:val="20"/>
          <w:szCs w:val="20"/>
          <w:color w:val="auto"/>
        </w:rPr>
      </w:pPr>
    </w:p>
    <w:p>
      <w:pPr>
        <w:ind w:left="2065" w:hanging="531"/>
        <w:spacing w:after="0"/>
        <w:tabs>
          <w:tab w:leader="none" w:pos="206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of the Unused Service Fee for cancellation ≥ [***] before commencement of manufacture of [***].</w:t>
      </w:r>
    </w:p>
    <w:p>
      <w:pPr>
        <w:spacing w:after="0" w:line="129" w:lineRule="exact"/>
        <w:rPr>
          <w:rFonts w:ascii="Arial" w:cs="Arial" w:eastAsia="Arial" w:hAnsi="Arial"/>
          <w:sz w:val="18"/>
          <w:szCs w:val="18"/>
          <w:color w:val="auto"/>
        </w:rPr>
      </w:pPr>
    </w:p>
    <w:p>
      <w:pPr>
        <w:ind w:left="2065" w:hanging="531"/>
        <w:spacing w:after="0"/>
        <w:tabs>
          <w:tab w:leader="none" w:pos="206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of the Unused Service Fee for cancellation &lt;[***] and ≥[***] before commencement</w:t>
      </w:r>
    </w:p>
    <w:p>
      <w:pPr>
        <w:spacing w:after="0" w:line="129" w:lineRule="exact"/>
        <w:rPr>
          <w:rFonts w:ascii="Arial" w:cs="Arial" w:eastAsia="Arial" w:hAnsi="Arial"/>
          <w:sz w:val="18"/>
          <w:szCs w:val="18"/>
          <w:color w:val="auto"/>
        </w:rPr>
      </w:pPr>
    </w:p>
    <w:p>
      <w:pPr>
        <w:ind w:left="2065" w:hanging="531"/>
        <w:spacing w:after="0"/>
        <w:tabs>
          <w:tab w:leader="none" w:pos="206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of the Unused Service Fee for cancellation &lt;[***] and ≥[***] before commencement</w:t>
      </w:r>
    </w:p>
    <w:p>
      <w:pPr>
        <w:spacing w:after="0" w:line="129" w:lineRule="exact"/>
        <w:rPr>
          <w:rFonts w:ascii="Arial" w:cs="Arial" w:eastAsia="Arial" w:hAnsi="Arial"/>
          <w:sz w:val="18"/>
          <w:szCs w:val="18"/>
          <w:color w:val="auto"/>
        </w:rPr>
      </w:pPr>
    </w:p>
    <w:p>
      <w:pPr>
        <w:ind w:left="2065" w:hanging="531"/>
        <w:spacing w:after="0"/>
        <w:tabs>
          <w:tab w:leader="none" w:pos="206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of the Unused Service Fee for cancellation &lt;[***] before commencement</w:t>
      </w:r>
    </w:p>
    <w:p>
      <w:pPr>
        <w:spacing w:after="0" w:line="129" w:lineRule="exact"/>
        <w:rPr>
          <w:rFonts w:ascii="Arial" w:cs="Arial" w:eastAsia="Arial" w:hAnsi="Arial"/>
          <w:sz w:val="18"/>
          <w:szCs w:val="18"/>
          <w:color w:val="auto"/>
        </w:rPr>
      </w:pPr>
    </w:p>
    <w:p>
      <w:pPr>
        <w:ind w:left="2065" w:hanging="531"/>
        <w:spacing w:after="0"/>
        <w:tabs>
          <w:tab w:leader="none" w:pos="206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of the Unused Service Fee for cancellation after commencement.</w:t>
      </w:r>
    </w:p>
    <w:p>
      <w:pPr>
        <w:spacing w:after="0" w:line="327" w:lineRule="exact"/>
        <w:rPr>
          <w:rFonts w:ascii="Arial" w:cs="Arial" w:eastAsia="Arial" w:hAnsi="Arial"/>
          <w:sz w:val="18"/>
          <w:szCs w:val="18"/>
          <w:color w:val="auto"/>
        </w:rPr>
      </w:pPr>
    </w:p>
    <w:p>
      <w:pPr>
        <w:ind w:left="185" w:hanging="185"/>
        <w:spacing w:after="0"/>
        <w:tabs>
          <w:tab w:leader="none" w:pos="185"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BATCH SIZE AND CAPACITY</w:t>
      </w:r>
    </w:p>
    <w:p>
      <w:pPr>
        <w:spacing w:after="0" w:line="133"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acceptable range and the manufacturing batch sizes for Reagent F and for Intermediates shall be reflected in APPENDIX 6.</w:t>
      </w:r>
    </w:p>
    <w:p>
      <w:pPr>
        <w:spacing w:after="0" w:line="129" w:lineRule="exact"/>
        <w:rPr>
          <w:sz w:val="20"/>
          <w:szCs w:val="20"/>
          <w:color w:val="auto"/>
        </w:rPr>
      </w:pPr>
    </w:p>
    <w:p>
      <w:pPr>
        <w:ind w:left="1405" w:right="160" w:hanging="430"/>
        <w:spacing w:after="0" w:line="262" w:lineRule="auto"/>
        <w:tabs>
          <w:tab w:leader="none" w:pos="1384" w:val="left"/>
        </w:tabs>
        <w:rPr>
          <w:sz w:val="20"/>
          <w:szCs w:val="20"/>
          <w:color w:val="auto"/>
        </w:rPr>
      </w:pPr>
      <w:r>
        <w:rPr>
          <w:rFonts w:ascii="Arial" w:cs="Arial" w:eastAsia="Arial" w:hAnsi="Arial"/>
          <w:sz w:val="18"/>
          <w:szCs w:val="18"/>
          <w:color w:val="auto"/>
        </w:rPr>
        <w:t>9.2.</w:t>
        <w:tab/>
        <w:t>On the Effective Date, Carbogen guarantees ability to Deliver [***] Reagent F per year including necessary manufacture of Intermediate E (subject to agreed forecasting procedure and no force majeure events) using the [***]. Supply intended out of [***] site.</w:t>
      </w:r>
    </w:p>
    <w:p>
      <w:pPr>
        <w:spacing w:after="0" w:line="89" w:lineRule="exact"/>
        <w:rPr>
          <w:sz w:val="20"/>
          <w:szCs w:val="20"/>
          <w:color w:val="auto"/>
        </w:rPr>
      </w:pPr>
    </w:p>
    <w:p>
      <w:pPr>
        <w:ind w:left="1405" w:right="140" w:hanging="430"/>
        <w:spacing w:after="0" w:line="275" w:lineRule="auto"/>
        <w:tabs>
          <w:tab w:leader="none" w:pos="1384" w:val="left"/>
        </w:tabs>
        <w:rPr>
          <w:sz w:val="20"/>
          <w:szCs w:val="20"/>
          <w:color w:val="auto"/>
        </w:rPr>
      </w:pPr>
      <w:r>
        <w:rPr>
          <w:rFonts w:ascii="Arial" w:cs="Arial" w:eastAsia="Arial" w:hAnsi="Arial"/>
          <w:sz w:val="18"/>
          <w:szCs w:val="18"/>
          <w:color w:val="auto"/>
        </w:rPr>
        <w:t>9.3.</w:t>
        <w:tab/>
        <w:t>The Parties agree to mutually discuss options to secure flexibility in the supply of Product and mitigate the risk of shortages in case Ascendis’ actual needs turn out lower or higher than forecasted.</w:t>
      </w:r>
    </w:p>
    <w:p>
      <w:pPr>
        <w:spacing w:after="0" w:line="27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10. DELIVERY AND RELEASE</w:t>
      </w:r>
    </w:p>
    <w:p>
      <w:pPr>
        <w:spacing w:after="0" w:line="133" w:lineRule="exact"/>
        <w:rPr>
          <w:sz w:val="20"/>
          <w:szCs w:val="20"/>
          <w:color w:val="auto"/>
        </w:rPr>
      </w:pPr>
    </w:p>
    <w:p>
      <w:pPr>
        <w:jc w:val="both"/>
        <w:ind w:left="1405" w:hanging="430"/>
        <w:spacing w:after="0" w:line="262" w:lineRule="auto"/>
        <w:rPr>
          <w:sz w:val="20"/>
          <w:szCs w:val="20"/>
          <w:color w:val="auto"/>
        </w:rPr>
      </w:pPr>
      <w:r>
        <w:rPr>
          <w:rFonts w:ascii="Arial" w:cs="Arial" w:eastAsia="Arial" w:hAnsi="Arial"/>
          <w:sz w:val="18"/>
          <w:szCs w:val="18"/>
          <w:color w:val="auto"/>
        </w:rPr>
        <w:t>10.1. Carbogen shall Deliver Product ordered under Article 8 in the quantities agreed and under the common understanding by the Parties that it is of the essence to Ascendis that Carbogen observes Delivery Dates and that Product Delivered under this Agreement is of the agreed quality and Specifications.</w:t>
      </w:r>
    </w:p>
    <w:p>
      <w:pPr>
        <w:spacing w:after="0" w:line="89" w:lineRule="exact"/>
        <w:rPr>
          <w:sz w:val="20"/>
          <w:szCs w:val="20"/>
          <w:color w:val="auto"/>
        </w:rPr>
      </w:pPr>
    </w:p>
    <w:p>
      <w:pPr>
        <w:ind w:left="1405" w:right="100" w:hanging="430"/>
        <w:spacing w:after="0" w:line="275" w:lineRule="auto"/>
        <w:rPr>
          <w:sz w:val="20"/>
          <w:szCs w:val="20"/>
          <w:color w:val="auto"/>
        </w:rPr>
      </w:pPr>
      <w:r>
        <w:rPr>
          <w:rFonts w:ascii="Arial" w:cs="Arial" w:eastAsia="Arial" w:hAnsi="Arial"/>
          <w:sz w:val="18"/>
          <w:szCs w:val="18"/>
          <w:color w:val="auto"/>
        </w:rPr>
        <w:t>10.2. Carbogen bears the responsibility towards Ascendis that the required conditions for storage of the Product, as defined in the Quality Agreement, are fulfilled until Delivery thereof to Ascendis or its designee.</w:t>
      </w:r>
    </w:p>
    <w:p>
      <w:pPr>
        <w:spacing w:after="0" w:line="77"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10.3. Product shall be delivered to Ascendis or its designee [***] according to Incoterms 2010.</w:t>
      </w:r>
    </w:p>
    <w:p>
      <w:pPr>
        <w:spacing w:after="0" w:line="129" w:lineRule="exact"/>
        <w:rPr>
          <w:sz w:val="20"/>
          <w:szCs w:val="20"/>
          <w:color w:val="auto"/>
        </w:rPr>
      </w:pPr>
    </w:p>
    <w:p>
      <w:pPr>
        <w:jc w:val="both"/>
        <w:ind w:left="1405" w:right="20" w:hanging="430"/>
        <w:spacing w:after="0" w:line="262" w:lineRule="auto"/>
        <w:rPr>
          <w:sz w:val="20"/>
          <w:szCs w:val="20"/>
          <w:color w:val="auto"/>
        </w:rPr>
      </w:pPr>
      <w:r>
        <w:rPr>
          <w:rFonts w:ascii="Arial" w:cs="Arial" w:eastAsia="Arial" w:hAnsi="Arial"/>
          <w:sz w:val="18"/>
          <w:szCs w:val="18"/>
          <w:color w:val="auto"/>
        </w:rPr>
        <w:t>10.4. Carbogen shall no later than [***] prior to the confirmed Delivery Date forward the Release Documentation for Ascendis to review. Following receipt of the Release Documentation, Final Release shall be performed by Ascendis’ Qualified Person within [***], such Final Release not to be unreasonably withheld or delayed. Delivery is subject to Final Release.</w:t>
      </w:r>
    </w:p>
    <w:p>
      <w:pPr>
        <w:spacing w:after="0" w:line="11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10 of 30</w:t>
      </w:r>
    </w:p>
    <w:p>
      <w:pPr>
        <w:sectPr>
          <w:pgSz w:w="11900" w:h="16838" w:orient="portrait"/>
          <w:cols w:equalWidth="0" w:num="1">
            <w:col w:w="10965"/>
          </w:cols>
          <w:pgMar w:left="455" w:top="273" w:right="479" w:bottom="1440" w:gutter="0" w:footer="0" w:header="0"/>
        </w:sectPr>
      </w:pPr>
    </w:p>
    <w:bookmarkStart w:id="255" w:name="page256"/>
    <w:bookmarkEnd w:id="255"/>
    <w:p>
      <w:pPr>
        <w:ind w:left="1400" w:right="80" w:hanging="43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10.5. Any delay in delivery of the Product and/or Release Documentation shall be notified to Ascendis no later than [***] after the delay has become apparent to Carbogen, including a description of the cause. Carbogen shall [***] solve the issues and shall confirm a new Delivery Date to Ascendis as soon as possible.</w:t>
      </w:r>
    </w:p>
    <w:p>
      <w:pPr>
        <w:spacing w:after="0" w:line="89" w:lineRule="exact"/>
        <w:rPr>
          <w:sz w:val="20"/>
          <w:szCs w:val="20"/>
          <w:color w:val="auto"/>
        </w:rPr>
      </w:pPr>
    </w:p>
    <w:p>
      <w:pPr>
        <w:jc w:val="both"/>
        <w:ind w:left="1400" w:hanging="430"/>
        <w:spacing w:after="0" w:line="258" w:lineRule="auto"/>
        <w:rPr>
          <w:sz w:val="20"/>
          <w:szCs w:val="20"/>
          <w:color w:val="auto"/>
        </w:rPr>
      </w:pPr>
      <w:r>
        <w:rPr>
          <w:rFonts w:ascii="Arial" w:cs="Arial" w:eastAsia="Arial" w:hAnsi="Arial"/>
          <w:sz w:val="18"/>
          <w:szCs w:val="18"/>
          <w:color w:val="auto"/>
        </w:rPr>
        <w:t>10.6. If Ascendis finds that the Release Documentation does not comply with the Specifications or with any other requirement under this Agreement, Ascendis shall notify Carbogen in writing of Ascendis’ observations with respect to the non-compliance without undue delay after receipt of such documentation, provided that failure by Ascendis to do so shall not imply any loss of rights or remedy for Ascendis under this Agreement or at law.</w:t>
      </w:r>
    </w:p>
    <w:p>
      <w:pPr>
        <w:spacing w:after="0" w:line="92" w:lineRule="exact"/>
        <w:rPr>
          <w:sz w:val="20"/>
          <w:szCs w:val="20"/>
          <w:color w:val="auto"/>
        </w:rPr>
      </w:pPr>
    </w:p>
    <w:p>
      <w:pPr>
        <w:ind w:left="1400" w:right="180" w:hanging="430"/>
        <w:spacing w:after="0" w:line="275" w:lineRule="auto"/>
        <w:rPr>
          <w:sz w:val="20"/>
          <w:szCs w:val="20"/>
          <w:color w:val="auto"/>
        </w:rPr>
      </w:pPr>
      <w:r>
        <w:rPr>
          <w:rFonts w:ascii="Arial" w:cs="Arial" w:eastAsia="Arial" w:hAnsi="Arial"/>
          <w:sz w:val="18"/>
          <w:szCs w:val="18"/>
          <w:color w:val="auto"/>
        </w:rPr>
        <w:t>10.7. Carbogen will store and insure Product [***] for a period of [***] following the date of release. Beyond this time frame and upon Ascendis’ written request Carbogen shall store released Product for a period of up to [***] and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PURCHASE PRICE AND PAYMENT TERMS</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Ascendis will pay to Carbogen the Purchase Price for Product and Other Services.</w:t>
      </w:r>
    </w:p>
    <w:p>
      <w:pPr>
        <w:spacing w:after="0" w:line="129" w:lineRule="exact"/>
        <w:rPr>
          <w:sz w:val="20"/>
          <w:szCs w:val="20"/>
          <w:color w:val="auto"/>
        </w:rPr>
      </w:pPr>
    </w:p>
    <w:p>
      <w:pPr>
        <w:ind w:left="1400" w:right="700" w:hanging="430"/>
        <w:spacing w:after="0" w:line="275" w:lineRule="auto"/>
        <w:rPr>
          <w:sz w:val="20"/>
          <w:szCs w:val="20"/>
          <w:color w:val="auto"/>
        </w:rPr>
      </w:pPr>
      <w:r>
        <w:rPr>
          <w:rFonts w:ascii="Arial" w:cs="Arial" w:eastAsia="Arial" w:hAnsi="Arial"/>
          <w:sz w:val="18"/>
          <w:szCs w:val="18"/>
          <w:color w:val="auto"/>
        </w:rPr>
        <w:t>11.2. The Purchase Price for Product is listed in APPENDIX 3. The Purchase Price for Other Services will be agreed in separate agreements as detailed in APPENDIX 7.</w:t>
      </w:r>
    </w:p>
    <w:p>
      <w:pPr>
        <w:spacing w:after="0" w:line="77" w:lineRule="exact"/>
        <w:rPr>
          <w:sz w:val="20"/>
          <w:szCs w:val="20"/>
          <w:color w:val="auto"/>
        </w:rPr>
      </w:pPr>
    </w:p>
    <w:p>
      <w:pPr>
        <w:ind w:left="1400" w:right="340" w:hanging="430"/>
        <w:spacing w:after="0" w:line="275" w:lineRule="auto"/>
        <w:rPr>
          <w:sz w:val="20"/>
          <w:szCs w:val="20"/>
          <w:color w:val="auto"/>
        </w:rPr>
      </w:pPr>
      <w:r>
        <w:rPr>
          <w:rFonts w:ascii="Arial" w:cs="Arial" w:eastAsia="Arial" w:hAnsi="Arial"/>
          <w:sz w:val="18"/>
          <w:szCs w:val="18"/>
          <w:color w:val="auto"/>
        </w:rPr>
        <w:t>11.3. Each [***], Carbogen may invoice Ascendis a fee of [***] if no Purchase Orders have been issued for delivery of at least [***] within the preceding [***].</w:t>
      </w:r>
    </w:p>
    <w:p>
      <w:pPr>
        <w:spacing w:after="0" w:line="77" w:lineRule="exact"/>
        <w:rPr>
          <w:sz w:val="20"/>
          <w:szCs w:val="20"/>
          <w:color w:val="auto"/>
        </w:rPr>
      </w:pPr>
    </w:p>
    <w:p>
      <w:pPr>
        <w:ind w:left="1400" w:right="300" w:hanging="430"/>
        <w:spacing w:after="0" w:line="275" w:lineRule="auto"/>
        <w:rPr>
          <w:sz w:val="20"/>
          <w:szCs w:val="20"/>
          <w:color w:val="auto"/>
        </w:rPr>
      </w:pPr>
      <w:r>
        <w:rPr>
          <w:rFonts w:ascii="Arial" w:cs="Arial" w:eastAsia="Arial" w:hAnsi="Arial"/>
          <w:sz w:val="18"/>
          <w:szCs w:val="18"/>
          <w:color w:val="auto"/>
        </w:rPr>
        <w:t>11.4. The agreed Purchase Price for Product is based on [***]. It is agreed that the Purchase Price shall be verified [***] and adjusted accordingly if [***].</w:t>
      </w:r>
    </w:p>
    <w:p>
      <w:pPr>
        <w:spacing w:after="0" w:line="77" w:lineRule="exact"/>
        <w:rPr>
          <w:sz w:val="20"/>
          <w:szCs w:val="20"/>
          <w:color w:val="auto"/>
        </w:rPr>
      </w:pPr>
    </w:p>
    <w:p>
      <w:pPr>
        <w:ind w:left="1400" w:right="120" w:hanging="430"/>
        <w:spacing w:after="0" w:line="289" w:lineRule="auto"/>
        <w:rPr>
          <w:sz w:val="20"/>
          <w:szCs w:val="20"/>
          <w:color w:val="auto"/>
        </w:rPr>
      </w:pPr>
      <w:r>
        <w:rPr>
          <w:rFonts w:ascii="Arial" w:cs="Arial" w:eastAsia="Arial" w:hAnsi="Arial"/>
          <w:sz w:val="16"/>
          <w:szCs w:val="16"/>
          <w:color w:val="auto"/>
        </w:rPr>
        <w:t>11.5. Carbogen’s price for the Services [***]. If Carbogen is obligated by law to charge any value added and/or similar tax to Ascendis, Carbogen shall ensure that if such value-added and/or similar tax is applicable, that it is invoiced to Ascendis in accordance with applicable rules so as to allow Ascendis to reclaim such value-added and/or similar tax from the appropriate government authority. Neither Party is responsible for taxes on the other Party’s income or the income of the other Party’s personnel or subcontractors. If Ascendis is required by government regulation to withhold taxes for which Supplier is responsible, Ascendis will deduct such withholding tax from payment to Supplier and provide to Supplier a valid tax receipt in Carbogen’s name. If Carbogen is exempt from such withholding taxes as a result of a tax treaty or other regime, Carbogen shall provide to Ascendis a valid tax treaty residency certificate or other tax exemption certificate at a minimum of [***] prior to payment being due.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11 of 30</w:t>
      </w:r>
    </w:p>
    <w:p>
      <w:pPr>
        <w:sectPr>
          <w:pgSz w:w="11900" w:h="16838" w:orient="portrait"/>
          <w:cols w:equalWidth="0" w:num="1">
            <w:col w:w="10900"/>
          </w:cols>
          <w:pgMar w:left="460" w:top="273" w:right="539" w:bottom="1440" w:gutter="0" w:footer="0" w:header="0"/>
        </w:sectPr>
      </w:pPr>
    </w:p>
    <w:bookmarkStart w:id="256" w:name="page257"/>
    <w:bookmarkEnd w:id="25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11.6. For the avoidance of doubt, the price for the Services [***].</w:t>
      </w:r>
    </w:p>
    <w:p>
      <w:pPr>
        <w:spacing w:after="0" w:line="129" w:lineRule="exact"/>
        <w:rPr>
          <w:sz w:val="20"/>
          <w:szCs w:val="20"/>
          <w:color w:val="auto"/>
        </w:rPr>
      </w:pPr>
    </w:p>
    <w:p>
      <w:pPr>
        <w:ind w:left="1400" w:right="80" w:hanging="430"/>
        <w:spacing w:after="0" w:line="275" w:lineRule="auto"/>
        <w:rPr>
          <w:sz w:val="20"/>
          <w:szCs w:val="20"/>
          <w:color w:val="auto"/>
        </w:rPr>
      </w:pPr>
      <w:r>
        <w:rPr>
          <w:rFonts w:ascii="Arial" w:cs="Arial" w:eastAsia="Arial" w:hAnsi="Arial"/>
          <w:sz w:val="18"/>
          <w:szCs w:val="18"/>
          <w:color w:val="auto"/>
        </w:rPr>
        <w:t>11.7. Carbogen shall invoice Ascendis for Reagent F deliveries [***] or [***], whichever event comes first. Invoicing for Other Services shall follow the agreements listed in APPENDIX 7.</w:t>
      </w:r>
    </w:p>
    <w:p>
      <w:pPr>
        <w:spacing w:after="0" w:line="77" w:lineRule="exact"/>
        <w:rPr>
          <w:sz w:val="20"/>
          <w:szCs w:val="20"/>
          <w:color w:val="auto"/>
        </w:rPr>
      </w:pPr>
    </w:p>
    <w:p>
      <w:pPr>
        <w:ind w:left="1400" w:right="160" w:hanging="430"/>
        <w:spacing w:after="0" w:line="262" w:lineRule="auto"/>
        <w:rPr>
          <w:sz w:val="20"/>
          <w:szCs w:val="20"/>
          <w:color w:val="auto"/>
        </w:rPr>
      </w:pPr>
      <w:r>
        <w:rPr>
          <w:rFonts w:ascii="Arial" w:cs="Arial" w:eastAsia="Arial" w:hAnsi="Arial"/>
          <w:sz w:val="18"/>
          <w:szCs w:val="18"/>
          <w:color w:val="auto"/>
        </w:rPr>
        <w:t>11.8. Payments by Ascendis will be made in [***] after receipt of invoice by Ascendis. All late payments will, without further notification, be charged with interest for late payment calculated on a daily basis from the due date until full payment at the rate of [***].</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REGULATORY COMPLIANCE AND SUPPORT</w:t>
      </w:r>
    </w:p>
    <w:p>
      <w:pPr>
        <w:spacing w:after="0" w:line="133" w:lineRule="exact"/>
        <w:rPr>
          <w:sz w:val="20"/>
          <w:szCs w:val="20"/>
          <w:color w:val="auto"/>
        </w:rPr>
      </w:pPr>
    </w:p>
    <w:p>
      <w:pPr>
        <w:ind w:left="1400" w:hanging="430"/>
        <w:spacing w:after="0" w:line="256" w:lineRule="auto"/>
        <w:rPr>
          <w:sz w:val="20"/>
          <w:szCs w:val="20"/>
          <w:color w:val="auto"/>
        </w:rPr>
      </w:pPr>
      <w:r>
        <w:rPr>
          <w:rFonts w:ascii="Arial" w:cs="Arial" w:eastAsia="Arial" w:hAnsi="Arial"/>
          <w:sz w:val="18"/>
          <w:szCs w:val="18"/>
          <w:color w:val="auto"/>
        </w:rPr>
        <w:t>12.1. Carbogen is obligated to support global regulatory requirements and requests. Health Authority Requirements are in this context defined as direct legal requirements imposed on Ascendis where non-compliance results in loss of license to operate or financial penalties due to non-compliance in the respective region. Health Authority Requests are defined as enquires from Health Authorities with relation to regulatory submissions (including but not limited to marketing authorization applications, clinical trial applications, line extensions, variations and safety requests).</w:t>
      </w:r>
    </w:p>
    <w:p>
      <w:pPr>
        <w:spacing w:after="0" w:line="93" w:lineRule="exact"/>
        <w:rPr>
          <w:sz w:val="20"/>
          <w:szCs w:val="20"/>
          <w:color w:val="auto"/>
        </w:rPr>
      </w:pPr>
    </w:p>
    <w:p>
      <w:pPr>
        <w:jc w:val="both"/>
        <w:ind w:left="1400" w:right="60" w:hanging="430"/>
        <w:spacing w:after="0" w:line="262" w:lineRule="auto"/>
        <w:rPr>
          <w:sz w:val="20"/>
          <w:szCs w:val="20"/>
          <w:color w:val="auto"/>
        </w:rPr>
      </w:pPr>
      <w:r>
        <w:rPr>
          <w:rFonts w:ascii="Arial" w:cs="Arial" w:eastAsia="Arial" w:hAnsi="Arial"/>
          <w:sz w:val="18"/>
          <w:szCs w:val="18"/>
          <w:color w:val="auto"/>
        </w:rPr>
        <w:t>12.2. Carbogen is obligated to deliver any information/data needed to support both Health Authority Requirements and Health Authority Requests. Data should be delivered to Ascendis according to respective Health Authority Controlled Terms as applicable and where possible in structured format (in a suitable file format).</w:t>
      </w:r>
    </w:p>
    <w:p>
      <w:pPr>
        <w:spacing w:after="0" w:line="89" w:lineRule="exact"/>
        <w:rPr>
          <w:sz w:val="20"/>
          <w:szCs w:val="20"/>
          <w:color w:val="auto"/>
        </w:rPr>
      </w:pPr>
    </w:p>
    <w:p>
      <w:pPr>
        <w:ind w:left="1400" w:right="240" w:hanging="430"/>
        <w:spacing w:after="0" w:line="275" w:lineRule="auto"/>
        <w:rPr>
          <w:sz w:val="20"/>
          <w:szCs w:val="20"/>
          <w:color w:val="auto"/>
        </w:rPr>
      </w:pPr>
      <w:r>
        <w:rPr>
          <w:rFonts w:ascii="Arial" w:cs="Arial" w:eastAsia="Arial" w:hAnsi="Arial"/>
          <w:sz w:val="18"/>
          <w:szCs w:val="18"/>
          <w:color w:val="auto"/>
        </w:rPr>
        <w:t>12.3. Carbogen must make available any information/documentation/data required to support regulatory requirements/requests no later than [***] following the first written enquiry from Ascendis.</w:t>
      </w:r>
    </w:p>
    <w:p>
      <w:pPr>
        <w:spacing w:after="0" w:line="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12.4. Ascendis shall [***] Carbogen for additional regulatory support. [***].</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NON-COMPLIANCE</w:t>
      </w:r>
    </w:p>
    <w:p>
      <w:pPr>
        <w:spacing w:after="0" w:line="133" w:lineRule="exact"/>
        <w:rPr>
          <w:sz w:val="20"/>
          <w:szCs w:val="20"/>
          <w:color w:val="auto"/>
        </w:rPr>
      </w:pPr>
    </w:p>
    <w:p>
      <w:pPr>
        <w:ind w:left="1400" w:right="320" w:hanging="430"/>
        <w:spacing w:after="0" w:line="256" w:lineRule="auto"/>
        <w:rPr>
          <w:sz w:val="20"/>
          <w:szCs w:val="20"/>
          <w:color w:val="auto"/>
        </w:rPr>
      </w:pPr>
      <w:r>
        <w:rPr>
          <w:rFonts w:ascii="Arial" w:cs="Arial" w:eastAsia="Arial" w:hAnsi="Arial"/>
          <w:sz w:val="18"/>
          <w:szCs w:val="18"/>
          <w:color w:val="auto"/>
        </w:rPr>
        <w:t>13.1. If Ascendis finds that Product Delivered does not conform to the terms and conditions of this Agreement, including, without limitation, the Specifications and/or Quality Agreement and/or cGMP, Ascendis shall no later than [***] after delivery notify Carbogen hereof in writing with Ascendis’ observations with respect to the non-compliance. For latent defects not detectable by inspection on supply (as defined in the Quality Agreement), Ascendis shall notify Carbogen no later than [***] or shelf life (whichever is shorter) after Delivery in writing.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 of 30</w:t>
      </w:r>
    </w:p>
    <w:p>
      <w:pPr>
        <w:sectPr>
          <w:pgSz w:w="11900" w:h="16838" w:orient="portrait"/>
          <w:cols w:equalWidth="0" w:num="1">
            <w:col w:w="10920"/>
          </w:cols>
          <w:pgMar w:left="460" w:top="273" w:right="519" w:bottom="1440" w:gutter="0" w:footer="0" w:header="0"/>
        </w:sectPr>
      </w:pPr>
    </w:p>
    <w:bookmarkStart w:id="257" w:name="page258"/>
    <w:bookmarkEnd w:id="257"/>
    <w:p>
      <w:pPr>
        <w:ind w:left="1400" w:right="40" w:hanging="43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13.2. Carbogen shall within [***] calculated from the day on which such written complaint has been received by Carbogen, inform Ascendis whether Carbogen agrees or not to the complaint filed. If such response is not given within the above-mentioned [***] it is understood that Carbogen agrees to said complaint.</w:t>
      </w:r>
    </w:p>
    <w:p>
      <w:pPr>
        <w:spacing w:after="0" w:line="89" w:lineRule="exact"/>
        <w:rPr>
          <w:sz w:val="20"/>
          <w:szCs w:val="20"/>
          <w:color w:val="auto"/>
        </w:rPr>
      </w:pPr>
    </w:p>
    <w:p>
      <w:pPr>
        <w:ind w:left="1400" w:right="280" w:hanging="430"/>
        <w:spacing w:after="0" w:line="285" w:lineRule="auto"/>
        <w:rPr>
          <w:sz w:val="20"/>
          <w:szCs w:val="20"/>
          <w:color w:val="auto"/>
        </w:rPr>
      </w:pPr>
      <w:r>
        <w:rPr>
          <w:rFonts w:ascii="Arial" w:cs="Arial" w:eastAsia="Arial" w:hAnsi="Arial"/>
          <w:sz w:val="17"/>
          <w:szCs w:val="17"/>
          <w:color w:val="auto"/>
        </w:rPr>
        <w:t>13.3. In the event of a dispute as to the acceptance of a batch of Product, the Parties agree to seek an amicable settlement by way of discussions between quality assurance representatives from either Party. If the dispute is not resolved amicably within [***] from Ascendis’ written notice mentioned in Article 13.1, the issue may be referred to [***].</w:t>
      </w:r>
    </w:p>
    <w:p>
      <w:pPr>
        <w:spacing w:after="0" w:line="70" w:lineRule="exact"/>
        <w:rPr>
          <w:sz w:val="20"/>
          <w:szCs w:val="20"/>
          <w:color w:val="auto"/>
        </w:rPr>
      </w:pPr>
    </w:p>
    <w:p>
      <w:pPr>
        <w:jc w:val="both"/>
        <w:ind w:left="1400" w:right="60" w:hanging="430"/>
        <w:spacing w:after="0" w:line="262" w:lineRule="auto"/>
        <w:rPr>
          <w:sz w:val="20"/>
          <w:szCs w:val="20"/>
          <w:color w:val="auto"/>
        </w:rPr>
      </w:pPr>
      <w:r>
        <w:rPr>
          <w:rFonts w:ascii="Arial" w:cs="Arial" w:eastAsia="Arial" w:hAnsi="Arial"/>
          <w:sz w:val="18"/>
          <w:szCs w:val="18"/>
          <w:color w:val="auto"/>
        </w:rPr>
        <w:t>13.4. If the Parties agree or it is otherwise concluded that Product delivered does not conform with this Agreement and non-conformity is attributable to Carbogen’s proven failure, Carbogen shall on mutual agreement with Ascendis, [***]. If the defect was detected after shipment from Carbogen, Carbogen shall [***].</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RECALL</w:t>
      </w:r>
    </w:p>
    <w:p>
      <w:pPr>
        <w:spacing w:after="0" w:line="133" w:lineRule="exact"/>
        <w:rPr>
          <w:sz w:val="20"/>
          <w:szCs w:val="20"/>
          <w:color w:val="auto"/>
        </w:rPr>
      </w:pPr>
    </w:p>
    <w:p>
      <w:pPr>
        <w:ind w:left="1400" w:hanging="430"/>
        <w:spacing w:after="0" w:line="275" w:lineRule="auto"/>
        <w:rPr>
          <w:sz w:val="20"/>
          <w:szCs w:val="20"/>
          <w:color w:val="auto"/>
        </w:rPr>
      </w:pPr>
      <w:r>
        <w:rPr>
          <w:rFonts w:ascii="Arial" w:cs="Arial" w:eastAsia="Arial" w:hAnsi="Arial"/>
          <w:sz w:val="18"/>
          <w:szCs w:val="18"/>
          <w:color w:val="auto"/>
        </w:rPr>
        <w:t>14.1. [***] shall [***] whether and under what circumstances to require the recall of batches of Product. [***]. In the event that a recall of a batch from sale is necessary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TERM AND TERMINATION</w:t>
      </w:r>
    </w:p>
    <w:p>
      <w:pPr>
        <w:spacing w:after="0" w:line="133" w:lineRule="exact"/>
        <w:rPr>
          <w:sz w:val="20"/>
          <w:szCs w:val="20"/>
          <w:color w:val="auto"/>
        </w:rPr>
      </w:pPr>
    </w:p>
    <w:p>
      <w:pPr>
        <w:ind w:left="1400" w:right="100" w:hanging="430"/>
        <w:spacing w:after="0" w:line="275" w:lineRule="auto"/>
        <w:rPr>
          <w:sz w:val="20"/>
          <w:szCs w:val="20"/>
          <w:color w:val="auto"/>
        </w:rPr>
      </w:pPr>
      <w:r>
        <w:rPr>
          <w:rFonts w:ascii="Arial" w:cs="Arial" w:eastAsia="Arial" w:hAnsi="Arial"/>
          <w:sz w:val="18"/>
          <w:szCs w:val="18"/>
          <w:color w:val="auto"/>
        </w:rPr>
        <w:t>15.1. This Agreement will come into effect on the date of last signing hereof and will continue in effect until five (5) years following first commercial launch of Ascendis’ TransCon PTH pharmaceutical product (the “Initial Term”).</w:t>
      </w:r>
    </w:p>
    <w:p>
      <w:pPr>
        <w:spacing w:after="0" w:line="77" w:lineRule="exact"/>
        <w:rPr>
          <w:sz w:val="20"/>
          <w:szCs w:val="20"/>
          <w:color w:val="auto"/>
        </w:rPr>
      </w:pPr>
    </w:p>
    <w:p>
      <w:pPr>
        <w:ind w:left="1400" w:right="200" w:hanging="430"/>
        <w:spacing w:after="0" w:line="275" w:lineRule="auto"/>
        <w:rPr>
          <w:sz w:val="20"/>
          <w:szCs w:val="20"/>
          <w:color w:val="auto"/>
        </w:rPr>
      </w:pPr>
      <w:r>
        <w:rPr>
          <w:rFonts w:ascii="Arial" w:cs="Arial" w:eastAsia="Arial" w:hAnsi="Arial"/>
          <w:sz w:val="18"/>
          <w:szCs w:val="18"/>
          <w:color w:val="auto"/>
        </w:rPr>
        <w:t>15.2. This Agreement will continue in effect after the end of the Initial Term unless and until terminated by either Party according to the provisions for termination as stated in this section 15 and 22.4.</w:t>
      </w:r>
    </w:p>
    <w:p>
      <w:pPr>
        <w:spacing w:after="0" w:line="77" w:lineRule="exact"/>
        <w:rPr>
          <w:sz w:val="20"/>
          <w:szCs w:val="20"/>
          <w:color w:val="auto"/>
        </w:rPr>
      </w:pPr>
    </w:p>
    <w:p>
      <w:pPr>
        <w:ind w:left="1400" w:right="200" w:hanging="430"/>
        <w:spacing w:after="0" w:line="262" w:lineRule="auto"/>
        <w:rPr>
          <w:sz w:val="20"/>
          <w:szCs w:val="20"/>
          <w:color w:val="auto"/>
        </w:rPr>
      </w:pPr>
      <w:r>
        <w:rPr>
          <w:rFonts w:ascii="Arial" w:cs="Arial" w:eastAsia="Arial" w:hAnsi="Arial"/>
          <w:sz w:val="18"/>
          <w:szCs w:val="18"/>
          <w:color w:val="auto"/>
        </w:rPr>
        <w:t>15.3. Notwithstanding any termination of this Agreement, the rights and duties of the Parties with respect to any terms, which by their nature are intended to survive termination, shall survive and continue to be enforceable, including but not limited to Articles 2, 13, 14, 15, 16, 17, 18, 23.</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 This Agreement may be terminated:</w:t>
      </w:r>
    </w:p>
    <w:p>
      <w:pPr>
        <w:spacing w:after="0" w:line="129" w:lineRule="exact"/>
        <w:rPr>
          <w:sz w:val="20"/>
          <w:szCs w:val="20"/>
          <w:color w:val="auto"/>
        </w:rPr>
      </w:pPr>
    </w:p>
    <w:p>
      <w:pPr>
        <w:ind w:left="1960" w:hanging="539"/>
        <w:spacing w:after="0"/>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By either Party upon written notice to take effect immediately in the event of:</w:t>
      </w:r>
    </w:p>
    <w:p>
      <w:pPr>
        <w:spacing w:after="0" w:line="129" w:lineRule="exact"/>
        <w:rPr>
          <w:rFonts w:ascii="Arial" w:cs="Arial" w:eastAsia="Arial" w:hAnsi="Arial"/>
          <w:sz w:val="18"/>
          <w:szCs w:val="18"/>
          <w:color w:val="auto"/>
        </w:rPr>
      </w:pPr>
    </w:p>
    <w:p>
      <w:pPr>
        <w:ind w:left="2400" w:hanging="441"/>
        <w:spacing w:after="0"/>
        <w:tabs>
          <w:tab w:leader="none" w:pos="24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 assignment by the other Party for the benefit of creditors;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 of 30</w:t>
      </w:r>
    </w:p>
    <w:p>
      <w:pPr>
        <w:sectPr>
          <w:pgSz w:w="11900" w:h="16838" w:orient="portrait"/>
          <w:cols w:equalWidth="0" w:num="1">
            <w:col w:w="10960"/>
          </w:cols>
          <w:pgMar w:left="460" w:top="273" w:right="479" w:bottom="1440" w:gutter="0" w:footer="0" w:header="0"/>
        </w:sectPr>
      </w:pPr>
    </w:p>
    <w:bookmarkStart w:id="258" w:name="page259"/>
    <w:bookmarkEnd w:id="258"/>
    <w:p>
      <w:pPr>
        <w:ind w:left="1420" w:hanging="441"/>
        <w:spacing w:after="0"/>
        <w:tabs>
          <w:tab w:leader="none" w:pos="14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admitted insolvency of the other Party;</w:t>
      </w:r>
    </w:p>
    <w:p>
      <w:pPr>
        <w:spacing w:after="0" w:line="22" w:lineRule="exact"/>
        <w:rPr>
          <w:rFonts w:ascii="Arial" w:cs="Arial" w:eastAsia="Arial" w:hAnsi="Arial"/>
          <w:sz w:val="18"/>
          <w:szCs w:val="18"/>
          <w:color w:val="auto"/>
        </w:rPr>
      </w:pPr>
    </w:p>
    <w:p>
      <w:pPr>
        <w:ind w:left="1420" w:right="380" w:hanging="441"/>
        <w:spacing w:after="0" w:line="280" w:lineRule="auto"/>
        <w:tabs>
          <w:tab w:leader="none" w:pos="142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institution of voluntary or involuntary proceedings by or against the other Party in bankruptcy, insolvency, moratorium or for a receivership, or for a winding-up or for the dissolution or reorganization of the other Party; or</w:t>
      </w:r>
    </w:p>
    <w:p>
      <w:pPr>
        <w:spacing w:after="0" w:line="1" w:lineRule="exact"/>
        <w:rPr>
          <w:rFonts w:ascii="Arial" w:cs="Arial" w:eastAsia="Arial" w:hAnsi="Arial"/>
          <w:sz w:val="16"/>
          <w:szCs w:val="16"/>
          <w:color w:val="auto"/>
        </w:rPr>
      </w:pPr>
    </w:p>
    <w:p>
      <w:pPr>
        <w:ind w:left="1420" w:hanging="441"/>
        <w:spacing w:after="0"/>
        <w:tabs>
          <w:tab w:leader="none" w:pos="14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taking of any action by the other Party under an act for relief from creditors;</w:t>
      </w:r>
    </w:p>
    <w:p>
      <w:pPr>
        <w:spacing w:after="0" w:line="114" w:lineRule="exact"/>
        <w:rPr>
          <w:rFonts w:ascii="Arial" w:cs="Arial" w:eastAsia="Arial" w:hAnsi="Arial"/>
          <w:sz w:val="18"/>
          <w:szCs w:val="18"/>
          <w:color w:val="auto"/>
        </w:rPr>
      </w:pPr>
    </w:p>
    <w:p>
      <w:pPr>
        <w:jc w:val="both"/>
        <w:ind w:left="980" w:hanging="539"/>
        <w:spacing w:after="0" w:line="262" w:lineRule="auto"/>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either Party upon [***] written notice to the other Party in the event of a failure of such other Party to perform or observe a material obligation imposed by this Agreement, unless such failure is cured or the Parties have reached agreement on a plan to achieve a cure of such failure prior to the end of such [***] period.</w:t>
      </w:r>
    </w:p>
    <w:p>
      <w:pPr>
        <w:spacing w:after="0" w:line="88" w:lineRule="exact"/>
        <w:rPr>
          <w:rFonts w:ascii="Arial" w:cs="Arial" w:eastAsia="Arial" w:hAnsi="Arial"/>
          <w:sz w:val="18"/>
          <w:szCs w:val="18"/>
          <w:color w:val="auto"/>
        </w:rPr>
      </w:pPr>
    </w:p>
    <w:p>
      <w:pPr>
        <w:ind w:left="980" w:right="200" w:hanging="539"/>
        <w:spacing w:after="0" w:line="262" w:lineRule="auto"/>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Ascendis after the Initial Term with [***] written notice, provided, that Ascendis shall reimburse Carbogen for any unused Materials not already paid for under separate work orders, which Carbogen is unable to use for other purposes than the provision to Ascendis of Product.</w:t>
      </w:r>
    </w:p>
    <w:p>
      <w:pPr>
        <w:spacing w:after="0" w:line="88" w:lineRule="exact"/>
        <w:rPr>
          <w:rFonts w:ascii="Arial" w:cs="Arial" w:eastAsia="Arial" w:hAnsi="Arial"/>
          <w:sz w:val="18"/>
          <w:szCs w:val="18"/>
          <w:color w:val="auto"/>
        </w:rPr>
      </w:pPr>
    </w:p>
    <w:p>
      <w:pPr>
        <w:ind w:left="980" w:right="460" w:hanging="539"/>
        <w:spacing w:after="0" w:line="275" w:lineRule="auto"/>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Carbogen after the Initial Term with [***] written notice, provided Carbogen actively assists in a tech transfer to an alternate supplier at Carbogen’s cost capped at [***].</w:t>
      </w:r>
    </w:p>
    <w:p>
      <w:pPr>
        <w:spacing w:after="0" w:line="77" w:lineRule="exact"/>
        <w:rPr>
          <w:rFonts w:ascii="Arial" w:cs="Arial" w:eastAsia="Arial" w:hAnsi="Arial"/>
          <w:sz w:val="18"/>
          <w:szCs w:val="18"/>
          <w:color w:val="auto"/>
        </w:rPr>
      </w:pPr>
    </w:p>
    <w:p>
      <w:pPr>
        <w:ind w:left="980" w:hanging="539"/>
        <w:spacing w:after="0"/>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mutual agreement of the Parties.</w:t>
      </w:r>
    </w:p>
    <w:p>
      <w:pPr>
        <w:spacing w:after="0" w:line="129" w:lineRule="exact"/>
        <w:rPr>
          <w:sz w:val="20"/>
          <w:szCs w:val="20"/>
          <w:color w:val="auto"/>
        </w:rPr>
      </w:pPr>
    </w:p>
    <w:p>
      <w:pPr>
        <w:jc w:val="both"/>
        <w:ind w:left="420" w:right="340" w:hanging="430"/>
        <w:spacing w:after="0" w:line="310" w:lineRule="auto"/>
        <w:rPr>
          <w:sz w:val="20"/>
          <w:szCs w:val="20"/>
          <w:color w:val="auto"/>
        </w:rPr>
      </w:pPr>
      <w:r>
        <w:rPr>
          <w:rFonts w:ascii="Arial" w:cs="Arial" w:eastAsia="Arial" w:hAnsi="Arial"/>
          <w:sz w:val="16"/>
          <w:szCs w:val="16"/>
          <w:color w:val="auto"/>
        </w:rPr>
        <w:t>15.5. This Agreement may be terminated by Ascendis upon [***] notice in the event of a change of fifty percent (50%) or more of the direct or indirect ownership of Carbogen, if such ownership goes to a third party which is materially involved in the treatment of growth related disorders in humans. Carbogen shall provide prompt written notice to Ascendis of any such change.</w:t>
      </w:r>
    </w:p>
    <w:p>
      <w:pPr>
        <w:spacing w:after="0" w:line="54" w:lineRule="exact"/>
        <w:rPr>
          <w:sz w:val="20"/>
          <w:szCs w:val="20"/>
          <w:color w:val="auto"/>
        </w:rPr>
      </w:pPr>
    </w:p>
    <w:p>
      <w:pPr>
        <w:ind w:left="420" w:right="40" w:hanging="430"/>
        <w:spacing w:after="0" w:line="274" w:lineRule="auto"/>
        <w:rPr>
          <w:sz w:val="20"/>
          <w:szCs w:val="20"/>
          <w:color w:val="auto"/>
        </w:rPr>
      </w:pPr>
      <w:r>
        <w:rPr>
          <w:rFonts w:ascii="Arial" w:cs="Arial" w:eastAsia="Arial" w:hAnsi="Arial"/>
          <w:sz w:val="17"/>
          <w:szCs w:val="17"/>
          <w:color w:val="auto"/>
        </w:rPr>
        <w:t>15.6. Termination of this Agreement, for any reason, shall not release either Party from any liability which at said time has already incurred to the other Party, nor affect in any way the survival of any rights, duties or obligations of either Party which are stated elsewhere in this Agreement to survive said expiration or prior termination. Nothing in the immediately preceding sentence shall affect, be construed or operate as a waiver of the right of the Party aggrieved by any breach of this Agreement to be compensated for any injury or damage resulting therefrom which is incurred before or after such expiration or termination.</w:t>
      </w:r>
    </w:p>
    <w:p>
      <w:pPr>
        <w:spacing w:after="0" w:line="81" w:lineRule="exact"/>
        <w:rPr>
          <w:sz w:val="20"/>
          <w:szCs w:val="20"/>
          <w:color w:val="auto"/>
        </w:rPr>
      </w:pPr>
    </w:p>
    <w:p>
      <w:pPr>
        <w:ind w:left="420" w:hanging="430"/>
        <w:spacing w:after="0" w:line="272" w:lineRule="auto"/>
        <w:rPr>
          <w:sz w:val="20"/>
          <w:szCs w:val="20"/>
          <w:color w:val="auto"/>
        </w:rPr>
      </w:pPr>
      <w:r>
        <w:rPr>
          <w:rFonts w:ascii="Arial" w:cs="Arial" w:eastAsia="Arial" w:hAnsi="Arial"/>
          <w:sz w:val="17"/>
          <w:szCs w:val="17"/>
          <w:color w:val="auto"/>
        </w:rPr>
        <w:t>15.7. On the written request of Ascendis and at termination of this Agreement, Carbogen shall cease using any and all tangible Know-how, inventions and technical improvements supplied or developed hereunder and shall forward such Know-how, inventions and technical improvements, copy and original, to Ascendis together with Product manufactured. Carbogen is entitled to retain one (1) copy of such documents forwarded with respect to Know-how, inventions and technical improvements, raw materials and Product manufactured, in order for Carbogen to comply with the cGMP regulations, which may not be used for any other purpose. Document retention policy shall be governed by the Quality Agreement.</w:t>
      </w:r>
    </w:p>
    <w:p>
      <w:pPr>
        <w:spacing w:after="0" w:line="11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14 of 30</w:t>
      </w:r>
    </w:p>
    <w:p>
      <w:pPr>
        <w:sectPr>
          <w:pgSz w:w="11900" w:h="16838" w:orient="portrait"/>
          <w:cols w:equalWidth="0" w:num="1">
            <w:col w:w="9980"/>
          </w:cols>
          <w:pgMar w:left="1440" w:top="273" w:right="479" w:bottom="1440" w:gutter="0" w:footer="0" w:header="0"/>
        </w:sectPr>
      </w:pPr>
    </w:p>
    <w:bookmarkStart w:id="259" w:name="page260"/>
    <w:bookmarkEnd w:id="259"/>
    <w:p>
      <w:pPr>
        <w:ind w:left="1400" w:right="220" w:hanging="43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15.8. Upon termination Carbogen shall keep the original batch documentation for Products manufactured and/or packed by Carbogen in accordance with the obligations laid down in APPENDIX 4.</w:t>
      </w:r>
    </w:p>
    <w:p>
      <w:pPr>
        <w:spacing w:after="0" w:line="77" w:lineRule="exact"/>
        <w:rPr>
          <w:sz w:val="20"/>
          <w:szCs w:val="20"/>
          <w:color w:val="auto"/>
        </w:rPr>
      </w:pPr>
    </w:p>
    <w:p>
      <w:pPr>
        <w:ind w:left="1400" w:right="560" w:hanging="430"/>
        <w:spacing w:after="0" w:line="275" w:lineRule="auto"/>
        <w:rPr>
          <w:sz w:val="20"/>
          <w:szCs w:val="20"/>
          <w:color w:val="auto"/>
        </w:rPr>
      </w:pPr>
      <w:r>
        <w:rPr>
          <w:rFonts w:ascii="Arial" w:cs="Arial" w:eastAsia="Arial" w:hAnsi="Arial"/>
          <w:sz w:val="18"/>
          <w:szCs w:val="18"/>
          <w:color w:val="auto"/>
        </w:rPr>
        <w:t>15.9. Upon termination Carbogen shall answer [***] regarding the Products manufactured and/or packed by Carbogen and [***] in relation to any [***] of the Products in accordance with the obligations laid down in APPENDIX 4.</w:t>
      </w:r>
    </w:p>
    <w:p>
      <w:pPr>
        <w:spacing w:after="0" w:line="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15.10.If the Agreement is terminated [***], [***] shall [***].</w:t>
      </w:r>
    </w:p>
    <w:p>
      <w:pPr>
        <w:spacing w:after="0" w:line="129" w:lineRule="exact"/>
        <w:rPr>
          <w:sz w:val="20"/>
          <w:szCs w:val="20"/>
          <w:color w:val="auto"/>
        </w:rPr>
      </w:pPr>
    </w:p>
    <w:p>
      <w:pPr>
        <w:jc w:val="both"/>
        <w:ind w:left="1420" w:right="300" w:hanging="443"/>
        <w:spacing w:after="0" w:line="285" w:lineRule="auto"/>
        <w:rPr>
          <w:sz w:val="20"/>
          <w:szCs w:val="20"/>
          <w:color w:val="auto"/>
        </w:rPr>
      </w:pPr>
      <w:r>
        <w:rPr>
          <w:rFonts w:ascii="Arial" w:cs="Arial" w:eastAsia="Arial" w:hAnsi="Arial"/>
          <w:sz w:val="17"/>
          <w:szCs w:val="17"/>
          <w:color w:val="auto"/>
        </w:rPr>
        <w:t>15.11.Upon termination or expiry of this Agreement and upon the written request of Ascendis, Ascendis and Carbogen will enter into a tech transfer agreement (“TTA”), under which Carbogen provides [***] to obtain continued supply of Product from an alternate supplier. The costs and expenses of such tech transfer shall be agreed upon in such TTA and shall be borne [***].</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CONFIDENTIALITY</w:t>
      </w:r>
    </w:p>
    <w:p>
      <w:pPr>
        <w:spacing w:after="0" w:line="133" w:lineRule="exact"/>
        <w:rPr>
          <w:sz w:val="20"/>
          <w:szCs w:val="20"/>
          <w:color w:val="auto"/>
        </w:rPr>
      </w:pPr>
    </w:p>
    <w:p>
      <w:pPr>
        <w:ind w:left="1400" w:hanging="430"/>
        <w:spacing w:after="0" w:line="272" w:lineRule="auto"/>
        <w:rPr>
          <w:sz w:val="20"/>
          <w:szCs w:val="20"/>
          <w:color w:val="auto"/>
        </w:rPr>
      </w:pPr>
      <w:r>
        <w:rPr>
          <w:rFonts w:ascii="Arial" w:cs="Arial" w:eastAsia="Arial" w:hAnsi="Arial"/>
          <w:sz w:val="17"/>
          <w:szCs w:val="17"/>
          <w:color w:val="auto"/>
        </w:rPr>
        <w:t>16.1. The Recipient will not, during or subsequent to the term of this Agreement, use Confidential Information for any purpose whatsoever other than for the performance of this Agreement or disclose Confidential Information to any third party other than employees, affiliates, subcontractors or representatives who have a need to know in order to perform the Services. The Recipient agrees that Confidential Information shall remain the sole property of the Discloser. The Recipient further agrees to take all reasonable precautions to prevent any unauthorized disclosure of Confidential Information. Notwithstanding the above, the Recipients’ obligation under this Clause 16 relating to Confidential Information shall not apply to information which:</w:t>
      </w:r>
    </w:p>
    <w:p>
      <w:pPr>
        <w:spacing w:after="0" w:line="83" w:lineRule="exact"/>
        <w:rPr>
          <w:sz w:val="20"/>
          <w:szCs w:val="20"/>
          <w:color w:val="auto"/>
        </w:rPr>
      </w:pPr>
    </w:p>
    <w:p>
      <w:pPr>
        <w:ind w:left="1960" w:right="260" w:hanging="539"/>
        <w:spacing w:after="0" w:line="275" w:lineRule="auto"/>
        <w:tabs>
          <w:tab w:leader="none" w:pos="1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is known to the Recipient at the time of disclosure to the Recipient by the Discloser as evidenced by written records of the Recipient,</w:t>
      </w:r>
    </w:p>
    <w:p>
      <w:pPr>
        <w:spacing w:after="0" w:line="77" w:lineRule="exact"/>
        <w:rPr>
          <w:rFonts w:ascii="Arial" w:cs="Arial" w:eastAsia="Arial" w:hAnsi="Arial"/>
          <w:sz w:val="18"/>
          <w:szCs w:val="18"/>
          <w:color w:val="auto"/>
        </w:rPr>
      </w:pPr>
    </w:p>
    <w:p>
      <w:pPr>
        <w:ind w:left="1960" w:hanging="539"/>
        <w:spacing w:after="0"/>
        <w:tabs>
          <w:tab w:leader="none" w:pos="1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has become publicly known and made generally available through no wrongful act of the Recipient,</w:t>
      </w:r>
    </w:p>
    <w:p>
      <w:pPr>
        <w:spacing w:after="0" w:line="129" w:lineRule="exact"/>
        <w:rPr>
          <w:rFonts w:ascii="Arial" w:cs="Arial" w:eastAsia="Arial" w:hAnsi="Arial"/>
          <w:sz w:val="18"/>
          <w:szCs w:val="18"/>
          <w:color w:val="auto"/>
        </w:rPr>
      </w:pPr>
    </w:p>
    <w:p>
      <w:pPr>
        <w:ind w:left="1960" w:right="840" w:hanging="539"/>
        <w:spacing w:after="0" w:line="275" w:lineRule="auto"/>
        <w:tabs>
          <w:tab w:leader="none" w:pos="1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has been developed independently by or on behalf of the Recipient with no use of or reliance upon the Discloser’s Confidential Information,</w:t>
      </w:r>
    </w:p>
    <w:p>
      <w:pPr>
        <w:spacing w:after="0" w:line="77" w:lineRule="exact"/>
        <w:rPr>
          <w:rFonts w:ascii="Arial" w:cs="Arial" w:eastAsia="Arial" w:hAnsi="Arial"/>
          <w:sz w:val="18"/>
          <w:szCs w:val="18"/>
          <w:color w:val="auto"/>
        </w:rPr>
      </w:pPr>
    </w:p>
    <w:p>
      <w:pPr>
        <w:ind w:left="1960" w:hanging="539"/>
        <w:spacing w:after="0"/>
        <w:tabs>
          <w:tab w:leader="none" w:pos="1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has been received by the Recipient without restriction on disclosure from a third party, or</w:t>
      </w:r>
    </w:p>
    <w:p>
      <w:pPr>
        <w:spacing w:after="0" w:line="129" w:lineRule="exact"/>
        <w:rPr>
          <w:rFonts w:ascii="Arial" w:cs="Arial" w:eastAsia="Arial" w:hAnsi="Arial"/>
          <w:sz w:val="18"/>
          <w:szCs w:val="18"/>
          <w:color w:val="auto"/>
        </w:rPr>
      </w:pPr>
    </w:p>
    <w:p>
      <w:pPr>
        <w:ind w:left="1960" w:right="60" w:hanging="539"/>
        <w:spacing w:after="0" w:line="258" w:lineRule="auto"/>
        <w:tabs>
          <w:tab w:leader="none" w:pos="1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Recipient can establish that it is required by law, subpoena, judgement, order or other similar form of process to disclose to a government, other public authority or third party, provided that Recipient immediately upon learning of such obligation, and prior to disclosure, if lawfully possible, notifies Discloser of such disclosure obligation and reasonably cooperates with Discloser in limiting the scope of disclosure, if lawfully possible.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30</w:t>
      </w:r>
    </w:p>
    <w:p>
      <w:pPr>
        <w:sectPr>
          <w:pgSz w:w="11900" w:h="16838" w:orient="portrait"/>
          <w:cols w:equalWidth="0" w:num="1">
            <w:col w:w="10980"/>
          </w:cols>
          <w:pgMar w:left="460" w:top="273" w:right="459" w:bottom="1440" w:gutter="0" w:footer="0" w:header="0"/>
        </w:sectPr>
      </w:pPr>
    </w:p>
    <w:bookmarkStart w:id="260" w:name="page261"/>
    <w:bookmarkEnd w:id="260"/>
    <w:p>
      <w:pPr>
        <w:ind w:left="1400" w:right="160" w:hanging="43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16.2. Upon the termination of this Agreement (irrespective of the reason therefore), or upon the Discloser’s earlier request, the Recipient will deliver on request to the Discloser all of the Discloser’s Confidential Information, which is in the Recipient’s possession or control with the exception of such copies as provided under Clause15.7.</w:t>
      </w:r>
    </w:p>
    <w:p>
      <w:pPr>
        <w:spacing w:after="0" w:line="89" w:lineRule="exact"/>
        <w:rPr>
          <w:sz w:val="20"/>
          <w:szCs w:val="20"/>
          <w:color w:val="auto"/>
        </w:rPr>
      </w:pPr>
    </w:p>
    <w:p>
      <w:pPr>
        <w:ind w:left="1400" w:right="260" w:hanging="430"/>
        <w:spacing w:after="0" w:line="275" w:lineRule="auto"/>
        <w:rPr>
          <w:sz w:val="20"/>
          <w:szCs w:val="20"/>
          <w:color w:val="auto"/>
        </w:rPr>
      </w:pPr>
      <w:r>
        <w:rPr>
          <w:rFonts w:ascii="Arial" w:cs="Arial" w:eastAsia="Arial" w:hAnsi="Arial"/>
          <w:sz w:val="18"/>
          <w:szCs w:val="18"/>
          <w:color w:val="auto"/>
        </w:rPr>
        <w:t>16.3. The obligations of the Recipient under this Clause 16 shall remain in effect for a period of [***] after the termination or expiry of this Agreement.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INTELLECTUAL PROPERTY RIGHTS</w:t>
      </w:r>
    </w:p>
    <w:p>
      <w:pPr>
        <w:spacing w:after="0" w:line="133" w:lineRule="exact"/>
        <w:rPr>
          <w:sz w:val="20"/>
          <w:szCs w:val="20"/>
          <w:color w:val="auto"/>
        </w:rPr>
      </w:pPr>
    </w:p>
    <w:p>
      <w:pPr>
        <w:ind w:left="1400" w:right="80" w:hanging="430"/>
        <w:spacing w:after="0" w:line="295" w:lineRule="auto"/>
        <w:rPr>
          <w:sz w:val="20"/>
          <w:szCs w:val="20"/>
          <w:color w:val="auto"/>
        </w:rPr>
      </w:pPr>
      <w:r>
        <w:rPr>
          <w:rFonts w:ascii="Arial" w:cs="Arial" w:eastAsia="Arial" w:hAnsi="Arial"/>
          <w:sz w:val="16"/>
          <w:szCs w:val="16"/>
          <w:color w:val="auto"/>
        </w:rPr>
        <w:t>17.1. All data, information and other results arising from the performance of this Agreement by Carbogen, in any way related to the Product and developed by Carbogen alone or in concert with Ascendis and/or any third party hereunder shall [***] (including, but not limited to, inventions (patentable or not), copyright and Know-how). Any pertaining tangible material, whether original or copy, in writing, electronically generated, tape recorded or otherwise, shall be submitted to Ascendis [***] upon written request. [***] Carbogen is not entitled to use Product for any other purpose than for the performance of its services under this Agreement.</w:t>
      </w:r>
    </w:p>
    <w:p>
      <w:pPr>
        <w:spacing w:after="0" w:line="53" w:lineRule="exact"/>
        <w:rPr>
          <w:sz w:val="20"/>
          <w:szCs w:val="20"/>
          <w:color w:val="auto"/>
        </w:rPr>
      </w:pPr>
    </w:p>
    <w:p>
      <w:pPr>
        <w:ind w:left="1760" w:right="120"/>
        <w:spacing w:after="0" w:line="275" w:lineRule="auto"/>
        <w:rPr>
          <w:sz w:val="20"/>
          <w:szCs w:val="20"/>
          <w:color w:val="auto"/>
        </w:rPr>
      </w:pPr>
      <w:r>
        <w:rPr>
          <w:rFonts w:ascii="Arial" w:cs="Arial" w:eastAsia="Arial" w:hAnsi="Arial"/>
          <w:sz w:val="18"/>
          <w:szCs w:val="18"/>
          <w:color w:val="auto"/>
        </w:rPr>
        <w:t>Notwithstanding above, [***]. This Agreement shall not grant or be construed as granting any rights by license or otherwise to [***].</w:t>
      </w:r>
    </w:p>
    <w:p>
      <w:pPr>
        <w:spacing w:after="0" w:line="6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Furthermore, [***] shall [***], and [***], subject to [***].</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Other than as set out specifically above. This Agreement will not transfer any rights to intellectual property in any way.</w:t>
      </w:r>
    </w:p>
    <w:p>
      <w:pPr>
        <w:spacing w:after="0" w:line="141" w:lineRule="exact"/>
        <w:rPr>
          <w:sz w:val="20"/>
          <w:szCs w:val="20"/>
          <w:color w:val="auto"/>
        </w:rPr>
      </w:pPr>
    </w:p>
    <w:p>
      <w:pPr>
        <w:ind w:left="1400" w:right="180" w:hanging="430"/>
        <w:spacing w:after="0" w:line="275" w:lineRule="auto"/>
        <w:rPr>
          <w:sz w:val="20"/>
          <w:szCs w:val="20"/>
          <w:color w:val="auto"/>
        </w:rPr>
      </w:pPr>
      <w:r>
        <w:rPr>
          <w:rFonts w:ascii="Arial" w:cs="Arial" w:eastAsia="Arial" w:hAnsi="Arial"/>
          <w:sz w:val="18"/>
          <w:szCs w:val="18"/>
          <w:color w:val="auto"/>
        </w:rPr>
        <w:t>17.2. Intellectual Property Rights utilized by Carbogen for purposes of performing its obligations under this Agreement shall be listed in APPENDIX 1 as updated by Carbogen from time to time.</w:t>
      </w:r>
    </w:p>
    <w:p>
      <w:pPr>
        <w:spacing w:after="0" w:line="77" w:lineRule="exact"/>
        <w:rPr>
          <w:sz w:val="20"/>
          <w:szCs w:val="20"/>
          <w:color w:val="auto"/>
        </w:rPr>
      </w:pPr>
    </w:p>
    <w:p>
      <w:pPr>
        <w:ind w:left="1400" w:hanging="430"/>
        <w:spacing w:after="0" w:line="278" w:lineRule="auto"/>
        <w:rPr>
          <w:sz w:val="20"/>
          <w:szCs w:val="20"/>
          <w:color w:val="auto"/>
        </w:rPr>
      </w:pPr>
      <w:r>
        <w:rPr>
          <w:rFonts w:ascii="Arial" w:cs="Arial" w:eastAsia="Arial" w:hAnsi="Arial"/>
          <w:sz w:val="17"/>
          <w:szCs w:val="17"/>
          <w:color w:val="auto"/>
        </w:rPr>
        <w:t>17.3. The Purchase Price paid by Ascendis to Carbogen in accordance with this Agreement shall include payment for [***] all written, other tangible and all electronically generated material [***], including, but not limited to, copyright and designs. All such written or other material [***], and [***] shall be entitled to make all possible use of it, including, but not limited to, to publish, to transfer the incorporeal rights, to edit, and in every way to change the contents and design of the said written or electronic material [***].</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 of 30</w:t>
      </w:r>
    </w:p>
    <w:p>
      <w:pPr>
        <w:sectPr>
          <w:pgSz w:w="11900" w:h="16838" w:orient="portrait"/>
          <w:cols w:equalWidth="0" w:num="1">
            <w:col w:w="10960"/>
          </w:cols>
          <w:pgMar w:left="460" w:top="273" w:right="479" w:bottom="1440" w:gutter="0" w:footer="0" w:header="0"/>
        </w:sectPr>
      </w:pPr>
    </w:p>
    <w:bookmarkStart w:id="261" w:name="page262"/>
    <w:bookmarkEnd w:id="261"/>
    <w:p>
      <w:pPr>
        <w:ind w:left="1400" w:right="20" w:hanging="43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17.4. Ascendis shall be (i) at liberty not to make use of the said written material; (ii) entitled to make any use whatsoever of the said written material as deemed useful for any purpose by Ascendis; (iii) entitled to make changes and/or deletions of any kind in the said written material and/or to transfer and/or assign its rights to same. The Parties hereto confirm that remuneration based on commercial sale of the said written material, according principles for such sales and copyrights to software are not relevant for this agreement.</w:t>
      </w:r>
    </w:p>
    <w:p>
      <w:pPr>
        <w:spacing w:after="0" w:line="93" w:lineRule="exact"/>
        <w:rPr>
          <w:sz w:val="20"/>
          <w:szCs w:val="20"/>
          <w:color w:val="auto"/>
        </w:rPr>
      </w:pPr>
    </w:p>
    <w:p>
      <w:pPr>
        <w:jc w:val="both"/>
        <w:ind w:left="1400" w:hanging="430"/>
        <w:spacing w:after="0" w:line="258" w:lineRule="auto"/>
        <w:rPr>
          <w:sz w:val="20"/>
          <w:szCs w:val="20"/>
          <w:color w:val="auto"/>
        </w:rPr>
      </w:pPr>
      <w:r>
        <w:rPr>
          <w:rFonts w:ascii="Arial" w:cs="Arial" w:eastAsia="Arial" w:hAnsi="Arial"/>
          <w:sz w:val="18"/>
          <w:szCs w:val="18"/>
          <w:color w:val="auto"/>
        </w:rPr>
        <w:t>17.5. Carbogen, solely for the term of this Agreement and solely for the purposes specified herein, hereby specifically declares on its own behalf and on behalf of any of its employees that it [***]. Furthermore, Carbogen hereby declares that it [***]. Carbogen declares in this connection on its own behalf and on behalf of any of its employees that it is willing to sign any additional document necessary to [***]. Carbogen shall use its best endeavours to have any third party [***].</w:t>
      </w:r>
    </w:p>
    <w:p>
      <w:pPr>
        <w:spacing w:after="0" w:line="92" w:lineRule="exact"/>
        <w:rPr>
          <w:sz w:val="20"/>
          <w:szCs w:val="20"/>
          <w:color w:val="auto"/>
        </w:rPr>
      </w:pPr>
    </w:p>
    <w:p>
      <w:pPr>
        <w:ind w:left="1400" w:hanging="430"/>
        <w:spacing w:after="0" w:line="285" w:lineRule="auto"/>
        <w:rPr>
          <w:sz w:val="20"/>
          <w:szCs w:val="20"/>
          <w:color w:val="auto"/>
        </w:rPr>
      </w:pPr>
      <w:r>
        <w:rPr>
          <w:rFonts w:ascii="Arial" w:cs="Arial" w:eastAsia="Arial" w:hAnsi="Arial"/>
          <w:sz w:val="17"/>
          <w:szCs w:val="17"/>
          <w:color w:val="auto"/>
        </w:rPr>
        <w:t>17.6. Intellectual Property Rights owned by Ascendis or licensed to Ascendis are necessary for Carbogen to perform its obligations hereunder and to obtain the benefit of its rights under this Agreement. Accordingly, Ascendis hereby grants to the extent necessary to Carbogen a [***] solely [***] and solely [***]. [***] the use of such Intellectual Property Rights [***].</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INSURANCE AND LIABILITY</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18.1. [***] prove to have taken out, insurance in order to cover damages on Product while in the custody of [***].</w:t>
      </w:r>
    </w:p>
    <w:p>
      <w:pPr>
        <w:spacing w:after="0" w:line="129" w:lineRule="exact"/>
        <w:rPr>
          <w:sz w:val="20"/>
          <w:szCs w:val="20"/>
          <w:color w:val="auto"/>
        </w:rPr>
      </w:pPr>
    </w:p>
    <w:p>
      <w:pPr>
        <w:ind w:left="1400" w:right="440" w:hanging="430"/>
        <w:spacing w:after="0" w:line="310" w:lineRule="auto"/>
        <w:rPr>
          <w:sz w:val="20"/>
          <w:szCs w:val="20"/>
          <w:color w:val="auto"/>
        </w:rPr>
      </w:pPr>
      <w:r>
        <w:rPr>
          <w:rFonts w:ascii="Arial" w:cs="Arial" w:eastAsia="Arial" w:hAnsi="Arial"/>
          <w:sz w:val="16"/>
          <w:szCs w:val="16"/>
          <w:color w:val="auto"/>
        </w:rPr>
        <w:t>18.2. [***] prove to have taken out, a civil liability insurance in order to cover liabilities imposed on [***] under national legislation and/or EU directives/regulations (a) as a consequence of any and all obligations under this Agreement [***] and/or (b) as a consequence of negligent acts and/or omissions by [***], including, without limitation [***] or other treatment of Product.</w:t>
      </w:r>
    </w:p>
    <w:p>
      <w:pPr>
        <w:spacing w:after="0" w:line="54" w:lineRule="exact"/>
        <w:rPr>
          <w:sz w:val="20"/>
          <w:szCs w:val="20"/>
          <w:color w:val="auto"/>
        </w:rPr>
      </w:pPr>
    </w:p>
    <w:p>
      <w:pPr>
        <w:ind w:left="1400" w:right="240" w:hanging="430"/>
        <w:spacing w:after="0" w:line="300" w:lineRule="auto"/>
        <w:rPr>
          <w:sz w:val="20"/>
          <w:szCs w:val="20"/>
          <w:color w:val="auto"/>
        </w:rPr>
      </w:pPr>
      <w:r>
        <w:rPr>
          <w:rFonts w:ascii="Arial" w:cs="Arial" w:eastAsia="Arial" w:hAnsi="Arial"/>
          <w:sz w:val="16"/>
          <w:szCs w:val="16"/>
          <w:color w:val="auto"/>
        </w:rPr>
        <w:t>18.3. A Party (the “Indemnifying Party”) shall indemnify the other Party, its directors, officers and employees, for any and all damages, costs, expenses and other liabilities, including reasonable attorney’s fees and court costs, incurred in connection with any claim, action or proceeding to the extent proven in a court of competent jurisdiction to have arisen from the negligence or intentional misconduct of the Indemnifying Party or such breach by the Indemnifying Party of any of its obligations under this Agreement.</w:t>
      </w:r>
    </w:p>
    <w:p>
      <w:pPr>
        <w:spacing w:after="0" w:line="62" w:lineRule="exact"/>
        <w:rPr>
          <w:sz w:val="20"/>
          <w:szCs w:val="20"/>
          <w:color w:val="auto"/>
        </w:rPr>
      </w:pPr>
    </w:p>
    <w:p>
      <w:pPr>
        <w:ind w:left="1400" w:right="20" w:hanging="430"/>
        <w:spacing w:after="0" w:line="295" w:lineRule="auto"/>
        <w:rPr>
          <w:sz w:val="20"/>
          <w:szCs w:val="20"/>
          <w:color w:val="auto"/>
        </w:rPr>
      </w:pPr>
      <w:r>
        <w:rPr>
          <w:rFonts w:ascii="Arial" w:cs="Arial" w:eastAsia="Arial" w:hAnsi="Arial"/>
          <w:sz w:val="16"/>
          <w:szCs w:val="16"/>
          <w:color w:val="auto"/>
        </w:rPr>
        <w:t>18.4. The Indemnifying Party shall be entitled, at its option, to control the defense and settlement of any claim for which it is liable hereunder, provided that the Indemnifying Party shall act reasonably and in good faith with respect to all matters relating to the settlement or disposition of the claim as the disposition or settlement relates to the party entitled to indemnification. The indemnified party shall reasonably cooperate in the investigation, defense and settlement of any claim for which indemnification is sought or provided hereunder and shall provide prompt notice of any such claim or reasonably anticipated claim to the Indemnifying Party.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30</w:t>
      </w:r>
    </w:p>
    <w:p>
      <w:pPr>
        <w:sectPr>
          <w:pgSz w:w="11900" w:h="16838" w:orient="portrait"/>
          <w:cols w:equalWidth="0" w:num="1">
            <w:col w:w="10960"/>
          </w:cols>
          <w:pgMar w:left="460" w:top="273" w:right="479" w:bottom="1440" w:gutter="0" w:footer="0" w:header="0"/>
        </w:sectPr>
      </w:pPr>
    </w:p>
    <w:bookmarkStart w:id="262" w:name="page263"/>
    <w:bookmarkEnd w:id="262"/>
    <w:p>
      <w:pPr>
        <w:ind w:left="1400" w:right="60" w:hanging="43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18.5. Neither Party shall be liable for any indirect, consequential losses and damages, punitive damages, anticipated or lost profits, business interruption, incidental or special damages, loss of time, or other similar losses in connection with this Agreement whether arising under any legal theory of liability (including under any indemnification obligation) regardless of whether such Party knew or should have known of the possibility of such damages.</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18.6. In the event of [***], Carbogen’s liability towards Ascendis [***].</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18.7. In the event of [***], Carbogen’s liability towards Ascendis [***].</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18.8. In the event of [***] related to [***], Carbogen’s liability [***].</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COMPLIANCE</w:t>
      </w:r>
    </w:p>
    <w:p>
      <w:pPr>
        <w:spacing w:after="0" w:line="133" w:lineRule="exact"/>
        <w:rPr>
          <w:sz w:val="20"/>
          <w:szCs w:val="20"/>
          <w:color w:val="auto"/>
        </w:rPr>
      </w:pPr>
    </w:p>
    <w:p>
      <w:pPr>
        <w:ind w:left="1400" w:right="680" w:hanging="430"/>
        <w:spacing w:after="0" w:line="262" w:lineRule="auto"/>
        <w:rPr>
          <w:sz w:val="20"/>
          <w:szCs w:val="20"/>
          <w:color w:val="auto"/>
        </w:rPr>
      </w:pPr>
      <w:r>
        <w:rPr>
          <w:rFonts w:ascii="Arial" w:cs="Arial" w:eastAsia="Arial" w:hAnsi="Arial"/>
          <w:sz w:val="18"/>
          <w:szCs w:val="18"/>
          <w:color w:val="auto"/>
        </w:rPr>
        <w:t>19.1. Carbogen undertakes to conduct its business in accordance with all applicable laws and regulations and the principles in the Ascendis Code of Business Conduct and Ethics as available online at https://ascendispharma.com/wp-content/uploads/Code-of-Business-Conduct-Ethics-US.pdf</w:t>
      </w:r>
    </w:p>
    <w:p>
      <w:pPr>
        <w:spacing w:after="0" w:line="89" w:lineRule="exact"/>
        <w:rPr>
          <w:sz w:val="20"/>
          <w:szCs w:val="20"/>
          <w:color w:val="auto"/>
        </w:rPr>
      </w:pPr>
    </w:p>
    <w:p>
      <w:pPr>
        <w:ind w:left="1400" w:right="80" w:hanging="430"/>
        <w:spacing w:after="0" w:line="272" w:lineRule="auto"/>
        <w:rPr>
          <w:sz w:val="20"/>
          <w:szCs w:val="20"/>
          <w:color w:val="auto"/>
        </w:rPr>
      </w:pPr>
      <w:r>
        <w:rPr>
          <w:rFonts w:ascii="Arial" w:cs="Arial" w:eastAsia="Arial" w:hAnsi="Arial"/>
          <w:sz w:val="17"/>
          <w:szCs w:val="17"/>
          <w:color w:val="auto"/>
        </w:rPr>
        <w:t>19.2. Carbogen acknowledges that Ascendis is committed to maintaining high standards of ethical conduct and will not tolerate the use of bribery or corruption to achieve its business objectives. Thus, Carbogen, including its affiliates, and their directors, employees, agents, representatives, contractors or sub-contractors, shall comply at all times with all applicable anti-bribery laws, rules and regulations (including but not limited to the UK Bribery Act and the United States Foreign Corrupt Practices Act (FCPA)). For the avoidance of doubt, this will include not offering or giving a financial or other advantage with the intention of influencing in connection with the performance of the duties to obtain or retain a business advantage for Ascendis.</w:t>
      </w:r>
    </w:p>
    <w:p>
      <w:pPr>
        <w:spacing w:after="0" w:line="83" w:lineRule="exact"/>
        <w:rPr>
          <w:sz w:val="20"/>
          <w:szCs w:val="20"/>
          <w:color w:val="auto"/>
        </w:rPr>
      </w:pPr>
    </w:p>
    <w:p>
      <w:pPr>
        <w:jc w:val="both"/>
        <w:ind w:left="1400" w:right="20" w:hanging="430"/>
        <w:spacing w:after="0" w:line="258" w:lineRule="auto"/>
        <w:rPr>
          <w:sz w:val="20"/>
          <w:szCs w:val="20"/>
          <w:color w:val="auto"/>
        </w:rPr>
      </w:pPr>
      <w:r>
        <w:rPr>
          <w:rFonts w:ascii="Arial" w:cs="Arial" w:eastAsia="Arial" w:hAnsi="Arial"/>
          <w:sz w:val="18"/>
          <w:szCs w:val="18"/>
          <w:color w:val="auto"/>
        </w:rPr>
        <w:t>19.3. Carbogen shall (and shall procure that its affiliates shall) have in place adequate procedures designed to prevent any person working for or engaged by Carbogen and its affiliates or any other third Party in any way connected to this Agreement, from engaging in any activity, practice or conduct which would infringe any anti-bribery and anti-corruption laws, regulations and codes, including but not limited to the UK Bribery Act 2010 and the FCPA.</w:t>
      </w:r>
    </w:p>
    <w:p>
      <w:pPr>
        <w:spacing w:after="0" w:line="92" w:lineRule="exact"/>
        <w:rPr>
          <w:sz w:val="20"/>
          <w:szCs w:val="20"/>
          <w:color w:val="auto"/>
        </w:rPr>
      </w:pPr>
    </w:p>
    <w:p>
      <w:pPr>
        <w:ind w:left="1400" w:hanging="430"/>
        <w:spacing w:after="0" w:line="258" w:lineRule="auto"/>
        <w:rPr>
          <w:sz w:val="20"/>
          <w:szCs w:val="20"/>
          <w:color w:val="auto"/>
        </w:rPr>
      </w:pPr>
      <w:r>
        <w:rPr>
          <w:rFonts w:ascii="Arial" w:cs="Arial" w:eastAsia="Arial" w:hAnsi="Arial"/>
          <w:sz w:val="18"/>
          <w:szCs w:val="18"/>
          <w:color w:val="auto"/>
        </w:rPr>
        <w:t>19.4. Carbogen agrees that Ascendis shall be entitled to use the information obtained from Carbogen for its professional purposes, and that Ascendis is entitled to keep Carbogen’s name and address in its confidential files in accordance with applicable personal data legislation as further set out in Ascendis’ Data Privacy Policy which can be found online at https://ascendispharma.com/privacy/privacy-policy/.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 of 30</w:t>
      </w:r>
    </w:p>
    <w:p>
      <w:pPr>
        <w:sectPr>
          <w:pgSz w:w="11900" w:h="16838" w:orient="portrait"/>
          <w:cols w:equalWidth="0" w:num="1">
            <w:col w:w="10960"/>
          </w:cols>
          <w:pgMar w:left="460" w:top="273" w:right="479" w:bottom="1440" w:gutter="0" w:footer="0" w:header="0"/>
        </w:sectPr>
      </w:pPr>
    </w:p>
    <w:bookmarkStart w:id="263" w:name="page264"/>
    <w:bookmarkEnd w:id="263"/>
    <w:p>
      <w:pPr>
        <w:ind w:left="425" w:hanging="425"/>
        <w:spacing w:after="0"/>
        <w:tabs>
          <w:tab w:leader="none" w:pos="425"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REPRESENTATIONS AND WARRANTIES</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8"/>
          <w:szCs w:val="18"/>
          <w:color w:val="auto"/>
        </w:rPr>
        <w:t>20.1. Carbogen hereby represents and warrants the following:</w:t>
      </w:r>
    </w:p>
    <w:p>
      <w:pPr>
        <w:spacing w:after="0" w:line="129" w:lineRule="exact"/>
        <w:rPr>
          <w:sz w:val="20"/>
          <w:szCs w:val="20"/>
          <w:color w:val="auto"/>
        </w:rPr>
      </w:pPr>
    </w:p>
    <w:p>
      <w:pPr>
        <w:ind w:left="1965" w:right="760" w:hanging="539"/>
        <w:spacing w:after="0" w:line="275" w:lineRule="auto"/>
        <w:tabs>
          <w:tab w:leader="none" w:pos="19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it has obtained (and will maintain throughout the existence of this Agreement) all necessary approvals, licenses or registrations necessary or desirable for the performance of the Services,</w:t>
      </w:r>
    </w:p>
    <w:p>
      <w:pPr>
        <w:spacing w:after="0" w:line="77" w:lineRule="exact"/>
        <w:rPr>
          <w:rFonts w:ascii="Arial" w:cs="Arial" w:eastAsia="Arial" w:hAnsi="Arial"/>
          <w:sz w:val="18"/>
          <w:szCs w:val="18"/>
          <w:color w:val="auto"/>
        </w:rPr>
      </w:pPr>
    </w:p>
    <w:p>
      <w:pPr>
        <w:ind w:left="1965" w:hanging="539"/>
        <w:spacing w:after="0"/>
        <w:tabs>
          <w:tab w:leader="none" w:pos="19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it has the necessary experience to perform the Services,</w:t>
      </w:r>
    </w:p>
    <w:p>
      <w:pPr>
        <w:spacing w:after="0" w:line="129" w:lineRule="exact"/>
        <w:rPr>
          <w:rFonts w:ascii="Arial" w:cs="Arial" w:eastAsia="Arial" w:hAnsi="Arial"/>
          <w:sz w:val="18"/>
          <w:szCs w:val="18"/>
          <w:color w:val="auto"/>
        </w:rPr>
      </w:pPr>
    </w:p>
    <w:p>
      <w:pPr>
        <w:ind w:left="1965" w:right="160" w:hanging="539"/>
        <w:spacing w:after="0" w:line="275" w:lineRule="auto"/>
        <w:tabs>
          <w:tab w:leader="none" w:pos="19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personnel that Carbogen causes to be applied in the performance of the Agreement shall be appropriately qualified and experienced for the tasks that they are to perform,</w:t>
      </w:r>
    </w:p>
    <w:p>
      <w:pPr>
        <w:spacing w:after="0" w:line="77" w:lineRule="exact"/>
        <w:rPr>
          <w:rFonts w:ascii="Arial" w:cs="Arial" w:eastAsia="Arial" w:hAnsi="Arial"/>
          <w:sz w:val="18"/>
          <w:szCs w:val="18"/>
          <w:color w:val="auto"/>
        </w:rPr>
      </w:pPr>
    </w:p>
    <w:p>
      <w:pPr>
        <w:ind w:left="1965" w:right="80" w:hanging="539"/>
        <w:spacing w:after="0" w:line="262" w:lineRule="auto"/>
        <w:tabs>
          <w:tab w:leader="none" w:pos="19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machinery and equipment that Carbogen provides or causes to be applied in the performance of the Agreement shall be of an appropriate quality and, as required by normal practice shall be qualified and approved by the relevant body or organization,</w:t>
      </w:r>
    </w:p>
    <w:p>
      <w:pPr>
        <w:spacing w:after="0" w:line="88" w:lineRule="exact"/>
        <w:rPr>
          <w:rFonts w:ascii="Arial" w:cs="Arial" w:eastAsia="Arial" w:hAnsi="Arial"/>
          <w:sz w:val="18"/>
          <w:szCs w:val="18"/>
          <w:color w:val="auto"/>
        </w:rPr>
      </w:pPr>
    </w:p>
    <w:p>
      <w:pPr>
        <w:ind w:left="1965" w:right="160" w:hanging="539"/>
        <w:spacing w:after="0" w:line="275" w:lineRule="auto"/>
        <w:tabs>
          <w:tab w:leader="none" w:pos="19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Services are conducted in compliance with the laws as applicable at its domicile or by the relevant Purchase Order and relevant standards, such as but not limited to cGMP,</w:t>
      </w:r>
    </w:p>
    <w:p>
      <w:pPr>
        <w:spacing w:after="0" w:line="77" w:lineRule="exact"/>
        <w:rPr>
          <w:rFonts w:ascii="Arial" w:cs="Arial" w:eastAsia="Arial" w:hAnsi="Arial"/>
          <w:sz w:val="18"/>
          <w:szCs w:val="18"/>
          <w:color w:val="auto"/>
        </w:rPr>
      </w:pPr>
    </w:p>
    <w:p>
      <w:pPr>
        <w:ind w:left="1965" w:hanging="539"/>
        <w:spacing w:after="0"/>
        <w:tabs>
          <w:tab w:leader="none" w:pos="19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Services are conducted in compliance with relevant FDA, EMA, NMPA and PMDA rules and regulations,</w:t>
      </w:r>
    </w:p>
    <w:p>
      <w:pPr>
        <w:spacing w:after="0" w:line="129" w:lineRule="exact"/>
        <w:rPr>
          <w:rFonts w:ascii="Arial" w:cs="Arial" w:eastAsia="Arial" w:hAnsi="Arial"/>
          <w:sz w:val="18"/>
          <w:szCs w:val="18"/>
          <w:color w:val="auto"/>
        </w:rPr>
      </w:pPr>
    </w:p>
    <w:p>
      <w:pPr>
        <w:ind w:left="1965" w:right="40" w:hanging="539"/>
        <w:spacing w:after="0" w:line="275" w:lineRule="auto"/>
        <w:tabs>
          <w:tab w:leader="none" w:pos="19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Carbogen is not debarred under the provisions of the Generic Drug Enforcement Act of 1992, 21 U.S.C. Sec. 335a(a) or any foreign equivalents, and</w:t>
      </w:r>
    </w:p>
    <w:p>
      <w:pPr>
        <w:spacing w:after="0" w:line="77" w:lineRule="exact"/>
        <w:rPr>
          <w:rFonts w:ascii="Arial" w:cs="Arial" w:eastAsia="Arial" w:hAnsi="Arial"/>
          <w:sz w:val="18"/>
          <w:szCs w:val="18"/>
          <w:color w:val="auto"/>
        </w:rPr>
      </w:pPr>
    </w:p>
    <w:p>
      <w:pPr>
        <w:jc w:val="both"/>
        <w:ind w:left="1965" w:right="300" w:hanging="539"/>
        <w:spacing w:after="0" w:line="262" w:lineRule="auto"/>
        <w:tabs>
          <w:tab w:leader="none" w:pos="19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event that during the term of this Agreement Carbogen (i) becomes debarred; or (ii) receives notice of an action or threat of an action with respect to its debarment, Carbogen agrees to immediately notify Ascendis and shall immediately cease all activities relating to this Agreement.</w:t>
      </w:r>
    </w:p>
    <w:p>
      <w:pPr>
        <w:spacing w:after="0" w:line="88" w:lineRule="exact"/>
        <w:rPr>
          <w:rFonts w:ascii="Arial" w:cs="Arial" w:eastAsia="Arial" w:hAnsi="Arial"/>
          <w:sz w:val="18"/>
          <w:szCs w:val="18"/>
          <w:color w:val="auto"/>
        </w:rPr>
      </w:pPr>
    </w:p>
    <w:p>
      <w:pPr>
        <w:ind w:left="1965" w:hanging="539"/>
        <w:spacing w:after="0"/>
        <w:tabs>
          <w:tab w:leader="none" w:pos="19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Carbogen has no knowledge, as of the Effective Date, [***].</w:t>
      </w:r>
    </w:p>
    <w:p>
      <w:pPr>
        <w:spacing w:after="0" w:line="12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20.2. Ascendis represents and warrants to Carbogen that</w:t>
      </w:r>
    </w:p>
    <w:p>
      <w:pPr>
        <w:spacing w:after="0" w:line="129" w:lineRule="exact"/>
        <w:rPr>
          <w:sz w:val="20"/>
          <w:szCs w:val="20"/>
          <w:color w:val="auto"/>
        </w:rPr>
      </w:pPr>
    </w:p>
    <w:p>
      <w:pPr>
        <w:ind w:left="1965" w:right="400" w:hanging="539"/>
        <w:spacing w:after="0" w:line="275" w:lineRule="auto"/>
        <w:tabs>
          <w:tab w:leader="none" w:pos="196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Ascendis is the owner or licensee or otherwise has the right to use and provide to Carbogen all information provided to Carbogen relating to Product, and</w:t>
      </w:r>
    </w:p>
    <w:p>
      <w:pPr>
        <w:spacing w:after="0" w:line="77" w:lineRule="exact"/>
        <w:rPr>
          <w:rFonts w:ascii="Arial" w:cs="Arial" w:eastAsia="Arial" w:hAnsi="Arial"/>
          <w:sz w:val="18"/>
          <w:szCs w:val="18"/>
          <w:color w:val="auto"/>
        </w:rPr>
      </w:pPr>
    </w:p>
    <w:p>
      <w:pPr>
        <w:ind w:left="1965" w:hanging="539"/>
        <w:spacing w:after="0" w:line="300" w:lineRule="auto"/>
        <w:tabs>
          <w:tab w:leader="none" w:pos="196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it has and shall maintain all federal, state and local licenses or registrations necessary for the storage, supply and sale of the Product to third parties (i) each such license or registration is valid and in full force and effect, (ii) there is no pending or to its knowledge threatened, suspension, revocation or cancellation of any such license or registration, and (iii) there is no basis for believing or reasonably expecting any such license or registration will not be renewable upon expiration.</w:t>
      </w:r>
    </w:p>
    <w:p>
      <w:pPr>
        <w:spacing w:after="0" w:line="89"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Page 19 of 30</w:t>
      </w:r>
    </w:p>
    <w:p>
      <w:pPr>
        <w:sectPr>
          <w:pgSz w:w="11900" w:h="16838" w:orient="portrait"/>
          <w:cols w:equalWidth="0" w:num="1">
            <w:col w:w="10905"/>
          </w:cols>
          <w:pgMar w:left="455" w:top="269" w:right="5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21. ASSIGNABILITY AND SUB-CONTRACTING</w:t>
      </w:r>
    </w:p>
    <w:p>
      <w:pPr>
        <w:spacing w:after="0" w:line="133" w:lineRule="exact"/>
        <w:rPr>
          <w:sz w:val="20"/>
          <w:szCs w:val="20"/>
          <w:color w:val="auto"/>
        </w:rPr>
      </w:pPr>
    </w:p>
    <w:p>
      <w:pPr>
        <w:ind w:left="1400" w:hanging="430"/>
        <w:spacing w:after="0" w:line="300" w:lineRule="auto"/>
        <w:rPr>
          <w:sz w:val="20"/>
          <w:szCs w:val="20"/>
          <w:color w:val="auto"/>
        </w:rPr>
      </w:pPr>
      <w:r>
        <w:rPr>
          <w:rFonts w:ascii="Arial" w:cs="Arial" w:eastAsia="Arial" w:hAnsi="Arial"/>
          <w:sz w:val="16"/>
          <w:szCs w:val="16"/>
          <w:color w:val="auto"/>
        </w:rPr>
        <w:t>21.1. Except as stated otherwise in this Agreement neither Party shall be entitled to assign or sub-contract its rights and/or obligations hereunder in whole or in part to any third party, including any affiliated companies unless having obtained the other Party’s prior written approval, provided, however, that Ascendis is free to assign its rights and obligations, including (without limitation) to a third party acquiring, by purchase or license, rights to further develop or commercialize Ascendis’ TransCon PTH product, [***].</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FORCE MAJEURE</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22.1. Neither Party shall be liable for non-performance of any provisions of this Agreement due to force majeure as defined below.</w:t>
      </w:r>
    </w:p>
    <w:p>
      <w:pPr>
        <w:spacing w:after="0" w:line="141" w:lineRule="exact"/>
        <w:rPr>
          <w:sz w:val="20"/>
          <w:szCs w:val="20"/>
          <w:color w:val="auto"/>
        </w:rPr>
      </w:pPr>
    </w:p>
    <w:p>
      <w:pPr>
        <w:ind w:left="1400" w:right="80" w:hanging="430"/>
        <w:spacing w:after="0" w:line="292" w:lineRule="auto"/>
        <w:rPr>
          <w:sz w:val="20"/>
          <w:szCs w:val="20"/>
          <w:color w:val="auto"/>
        </w:rPr>
      </w:pPr>
      <w:r>
        <w:rPr>
          <w:rFonts w:ascii="Arial" w:cs="Arial" w:eastAsia="Arial" w:hAnsi="Arial"/>
          <w:sz w:val="16"/>
          <w:szCs w:val="16"/>
          <w:color w:val="auto"/>
        </w:rPr>
        <w:t>22.2. Force majeure shall include strikes, lockouts, other industrial disturbances, rebellions, epidemics, landslides, earthquakes, fires, storms, floods, sinking, droughts, civil disturbances, explosions, act or decisions of duly constituted national government authorities or of courts of law, impossibility to obtain equipment, supplies, fuel or other required materials, unexpected toxicity findings of Product, beyond the control of the Party pleading force majeure preventing this Party from performing its rights and obligations and not to be overcome by due diligence of such Party and which could not reasonably have been foreseen at the time accepting the relevant order, provided neither Party shall have any obligation to settle a labour dispute in order to exercise due diligence.</w:t>
      </w:r>
    </w:p>
    <w:p>
      <w:pPr>
        <w:spacing w:after="0" w:line="69" w:lineRule="exact"/>
        <w:rPr>
          <w:sz w:val="20"/>
          <w:szCs w:val="20"/>
          <w:color w:val="auto"/>
        </w:rPr>
      </w:pPr>
    </w:p>
    <w:p>
      <w:pPr>
        <w:ind w:left="1400" w:right="40" w:hanging="430"/>
        <w:spacing w:after="0" w:line="256" w:lineRule="auto"/>
        <w:rPr>
          <w:sz w:val="20"/>
          <w:szCs w:val="20"/>
          <w:color w:val="auto"/>
        </w:rPr>
      </w:pPr>
      <w:r>
        <w:rPr>
          <w:rFonts w:ascii="Arial" w:cs="Arial" w:eastAsia="Arial" w:hAnsi="Arial"/>
          <w:sz w:val="18"/>
          <w:szCs w:val="18"/>
          <w:color w:val="auto"/>
        </w:rPr>
        <w:t>22.3. The Parties agree that if either of them find themselves wholly or partly unable to fulfil their respective obligations under this Agreement by reasons of force majeure, the Party pleading force majeure will as soon as possible notify the other Party of its inability to perform, giving a detailed explanation of the occurrence which excuses performance. Except from the payments of funds that are due and payable prior to any force majeure neither Party shall be required to make up for any performance that is prevented by force majeure.</w:t>
      </w:r>
    </w:p>
    <w:p>
      <w:pPr>
        <w:spacing w:after="0" w:line="93" w:lineRule="exact"/>
        <w:rPr>
          <w:sz w:val="20"/>
          <w:szCs w:val="20"/>
          <w:color w:val="auto"/>
        </w:rPr>
      </w:pPr>
    </w:p>
    <w:p>
      <w:pPr>
        <w:ind w:left="1400" w:right="600" w:hanging="430"/>
        <w:spacing w:after="0" w:line="262" w:lineRule="auto"/>
        <w:rPr>
          <w:sz w:val="20"/>
          <w:szCs w:val="20"/>
          <w:color w:val="auto"/>
        </w:rPr>
      </w:pPr>
      <w:r>
        <w:rPr>
          <w:rFonts w:ascii="Arial" w:cs="Arial" w:eastAsia="Arial" w:hAnsi="Arial"/>
          <w:sz w:val="18"/>
          <w:szCs w:val="18"/>
          <w:color w:val="auto"/>
        </w:rPr>
        <w:t>22.4. However, if the force majeure persists for a period of more than [***], and the Party pleading force majeure cannot present a remedial action plan acceptable to both Parties within the said [***], the non-failing Party shall be entitled to terminate this agreement with immediate written notice.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30</w:t>
      </w:r>
    </w:p>
    <w:p>
      <w:pPr>
        <w:sectPr>
          <w:pgSz w:w="11900" w:h="16838" w:orient="portrait"/>
          <w:cols w:equalWidth="0" w:num="1">
            <w:col w:w="10960"/>
          </w:cols>
          <w:pgMar w:left="460" w:top="269" w:right="47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23. ARBITRATION AND LAW</w:t>
      </w:r>
    </w:p>
    <w:p>
      <w:pPr>
        <w:spacing w:after="0" w:line="133" w:lineRule="exact"/>
        <w:rPr>
          <w:sz w:val="20"/>
          <w:szCs w:val="20"/>
          <w:color w:val="auto"/>
        </w:rPr>
      </w:pPr>
    </w:p>
    <w:p>
      <w:pPr>
        <w:ind w:left="1400" w:right="20" w:hanging="430"/>
        <w:spacing w:after="0" w:line="274" w:lineRule="auto"/>
        <w:rPr>
          <w:sz w:val="20"/>
          <w:szCs w:val="20"/>
          <w:color w:val="auto"/>
        </w:rPr>
      </w:pPr>
      <w:r>
        <w:rPr>
          <w:rFonts w:ascii="Arial" w:cs="Arial" w:eastAsia="Arial" w:hAnsi="Arial"/>
          <w:sz w:val="17"/>
          <w:szCs w:val="17"/>
          <w:color w:val="auto"/>
        </w:rPr>
        <w:t>23.1. In the event of any controversy or claim arising out of or relating to any provision of this Agreement or the breach, termination or invalidity thereof, the Parties shall try to settle the problem amicably between themselves. Should they fail to agree, the matter in dispute shall be settled by arbitration in accordance with the Arbitration Rules of [***]. The award rendered shall be final and binding and enforceable by any court having jurisdiction. The arbitration court shall consist of [***] and shall have its seat in [***]. The language of the proceedings shall be English. The Institute shall appoint [***] on request by a Party hereto.</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23.2. This Agreement shall be governed by and construed in accordance with [***] Law without regard to its conflict of law rules.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MISCELLANEOUS</w:t>
      </w:r>
    </w:p>
    <w:p>
      <w:pPr>
        <w:spacing w:after="0" w:line="133" w:lineRule="exact"/>
        <w:rPr>
          <w:sz w:val="20"/>
          <w:szCs w:val="20"/>
          <w:color w:val="auto"/>
        </w:rPr>
      </w:pPr>
    </w:p>
    <w:p>
      <w:pPr>
        <w:ind w:left="1400" w:right="160" w:hanging="430"/>
        <w:spacing w:after="0" w:line="254" w:lineRule="auto"/>
        <w:rPr>
          <w:sz w:val="20"/>
          <w:szCs w:val="20"/>
          <w:color w:val="auto"/>
        </w:rPr>
      </w:pPr>
      <w:r>
        <w:rPr>
          <w:rFonts w:ascii="Arial" w:cs="Arial" w:eastAsia="Arial" w:hAnsi="Arial"/>
          <w:sz w:val="18"/>
          <w:szCs w:val="18"/>
          <w:color w:val="auto"/>
        </w:rPr>
        <w:t>24.1. This Agreement and all Appendixes constitutes the entire agreement between the Parties concerning the subject matter hereof and supersedes all written or oral prior agreements or understandings with respect thereto, except any secrecy agreements made by the Parties, which shall survive the obligations undertaken hereunder. No variation or modification of the terms of this Agreement nor any change of any of the terms or provisions hereof shall be valid unless stated in an amendment to this Agreement. This notwithstanding, any Appendix associated with this Agreement shall be valid if signed by an Authorised Representative of each party.</w:t>
      </w:r>
    </w:p>
    <w:p>
      <w:pPr>
        <w:spacing w:after="0" w:line="98" w:lineRule="exact"/>
        <w:rPr>
          <w:sz w:val="20"/>
          <w:szCs w:val="20"/>
          <w:color w:val="auto"/>
        </w:rPr>
      </w:pPr>
    </w:p>
    <w:p>
      <w:pPr>
        <w:ind w:left="1400" w:right="140" w:hanging="430"/>
        <w:spacing w:after="0" w:line="275" w:lineRule="auto"/>
        <w:rPr>
          <w:sz w:val="20"/>
          <w:szCs w:val="20"/>
          <w:color w:val="auto"/>
        </w:rPr>
      </w:pPr>
      <w:r>
        <w:rPr>
          <w:rFonts w:ascii="Arial" w:cs="Arial" w:eastAsia="Arial" w:hAnsi="Arial"/>
          <w:sz w:val="18"/>
          <w:szCs w:val="18"/>
          <w:color w:val="auto"/>
        </w:rPr>
        <w:t>24.2. The headings contained in this Agreement are for convenience and reference purposes only and shall not affect the meaning of the interpretation of this Agreement.</w:t>
      </w:r>
    </w:p>
    <w:p>
      <w:pPr>
        <w:spacing w:after="0" w:line="77" w:lineRule="exact"/>
        <w:rPr>
          <w:sz w:val="20"/>
          <w:szCs w:val="20"/>
          <w:color w:val="auto"/>
        </w:rPr>
      </w:pPr>
    </w:p>
    <w:p>
      <w:pPr>
        <w:ind w:left="1400" w:hanging="430"/>
        <w:spacing w:after="0" w:line="278" w:lineRule="auto"/>
        <w:rPr>
          <w:sz w:val="20"/>
          <w:szCs w:val="20"/>
          <w:color w:val="auto"/>
        </w:rPr>
      </w:pPr>
      <w:r>
        <w:rPr>
          <w:rFonts w:ascii="Arial" w:cs="Arial" w:eastAsia="Arial" w:hAnsi="Arial"/>
          <w:sz w:val="17"/>
          <w:szCs w:val="17"/>
          <w:color w:val="auto"/>
        </w:rPr>
        <w:t>24.3. The provisions of this Agreement are separate and divisible and the invalidity or unenforceability of any part shall not affect the validity or enforceability of any remaining part or parts, all of which shall remain in full force and effect. However, the Parties agree to substitute any invalid or unenforceable provision by a valid and enforceable arrangement, which achieves to the greatest extent possible the financial balance and mutual understanding already established between the Parties.</w:t>
      </w:r>
    </w:p>
    <w:p>
      <w:pPr>
        <w:spacing w:after="0" w:line="76" w:lineRule="exact"/>
        <w:rPr>
          <w:sz w:val="20"/>
          <w:szCs w:val="20"/>
          <w:color w:val="auto"/>
        </w:rPr>
      </w:pPr>
    </w:p>
    <w:p>
      <w:pPr>
        <w:ind w:left="1400" w:right="20" w:hanging="430"/>
        <w:spacing w:after="0" w:line="310" w:lineRule="auto"/>
        <w:rPr>
          <w:sz w:val="20"/>
          <w:szCs w:val="20"/>
          <w:color w:val="auto"/>
        </w:rPr>
      </w:pPr>
      <w:r>
        <w:rPr>
          <w:rFonts w:ascii="Arial" w:cs="Arial" w:eastAsia="Arial" w:hAnsi="Arial"/>
          <w:sz w:val="16"/>
          <w:szCs w:val="16"/>
          <w:color w:val="auto"/>
        </w:rPr>
        <w:t>24.4. The Appendices to this Agreement shall form an integral part of the Agreement and shall be regarded as incorporated into the Agreement in every respect. In case of inconsistency between the terms and conditions of the said Appendices and this Agreement, the latter shall prevail to the extent of such inconsistency, except that in quality related matters, the Quality Agreement shall prevail.</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21 of 30</w:t>
      </w:r>
    </w:p>
    <w:p>
      <w:pPr>
        <w:sectPr>
          <w:pgSz w:w="11900" w:h="16838" w:orient="portrait"/>
          <w:cols w:equalWidth="0" w:num="1">
            <w:col w:w="10900"/>
          </w:cols>
          <w:pgMar w:left="460" w:top="269" w:right="539" w:bottom="1440" w:gutter="0" w:footer="0" w:header="0"/>
        </w:sectPr>
      </w:pPr>
    </w:p>
    <w:bookmarkStart w:id="266" w:name="page267"/>
    <w:bookmarkEnd w:id="266"/>
    <w:p>
      <w:pPr>
        <w:ind w:left="1400" w:hanging="430"/>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24.5. All communication between the Parties and all notices made hereunder shall be made in the English language unless public authorities may require any written communication to be made in any other language and if so the Party submitting to the other Party and/or suggesting such written communication shall upon request from the other Party provide a proper translation hereof into English (certified by an authorised translator should the receiving party so require).</w:t>
      </w:r>
    </w:p>
    <w:p>
      <w:pPr>
        <w:spacing w:after="0" w:line="76" w:lineRule="exact"/>
        <w:rPr>
          <w:sz w:val="20"/>
          <w:szCs w:val="20"/>
          <w:color w:val="auto"/>
        </w:rPr>
      </w:pPr>
    </w:p>
    <w:p>
      <w:pPr>
        <w:ind w:left="1400" w:right="80" w:hanging="430"/>
        <w:spacing w:after="0" w:line="262" w:lineRule="auto"/>
        <w:rPr>
          <w:sz w:val="20"/>
          <w:szCs w:val="20"/>
          <w:color w:val="auto"/>
        </w:rPr>
      </w:pPr>
      <w:r>
        <w:rPr>
          <w:rFonts w:ascii="Arial" w:cs="Arial" w:eastAsia="Arial" w:hAnsi="Arial"/>
          <w:sz w:val="18"/>
          <w:szCs w:val="18"/>
          <w:color w:val="auto"/>
        </w:rPr>
        <w:t>24.6. In the implementation of and performance under this Agreement, each Party shall comply with any and all relevant and applicable laws. Such compliance shall be the sole responsibility of such Party requiring no supervision, direction, responsibility or liability on behalf of the other Party.</w:t>
      </w:r>
    </w:p>
    <w:p>
      <w:pPr>
        <w:spacing w:after="0" w:line="89" w:lineRule="exact"/>
        <w:rPr>
          <w:sz w:val="20"/>
          <w:szCs w:val="20"/>
          <w:color w:val="auto"/>
        </w:rPr>
      </w:pPr>
    </w:p>
    <w:p>
      <w:pPr>
        <w:ind w:left="1400" w:right="220" w:hanging="430"/>
        <w:spacing w:after="0" w:line="275" w:lineRule="auto"/>
        <w:rPr>
          <w:sz w:val="20"/>
          <w:szCs w:val="20"/>
          <w:color w:val="auto"/>
        </w:rPr>
      </w:pPr>
      <w:r>
        <w:rPr>
          <w:rFonts w:ascii="Arial" w:cs="Arial" w:eastAsia="Arial" w:hAnsi="Arial"/>
          <w:sz w:val="18"/>
          <w:szCs w:val="18"/>
          <w:color w:val="auto"/>
        </w:rPr>
        <w:t>24.7. The Agreement shall be valid or binding upon the Parties hereto unless made in writing and duly executed on behalf of each Party hereto.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Remainder of page intentionally left blank.</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 of 30</w:t>
      </w:r>
    </w:p>
    <w:p>
      <w:pPr>
        <w:sectPr>
          <w:pgSz w:w="11900" w:h="16838" w:orient="portrait"/>
          <w:cols w:equalWidth="0" w:num="1">
            <w:col w:w="10960"/>
          </w:cols>
          <w:pgMar w:left="460" w:top="273" w:right="47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 witness thereof, the Parties hereto have caused this Agreement to be executed in duplicate by their duly authorised representatives.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Hellerup, 27-May-2021</w:t>
            </w: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Bubendorf, 27-May-2021</w:t>
            </w:r>
          </w:p>
        </w:tc>
      </w:tr>
      <w:tr>
        <w:trPr>
          <w:trHeight w:val="430"/>
        </w:trPr>
        <w:tc>
          <w:tcPr>
            <w:tcW w:w="3380" w:type="dxa"/>
            <w:vAlign w:val="bottom"/>
          </w:tcPr>
          <w:p>
            <w:pPr>
              <w:spacing w:after="0"/>
              <w:rPr>
                <w:sz w:val="20"/>
                <w:szCs w:val="20"/>
                <w:color w:val="auto"/>
              </w:rPr>
            </w:pPr>
            <w:r>
              <w:rPr>
                <w:rFonts w:ascii="Arial" w:cs="Arial" w:eastAsia="Arial" w:hAnsi="Arial"/>
                <w:sz w:val="18"/>
                <w:szCs w:val="18"/>
                <w:b w:val="1"/>
                <w:bCs w:val="1"/>
                <w:color w:val="auto"/>
              </w:rPr>
              <w:t>Ascendis Pharma A/S</w:t>
            </w: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CARBOGEN AMCIS AG</w:t>
            </w:r>
          </w:p>
        </w:tc>
      </w:tr>
      <w:tr>
        <w:trPr>
          <w:trHeight w:val="430"/>
        </w:trPr>
        <w:tc>
          <w:tcPr>
            <w:tcW w:w="3380" w:type="dxa"/>
            <w:vAlign w:val="bottom"/>
          </w:tcPr>
          <w:p>
            <w:pPr>
              <w:spacing w:after="0"/>
              <w:rPr>
                <w:sz w:val="20"/>
                <w:szCs w:val="20"/>
                <w:color w:val="auto"/>
              </w:rPr>
            </w:pPr>
            <w:r>
              <w:rPr>
                <w:rFonts w:ascii="Arial" w:cs="Arial" w:eastAsia="Arial" w:hAnsi="Arial"/>
                <w:sz w:val="18"/>
                <w:szCs w:val="18"/>
                <w:color w:val="auto"/>
              </w:rPr>
              <w:t>/s/ Michael Wolff Jensen</w:t>
            </w: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 Dr. S. Quintes</w:t>
            </w:r>
          </w:p>
        </w:tc>
      </w:tr>
      <w:tr>
        <w:trPr>
          <w:trHeight w:val="223"/>
        </w:trPr>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17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r>
      <w:tr>
        <w:trPr>
          <w:trHeight w:val="429"/>
        </w:trPr>
        <w:tc>
          <w:tcPr>
            <w:tcW w:w="3380" w:type="dxa"/>
            <w:vAlign w:val="bottom"/>
          </w:tcPr>
          <w:p>
            <w:pPr>
              <w:spacing w:after="0"/>
              <w:rPr>
                <w:sz w:val="20"/>
                <w:szCs w:val="20"/>
                <w:color w:val="auto"/>
              </w:rPr>
            </w:pPr>
            <w:r>
              <w:rPr>
                <w:rFonts w:ascii="Arial" w:cs="Arial" w:eastAsia="Arial" w:hAnsi="Arial"/>
                <w:sz w:val="18"/>
                <w:szCs w:val="18"/>
                <w:color w:val="auto"/>
              </w:rPr>
              <w:t>Chief Legal Officer</w:t>
            </w: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Head of Commercial Products</w:t>
            </w:r>
          </w:p>
        </w:tc>
      </w:tr>
      <w:tr>
        <w:trPr>
          <w:trHeight w:val="223"/>
        </w:trPr>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Title</w:t>
            </w:r>
          </w:p>
        </w:tc>
        <w:tc>
          <w:tcPr>
            <w:tcW w:w="17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Title</w:t>
            </w:r>
          </w:p>
        </w:tc>
      </w:tr>
      <w:tr>
        <w:trPr>
          <w:trHeight w:val="430"/>
        </w:trPr>
        <w:tc>
          <w:tcPr>
            <w:tcW w:w="3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CARBOGEN AMCIS AG</w:t>
            </w:r>
          </w:p>
        </w:tc>
      </w:tr>
      <w:tr>
        <w:trPr>
          <w:trHeight w:val="430"/>
        </w:trPr>
        <w:tc>
          <w:tcPr>
            <w:tcW w:w="3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 Fritschi</w:t>
            </w:r>
          </w:p>
        </w:tc>
      </w:tr>
      <w:tr>
        <w:trPr>
          <w:trHeight w:val="22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Møller Mikkelsen</w:t>
            </w:r>
          </w:p>
        </w:tc>
        <w:tc>
          <w:tcPr>
            <w:tcW w:w="17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Signature</w:t>
            </w:r>
          </w:p>
        </w:tc>
      </w:tr>
      <w:tr>
        <w:trPr>
          <w:trHeight w:val="437"/>
        </w:trPr>
        <w:tc>
          <w:tcPr>
            <w:tcW w:w="3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Vice President Operations</w:t>
            </w:r>
          </w:p>
        </w:tc>
      </w:tr>
      <w:tr>
        <w:trPr>
          <w:trHeight w:val="223"/>
        </w:trPr>
        <w:tc>
          <w:tcPr>
            <w:tcW w:w="3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Title</w:t>
            </w:r>
          </w:p>
        </w:tc>
      </w:tr>
      <w:tr>
        <w:trPr>
          <w:trHeight w:val="362"/>
        </w:trPr>
        <w:tc>
          <w:tcPr>
            <w:tcW w:w="3380" w:type="dxa"/>
            <w:vAlign w:val="bottom"/>
          </w:tcPr>
          <w:p>
            <w:pPr>
              <w:spacing w:after="0"/>
              <w:rPr>
                <w:sz w:val="24"/>
                <w:szCs w:val="24"/>
                <w:color w:val="auto"/>
              </w:rPr>
            </w:pPr>
          </w:p>
        </w:tc>
        <w:tc>
          <w:tcPr>
            <w:tcW w:w="7600" w:type="dxa"/>
            <w:vAlign w:val="bottom"/>
            <w:gridSpan w:val="4"/>
          </w:tcPr>
          <w:p>
            <w:pPr>
              <w:ind w:left="1600"/>
              <w:spacing w:after="0"/>
              <w:rPr>
                <w:sz w:val="20"/>
                <w:szCs w:val="20"/>
                <w:color w:val="auto"/>
              </w:rPr>
            </w:pPr>
            <w:r>
              <w:rPr>
                <w:rFonts w:ascii="Arial" w:cs="Arial" w:eastAsia="Arial" w:hAnsi="Arial"/>
                <w:sz w:val="18"/>
                <w:szCs w:val="18"/>
                <w:color w:val="auto"/>
              </w:rPr>
              <w:t>Page 23 of 30</w:t>
            </w:r>
          </w:p>
        </w:tc>
      </w:tr>
    </w:tbl>
    <w:p>
      <w:pPr>
        <w:sectPr>
          <w:pgSz w:w="11900" w:h="16838" w:orient="portrait"/>
          <w:cols w:equalWidth="0" w:num="1">
            <w:col w:w="10980"/>
          </w:cols>
          <w:pgMar w:left="460" w:top="273" w:right="459" w:bottom="1440" w:gutter="0" w:footer="0" w:header="0"/>
        </w:sectPr>
      </w:pPr>
    </w:p>
    <w:bookmarkStart w:id="268" w:name="page269"/>
    <w:bookmarkEnd w:id="268"/>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1</w:t>
      </w:r>
    </w:p>
    <w:p>
      <w:pPr>
        <w:spacing w:after="0" w:line="219" w:lineRule="exact"/>
        <w:rPr>
          <w:sz w:val="20"/>
          <w:szCs w:val="20"/>
          <w:color w:val="auto"/>
        </w:rPr>
      </w:pPr>
    </w:p>
    <w:p>
      <w:pPr>
        <w:jc w:val="right"/>
        <w:ind w:right="2759"/>
        <w:spacing w:after="0"/>
        <w:rPr>
          <w:sz w:val="20"/>
          <w:szCs w:val="20"/>
          <w:color w:val="auto"/>
        </w:rPr>
      </w:pPr>
      <w:r>
        <w:rPr>
          <w:rFonts w:ascii="Arial" w:cs="Arial" w:eastAsia="Arial" w:hAnsi="Arial"/>
          <w:sz w:val="18"/>
          <w:szCs w:val="18"/>
          <w:b w:val="1"/>
          <w:bCs w:val="1"/>
          <w:color w:val="auto"/>
        </w:rPr>
        <w:t>List of applicable Intellectual Property Rights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24 of 30</w:t>
      </w:r>
    </w:p>
    <w:p>
      <w:pPr>
        <w:sectPr>
          <w:pgSz w:w="11900" w:h="16838" w:orient="portrait"/>
          <w:cols w:equalWidth="0" w:num="1">
            <w:col w:w="9999"/>
          </w:cols>
          <w:pgMar w:left="460" w:top="273" w:right="1440" w:bottom="1440" w:gutter="0" w:footer="0" w:header="0"/>
        </w:sectPr>
      </w:pPr>
    </w:p>
    <w:bookmarkStart w:id="269" w:name="page270"/>
    <w:bookmarkEnd w:id="269"/>
    <w:p>
      <w:pPr>
        <w:jc w:val="center"/>
        <w:ind w:righ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2</w:t>
      </w:r>
    </w:p>
    <w:p>
      <w:pPr>
        <w:spacing w:after="0" w:line="23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Product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Page 25 of 30</w:t>
      </w:r>
    </w:p>
    <w:p>
      <w:pPr>
        <w:sectPr>
          <w:pgSz w:w="11900" w:h="16838" w:orient="portrait"/>
          <w:cols w:equalWidth="0" w:num="1">
            <w:col w:w="9999"/>
          </w:cols>
          <w:pgMar w:left="460" w:top="273" w:right="1440" w:bottom="1440" w:gutter="0" w:footer="0" w:header="0"/>
        </w:sectPr>
      </w:pPr>
    </w:p>
    <w:bookmarkStart w:id="270" w:name="page271"/>
    <w:bookmarkEnd w:id="270"/>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3</w:t>
      </w:r>
    </w:p>
    <w:p>
      <w:pPr>
        <w:spacing w:after="0" w:line="219" w:lineRule="exact"/>
        <w:rPr>
          <w:sz w:val="20"/>
          <w:szCs w:val="20"/>
          <w:color w:val="auto"/>
        </w:rPr>
      </w:pPr>
    </w:p>
    <w:p>
      <w:pPr>
        <w:jc w:val="right"/>
        <w:ind w:right="3939"/>
        <w:spacing w:after="0"/>
        <w:rPr>
          <w:sz w:val="20"/>
          <w:szCs w:val="20"/>
          <w:color w:val="auto"/>
        </w:rPr>
      </w:pPr>
      <w:r>
        <w:rPr>
          <w:rFonts w:ascii="Arial" w:cs="Arial" w:eastAsia="Arial" w:hAnsi="Arial"/>
          <w:sz w:val="18"/>
          <w:szCs w:val="18"/>
          <w:b w:val="1"/>
          <w:bCs w:val="1"/>
          <w:color w:val="auto"/>
        </w:rPr>
        <w:t>Purchase Price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Page 26 of 30</w:t>
      </w:r>
    </w:p>
    <w:p>
      <w:pPr>
        <w:sectPr>
          <w:pgSz w:w="11900" w:h="16838" w:orient="portrait"/>
          <w:cols w:equalWidth="0" w:num="1">
            <w:col w:w="9999"/>
          </w:cols>
          <w:pgMar w:left="460" w:top="273" w:right="1440" w:bottom="1440" w:gutter="0" w:footer="0" w:header="0"/>
        </w:sectPr>
      </w:pPr>
    </w:p>
    <w:bookmarkStart w:id="271" w:name="page272"/>
    <w:bookmarkEnd w:id="271"/>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4</w:t>
      </w:r>
    </w:p>
    <w:p>
      <w:pPr>
        <w:spacing w:after="0" w:line="219" w:lineRule="exact"/>
        <w:rPr>
          <w:sz w:val="20"/>
          <w:szCs w:val="20"/>
          <w:color w:val="auto"/>
        </w:rPr>
      </w:pPr>
    </w:p>
    <w:p>
      <w:pPr>
        <w:jc w:val="right"/>
        <w:ind w:right="3779"/>
        <w:spacing w:after="0"/>
        <w:rPr>
          <w:sz w:val="20"/>
          <w:szCs w:val="20"/>
          <w:color w:val="auto"/>
        </w:rPr>
      </w:pPr>
      <w:r>
        <w:rPr>
          <w:rFonts w:ascii="Arial" w:cs="Arial" w:eastAsia="Arial" w:hAnsi="Arial"/>
          <w:sz w:val="18"/>
          <w:szCs w:val="18"/>
          <w:b w:val="1"/>
          <w:bCs w:val="1"/>
          <w:color w:val="auto"/>
        </w:rPr>
        <w:t>Quality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27 of 30</w:t>
      </w:r>
    </w:p>
    <w:p>
      <w:pPr>
        <w:sectPr>
          <w:pgSz w:w="11900" w:h="16838" w:orient="portrait"/>
          <w:cols w:equalWidth="0" w:num="1">
            <w:col w:w="9999"/>
          </w:cols>
          <w:pgMar w:left="460" w:top="273" w:right="1440" w:bottom="1440" w:gutter="0" w:footer="0" w:header="0"/>
        </w:sectPr>
      </w:pPr>
    </w:p>
    <w:bookmarkStart w:id="272" w:name="page273"/>
    <w:bookmarkEnd w:id="272"/>
    <w:p>
      <w:pPr>
        <w:ind w:left="4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5</w:t>
      </w:r>
    </w:p>
    <w:p>
      <w:pPr>
        <w:spacing w:after="0" w:line="231"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Specifications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Page 28 of 30</w:t>
      </w:r>
    </w:p>
    <w:p>
      <w:pPr>
        <w:sectPr>
          <w:pgSz w:w="11900" w:h="16838" w:orient="portrait"/>
          <w:cols w:equalWidth="0" w:num="1">
            <w:col w:w="9999"/>
          </w:cols>
          <w:pgMar w:left="460" w:top="273" w:right="1440" w:bottom="1440" w:gutter="0" w:footer="0" w:header="0"/>
        </w:sectPr>
      </w:pPr>
    </w:p>
    <w:bookmarkStart w:id="273" w:name="page274"/>
    <w:bookmarkEnd w:id="273"/>
    <w:p>
      <w:pPr>
        <w:jc w:val="center"/>
        <w:ind w:righ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6</w:t>
      </w:r>
    </w:p>
    <w:p>
      <w:pPr>
        <w:spacing w:after="0" w:line="231"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Batch Sizes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Page 29 of 30</w:t>
      </w:r>
    </w:p>
    <w:p>
      <w:pPr>
        <w:sectPr>
          <w:pgSz w:w="11900" w:h="16838" w:orient="portrait"/>
          <w:cols w:equalWidth="0" w:num="1">
            <w:col w:w="9999"/>
          </w:cols>
          <w:pgMar w:left="460" w:top="273" w:right="1440" w:bottom="1440" w:gutter="0" w:footer="0" w:header="0"/>
        </w:sectPr>
      </w:pPr>
    </w:p>
    <w:bookmarkStart w:id="274" w:name="page275"/>
    <w:bookmarkEnd w:id="274"/>
    <w:p>
      <w:pPr>
        <w:ind w:left="4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7</w:t>
      </w:r>
    </w:p>
    <w:p>
      <w:pPr>
        <w:spacing w:after="0" w:line="231"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Other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Page 30 of 30</w:t>
      </w:r>
    </w:p>
    <w:p>
      <w:pPr>
        <w:sectPr>
          <w:pgSz w:w="11900" w:h="16838" w:orient="portrait"/>
          <w:cols w:equalWidth="0" w:num="1">
            <w:col w:w="9999"/>
          </w:cols>
          <w:pgMar w:left="460" w:top="273" w:right="1440"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4.18</w:t>
      </w:r>
    </w:p>
    <w:p>
      <w:pPr>
        <w:spacing w:after="0" w:line="223" w:lineRule="exact"/>
        <w:rPr>
          <w:sz w:val="20"/>
          <w:szCs w:val="20"/>
          <w:color w:val="auto"/>
        </w:rPr>
      </w:pPr>
    </w:p>
    <w:p>
      <w:pPr>
        <w:ind w:left="1460" w:right="2440" w:firstLine="210"/>
        <w:spacing w:after="0" w:line="292" w:lineRule="auto"/>
        <w:tabs>
          <w:tab w:leader="none" w:pos="2107"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Certain information in this document has been excluded pursuant to Regulation S-K, Item 601(b)(10). Such excluded information is not material and</w:t>
      </w:r>
    </w:p>
    <w:p>
      <w:pPr>
        <w:spacing w:after="0" w:line="1" w:lineRule="exact"/>
        <w:rPr>
          <w:rFonts w:ascii="Arial" w:cs="Arial" w:eastAsia="Arial" w:hAnsi="Arial"/>
          <w:sz w:val="16"/>
          <w:szCs w:val="16"/>
          <w:b w:val="1"/>
          <w:bCs w:val="1"/>
          <w:color w:val="auto"/>
        </w:rPr>
      </w:pPr>
    </w:p>
    <w:p>
      <w:pPr>
        <w:ind w:left="21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is the type that the registrant treats as private or confidential.</w:t>
      </w:r>
    </w:p>
    <w:p>
      <w:pPr>
        <w:spacing w:after="0" w:line="20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MANUFACTURING AND SUPPLY AGREEMENT</w:t>
      </w:r>
    </w:p>
    <w:p>
      <w:pPr>
        <w:spacing w:after="0" w:line="2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(“Agreement”)</w:t>
      </w:r>
    </w:p>
    <w:p>
      <w:pPr>
        <w:spacing w:after="0" w:line="2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between</w:t>
      </w:r>
    </w:p>
    <w:p>
      <w:pPr>
        <w:spacing w:after="0" w:line="21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Ascendis Pharma A/S</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Tuborg Boulevard 12</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2900 Hellerup</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Denmark</w:t>
      </w:r>
    </w:p>
    <w:p>
      <w:pPr>
        <w:spacing w:after="0" w:line="20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(hereinafter referred to as “Ascendis”)</w:t>
      </w:r>
    </w:p>
    <w:p>
      <w:pPr>
        <w:spacing w:after="0" w:line="2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NOF CORPORATION</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20-3, Ebisu 4-chome,</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Shibuya-ku,</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Tokyo, 150-6019</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Japan</w:t>
      </w:r>
    </w:p>
    <w:p>
      <w:pPr>
        <w:spacing w:after="0" w:line="20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(hereinafter referred to as “NOF”)</w:t>
      </w:r>
    </w:p>
    <w:p>
      <w:pPr>
        <w:spacing w:after="0" w:line="2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(hereinafter individually referred to as “Party” and collectively as “the Parties”)</w:t>
      </w:r>
    </w:p>
    <w:p>
      <w:pPr>
        <w:sectPr>
          <w:pgSz w:w="11900" w:h="16838" w:orient="portrait"/>
          <w:cols w:equalWidth="0" w:num="1">
            <w:col w:w="10000"/>
          </w:cols>
          <w:pgMar w:left="1440" w:top="121" w:right="459" w:bottom="1440" w:gutter="0" w:footer="0" w:header="0"/>
        </w:sectPr>
      </w:pPr>
    </w:p>
    <w:bookmarkStart w:id="276" w:name="page277"/>
    <w:bookmarkEnd w:id="276"/>
    <w:tbl>
      <w:tblPr>
        <w:tblLayout w:type="fixed"/>
        <w:tblInd w:w="5" w:type="dxa"/>
        <w:tblCellMar>
          <w:top w:w="0" w:type="dxa"/>
          <w:left w:w="0" w:type="dxa"/>
          <w:bottom w:w="0" w:type="dxa"/>
          <w:right w:w="0" w:type="dxa"/>
        </w:tblCellMar>
      </w:tblP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1.</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INTRODUCTION</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3.</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SUBJECT MATTER OF THE AGREEMENT</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OBLIGATIONS OF THE PARTIES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5.</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GOVERNANCE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COMMUNICATIONS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7.</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SUBCONTRACTING</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8.</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BATCH SIZE AND CAPACITY</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rPr>
              <w:t>9.</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FORECAST AND PURCHASE ORDERS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10.</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DELIVERY AND RELEASE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11.</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STORAGE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12.</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PURCHASE PRICE AND PAYMENT TERMS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13.</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NON-COMPLIANCE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14.</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RECALL</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15.</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REGULATORY COMPLIANCE AND SUPPORT</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16.</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TERM AND TERMINATION</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17.</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CONFIDENTIALITY</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18.</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INTELLECTUAL PROPERTY RIGHTS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19.</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INSURANCE AND LIABILITY</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20.</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REPRESENTATIONS AND WARRANTIES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21.</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ASSIGNABILITY AND SUB-CONTRACTING</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22.</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FORCE MAJEURE</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5"/>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23.</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ARBITRATION AND LAW</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w w:val="95"/>
              </w:rPr>
              <w:t>24.</w:t>
            </w:r>
          </w:p>
        </w:tc>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MISCELLANEOUS</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bl>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p>
      <w:pPr>
        <w:ind w:left="5"/>
        <w:spacing w:after="0"/>
        <w:rPr>
          <w:sz w:val="20"/>
          <w:szCs w:val="20"/>
          <w:color w:val="auto"/>
        </w:rPr>
      </w:pPr>
      <w:r>
        <w:rPr>
          <w:rFonts w:ascii="Arial" w:cs="Arial" w:eastAsia="Arial" w:hAnsi="Arial"/>
          <w:sz w:val="18"/>
          <w:szCs w:val="18"/>
          <w:b w:val="1"/>
          <w:bCs w:val="1"/>
          <w:color w:val="auto"/>
        </w:rPr>
        <w:t>APPENDICES</w:t>
      </w:r>
    </w:p>
    <w:p>
      <w:pPr>
        <w:spacing w:after="0" w:line="133" w:lineRule="exact"/>
        <w:rPr>
          <w:sz w:val="20"/>
          <w:szCs w:val="20"/>
          <w:color w:val="auto"/>
        </w:rPr>
      </w:pPr>
    </w:p>
    <w:p>
      <w:pPr>
        <w:ind w:left="425" w:hanging="425"/>
        <w:spacing w:after="0"/>
        <w:tabs>
          <w:tab w:leader="none" w:pos="42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Product</w:t>
      </w:r>
    </w:p>
    <w:p>
      <w:pPr>
        <w:spacing w:after="0" w:line="23" w:lineRule="exact"/>
        <w:rPr>
          <w:sz w:val="20"/>
          <w:szCs w:val="20"/>
          <w:color w:val="auto"/>
        </w:rPr>
      </w:pPr>
    </w:p>
    <w:p>
      <w:pPr>
        <w:ind w:left="425" w:hanging="425"/>
        <w:spacing w:after="0"/>
        <w:tabs>
          <w:tab w:leader="none" w:pos="42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Purchase Price</w:t>
      </w:r>
    </w:p>
    <w:p>
      <w:pPr>
        <w:spacing w:after="0" w:line="8" w:lineRule="exact"/>
        <w:rPr>
          <w:sz w:val="20"/>
          <w:szCs w:val="20"/>
          <w:color w:val="auto"/>
        </w:rPr>
      </w:pPr>
    </w:p>
    <w:p>
      <w:pPr>
        <w:ind w:left="425" w:hanging="425"/>
        <w:spacing w:after="0"/>
        <w:tabs>
          <w:tab w:leader="none" w:pos="42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Quality Agreement</w:t>
      </w:r>
    </w:p>
    <w:p>
      <w:pPr>
        <w:spacing w:after="0" w:line="8" w:lineRule="exact"/>
        <w:rPr>
          <w:sz w:val="20"/>
          <w:szCs w:val="20"/>
          <w:color w:val="auto"/>
        </w:rPr>
      </w:pPr>
    </w:p>
    <w:p>
      <w:pPr>
        <w:ind w:left="425" w:hanging="425"/>
        <w:spacing w:after="0"/>
        <w:tabs>
          <w:tab w:leader="none" w:pos="42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Specifications</w:t>
      </w:r>
    </w:p>
    <w:p>
      <w:pPr>
        <w:spacing w:after="0" w:line="8" w:lineRule="exact"/>
        <w:rPr>
          <w:sz w:val="20"/>
          <w:szCs w:val="20"/>
          <w:color w:val="auto"/>
        </w:rPr>
      </w:pPr>
    </w:p>
    <w:p>
      <w:pPr>
        <w:ind w:left="425" w:hanging="425"/>
        <w:spacing w:after="0"/>
        <w:tabs>
          <w:tab w:leader="none" w:pos="42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p>
    <w:p>
      <w:pPr>
        <w:spacing w:after="0" w:line="8" w:lineRule="exact"/>
        <w:rPr>
          <w:sz w:val="20"/>
          <w:szCs w:val="20"/>
          <w:color w:val="auto"/>
        </w:rPr>
      </w:pPr>
    </w:p>
    <w:p>
      <w:pPr>
        <w:ind w:left="425" w:hanging="425"/>
        <w:spacing w:after="0"/>
        <w:tabs>
          <w:tab w:leader="none" w:pos="42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List of applicable patents</w:t>
      </w:r>
    </w:p>
    <w:p>
      <w:pPr>
        <w:spacing w:after="0" w:line="8" w:lineRule="exact"/>
        <w:rPr>
          <w:sz w:val="20"/>
          <w:szCs w:val="20"/>
          <w:color w:val="auto"/>
        </w:rPr>
      </w:pPr>
    </w:p>
    <w:p>
      <w:pPr>
        <w:ind w:left="425" w:hanging="425"/>
        <w:spacing w:after="0"/>
        <w:tabs>
          <w:tab w:leader="none" w:pos="42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Notification by NOF from 31 July 2019</w:t>
      </w:r>
    </w:p>
    <w:p>
      <w:pPr>
        <w:spacing w:after="0" w:line="142"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5"/>
          </w:cols>
          <w:pgMar w:left="455" w:top="269" w:right="519" w:bottom="1440" w:gutter="0" w:footer="0" w:header="0"/>
        </w:sectPr>
      </w:pPr>
    </w:p>
    <w:bookmarkStart w:id="277" w:name="page278"/>
    <w:bookmarkEnd w:id="277"/>
    <w:p>
      <w:pPr>
        <w:ind w:left="425" w:hanging="425"/>
        <w:spacing w:after="0"/>
        <w:tabs>
          <w:tab w:leader="none" w:pos="425"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INTRODUCTION</w:t>
      </w:r>
    </w:p>
    <w:p>
      <w:pPr>
        <w:spacing w:after="0" w:line="227" w:lineRule="exact"/>
        <w:rPr>
          <w:sz w:val="20"/>
          <w:szCs w:val="20"/>
          <w:color w:val="auto"/>
        </w:rPr>
      </w:pPr>
    </w:p>
    <w:p>
      <w:pPr>
        <w:ind w:left="5"/>
        <w:spacing w:after="0"/>
        <w:rPr>
          <w:sz w:val="20"/>
          <w:szCs w:val="20"/>
          <w:color w:val="auto"/>
        </w:rPr>
      </w:pPr>
      <w:r>
        <w:rPr>
          <w:rFonts w:ascii="Arial" w:cs="Arial" w:eastAsia="Arial" w:hAnsi="Arial"/>
          <w:sz w:val="18"/>
          <w:szCs w:val="18"/>
          <w:color w:val="auto"/>
        </w:rPr>
        <w:t>WHEREAS:</w:t>
      </w:r>
    </w:p>
    <w:p>
      <w:pPr>
        <w:spacing w:after="0" w:line="129" w:lineRule="exact"/>
        <w:rPr>
          <w:sz w:val="20"/>
          <w:szCs w:val="20"/>
          <w:color w:val="auto"/>
        </w:rPr>
      </w:pPr>
    </w:p>
    <w:p>
      <w:pPr>
        <w:ind w:left="965" w:right="400" w:hanging="534"/>
        <w:spacing w:after="0" w:line="275" w:lineRule="auto"/>
        <w:tabs>
          <w:tab w:leader="none" w:pos="96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Parties have agreed to enter into a commercial supply partnership with the objective to guarantee delivery of agreed quantities of Product of the specified quality at agreed times.</w:t>
      </w:r>
    </w:p>
    <w:p>
      <w:pPr>
        <w:spacing w:after="0" w:line="77" w:lineRule="exact"/>
        <w:rPr>
          <w:rFonts w:ascii="Arial" w:cs="Arial" w:eastAsia="Arial" w:hAnsi="Arial"/>
          <w:sz w:val="18"/>
          <w:szCs w:val="18"/>
          <w:color w:val="auto"/>
        </w:rPr>
      </w:pPr>
    </w:p>
    <w:p>
      <w:pPr>
        <w:ind w:left="965" w:right="40" w:hanging="534"/>
        <w:spacing w:after="0" w:line="275" w:lineRule="auto"/>
        <w:tabs>
          <w:tab w:leader="none" w:pos="96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Parties have agreed to enter into this Manufacturing and Supply Agreement to set forth the general terms and conditions on which the supply of Product will be carried out.</w:t>
      </w:r>
    </w:p>
    <w:p>
      <w:pPr>
        <w:spacing w:after="0" w:line="73" w:lineRule="exact"/>
        <w:rPr>
          <w:rFonts w:ascii="Arial" w:cs="Arial" w:eastAsia="Arial" w:hAnsi="Arial"/>
          <w:sz w:val="18"/>
          <w:szCs w:val="18"/>
          <w:color w:val="auto"/>
        </w:rPr>
      </w:pPr>
    </w:p>
    <w:p>
      <w:pPr>
        <w:ind w:left="425" w:hanging="425"/>
        <w:spacing w:after="0"/>
        <w:tabs>
          <w:tab w:leader="none" w:pos="425"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3" w:lineRule="exact"/>
        <w:rPr>
          <w:sz w:val="20"/>
          <w:szCs w:val="20"/>
          <w:color w:val="auto"/>
        </w:rPr>
      </w:pPr>
    </w:p>
    <w:p>
      <w:pPr>
        <w:ind w:left="5"/>
        <w:spacing w:after="0" w:line="313"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shall mean any corporation, company or other legal entity which is controlled by a Party, controls a Party or is under common control with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In this definition, “control” means the direct or indirect possession of more than fifty percent (50%) of the shares or ownership interest representing the voting right for the election of directors or persons performing similar functions for such corporation, company or other legal entity.</w:t>
      </w:r>
    </w:p>
    <w:p>
      <w:pPr>
        <w:spacing w:after="0" w:line="14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MANUFACTURING AND SUPPLY AGREEMENT.</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 xml:space="preserve">“Appendix” </w:t>
      </w:r>
      <w:r>
        <w:rPr>
          <w:rFonts w:ascii="Arial" w:cs="Arial" w:eastAsia="Arial" w:hAnsi="Arial"/>
          <w:sz w:val="17"/>
          <w:szCs w:val="17"/>
          <w:color w:val="auto"/>
        </w:rPr>
        <w:t>shall mean any Appendix as amended, dated, signed and renumbered (e.g. Appendix 1.1, 2.1, 3.1… and so forth) from time to time.</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“Ascendis Product” </w:t>
      </w:r>
      <w:r>
        <w:rPr>
          <w:rFonts w:ascii="Arial" w:cs="Arial" w:eastAsia="Arial" w:hAnsi="Arial"/>
          <w:sz w:val="18"/>
          <w:szCs w:val="18"/>
          <w:color w:val="auto"/>
        </w:rPr>
        <w:t>shall mean TransCon PTH (1-34) drug product.</w:t>
      </w:r>
    </w:p>
    <w:p>
      <w:pPr>
        <w:spacing w:after="0" w:line="223" w:lineRule="exact"/>
        <w:rPr>
          <w:sz w:val="20"/>
          <w:szCs w:val="20"/>
          <w:color w:val="auto"/>
        </w:rPr>
      </w:pPr>
    </w:p>
    <w:p>
      <w:pPr>
        <w:ind w:left="5" w:right="60"/>
        <w:spacing w:after="0" w:line="265" w:lineRule="auto"/>
        <w:rPr>
          <w:sz w:val="20"/>
          <w:szCs w:val="20"/>
          <w:color w:val="auto"/>
        </w:rPr>
      </w:pPr>
      <w:r>
        <w:rPr>
          <w:rFonts w:ascii="Arial" w:cs="Arial" w:eastAsia="Arial" w:hAnsi="Arial"/>
          <w:sz w:val="18"/>
          <w:szCs w:val="18"/>
          <w:b w:val="1"/>
          <w:bCs w:val="1"/>
          <w:color w:val="auto"/>
        </w:rPr>
        <w:t xml:space="preserve">“Background Technology” </w:t>
      </w:r>
      <w:r>
        <w:rPr>
          <w:rFonts w:ascii="Arial" w:cs="Arial" w:eastAsia="Arial" w:hAnsi="Arial"/>
          <w:sz w:val="18"/>
          <w:szCs w:val="18"/>
          <w:color w:val="auto"/>
        </w:rPr>
        <w:t>shall mean the full range of NOF’s Intellectual Property Rights and factual knowledge (i) existing on the Effective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and/or (ii) licensed to, acquired or developed by NOF outside or under this Agreement but during the term of this Agreement, which NOF is free to dispose of.</w:t>
      </w:r>
    </w:p>
    <w:p>
      <w:pPr>
        <w:spacing w:after="0" w:line="175" w:lineRule="exact"/>
        <w:rPr>
          <w:sz w:val="20"/>
          <w:szCs w:val="20"/>
          <w:color w:val="auto"/>
        </w:rPr>
      </w:pPr>
    </w:p>
    <w:p>
      <w:pPr>
        <w:ind w:left="5" w:right="200"/>
        <w:spacing w:after="0" w:line="280" w:lineRule="auto"/>
        <w:rPr>
          <w:sz w:val="20"/>
          <w:szCs w:val="20"/>
          <w:color w:val="auto"/>
        </w:rPr>
      </w:pPr>
      <w:r>
        <w:rPr>
          <w:rFonts w:ascii="Arial" w:cs="Arial" w:eastAsia="Arial" w:hAnsi="Arial"/>
          <w:sz w:val="18"/>
          <w:szCs w:val="18"/>
          <w:b w:val="1"/>
          <w:bCs w:val="1"/>
          <w:color w:val="auto"/>
        </w:rPr>
        <w:t xml:space="preserve">“Business Day(s)” </w:t>
      </w:r>
      <w:r>
        <w:rPr>
          <w:rFonts w:ascii="Arial" w:cs="Arial" w:eastAsia="Arial" w:hAnsi="Arial"/>
          <w:sz w:val="18"/>
          <w:szCs w:val="18"/>
          <w:color w:val="auto"/>
        </w:rPr>
        <w:t>shall mean any working day(s) for both Parties (with the exclusion of Saturday and Sunday) on which banks are normally open in</w:t>
      </w:r>
      <w:r>
        <w:rPr>
          <w:rFonts w:ascii="Arial" w:cs="Arial" w:eastAsia="Arial" w:hAnsi="Arial"/>
          <w:sz w:val="18"/>
          <w:szCs w:val="18"/>
          <w:b w:val="1"/>
          <w:bCs w:val="1"/>
          <w:color w:val="auto"/>
        </w:rPr>
        <w:t xml:space="preserve"> </w:t>
      </w:r>
      <w:r>
        <w:rPr>
          <w:rFonts w:ascii="Arial" w:cs="Arial" w:eastAsia="Arial" w:hAnsi="Arial"/>
          <w:sz w:val="18"/>
          <w:szCs w:val="18"/>
          <w:color w:val="auto"/>
        </w:rPr>
        <w:t>either Japan or Denmark as may be applicable.</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 xml:space="preserve">“Calendar Quarter” </w:t>
      </w:r>
      <w:r>
        <w:rPr>
          <w:rFonts w:ascii="Arial" w:cs="Arial" w:eastAsia="Arial" w:hAnsi="Arial"/>
          <w:sz w:val="17"/>
          <w:szCs w:val="17"/>
          <w:color w:val="auto"/>
        </w:rPr>
        <w:t>shall mean each three (3) successive calendar months starting on 1 January, 1 April, 1 July or 1 October, respectively.</w:t>
      </w:r>
    </w:p>
    <w:p>
      <w:pPr>
        <w:spacing w:after="0" w:line="235" w:lineRule="exact"/>
        <w:rPr>
          <w:sz w:val="20"/>
          <w:szCs w:val="20"/>
          <w:color w:val="auto"/>
        </w:rPr>
      </w:pPr>
    </w:p>
    <w:p>
      <w:pPr>
        <w:ind w:left="5" w:right="120"/>
        <w:spacing w:after="0" w:line="280" w:lineRule="auto"/>
        <w:rPr>
          <w:sz w:val="20"/>
          <w:szCs w:val="20"/>
          <w:color w:val="auto"/>
        </w:rPr>
      </w:pPr>
      <w:r>
        <w:rPr>
          <w:rFonts w:ascii="Arial" w:cs="Arial" w:eastAsia="Arial" w:hAnsi="Arial"/>
          <w:sz w:val="18"/>
          <w:szCs w:val="18"/>
          <w:b w:val="1"/>
          <w:bCs w:val="1"/>
          <w:color w:val="auto"/>
        </w:rPr>
        <w:t xml:space="preserve">“cGMP” </w:t>
      </w:r>
      <w:r>
        <w:rPr>
          <w:rFonts w:ascii="Arial" w:cs="Arial" w:eastAsia="Arial" w:hAnsi="Arial"/>
          <w:sz w:val="18"/>
          <w:szCs w:val="18"/>
          <w:color w:val="auto"/>
        </w:rPr>
        <w:t>shall mean Current Good Manufacturing Practices as promulgated under the European Directive 2003/94/EC and the US Federal Food Drug</w:t>
      </w:r>
      <w:r>
        <w:rPr>
          <w:rFonts w:ascii="Arial" w:cs="Arial" w:eastAsia="Arial" w:hAnsi="Arial"/>
          <w:sz w:val="18"/>
          <w:szCs w:val="18"/>
          <w:b w:val="1"/>
          <w:bCs w:val="1"/>
          <w:color w:val="auto"/>
        </w:rPr>
        <w:t xml:space="preserve"> </w:t>
      </w:r>
      <w:r>
        <w:rPr>
          <w:rFonts w:ascii="Arial" w:cs="Arial" w:eastAsia="Arial" w:hAnsi="Arial"/>
          <w:sz w:val="18"/>
          <w:szCs w:val="18"/>
          <w:color w:val="auto"/>
        </w:rPr>
        <w:t>and Cosmetic Act, CFR Title 21.</w:t>
      </w:r>
    </w:p>
    <w:p>
      <w:pPr>
        <w:spacing w:after="0" w:line="99"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5"/>
          </w:cols>
          <w:pgMar w:left="455" w:top="269" w:right="519" w:bottom="1440" w:gutter="0" w:footer="0" w:header="0"/>
        </w:sectPr>
      </w:pPr>
    </w:p>
    <w:bookmarkStart w:id="278" w:name="page279"/>
    <w:bookmarkEnd w:id="278"/>
    <w:p>
      <w:pPr>
        <w:ind w:right="60"/>
        <w:spacing w:after="0" w:line="25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“Confidential Information” </w:t>
      </w:r>
      <w:r>
        <w:rPr>
          <w:rFonts w:ascii="Arial" w:cs="Arial" w:eastAsia="Arial" w:hAnsi="Arial"/>
          <w:sz w:val="18"/>
          <w:szCs w:val="18"/>
          <w:color w:val="auto"/>
        </w:rPr>
        <w:t>shall mean any proprietary information, samples, technical data, or trade secrets or Know-how, including, but not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to, research and development plans, products, services, lists of collaborators and corporate partners, markets, developments, inventions, processes, formulas, technology, marketing, finances or other business information disclosed by either Party (the “Discloser”) (either directly or indirectly in writing, orally or otherwise) to the other Party (the “Recipient”).</w:t>
      </w:r>
    </w:p>
    <w:p>
      <w:pPr>
        <w:spacing w:after="0" w:line="183" w:lineRule="exact"/>
        <w:rPr>
          <w:sz w:val="20"/>
          <w:szCs w:val="20"/>
          <w:color w:val="auto"/>
        </w:rPr>
      </w:pPr>
    </w:p>
    <w:p>
      <w:pPr>
        <w:ind w:right="240"/>
        <w:spacing w:after="0" w:line="280" w:lineRule="auto"/>
        <w:rPr>
          <w:sz w:val="20"/>
          <w:szCs w:val="20"/>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shall mean the transfer of Product at the point where risk and responsibility is transferred from NOF to Ascendis according to the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Incoterms.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shall mean the date of Delivery of Product by NOF to Ascendis or its designee.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mean the date on which this Agreement becomes effective in accordance with Article 16.1.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“Final Release” </w:t>
      </w:r>
      <w:r>
        <w:rPr>
          <w:rFonts w:ascii="Arial" w:cs="Arial" w:eastAsia="Arial" w:hAnsi="Arial"/>
          <w:sz w:val="18"/>
          <w:szCs w:val="18"/>
          <w:color w:val="auto"/>
        </w:rPr>
        <w:t>shall mean the final release for delivery of Product by Ascendis or its designated representative.</w:t>
      </w:r>
    </w:p>
    <w:p>
      <w:pPr>
        <w:spacing w:after="0" w:line="223"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“Health Authorities” </w:t>
      </w:r>
      <w:r>
        <w:rPr>
          <w:rFonts w:ascii="Arial" w:cs="Arial" w:eastAsia="Arial" w:hAnsi="Arial"/>
          <w:sz w:val="18"/>
          <w:szCs w:val="18"/>
          <w:color w:val="auto"/>
        </w:rPr>
        <w:t>shall mean any national or international health authority including but not limited to those of the European Union, Japan,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w:t>
      </w:r>
    </w:p>
    <w:p>
      <w:pPr>
        <w:spacing w:after="0" w:line="163"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b w:val="1"/>
          <w:bCs w:val="1"/>
          <w:color w:val="auto"/>
        </w:rPr>
        <w:t xml:space="preserve">“Intellectual Property Rights” or “IPR” </w:t>
      </w:r>
      <w:r>
        <w:rPr>
          <w:rFonts w:ascii="Arial" w:cs="Arial" w:eastAsia="Arial" w:hAnsi="Arial"/>
          <w:sz w:val="18"/>
          <w:szCs w:val="18"/>
          <w:color w:val="auto"/>
        </w:rPr>
        <w:t>shall mean without limitation, proprietary information, patents, patent applications, formulae, trade-marks,</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applications, trade-names, inventions, copyright, industrial designs etc.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“Joint Steering Committee” or “JSC” </w:t>
      </w:r>
      <w:r>
        <w:rPr>
          <w:rFonts w:ascii="Arial" w:cs="Arial" w:eastAsia="Arial" w:hAnsi="Arial"/>
          <w:sz w:val="18"/>
          <w:szCs w:val="18"/>
          <w:color w:val="auto"/>
        </w:rPr>
        <w:t>shall have the meaning assigned to it in Article 5.1.</w:t>
      </w:r>
    </w:p>
    <w:p>
      <w:pPr>
        <w:spacing w:after="0" w:line="2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color w:val="auto"/>
        </w:rPr>
        <w:t xml:space="preserve">“Know-how” </w:t>
      </w:r>
      <w:r>
        <w:rPr>
          <w:rFonts w:ascii="Arial" w:cs="Arial" w:eastAsia="Arial" w:hAnsi="Arial"/>
          <w:sz w:val="16"/>
          <w:szCs w:val="16"/>
          <w:color w:val="auto"/>
        </w:rPr>
        <w:t>shall mean any and all present and future data concerning Ascendis, Product, and any derivatives hereof e.g.,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production know-how, quality specifications, analytical data, data indicated in a DMF, patents, use-, packaging- and improvement data, which data are possessed, performed and/or developed by either Ascendis or NOF and/or exchanged under any confidentiality agreement between the parties or any other agreement entered into between the parties during the negotiations prior to execution of this Agreement or during the term of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“PPQ” </w:t>
      </w:r>
      <w:r>
        <w:rPr>
          <w:rFonts w:ascii="Arial" w:cs="Arial" w:eastAsia="Arial" w:hAnsi="Arial"/>
          <w:sz w:val="18"/>
          <w:szCs w:val="18"/>
          <w:color w:val="auto"/>
        </w:rPr>
        <w:t>shall mean the Process Performance Qualification of the manufacturing process of the Product, as defined in Appendix 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shall mean PEG maleimide “[***]” as stated in Appendix 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“Propyl Amine” </w:t>
      </w:r>
      <w:r>
        <w:rPr>
          <w:rFonts w:ascii="Arial" w:cs="Arial" w:eastAsia="Arial" w:hAnsi="Arial"/>
          <w:sz w:val="18"/>
          <w:szCs w:val="18"/>
          <w:color w:val="auto"/>
        </w:rPr>
        <w:t>shall mean [***]</w:t>
      </w:r>
    </w:p>
    <w:p>
      <w:pPr>
        <w:spacing w:after="0" w:line="223" w:lineRule="exact"/>
        <w:rPr>
          <w:sz w:val="20"/>
          <w:szCs w:val="20"/>
          <w:color w:val="auto"/>
        </w:rPr>
      </w:pPr>
    </w:p>
    <w:p>
      <w:pPr>
        <w:ind w:right="640"/>
        <w:spacing w:after="0" w:line="280" w:lineRule="auto"/>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mean an order submitted by Ascendis according to Section 9.5 specifying Ascendis’ purchase order number,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of Product and requested date of delivery.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shall mean the price agreed to be paid by Ascendis to NOF as set forth in Appendix 2.</w:t>
      </w:r>
    </w:p>
    <w:p>
      <w:pPr>
        <w:spacing w:after="0" w:line="16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60" w:top="270" w:right="539" w:bottom="1440" w:gutter="0" w:footer="0" w:header="0"/>
        </w:sectPr>
      </w:pPr>
    </w:p>
    <w:bookmarkStart w:id="279" w:name="page280"/>
    <w:bookmarkEnd w:id="279"/>
    <w:p>
      <w:pPr>
        <w:ind w:lef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“Quality Agreement” </w:t>
      </w:r>
      <w:r>
        <w:rPr>
          <w:rFonts w:ascii="Arial" w:cs="Arial" w:eastAsia="Arial" w:hAnsi="Arial"/>
          <w:sz w:val="18"/>
          <w:szCs w:val="18"/>
          <w:color w:val="auto"/>
        </w:rPr>
        <w:t>shall mean the agreement set out in Appendix 3 hereto.</w:t>
      </w:r>
    </w:p>
    <w:p>
      <w:pPr>
        <w:spacing w:after="0" w:line="223" w:lineRule="exact"/>
        <w:rPr>
          <w:sz w:val="20"/>
          <w:szCs w:val="20"/>
          <w:color w:val="auto"/>
        </w:rPr>
      </w:pPr>
    </w:p>
    <w:p>
      <w:pPr>
        <w:ind w:left="5" w:right="20"/>
        <w:spacing w:after="0" w:line="259" w:lineRule="auto"/>
        <w:rPr>
          <w:sz w:val="20"/>
          <w:szCs w:val="20"/>
          <w:color w:val="auto"/>
        </w:rPr>
      </w:pPr>
      <w:r>
        <w:rPr>
          <w:rFonts w:ascii="Arial" w:cs="Arial" w:eastAsia="Arial" w:hAnsi="Arial"/>
          <w:sz w:val="18"/>
          <w:szCs w:val="18"/>
          <w:b w:val="1"/>
          <w:bCs w:val="1"/>
          <w:color w:val="auto"/>
        </w:rPr>
        <w:t xml:space="preserve">“Release Documentation” </w:t>
      </w:r>
      <w:r>
        <w:rPr>
          <w:rFonts w:ascii="Arial" w:cs="Arial" w:eastAsia="Arial" w:hAnsi="Arial"/>
          <w:sz w:val="18"/>
          <w:szCs w:val="18"/>
          <w:color w:val="auto"/>
        </w:rPr>
        <w:t>shall be the documentation which NOF shall provide to Ascendis following NOF’s internal release of the Product. Such</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shall contain the following: Certificate of Analysis (CoA), Certificate of Conformity (CoC), list of deviations and out of specification (OOS) results, version history for Master Batch Record, certificates of origin in English. Further details on the requirements for such documentation are specified in the Quality Agreement (Appendix 3).</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“Services” </w:t>
      </w:r>
      <w:r>
        <w:rPr>
          <w:rFonts w:ascii="Arial" w:cs="Arial" w:eastAsia="Arial" w:hAnsi="Arial"/>
          <w:sz w:val="18"/>
          <w:szCs w:val="18"/>
          <w:color w:val="auto"/>
        </w:rPr>
        <w:t>shall mean the manufacture and supply of Product as set out in this Agreement.</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shall mean the specifications of Products as set forth in Appendix 4.</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“Year” </w:t>
      </w:r>
      <w:r>
        <w:rPr>
          <w:rFonts w:ascii="Arial" w:cs="Arial" w:eastAsia="Arial" w:hAnsi="Arial"/>
          <w:sz w:val="18"/>
          <w:szCs w:val="18"/>
          <w:color w:val="auto"/>
        </w:rPr>
        <w:t>shall mean the NOF’s financial year, which runs from 1 April to 31 March.</w:t>
      </w:r>
    </w:p>
    <w:p>
      <w:pPr>
        <w:spacing w:after="0" w:line="129" w:lineRule="exact"/>
        <w:rPr>
          <w:sz w:val="20"/>
          <w:szCs w:val="20"/>
          <w:color w:val="auto"/>
        </w:rPr>
      </w:pPr>
    </w:p>
    <w:p>
      <w:pPr>
        <w:ind w:left="425" w:hanging="425"/>
        <w:spacing w:after="0"/>
        <w:tabs>
          <w:tab w:leader="none" w:pos="425"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SUBJECT MATTER OF THE AGREEMENT</w:t>
      </w:r>
    </w:p>
    <w:p>
      <w:pPr>
        <w:spacing w:after="0" w:line="133" w:lineRule="exact"/>
        <w:rPr>
          <w:sz w:val="20"/>
          <w:szCs w:val="20"/>
          <w:color w:val="auto"/>
        </w:rPr>
      </w:pPr>
    </w:p>
    <w:p>
      <w:pPr>
        <w:jc w:val="right"/>
        <w:ind w:left="985" w:right="100"/>
        <w:spacing w:after="0" w:line="340" w:lineRule="auto"/>
        <w:rPr>
          <w:sz w:val="20"/>
          <w:szCs w:val="20"/>
          <w:color w:val="auto"/>
        </w:rPr>
      </w:pPr>
      <w:r>
        <w:rPr>
          <w:rFonts w:ascii="Arial" w:cs="Arial" w:eastAsia="Arial" w:hAnsi="Arial"/>
          <w:sz w:val="16"/>
          <w:szCs w:val="16"/>
          <w:color w:val="auto"/>
        </w:rPr>
        <w:t>3.1.  This Agreement covers PPQ, manufacture and supply by NOF of Product to Ascendis for commercial use worldwide as part of the Ascendis Product. This Agreement thus covers the PPQ batches and all subsequent batches delivered by NOF for commercial use.</w:t>
      </w:r>
    </w:p>
    <w:p>
      <w:pPr>
        <w:spacing w:after="0" w:line="30" w:lineRule="exact"/>
        <w:rPr>
          <w:sz w:val="20"/>
          <w:szCs w:val="20"/>
          <w:color w:val="auto"/>
        </w:rPr>
      </w:pPr>
    </w:p>
    <w:p>
      <w:pPr>
        <w:ind w:left="1405" w:hanging="430"/>
        <w:spacing w:after="0" w:line="258" w:lineRule="auto"/>
        <w:tabs>
          <w:tab w:leader="none" w:pos="1384" w:val="left"/>
        </w:tabs>
        <w:rPr>
          <w:sz w:val="20"/>
          <w:szCs w:val="20"/>
          <w:color w:val="auto"/>
        </w:rPr>
      </w:pPr>
      <w:r>
        <w:rPr>
          <w:rFonts w:ascii="Arial" w:cs="Arial" w:eastAsia="Arial" w:hAnsi="Arial"/>
          <w:sz w:val="18"/>
          <w:szCs w:val="18"/>
          <w:color w:val="auto"/>
        </w:rPr>
        <w:t>3.2.</w:t>
        <w:tab/>
        <w:t>NOF hereby undertakes, upon Ascendis’ request, to synthesize, manufacture, analyse, quality control, label, package and deliver the Product to Ascendis, in accordance with the terms and conditions of this Agreement; and Ascendis will from time to time place Purchase Orders for Product according to forecasts as set forth in Article 9. Operations shall take place in compliance with the Quality Agreement.</w:t>
      </w:r>
    </w:p>
    <w:p>
      <w:pPr>
        <w:spacing w:after="0" w:line="88" w:lineRule="exact"/>
        <w:rPr>
          <w:sz w:val="20"/>
          <w:szCs w:val="20"/>
          <w:color w:val="auto"/>
        </w:rPr>
      </w:pPr>
    </w:p>
    <w:p>
      <w:pPr>
        <w:ind w:left="425" w:hanging="425"/>
        <w:spacing w:after="0"/>
        <w:tabs>
          <w:tab w:leader="none" w:pos="425"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THE PARTIES</w:t>
      </w:r>
    </w:p>
    <w:p>
      <w:pPr>
        <w:spacing w:after="0" w:line="133" w:lineRule="exact"/>
        <w:rPr>
          <w:sz w:val="20"/>
          <w:szCs w:val="20"/>
          <w:color w:val="auto"/>
        </w:rPr>
      </w:pPr>
    </w:p>
    <w:p>
      <w:pPr>
        <w:ind w:left="1405" w:right="80" w:hanging="430"/>
        <w:spacing w:after="0" w:line="340" w:lineRule="auto"/>
        <w:tabs>
          <w:tab w:leader="none" w:pos="138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NOF hereby undertakes to supply Product in accordance with the Specifications to Ascendis on the terms and conditions agreed upon hereunder, and Ascendis hereby undertakes to purchase such Product in the quantities ordered by Ascendis from time to time.</w:t>
      </w:r>
    </w:p>
    <w:p>
      <w:pPr>
        <w:spacing w:after="0" w:line="30" w:lineRule="exact"/>
        <w:rPr>
          <w:sz w:val="20"/>
          <w:szCs w:val="20"/>
          <w:color w:val="auto"/>
        </w:rPr>
      </w:pPr>
    </w:p>
    <w:p>
      <w:pPr>
        <w:ind w:left="1405" w:right="320" w:hanging="430"/>
        <w:spacing w:after="0" w:line="275" w:lineRule="auto"/>
        <w:tabs>
          <w:tab w:leader="none" w:pos="1384" w:val="left"/>
        </w:tabs>
        <w:rPr>
          <w:sz w:val="20"/>
          <w:szCs w:val="20"/>
          <w:color w:val="auto"/>
        </w:rPr>
      </w:pPr>
      <w:r>
        <w:rPr>
          <w:rFonts w:ascii="Arial" w:cs="Arial" w:eastAsia="Arial" w:hAnsi="Arial"/>
          <w:sz w:val="18"/>
          <w:szCs w:val="18"/>
          <w:color w:val="auto"/>
        </w:rPr>
        <w:t>4.2.</w:t>
        <w:tab/>
        <w:t>Ascendis is not bound to grant any kind of exclusivity to NOF under this Agreement, but will be required to satisfy its Purchase Requirements pursuant to Article 9.</w:t>
      </w:r>
    </w:p>
    <w:p>
      <w:pPr>
        <w:spacing w:after="0" w:line="77" w:lineRule="exact"/>
        <w:rPr>
          <w:sz w:val="20"/>
          <w:szCs w:val="20"/>
          <w:color w:val="auto"/>
        </w:rPr>
      </w:pPr>
    </w:p>
    <w:p>
      <w:pPr>
        <w:ind w:left="1405" w:right="520" w:hanging="430"/>
        <w:spacing w:after="0" w:line="275" w:lineRule="auto"/>
        <w:tabs>
          <w:tab w:leader="none" w:pos="1384" w:val="left"/>
        </w:tabs>
        <w:rPr>
          <w:sz w:val="20"/>
          <w:szCs w:val="20"/>
          <w:color w:val="auto"/>
        </w:rPr>
      </w:pPr>
      <w:r>
        <w:rPr>
          <w:rFonts w:ascii="Arial" w:cs="Arial" w:eastAsia="Arial" w:hAnsi="Arial"/>
          <w:sz w:val="18"/>
          <w:szCs w:val="18"/>
          <w:color w:val="auto"/>
        </w:rPr>
        <w:t>4.3.</w:t>
        <w:tab/>
        <w:t>In the performance of the Services, NOF shall comply with cGMP and all other relevant EU, UK, US and Japanese rules and regulations. NOF shall also comply with relevant ICH guidelines.</w:t>
      </w:r>
    </w:p>
    <w:p>
      <w:pPr>
        <w:spacing w:after="0" w:line="104" w:lineRule="exact"/>
        <w:rPr>
          <w:sz w:val="20"/>
          <w:szCs w:val="20"/>
          <w:color w:val="auto"/>
        </w:rPr>
      </w:pPr>
    </w:p>
    <w:p>
      <w:pPr>
        <w:jc w:val="center"/>
        <w:ind w:right="-8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5"/>
          </w:cols>
          <w:pgMar w:left="455" w:top="269" w:right="539" w:bottom="1440" w:gutter="0" w:footer="0" w:header="0"/>
        </w:sectPr>
      </w:pPr>
    </w:p>
    <w:bookmarkStart w:id="280" w:name="page281"/>
    <w:bookmarkEnd w:id="280"/>
    <w:p>
      <w:pPr>
        <w:ind w:left="420" w:right="80" w:hanging="430"/>
        <w:spacing w:after="0" w:line="256"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4.4.</w:t>
        <w:tab/>
        <w:t>If Ascendis’ conducting clinical trials with—or marketing of—Ascendis Product in China or any member state of the Organisation for Economic Co-operation and Development (“OECD”), either in its own name or through a partner, will oblige Ascendis to cause NOF to comply with rules and regulations not specifically mentioned in this Agreement and not specifically exempt according to clause 4.7, the Parties will discuss in good faith how NOF may comply with such rules, and the cost and any fees, if any, will be borne by [***].</w:t>
      </w:r>
    </w:p>
    <w:p>
      <w:pPr>
        <w:spacing w:after="0" w:line="93" w:lineRule="exact"/>
        <w:rPr>
          <w:sz w:val="20"/>
          <w:szCs w:val="20"/>
          <w:color w:val="auto"/>
        </w:rPr>
      </w:pPr>
    </w:p>
    <w:p>
      <w:pPr>
        <w:ind w:left="420" w:right="40" w:hanging="430"/>
        <w:spacing w:after="0" w:line="258" w:lineRule="auto"/>
        <w:tabs>
          <w:tab w:leader="none" w:pos="400" w:val="left"/>
        </w:tabs>
        <w:rPr>
          <w:sz w:val="20"/>
          <w:szCs w:val="20"/>
          <w:color w:val="auto"/>
        </w:rPr>
      </w:pPr>
      <w:r>
        <w:rPr>
          <w:rFonts w:ascii="Arial" w:cs="Arial" w:eastAsia="Arial" w:hAnsi="Arial"/>
          <w:sz w:val="18"/>
          <w:szCs w:val="18"/>
          <w:color w:val="auto"/>
        </w:rPr>
        <w:t>4.5.</w:t>
        <w:tab/>
        <w:t>If Ascendis’ conducting clinical trials with – or marketing of—Ascendis Product, either in its own name or through a partner, in any country not covered by clause 4.4 above will oblige Ascendis to cause NOF to comply with rules and regulations not specifically mentioned in this Agreement, the Parties will discuss in good faith whether or not and how NOF will comply with such rules, and the cost and any fees, if any, that will be borne by [***].</w:t>
      </w:r>
    </w:p>
    <w:p>
      <w:pPr>
        <w:spacing w:after="0" w:line="92" w:lineRule="exact"/>
        <w:rPr>
          <w:sz w:val="20"/>
          <w:szCs w:val="20"/>
          <w:color w:val="auto"/>
        </w:rPr>
      </w:pPr>
    </w:p>
    <w:p>
      <w:pPr>
        <w:ind w:left="420" w:right="20" w:hanging="430"/>
        <w:spacing w:after="0" w:line="306" w:lineRule="auto"/>
        <w:tabs>
          <w:tab w:leader="none" w:pos="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NOF and Ascendis shall discuss and liaise regarding the present status of the manufacturing and analysis of Product on a continuous basis. Upon Ascendis’ request NOF shall inform Ascendis of the present status and the results obtained.</w:t>
      </w:r>
    </w:p>
    <w:p>
      <w:pPr>
        <w:spacing w:after="0" w:line="53" w:lineRule="exact"/>
        <w:rPr>
          <w:sz w:val="20"/>
          <w:szCs w:val="20"/>
          <w:color w:val="auto"/>
        </w:rPr>
      </w:pPr>
    </w:p>
    <w:p>
      <w:pPr>
        <w:ind w:left="420" w:right="40" w:hanging="430"/>
        <w:spacing w:after="0" w:line="256" w:lineRule="auto"/>
        <w:tabs>
          <w:tab w:leader="none" w:pos="400" w:val="left"/>
        </w:tabs>
        <w:rPr>
          <w:sz w:val="20"/>
          <w:szCs w:val="20"/>
          <w:color w:val="auto"/>
        </w:rPr>
      </w:pPr>
      <w:r>
        <w:rPr>
          <w:rFonts w:ascii="Arial" w:cs="Arial" w:eastAsia="Arial" w:hAnsi="Arial"/>
          <w:sz w:val="18"/>
          <w:szCs w:val="18"/>
          <w:color w:val="auto"/>
        </w:rPr>
        <w:t>4.7.</w:t>
        <w:tab/>
        <w:t>Subject to the provisions of Section 15.2, during and following the term of this Agreement, NOF shall use its best efforts to make available any and all documentation regarding the Product under “Strict Confidential” basis, as defined in CONFIDENTIALITY AGREEMENT entered into by the Parties on [***] which is required for a regulatory body to which Ascendis may apply for registration of the Ascendis Product, but only to the extent such disclosure is, reasonably necessary for the application and to ensure compliance with cGMP and other applicable requirements.</w:t>
      </w:r>
    </w:p>
    <w:p>
      <w:pPr>
        <w:spacing w:after="0" w:line="93" w:lineRule="exact"/>
        <w:rPr>
          <w:sz w:val="20"/>
          <w:szCs w:val="20"/>
          <w:color w:val="auto"/>
        </w:rPr>
      </w:pPr>
    </w:p>
    <w:p>
      <w:pPr>
        <w:ind w:left="420" w:right="260" w:hanging="430"/>
        <w:spacing w:after="0" w:line="285" w:lineRule="auto"/>
        <w:tabs>
          <w:tab w:leader="none" w:pos="4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NOF shall, up to [***], during the term of this Agreement grant Ascendis [***] access (upon reasonable notice) to visit NOF’s premises for routine audits of facilities, equipment, procedures, records and personnel. Ascendis shall also be allowed to perform for-cause audits upon [***] notice, such reasonable causes to be defined in the Quality Agreement.</w:t>
      </w:r>
    </w:p>
    <w:p>
      <w:pPr>
        <w:spacing w:after="0" w:line="70" w:lineRule="exact"/>
        <w:rPr>
          <w:sz w:val="20"/>
          <w:szCs w:val="20"/>
          <w:color w:val="auto"/>
        </w:rPr>
      </w:pPr>
    </w:p>
    <w:p>
      <w:pPr>
        <w:ind w:left="420" w:right="40" w:hanging="430"/>
        <w:spacing w:after="0" w:line="285" w:lineRule="auto"/>
        <w:tabs>
          <w:tab w:leader="none" w:pos="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color w:val="auto"/>
        </w:rPr>
        <w:t>NOF shall during the term of this Agreement allow inspectors from Health Authorities (possibly accompanied by Ascendis staff), to perform the required inspections pursuant to legal, administrative or judicial action. NOF shall submit any observations relevant to the manufacturing or analytical control of Products from such inspections to Ascendis without delay.</w:t>
      </w:r>
    </w:p>
    <w:p>
      <w:pPr>
        <w:spacing w:after="0" w:line="70" w:lineRule="exact"/>
        <w:rPr>
          <w:sz w:val="20"/>
          <w:szCs w:val="20"/>
          <w:color w:val="auto"/>
        </w:rPr>
      </w:pPr>
    </w:p>
    <w:p>
      <w:pPr>
        <w:ind w:left="420" w:hanging="430"/>
        <w:spacing w:after="0" w:line="274" w:lineRule="auto"/>
        <w:rPr>
          <w:sz w:val="20"/>
          <w:szCs w:val="20"/>
          <w:color w:val="auto"/>
        </w:rPr>
      </w:pPr>
      <w:r>
        <w:rPr>
          <w:rFonts w:ascii="Arial" w:cs="Arial" w:eastAsia="Arial" w:hAnsi="Arial"/>
          <w:sz w:val="17"/>
          <w:szCs w:val="17"/>
          <w:color w:val="auto"/>
        </w:rPr>
        <w:t>4.10. On the request of Ascendis, NOF shall allow representatives from Ascendis collaboration partners such as licensees, distributors (possibly accompanied by Ascendis staff), to inspect NOF’s premises upon prior signed Confidentiality Agreement of such collaboration partners. Such inspections will be strictly related to the manufacturing or analytical control of Products. If Products are implicated in regulatory inspection findings during audits initiated by authorities or other third parties, or if such findings are otherwise relevant for the manufacturing or analytical control of Products NOF shall notify Ascendis without delay.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4.11. [***].</w:t>
      </w:r>
    </w:p>
    <w:p>
      <w:pPr>
        <w:spacing w:after="0" w:line="1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40"/>
          </w:cols>
          <w:pgMar w:left="1440" w:top="273" w:right="519" w:bottom="1440" w:gutter="0" w:footer="0" w:header="0"/>
        </w:sectPr>
      </w:pPr>
    </w:p>
    <w:bookmarkStart w:id="281" w:name="page282"/>
    <w:bookmarkEnd w:id="281"/>
    <w:p>
      <w:pPr>
        <w:ind w:left="1405" w:hanging="43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4.12. In case of quality related issues, NOF shall allow [***] extended access to its [***], located at [***], to observe manufacturing and review documents related to GMP system and Ascendis production batches when NOF is manufacturing for Ascendis (hereinafter the “PIP”), provided Ascendis notifies NOF at least [***] in advance. If the notified date of arrival would conflict with a planned visit by a third party or internal meeting, NOF may postpone by up to [***]. NOF will provide the PIP with reasonable office space within the [***] and the PIP shall have access to such office space during regular working hours. The PIP shall comply with any and all confidentiality, security, safety, quality or similar guidelines that apply to persons present in the facility and that are communicated by NOF.</w:t>
      </w:r>
    </w:p>
    <w:p>
      <w:pPr>
        <w:spacing w:after="0" w:line="100" w:lineRule="exact"/>
        <w:rPr>
          <w:sz w:val="20"/>
          <w:szCs w:val="20"/>
          <w:color w:val="auto"/>
        </w:rPr>
      </w:pPr>
    </w:p>
    <w:p>
      <w:pPr>
        <w:ind w:left="1405" w:right="420" w:hanging="430"/>
        <w:spacing w:after="0" w:line="275" w:lineRule="auto"/>
        <w:rPr>
          <w:sz w:val="20"/>
          <w:szCs w:val="20"/>
          <w:color w:val="auto"/>
        </w:rPr>
      </w:pPr>
      <w:r>
        <w:rPr>
          <w:rFonts w:ascii="Arial" w:cs="Arial" w:eastAsia="Arial" w:hAnsi="Arial"/>
          <w:sz w:val="18"/>
          <w:szCs w:val="18"/>
          <w:color w:val="auto"/>
        </w:rPr>
        <w:t>4.13. NOF shall not implement any change in [***] without having obtained Ascendis’ prior written approval, unless such change is mandated by regulatory changes, in which case NOF shall notify Ascendis of the nature of the change.</w:t>
      </w:r>
    </w:p>
    <w:p>
      <w:pPr>
        <w:spacing w:after="0" w:line="77" w:lineRule="exact"/>
        <w:rPr>
          <w:sz w:val="20"/>
          <w:szCs w:val="20"/>
          <w:color w:val="auto"/>
        </w:rPr>
      </w:pPr>
    </w:p>
    <w:p>
      <w:pPr>
        <w:ind w:left="985"/>
        <w:spacing w:after="0"/>
        <w:rPr>
          <w:sz w:val="20"/>
          <w:szCs w:val="20"/>
          <w:color w:val="auto"/>
        </w:rPr>
      </w:pPr>
      <w:r>
        <w:rPr>
          <w:rFonts w:ascii="Arial" w:cs="Arial" w:eastAsia="Arial" w:hAnsi="Arial"/>
          <w:sz w:val="16"/>
          <w:szCs w:val="16"/>
          <w:color w:val="auto"/>
        </w:rPr>
        <w:t>4.14. Post-approval changes not mandated by regulatory changes and not based on Ascendis’ request shall be implemented at [***].</w:t>
      </w:r>
    </w:p>
    <w:p>
      <w:pPr>
        <w:spacing w:after="0" w:line="152" w:lineRule="exact"/>
        <w:rPr>
          <w:sz w:val="20"/>
          <w:szCs w:val="20"/>
          <w:color w:val="auto"/>
        </w:rPr>
      </w:pPr>
    </w:p>
    <w:p>
      <w:pPr>
        <w:ind w:left="1405" w:right="140" w:hanging="430"/>
        <w:spacing w:after="0" w:line="275" w:lineRule="auto"/>
        <w:rPr>
          <w:sz w:val="20"/>
          <w:szCs w:val="20"/>
          <w:color w:val="auto"/>
        </w:rPr>
      </w:pPr>
      <w:r>
        <w:rPr>
          <w:rFonts w:ascii="Arial" w:cs="Arial" w:eastAsia="Arial" w:hAnsi="Arial"/>
          <w:sz w:val="18"/>
          <w:szCs w:val="18"/>
          <w:color w:val="auto"/>
        </w:rPr>
        <w:t>4.15. If changes in applicable regulatory requirements coming into force after the Effective Date necessitate a change in the processes or the Specifications, the Parties shall in good faith discuss how to share additional costs.</w:t>
      </w:r>
    </w:p>
    <w:p>
      <w:pPr>
        <w:spacing w:after="0" w:line="77" w:lineRule="exact"/>
        <w:rPr>
          <w:sz w:val="20"/>
          <w:szCs w:val="20"/>
          <w:color w:val="auto"/>
        </w:rPr>
      </w:pPr>
    </w:p>
    <w:p>
      <w:pPr>
        <w:ind w:left="1405" w:right="100" w:hanging="430"/>
        <w:spacing w:after="0" w:line="262" w:lineRule="auto"/>
        <w:rPr>
          <w:sz w:val="20"/>
          <w:szCs w:val="20"/>
          <w:color w:val="auto"/>
        </w:rPr>
      </w:pPr>
      <w:r>
        <w:rPr>
          <w:rFonts w:ascii="Arial" w:cs="Arial" w:eastAsia="Arial" w:hAnsi="Arial"/>
          <w:sz w:val="18"/>
          <w:szCs w:val="18"/>
          <w:color w:val="auto"/>
        </w:rPr>
        <w:t>4.16. In the event Ascendis requests a change in the Product or manufacturing of the Product, and NOF can implement the change, [***] shall [***] cost of implementing such change, as well as other post-approval changes reasonably requested by Ascendis and acceptable to NOF.</w:t>
      </w:r>
    </w:p>
    <w:p>
      <w:pPr>
        <w:spacing w:after="0" w:line="89" w:lineRule="exact"/>
        <w:rPr>
          <w:sz w:val="20"/>
          <w:szCs w:val="20"/>
          <w:color w:val="auto"/>
        </w:rPr>
      </w:pPr>
    </w:p>
    <w:p>
      <w:pPr>
        <w:ind w:left="1405" w:right="20" w:hanging="430"/>
        <w:spacing w:after="0" w:line="262" w:lineRule="auto"/>
        <w:rPr>
          <w:sz w:val="20"/>
          <w:szCs w:val="20"/>
          <w:color w:val="auto"/>
        </w:rPr>
      </w:pPr>
      <w:r>
        <w:rPr>
          <w:rFonts w:ascii="Arial" w:cs="Arial" w:eastAsia="Arial" w:hAnsi="Arial"/>
          <w:sz w:val="18"/>
          <w:szCs w:val="18"/>
          <w:color w:val="auto"/>
        </w:rPr>
        <w:t>4.17. NOF agrees to keep Ascendis promptly informed of any action by, or notification or other information, which it receives (directly or indirectly) from any governmental or regulatory authority, which raises any concerns regarding the safety or efficacy of Product or any medicinal products containing Product.</w:t>
      </w:r>
    </w:p>
    <w:p>
      <w:pPr>
        <w:spacing w:after="0" w:line="89" w:lineRule="exact"/>
        <w:rPr>
          <w:sz w:val="20"/>
          <w:szCs w:val="20"/>
          <w:color w:val="auto"/>
        </w:rPr>
      </w:pPr>
    </w:p>
    <w:p>
      <w:pPr>
        <w:ind w:left="1405" w:right="120" w:hanging="430"/>
        <w:spacing w:after="0" w:line="262" w:lineRule="auto"/>
        <w:rPr>
          <w:sz w:val="20"/>
          <w:szCs w:val="20"/>
          <w:color w:val="auto"/>
        </w:rPr>
      </w:pPr>
      <w:r>
        <w:rPr>
          <w:rFonts w:ascii="Arial" w:cs="Arial" w:eastAsia="Arial" w:hAnsi="Arial"/>
          <w:sz w:val="18"/>
          <w:szCs w:val="18"/>
          <w:color w:val="auto"/>
        </w:rPr>
        <w:t>4.18. Ascendis agrees to keep NOF informed of notification of any action by, or notification or other information which it receives (directly or indirectly) from any governmental or regulatory authority, which raises any concern regarding safety in the handling of Product.</w:t>
      </w:r>
    </w:p>
    <w:p>
      <w:pPr>
        <w:spacing w:after="0" w:line="89" w:lineRule="exact"/>
        <w:rPr>
          <w:sz w:val="20"/>
          <w:szCs w:val="20"/>
          <w:color w:val="auto"/>
        </w:rPr>
      </w:pPr>
    </w:p>
    <w:p>
      <w:pPr>
        <w:ind w:left="1405" w:right="240" w:hanging="430"/>
        <w:spacing w:after="0" w:line="275" w:lineRule="auto"/>
        <w:rPr>
          <w:sz w:val="20"/>
          <w:szCs w:val="20"/>
          <w:color w:val="auto"/>
        </w:rPr>
      </w:pPr>
      <w:r>
        <w:rPr>
          <w:rFonts w:ascii="Arial" w:cs="Arial" w:eastAsia="Arial" w:hAnsi="Arial"/>
          <w:sz w:val="18"/>
          <w:szCs w:val="18"/>
          <w:color w:val="auto"/>
        </w:rPr>
        <w:t>4.19. NOF shall endeavour to live up to certain key performance indicators (“KPIs”) when delivering the Services over time, including [***].</w:t>
      </w:r>
    </w:p>
    <w:p>
      <w:pPr>
        <w:spacing w:after="0" w:line="73" w:lineRule="exact"/>
        <w:rPr>
          <w:sz w:val="20"/>
          <w:szCs w:val="20"/>
          <w:color w:val="auto"/>
        </w:rPr>
      </w:pPr>
    </w:p>
    <w:p>
      <w:pPr>
        <w:ind w:left="425" w:hanging="425"/>
        <w:spacing w:after="0"/>
        <w:tabs>
          <w:tab w:leader="none" w:pos="425"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GOVERNANCE</w:t>
      </w:r>
    </w:p>
    <w:p>
      <w:pPr>
        <w:spacing w:after="0" w:line="133"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Parties shall form a Joint Steering Committee (JSC) comprised of [***] members from each Party, including at least [***].</w:t>
      </w:r>
    </w:p>
    <w:p>
      <w:pPr>
        <w:spacing w:after="0" w:line="129" w:lineRule="exact"/>
        <w:rPr>
          <w:sz w:val="20"/>
          <w:szCs w:val="20"/>
          <w:color w:val="auto"/>
        </w:rPr>
      </w:pPr>
    </w:p>
    <w:p>
      <w:pPr>
        <w:ind w:left="1405" w:right="20" w:hanging="430"/>
        <w:spacing w:after="0" w:line="300" w:lineRule="auto"/>
        <w:tabs>
          <w:tab w:leader="none" w:pos="138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JSC shall meet at least [***] and shall discuss and evaluate the mutual collaboration and shall in good faith attempt to resolve any disputes in connection with the Agreement. Each Party may call for an ad hoc teleconference as such Party deems necessary. As agreed between the Parties in each case, the meetings of the JSC may be carried out by teleconference, video conference or face-to-face, as the case may be, provided however that the Parties endeavour to meet face to face at least [***].</w:t>
      </w:r>
    </w:p>
    <w:p>
      <w:pPr>
        <w:spacing w:after="0" w:line="89"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5"/>
          </w:cols>
          <w:pgMar w:left="455" w:top="273" w:right="519" w:bottom="1440" w:gutter="0" w:footer="0" w:header="0"/>
        </w:sectPr>
      </w:pPr>
    </w:p>
    <w:bookmarkStart w:id="282" w:name="page283"/>
    <w:bookmarkEnd w:id="282"/>
    <w:p>
      <w:pPr>
        <w:ind w:left="985"/>
        <w:spacing w:after="0"/>
        <w:tabs>
          <w:tab w:leader="none" w:pos="13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5.3.</w:t>
        <w:tab/>
        <w:t>[***].</w:t>
      </w:r>
    </w:p>
    <w:p>
      <w:pPr>
        <w:spacing w:after="0" w:line="129" w:lineRule="exact"/>
        <w:rPr>
          <w:sz w:val="20"/>
          <w:szCs w:val="20"/>
          <w:color w:val="auto"/>
        </w:rPr>
      </w:pPr>
    </w:p>
    <w:p>
      <w:pPr>
        <w:ind w:left="1405" w:right="220" w:hanging="430"/>
        <w:spacing w:after="0" w:line="275" w:lineRule="auto"/>
        <w:tabs>
          <w:tab w:leader="none" w:pos="1384" w:val="left"/>
        </w:tabs>
        <w:rPr>
          <w:sz w:val="20"/>
          <w:szCs w:val="20"/>
          <w:color w:val="auto"/>
        </w:rPr>
      </w:pPr>
      <w:r>
        <w:rPr>
          <w:rFonts w:ascii="Arial" w:cs="Arial" w:eastAsia="Arial" w:hAnsi="Arial"/>
          <w:sz w:val="18"/>
          <w:szCs w:val="18"/>
          <w:color w:val="auto"/>
        </w:rPr>
        <w:t>5.4.</w:t>
        <w:tab/>
        <w:t>Written minutes of JSC meetings must be made alternately by each Party and must be circulated for comments no later than [***] after each meeting.</w:t>
      </w:r>
    </w:p>
    <w:p>
      <w:pPr>
        <w:spacing w:after="0" w:line="77"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5.5.</w:t>
        <w:tab/>
        <w:t>[***].</w:t>
      </w:r>
    </w:p>
    <w:p>
      <w:pPr>
        <w:spacing w:after="0" w:line="125" w:lineRule="exact"/>
        <w:rPr>
          <w:sz w:val="20"/>
          <w:szCs w:val="20"/>
          <w:color w:val="auto"/>
        </w:rPr>
      </w:pPr>
    </w:p>
    <w:p>
      <w:pPr>
        <w:ind w:left="425" w:hanging="425"/>
        <w:spacing w:after="0"/>
        <w:tabs>
          <w:tab w:leader="none" w:pos="425"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133" w:lineRule="exact"/>
        <w:rPr>
          <w:sz w:val="20"/>
          <w:szCs w:val="20"/>
          <w:color w:val="auto"/>
        </w:rPr>
      </w:pPr>
    </w:p>
    <w:p>
      <w:pPr>
        <w:ind w:left="1405" w:right="80" w:hanging="430"/>
        <w:spacing w:after="0" w:line="262" w:lineRule="auto"/>
        <w:tabs>
          <w:tab w:leader="none" w:pos="1384" w:val="left"/>
        </w:tabs>
        <w:rPr>
          <w:sz w:val="20"/>
          <w:szCs w:val="20"/>
          <w:color w:val="auto"/>
        </w:rPr>
      </w:pPr>
      <w:r>
        <w:rPr>
          <w:rFonts w:ascii="Arial" w:cs="Arial" w:eastAsia="Arial" w:hAnsi="Arial"/>
          <w:sz w:val="18"/>
          <w:szCs w:val="18"/>
          <w:color w:val="auto"/>
        </w:rPr>
        <w:t>6.1.</w:t>
        <w:tab/>
        <w:t>The Parties agree that electronic communications (email) are acceptable for exchanging forecasts, Purchase Orders, order confirmations, agendas, meeting minutes and other information of an operational nature. Legal notices shall be delivered physically by courier.</w:t>
      </w:r>
    </w:p>
    <w:p>
      <w:pPr>
        <w:spacing w:after="0" w:line="89" w:lineRule="exact"/>
        <w:rPr>
          <w:sz w:val="20"/>
          <w:szCs w:val="20"/>
          <w:color w:val="auto"/>
        </w:rPr>
      </w:pPr>
    </w:p>
    <w:p>
      <w:pPr>
        <w:ind w:left="1405" w:right="300" w:hanging="430"/>
        <w:spacing w:after="0" w:line="340" w:lineRule="auto"/>
        <w:tabs>
          <w:tab w:leader="none" w:pos="138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Parties shall each designate a primary logistics contact person, and NOF´s European entity, NOF Europe GmbH (hereinafter “NOF Europe”) shall facilitate communication between the Parties regarding forecasts, orders, delivery and shipping.</w:t>
      </w:r>
    </w:p>
    <w:p>
      <w:pPr>
        <w:spacing w:after="0" w:line="30" w:lineRule="exact"/>
        <w:rPr>
          <w:sz w:val="20"/>
          <w:szCs w:val="20"/>
          <w:color w:val="auto"/>
        </w:rPr>
      </w:pPr>
    </w:p>
    <w:p>
      <w:pPr>
        <w:ind w:left="1405" w:right="40" w:hanging="430"/>
        <w:spacing w:after="0" w:line="262" w:lineRule="auto"/>
        <w:tabs>
          <w:tab w:leader="none" w:pos="1384" w:val="left"/>
        </w:tabs>
        <w:rPr>
          <w:sz w:val="20"/>
          <w:szCs w:val="20"/>
          <w:color w:val="auto"/>
        </w:rPr>
      </w:pPr>
      <w:r>
        <w:rPr>
          <w:rFonts w:ascii="Arial" w:cs="Arial" w:eastAsia="Arial" w:hAnsi="Arial"/>
          <w:sz w:val="18"/>
          <w:szCs w:val="18"/>
          <w:color w:val="auto"/>
        </w:rPr>
        <w:t>6.3.</w:t>
        <w:tab/>
        <w:t>Subject to further details in the Quality Agreement, the Parties shall each designate a primary quality contact person and NOF Europe shall facilitate communication between the Parties regarding quality related matters, except in the event of urgent matters, in which case the designated quality persons may contact each other directly.</w:t>
      </w:r>
    </w:p>
    <w:p>
      <w:pPr>
        <w:spacing w:after="0" w:line="85" w:lineRule="exact"/>
        <w:rPr>
          <w:sz w:val="20"/>
          <w:szCs w:val="20"/>
          <w:color w:val="auto"/>
        </w:rPr>
      </w:pPr>
    </w:p>
    <w:p>
      <w:pPr>
        <w:ind w:left="425" w:hanging="425"/>
        <w:spacing w:after="0"/>
        <w:tabs>
          <w:tab w:leader="none" w:pos="425"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SUBCONTRACTING</w:t>
      </w:r>
    </w:p>
    <w:p>
      <w:pPr>
        <w:spacing w:after="0" w:line="133" w:lineRule="exact"/>
        <w:rPr>
          <w:sz w:val="20"/>
          <w:szCs w:val="20"/>
          <w:color w:val="auto"/>
        </w:rPr>
      </w:pPr>
    </w:p>
    <w:p>
      <w:pPr>
        <w:ind w:left="1405" w:hanging="430"/>
        <w:spacing w:after="0" w:line="275" w:lineRule="auto"/>
        <w:tabs>
          <w:tab w:leader="none" w:pos="1384" w:val="left"/>
        </w:tabs>
        <w:rPr>
          <w:sz w:val="20"/>
          <w:szCs w:val="20"/>
          <w:color w:val="auto"/>
        </w:rPr>
      </w:pPr>
      <w:r>
        <w:rPr>
          <w:rFonts w:ascii="Arial" w:cs="Arial" w:eastAsia="Arial" w:hAnsi="Arial"/>
          <w:sz w:val="18"/>
          <w:szCs w:val="18"/>
          <w:color w:val="auto"/>
        </w:rPr>
        <w:t>7.1.</w:t>
        <w:tab/>
        <w:t>Any subcontracting of validated processes of the Services from NOF to a third party manufacturer shall be subject to Ascendis’ prior written approval.</w:t>
      </w:r>
    </w:p>
    <w:p>
      <w:pPr>
        <w:spacing w:after="0" w:line="77" w:lineRule="exact"/>
        <w:rPr>
          <w:sz w:val="20"/>
          <w:szCs w:val="20"/>
          <w:color w:val="auto"/>
        </w:rPr>
      </w:pPr>
    </w:p>
    <w:p>
      <w:pPr>
        <w:ind w:left="1405" w:right="240" w:hanging="430"/>
        <w:spacing w:after="0" w:line="262" w:lineRule="auto"/>
        <w:tabs>
          <w:tab w:leader="none" w:pos="1384" w:val="left"/>
        </w:tabs>
        <w:rPr>
          <w:sz w:val="20"/>
          <w:szCs w:val="20"/>
          <w:color w:val="auto"/>
        </w:rPr>
      </w:pPr>
      <w:r>
        <w:rPr>
          <w:rFonts w:ascii="Arial" w:cs="Arial" w:eastAsia="Arial" w:hAnsi="Arial"/>
          <w:sz w:val="18"/>
          <w:szCs w:val="18"/>
          <w:color w:val="auto"/>
        </w:rPr>
        <w:t>7.2.</w:t>
        <w:tab/>
        <w:t>In case NOF wishes to subcontract a non-validated process of the Services, or change a subcontractor performing a non-validated process of the Services, NOF shall inform Ascendis prior to implementing the change. Such change may, subject to the Quality Agreement, require Ascendis’ prior written approval.</w:t>
      </w:r>
    </w:p>
    <w:p>
      <w:pPr>
        <w:spacing w:after="0" w:line="210" w:lineRule="exact"/>
        <w:rPr>
          <w:sz w:val="20"/>
          <w:szCs w:val="20"/>
          <w:color w:val="auto"/>
        </w:rPr>
      </w:pPr>
    </w:p>
    <w:p>
      <w:pPr>
        <w:ind w:left="1405" w:right="40" w:hanging="430"/>
        <w:spacing w:after="0" w:line="278" w:lineRule="auto"/>
        <w:tabs>
          <w:tab w:leader="none" w:pos="138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In case NOF requests approval from Ascendis of a change request regarding subcontracting pursuant to Section 7.1, 7.2 or ”NOF proposed changes” in the Quality Agreement, such request shall be sent in writing to all of Ascendis’s appointed members of the JSC, and Ascendis shall notify NOF whether it approves such change or not within [***] of having confirmed receipt of the request, such confirmation shall be notified to NOF in writing or by e-mail and not to be unreasonably</w:t>
      </w:r>
    </w:p>
    <w:p>
      <w:pPr>
        <w:spacing w:after="0" w:line="103"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5"/>
          </w:cols>
          <w:pgMar w:left="455" w:top="273" w:right="499" w:bottom="1440" w:gutter="0" w:footer="0" w:header="0"/>
        </w:sectPr>
      </w:pPr>
    </w:p>
    <w:bookmarkStart w:id="283" w:name="page284"/>
    <w:bookmarkEnd w:id="283"/>
    <w:p>
      <w:pPr>
        <w:ind w:left="1425"/>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withheld and in no event later than [***] of the date of the request. Ascendis shall be deemed to have approved the request if Ascendis fails to notify within the said period. If Ascendis rejects such change, the Parties shall discuss and agree how to proceed with the implementation of such change in good faith and apply their best efforts not to cause any delay of production of the Product. However, NOF shall not have any liability for any Product supply delay caused by Ascendis’s rejection or negligence of the discussion.</w:t>
      </w:r>
    </w:p>
    <w:p>
      <w:pPr>
        <w:spacing w:after="0" w:line="89" w:lineRule="exact"/>
        <w:rPr>
          <w:sz w:val="20"/>
          <w:szCs w:val="20"/>
          <w:color w:val="auto"/>
        </w:rPr>
      </w:pPr>
    </w:p>
    <w:p>
      <w:pPr>
        <w:ind w:left="425" w:hanging="425"/>
        <w:spacing w:after="0"/>
        <w:tabs>
          <w:tab w:leader="none" w:pos="425"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BATCH SIZE AND CAPACITY</w:t>
      </w:r>
    </w:p>
    <w:p>
      <w:pPr>
        <w:spacing w:after="0" w:line="133" w:lineRule="exact"/>
        <w:rPr>
          <w:sz w:val="20"/>
          <w:szCs w:val="20"/>
          <w:color w:val="auto"/>
        </w:rPr>
      </w:pPr>
    </w:p>
    <w:p>
      <w:pPr>
        <w:ind w:left="1405" w:right="340" w:hanging="430"/>
        <w:spacing w:after="0" w:line="275" w:lineRule="auto"/>
        <w:tabs>
          <w:tab w:leader="none" w:pos="1384" w:val="left"/>
        </w:tabs>
        <w:rPr>
          <w:sz w:val="20"/>
          <w:szCs w:val="20"/>
          <w:color w:val="auto"/>
        </w:rPr>
      </w:pPr>
      <w:r>
        <w:rPr>
          <w:rFonts w:ascii="Arial" w:cs="Arial" w:eastAsia="Arial" w:hAnsi="Arial"/>
          <w:sz w:val="18"/>
          <w:szCs w:val="18"/>
          <w:color w:val="auto"/>
        </w:rPr>
        <w:t>8.1.</w:t>
        <w:tab/>
        <w:t>From the Effective Date, Product shall be manufactured using NOF’s [***] and delivered in a batch size corresponding to [***], providing an expected yield of Product in the range of [***].</w:t>
      </w:r>
    </w:p>
    <w:p>
      <w:pPr>
        <w:spacing w:after="0" w:line="77"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Manufacturing in the [***], NOF guarantees ability to deliver up to [***].</w:t>
      </w:r>
    </w:p>
    <w:p>
      <w:pPr>
        <w:spacing w:after="0" w:line="129" w:lineRule="exact"/>
        <w:rPr>
          <w:sz w:val="20"/>
          <w:szCs w:val="20"/>
          <w:color w:val="auto"/>
        </w:rPr>
      </w:pPr>
    </w:p>
    <w:p>
      <w:pPr>
        <w:ind w:left="1405" w:right="140" w:hanging="430"/>
        <w:spacing w:after="0" w:line="275" w:lineRule="auto"/>
        <w:tabs>
          <w:tab w:leader="none" w:pos="1384" w:val="left"/>
        </w:tabs>
        <w:rPr>
          <w:sz w:val="20"/>
          <w:szCs w:val="20"/>
          <w:color w:val="auto"/>
        </w:rPr>
      </w:pPr>
      <w:r>
        <w:rPr>
          <w:rFonts w:ascii="Arial" w:cs="Arial" w:eastAsia="Arial" w:hAnsi="Arial"/>
          <w:sz w:val="18"/>
          <w:szCs w:val="18"/>
          <w:color w:val="auto"/>
        </w:rPr>
        <w:t>8.3.</w:t>
        <w:tab/>
        <w:t>The Parties agree to mutually discuss options to secure flexibility in the supply of Product and mitigate the risk of shortages in case Ascendis’ actual needs turn out lower or higher than forecasted.</w:t>
      </w:r>
    </w:p>
    <w:p>
      <w:pPr>
        <w:spacing w:after="0" w:line="77" w:lineRule="exact"/>
        <w:rPr>
          <w:sz w:val="20"/>
          <w:szCs w:val="20"/>
          <w:color w:val="auto"/>
        </w:rPr>
      </w:pPr>
    </w:p>
    <w:p>
      <w:pPr>
        <w:ind w:left="1405" w:right="300" w:hanging="430"/>
        <w:spacing w:after="0" w:line="275" w:lineRule="auto"/>
        <w:tabs>
          <w:tab w:leader="none" w:pos="1384" w:val="left"/>
        </w:tabs>
        <w:rPr>
          <w:sz w:val="20"/>
          <w:szCs w:val="20"/>
          <w:color w:val="auto"/>
        </w:rPr>
      </w:pPr>
      <w:r>
        <w:rPr>
          <w:rFonts w:ascii="Arial" w:cs="Arial" w:eastAsia="Arial" w:hAnsi="Arial"/>
          <w:sz w:val="18"/>
          <w:szCs w:val="18"/>
          <w:color w:val="auto"/>
        </w:rPr>
        <w:t>8.4.</w:t>
        <w:tab/>
        <w:t>If required, and upon mutual agreement, NOF shall qualify an alternative manufacturing facility (another NOF site or a CMO) as backup. Relevant cost should be covered by [***].</w:t>
      </w:r>
    </w:p>
    <w:p>
      <w:pPr>
        <w:spacing w:after="0" w:line="73" w:lineRule="exact"/>
        <w:rPr>
          <w:sz w:val="20"/>
          <w:szCs w:val="20"/>
          <w:color w:val="auto"/>
        </w:rPr>
      </w:pPr>
    </w:p>
    <w:p>
      <w:pPr>
        <w:ind w:left="425" w:hanging="425"/>
        <w:spacing w:after="0"/>
        <w:tabs>
          <w:tab w:leader="none" w:pos="425"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FORECAST AND PURCHASE ORDERS</w:t>
      </w:r>
    </w:p>
    <w:p>
      <w:pPr>
        <w:spacing w:after="0" w:line="129"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Long Term Forecast</w:t>
      </w:r>
    </w:p>
    <w:p>
      <w:pPr>
        <w:spacing w:after="0" w:line="120" w:lineRule="exact"/>
        <w:rPr>
          <w:sz w:val="20"/>
          <w:szCs w:val="20"/>
          <w:color w:val="auto"/>
        </w:rPr>
      </w:pPr>
    </w:p>
    <w:p>
      <w:pPr>
        <w:ind w:left="1425" w:right="320"/>
        <w:spacing w:after="0" w:line="275" w:lineRule="auto"/>
        <w:rPr>
          <w:sz w:val="20"/>
          <w:szCs w:val="20"/>
          <w:color w:val="auto"/>
        </w:rPr>
      </w:pPr>
      <w:r>
        <w:rPr>
          <w:rFonts w:ascii="Arial" w:cs="Arial" w:eastAsia="Arial" w:hAnsi="Arial"/>
          <w:sz w:val="18"/>
          <w:szCs w:val="18"/>
          <w:color w:val="auto"/>
        </w:rPr>
        <w:t>[***], Ascendis shall provide NOF with a non-binding written rolling forecast for required volumes of Product for the following [***] period.</w:t>
      </w:r>
    </w:p>
    <w:p>
      <w:pPr>
        <w:spacing w:after="0" w:line="73"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Purchase commitments for PPQ batches and Post PPQ batches</w:t>
      </w:r>
    </w:p>
    <w:p>
      <w:pPr>
        <w:spacing w:after="0" w:line="120" w:lineRule="exact"/>
        <w:rPr>
          <w:sz w:val="20"/>
          <w:szCs w:val="20"/>
          <w:color w:val="auto"/>
        </w:rPr>
      </w:pPr>
    </w:p>
    <w:p>
      <w:pPr>
        <w:ind w:left="1425"/>
        <w:spacing w:after="0"/>
        <w:rPr>
          <w:sz w:val="20"/>
          <w:szCs w:val="20"/>
          <w:color w:val="auto"/>
        </w:rPr>
      </w:pPr>
      <w:r>
        <w:rPr>
          <w:rFonts w:ascii="Arial" w:cs="Arial" w:eastAsia="Arial" w:hAnsi="Arial"/>
          <w:sz w:val="18"/>
          <w:szCs w:val="18"/>
          <w:color w:val="auto"/>
        </w:rPr>
        <w:t>Upon the execution of this Agreement, Ascendis commits to purchasing [***] PPQ batches.</w:t>
      </w:r>
    </w:p>
    <w:p>
      <w:pPr>
        <w:spacing w:after="0" w:line="116" w:lineRule="exact"/>
        <w:rPr>
          <w:sz w:val="20"/>
          <w:szCs w:val="20"/>
          <w:color w:val="auto"/>
        </w:rPr>
      </w:pPr>
    </w:p>
    <w:p>
      <w:pPr>
        <w:ind w:left="1425" w:right="140"/>
        <w:spacing w:after="0" w:line="273" w:lineRule="auto"/>
        <w:rPr>
          <w:sz w:val="20"/>
          <w:szCs w:val="20"/>
          <w:color w:val="auto"/>
        </w:rPr>
      </w:pPr>
      <w:r>
        <w:rPr>
          <w:rFonts w:ascii="Arial" w:cs="Arial" w:eastAsia="Arial" w:hAnsi="Arial"/>
          <w:sz w:val="17"/>
          <w:szCs w:val="17"/>
          <w:color w:val="auto"/>
        </w:rPr>
        <w:t>Provided that Ascendis obtains marketing approval for the Ascendis Product, Ascendis shall for every [***] during the term of this Agreement, commencing with the [***] after the completion of the PPQ, either (i) order at least [***] for delivery in [***] or</w:t>
      </w:r>
    </w:p>
    <w:p>
      <w:pPr>
        <w:ind w:left="985" w:right="4240" w:firstLine="442"/>
        <w:spacing w:after="0" w:line="373" w:lineRule="auto"/>
        <w:tabs>
          <w:tab w:leader="none" w:pos="169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pay to NOF an amount equal to [***] of the price of [***] of Product. 9.3. </w:t>
      </w:r>
      <w:r>
        <w:rPr>
          <w:rFonts w:ascii="Arial" w:cs="Arial" w:eastAsia="Arial" w:hAnsi="Arial"/>
          <w:sz w:val="18"/>
          <w:szCs w:val="18"/>
          <w:b w:val="1"/>
          <w:bCs w:val="1"/>
          <w:color w:val="auto"/>
        </w:rPr>
        <w:t>Rolling [***] forecast</w:t>
      </w:r>
    </w:p>
    <w:p>
      <w:pPr>
        <w:spacing w:after="0" w:line="1" w:lineRule="exact"/>
        <w:rPr>
          <w:sz w:val="20"/>
          <w:szCs w:val="20"/>
          <w:color w:val="auto"/>
        </w:rPr>
      </w:pPr>
    </w:p>
    <w:p>
      <w:pPr>
        <w:ind w:left="1425" w:right="260"/>
        <w:spacing w:after="0" w:line="262" w:lineRule="auto"/>
        <w:rPr>
          <w:sz w:val="20"/>
          <w:szCs w:val="20"/>
          <w:color w:val="auto"/>
        </w:rPr>
      </w:pPr>
      <w:r>
        <w:rPr>
          <w:rFonts w:ascii="Arial" w:cs="Arial" w:eastAsia="Arial" w:hAnsi="Arial"/>
          <w:sz w:val="18"/>
          <w:szCs w:val="18"/>
          <w:color w:val="auto"/>
        </w:rPr>
        <w:t>For purchases following the [***], Ascendis shall, in each of the months of [***], provide NOF with a partially binding rolling forecast showing Ascendis’ expected requirements for Product ([***]) to be delivered under this Agreement during the following [***].</w:t>
      </w:r>
    </w:p>
    <w:p>
      <w:pPr>
        <w:spacing w:after="0" w:line="116"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5"/>
          </w:cols>
          <w:pgMar w:left="455" w:top="273" w:right="479" w:bottom="1440" w:gutter="0" w:footer="0" w:header="0"/>
        </w:sectPr>
      </w:pPr>
    </w:p>
    <w:bookmarkStart w:id="284" w:name="page285"/>
    <w:bookmarkEnd w:id="284"/>
    <w:p>
      <w:pPr>
        <w:ind w:left="1425" w:right="10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Until [***] the Ascendis Product, the forecast for [***] will be considered fully binding on the Parties, i.e. NOF commits to deliver and Ascendis commits to purchase the forecasted quantity. The forecast for [***] may not deviate from the previous forecast by more than [***]. The forecast for [***] may be adjusted as Ascendis sees fit.</w:t>
      </w:r>
    </w:p>
    <w:p>
      <w:pPr>
        <w:spacing w:after="0" w:line="75" w:lineRule="exact"/>
        <w:rPr>
          <w:sz w:val="20"/>
          <w:szCs w:val="20"/>
          <w:color w:val="auto"/>
        </w:rPr>
      </w:pPr>
    </w:p>
    <w:p>
      <w:pPr>
        <w:ind w:left="1425" w:right="40"/>
        <w:spacing w:after="0" w:line="262" w:lineRule="auto"/>
        <w:rPr>
          <w:sz w:val="20"/>
          <w:szCs w:val="20"/>
          <w:color w:val="auto"/>
        </w:rPr>
      </w:pPr>
      <w:r>
        <w:rPr>
          <w:rFonts w:ascii="Arial" w:cs="Arial" w:eastAsia="Arial" w:hAnsi="Arial"/>
          <w:sz w:val="18"/>
          <w:szCs w:val="18"/>
          <w:color w:val="auto"/>
        </w:rPr>
        <w:t>From the [***] the Ascendis Product, the forecast for [***] will be considered fully binding on the Parties, i.e. NOF commits to deliver and Ascendis commits to purchase the forecasted quantity. The forecast for [***] may not deviate from the previous forecast by more than [***]. The forecast for [***] may be adjusted as Ascendis sees fit.</w:t>
      </w:r>
    </w:p>
    <w:p>
      <w:pPr>
        <w:spacing w:after="0" w:line="75" w:lineRule="exact"/>
        <w:rPr>
          <w:sz w:val="20"/>
          <w:szCs w:val="20"/>
          <w:color w:val="auto"/>
        </w:rPr>
      </w:pPr>
    </w:p>
    <w:p>
      <w:pPr>
        <w:ind w:left="1425"/>
        <w:spacing w:after="0"/>
        <w:rPr>
          <w:sz w:val="20"/>
          <w:szCs w:val="20"/>
          <w:color w:val="auto"/>
        </w:rPr>
      </w:pPr>
      <w:r>
        <w:rPr>
          <w:rFonts w:ascii="Arial" w:cs="Arial" w:eastAsia="Arial" w:hAnsi="Arial"/>
          <w:sz w:val="18"/>
          <w:szCs w:val="18"/>
          <w:color w:val="auto"/>
        </w:rPr>
        <w:t>If Ascendis fails to purchase the volume of Product provided in such binding forecast, then [***].</w:t>
      </w:r>
    </w:p>
    <w:p>
      <w:pPr>
        <w:spacing w:after="0" w:line="125"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b w:val="1"/>
          <w:bCs w:val="1"/>
          <w:color w:val="auto"/>
        </w:rPr>
        <w:t>[***] of Intermediates</w:t>
      </w:r>
    </w:p>
    <w:p>
      <w:pPr>
        <w:spacing w:after="0" w:line="120" w:lineRule="exact"/>
        <w:rPr>
          <w:sz w:val="20"/>
          <w:szCs w:val="20"/>
          <w:color w:val="auto"/>
        </w:rPr>
      </w:pPr>
    </w:p>
    <w:p>
      <w:pPr>
        <w:ind w:left="1425" w:right="280"/>
        <w:spacing w:after="0" w:line="275" w:lineRule="auto"/>
        <w:rPr>
          <w:sz w:val="20"/>
          <w:szCs w:val="20"/>
          <w:color w:val="auto"/>
        </w:rPr>
      </w:pPr>
      <w:r>
        <w:rPr>
          <w:rFonts w:ascii="Arial" w:cs="Arial" w:eastAsia="Arial" w:hAnsi="Arial"/>
          <w:sz w:val="18"/>
          <w:szCs w:val="18"/>
          <w:color w:val="auto"/>
        </w:rPr>
        <w:t>NOF shall at all times [***] of [***]. If, at any time, [***] of [***] should expire, e.g. due to cancellations of orders for Product, Ascendis shall purchase such expired volumes of [***], at a price corresponding to the price of [***].</w:t>
      </w:r>
    </w:p>
    <w:p>
      <w:pPr>
        <w:spacing w:after="0" w:line="73" w:lineRule="exact"/>
        <w:rPr>
          <w:sz w:val="20"/>
          <w:szCs w:val="20"/>
          <w:color w:val="auto"/>
        </w:rPr>
      </w:pPr>
    </w:p>
    <w:p>
      <w:pPr>
        <w:ind w:left="985"/>
        <w:spacing w:after="0"/>
        <w:tabs>
          <w:tab w:leader="none" w:pos="1384"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Purchase Orders</w:t>
      </w:r>
    </w:p>
    <w:p>
      <w:pPr>
        <w:spacing w:after="0" w:line="120" w:lineRule="exact"/>
        <w:rPr>
          <w:sz w:val="20"/>
          <w:szCs w:val="20"/>
          <w:color w:val="auto"/>
        </w:rPr>
      </w:pPr>
    </w:p>
    <w:p>
      <w:pPr>
        <w:ind w:left="1425"/>
        <w:spacing w:after="0" w:line="274" w:lineRule="auto"/>
        <w:rPr>
          <w:sz w:val="20"/>
          <w:szCs w:val="20"/>
          <w:color w:val="auto"/>
        </w:rPr>
      </w:pPr>
      <w:r>
        <w:rPr>
          <w:rFonts w:ascii="Arial" w:cs="Arial" w:eastAsia="Arial" w:hAnsi="Arial"/>
          <w:sz w:val="17"/>
          <w:szCs w:val="17"/>
          <w:color w:val="auto"/>
        </w:rPr>
        <w:t>Ascendis shall from time to time place Purchase Orders with NOF on the terms agreed herein. A Purchase Order shall [***]. Ascendis may also place Purchase Orders for quantities beyond the binding forecast, and NOF shall use [***] to deliver such additional quantities, but shall not be obliged to do so unless NOF confirms the full Purchase Order. Ascendis shall on each Purchase Order specify the required Delivery Date which shall be no earlier than [***] from submission of each Purchase Order. NOF shall confirm such Purchase Order(s) in writing no later than [***] upon receipt of said Purchase Orders [***].</w:t>
      </w:r>
    </w:p>
    <w:p>
      <w:pPr>
        <w:spacing w:after="0" w:line="77" w:lineRule="exact"/>
        <w:rPr>
          <w:sz w:val="20"/>
          <w:szCs w:val="20"/>
          <w:color w:val="auto"/>
        </w:rPr>
      </w:pPr>
    </w:p>
    <w:p>
      <w:pPr>
        <w:ind w:left="425" w:hanging="425"/>
        <w:spacing w:after="0"/>
        <w:tabs>
          <w:tab w:leader="none" w:pos="425"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RELEASE</w:t>
      </w:r>
    </w:p>
    <w:p>
      <w:pPr>
        <w:spacing w:after="0" w:line="133" w:lineRule="exact"/>
        <w:rPr>
          <w:sz w:val="20"/>
          <w:szCs w:val="20"/>
          <w:color w:val="auto"/>
        </w:rPr>
      </w:pPr>
    </w:p>
    <w:p>
      <w:pPr>
        <w:ind w:left="1405" w:hanging="430"/>
        <w:spacing w:after="0" w:line="262" w:lineRule="auto"/>
        <w:rPr>
          <w:sz w:val="20"/>
          <w:szCs w:val="20"/>
          <w:color w:val="auto"/>
        </w:rPr>
      </w:pPr>
      <w:r>
        <w:rPr>
          <w:rFonts w:ascii="Arial" w:cs="Arial" w:eastAsia="Arial" w:hAnsi="Arial"/>
          <w:sz w:val="18"/>
          <w:szCs w:val="18"/>
          <w:color w:val="auto"/>
        </w:rPr>
        <w:t>10.1. NOF shall deliver Product ordered under Article 8 in the quantities agreed and under the common understanding by the Parties that it is of the essence to Ascendis that NOF observes Delivery Dates and that Product delivered under this Agreement is in accordance with the Specifications and the Quality Agreement.</w:t>
      </w:r>
    </w:p>
    <w:p>
      <w:pPr>
        <w:spacing w:after="0" w:line="89" w:lineRule="exact"/>
        <w:rPr>
          <w:sz w:val="20"/>
          <w:szCs w:val="20"/>
          <w:color w:val="auto"/>
        </w:rPr>
      </w:pPr>
    </w:p>
    <w:p>
      <w:pPr>
        <w:ind w:left="1405" w:right="300" w:hanging="430"/>
        <w:spacing w:after="0" w:line="275" w:lineRule="auto"/>
        <w:rPr>
          <w:sz w:val="20"/>
          <w:szCs w:val="20"/>
          <w:color w:val="auto"/>
        </w:rPr>
      </w:pPr>
      <w:r>
        <w:rPr>
          <w:rFonts w:ascii="Arial" w:cs="Arial" w:eastAsia="Arial" w:hAnsi="Arial"/>
          <w:sz w:val="18"/>
          <w:szCs w:val="18"/>
          <w:color w:val="auto"/>
        </w:rPr>
        <w:t>10.2. Delivery of a quantity of Product within [***] of the ordered quantity shall be deemed acceptable, and Ascendis shall pay for the delivered quantity.</w:t>
      </w:r>
    </w:p>
    <w:p>
      <w:pPr>
        <w:spacing w:after="0" w:line="77" w:lineRule="exact"/>
        <w:rPr>
          <w:sz w:val="20"/>
          <w:szCs w:val="20"/>
          <w:color w:val="auto"/>
        </w:rPr>
      </w:pPr>
    </w:p>
    <w:p>
      <w:pPr>
        <w:ind w:left="1405" w:right="20" w:hanging="430"/>
        <w:spacing w:after="0" w:line="275" w:lineRule="auto"/>
        <w:rPr>
          <w:sz w:val="20"/>
          <w:szCs w:val="20"/>
          <w:color w:val="auto"/>
        </w:rPr>
      </w:pPr>
      <w:r>
        <w:rPr>
          <w:rFonts w:ascii="Arial" w:cs="Arial" w:eastAsia="Arial" w:hAnsi="Arial"/>
          <w:sz w:val="18"/>
          <w:szCs w:val="18"/>
          <w:color w:val="auto"/>
        </w:rPr>
        <w:t>10.3. NOF bears the responsibility towards Ascendis that any required conditions for storage and transportation of the Product as specified in the Quality Agreement are fulfilled until Delivery thereof to Ascendis or its designee.</w:t>
      </w:r>
    </w:p>
    <w:p>
      <w:pPr>
        <w:spacing w:after="0" w:line="77" w:lineRule="exact"/>
        <w:rPr>
          <w:sz w:val="20"/>
          <w:szCs w:val="20"/>
          <w:color w:val="auto"/>
        </w:rPr>
      </w:pPr>
    </w:p>
    <w:p>
      <w:pPr>
        <w:ind w:left="1405" w:right="920" w:hanging="430"/>
        <w:spacing w:after="0" w:line="275" w:lineRule="auto"/>
        <w:rPr>
          <w:sz w:val="20"/>
          <w:szCs w:val="20"/>
          <w:color w:val="auto"/>
        </w:rPr>
      </w:pPr>
      <w:r>
        <w:rPr>
          <w:rFonts w:ascii="Arial" w:cs="Arial" w:eastAsia="Arial" w:hAnsi="Arial"/>
          <w:sz w:val="18"/>
          <w:szCs w:val="18"/>
          <w:color w:val="auto"/>
        </w:rPr>
        <w:t>10.4. Product shall be delivered to Ascendis or its designee [***] according to Incoterms 2010, packed in accordance with the requirements set out in the Quality Agreement, at either the address of</w:t>
      </w:r>
    </w:p>
    <w:p>
      <w:pPr>
        <w:spacing w:after="0" w:line="77" w:lineRule="exact"/>
        <w:rPr>
          <w:sz w:val="20"/>
          <w:szCs w:val="20"/>
          <w:color w:val="auto"/>
        </w:rPr>
      </w:pPr>
    </w:p>
    <w:p>
      <w:pPr>
        <w:ind w:left="2405" w:hanging="441"/>
        <w:spacing w:after="0"/>
        <w:tabs>
          <w:tab w:leader="none" w:pos="240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or</w:t>
      </w:r>
    </w:p>
    <w:p>
      <w:pPr>
        <w:spacing w:after="0" w:line="15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5"/>
          </w:cols>
          <w:pgMar w:left="455" w:top="273" w:right="479" w:bottom="1440" w:gutter="0" w:footer="0" w:header="0"/>
        </w:sectPr>
      </w:pPr>
    </w:p>
    <w:bookmarkStart w:id="285" w:name="page286"/>
    <w:bookmarkEnd w:id="285"/>
    <w:p>
      <w:pPr>
        <w:ind w:left="2405" w:hanging="441"/>
        <w:spacing w:after="0"/>
        <w:tabs>
          <w:tab w:leader="none" w:pos="24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or</w:t>
      </w:r>
    </w:p>
    <w:p>
      <w:pPr>
        <w:spacing w:after="0" w:line="129" w:lineRule="exact"/>
        <w:rPr>
          <w:rFonts w:ascii="Arial" w:cs="Arial" w:eastAsia="Arial" w:hAnsi="Arial"/>
          <w:sz w:val="18"/>
          <w:szCs w:val="18"/>
          <w:color w:val="auto"/>
        </w:rPr>
      </w:pPr>
    </w:p>
    <w:p>
      <w:pPr>
        <w:ind w:left="2405" w:hanging="441"/>
        <w:spacing w:after="0"/>
        <w:tabs>
          <w:tab w:leader="none" w:pos="24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such other address as Ascendis may specify in writing</w:t>
      </w:r>
    </w:p>
    <w:p>
      <w:pPr>
        <w:spacing w:after="0" w:line="129" w:lineRule="exact"/>
        <w:rPr>
          <w:sz w:val="20"/>
          <w:szCs w:val="20"/>
          <w:color w:val="auto"/>
        </w:rPr>
      </w:pPr>
    </w:p>
    <w:p>
      <w:pPr>
        <w:ind w:left="1405" w:hanging="430"/>
        <w:spacing w:after="0" w:line="258" w:lineRule="auto"/>
        <w:rPr>
          <w:sz w:val="20"/>
          <w:szCs w:val="20"/>
          <w:color w:val="auto"/>
        </w:rPr>
      </w:pPr>
      <w:r>
        <w:rPr>
          <w:rFonts w:ascii="Arial" w:cs="Arial" w:eastAsia="Arial" w:hAnsi="Arial"/>
          <w:sz w:val="18"/>
          <w:szCs w:val="18"/>
          <w:color w:val="auto"/>
        </w:rPr>
        <w:t>10.5. NOF shall no later than [***] prior to the confirmed Delivery Date forward the Release Documentation for Ascendis to review. Following receipt of the Release Documentation, Final Release shall be performed by Ascendis’ Qualified Person, such Final Release not to be unreasonably withheld. Delivery is subject to Final Release except in the event that Ascendis requests for shipment in Quarantine (as defined in the Quality Agreement).</w:t>
      </w:r>
    </w:p>
    <w:p>
      <w:pPr>
        <w:spacing w:after="0" w:line="92" w:lineRule="exact"/>
        <w:rPr>
          <w:sz w:val="20"/>
          <w:szCs w:val="20"/>
          <w:color w:val="auto"/>
        </w:rPr>
      </w:pPr>
    </w:p>
    <w:p>
      <w:pPr>
        <w:ind w:left="1405" w:right="340" w:hanging="430"/>
        <w:spacing w:after="0" w:line="275" w:lineRule="auto"/>
        <w:rPr>
          <w:sz w:val="20"/>
          <w:szCs w:val="20"/>
          <w:color w:val="auto"/>
        </w:rPr>
      </w:pPr>
      <w:r>
        <w:rPr>
          <w:rFonts w:ascii="Arial" w:cs="Arial" w:eastAsia="Arial" w:hAnsi="Arial"/>
          <w:sz w:val="18"/>
          <w:szCs w:val="18"/>
          <w:color w:val="auto"/>
        </w:rPr>
        <w:t>10.6. NOF shall deliver on the confirmed Delivery Date as set forth in Article 9.5, or no later than [***] after receiving notification of Final Release, whichever is later.</w:t>
      </w:r>
    </w:p>
    <w:p>
      <w:pPr>
        <w:spacing w:after="0" w:line="77" w:lineRule="exact"/>
        <w:rPr>
          <w:sz w:val="20"/>
          <w:szCs w:val="20"/>
          <w:color w:val="auto"/>
        </w:rPr>
      </w:pPr>
    </w:p>
    <w:p>
      <w:pPr>
        <w:ind w:left="1405" w:right="120" w:hanging="430"/>
        <w:spacing w:after="0" w:line="262" w:lineRule="auto"/>
        <w:rPr>
          <w:sz w:val="20"/>
          <w:szCs w:val="20"/>
          <w:color w:val="auto"/>
        </w:rPr>
      </w:pPr>
      <w:r>
        <w:rPr>
          <w:rFonts w:ascii="Arial" w:cs="Arial" w:eastAsia="Arial" w:hAnsi="Arial"/>
          <w:sz w:val="18"/>
          <w:szCs w:val="18"/>
          <w:color w:val="auto"/>
        </w:rPr>
        <w:t>10.7. Any delay in delivery of the Product and/or Release Documentation shall be notified to Ascendis no later than [***] after the delay has become apparent to NOF, including a description of the cause. NOF shall [***] solve the issues and shall confirm a new Delivery Date to Ascendis as soon as possible.</w:t>
      </w:r>
    </w:p>
    <w:p>
      <w:pPr>
        <w:spacing w:after="0" w:line="89" w:lineRule="exact"/>
        <w:rPr>
          <w:sz w:val="20"/>
          <w:szCs w:val="20"/>
          <w:color w:val="auto"/>
        </w:rPr>
      </w:pPr>
    </w:p>
    <w:p>
      <w:pPr>
        <w:ind w:left="1405" w:hanging="430"/>
        <w:spacing w:after="0" w:line="258" w:lineRule="auto"/>
        <w:rPr>
          <w:sz w:val="20"/>
          <w:szCs w:val="20"/>
          <w:color w:val="auto"/>
        </w:rPr>
      </w:pPr>
      <w:r>
        <w:rPr>
          <w:rFonts w:ascii="Arial" w:cs="Arial" w:eastAsia="Arial" w:hAnsi="Arial"/>
          <w:sz w:val="18"/>
          <w:szCs w:val="18"/>
          <w:color w:val="auto"/>
        </w:rPr>
        <w:t>10.8. If Ascendis finds that the Release Documentation does not comply with the Specifications or with any other requirement under this Agreement, Ascendis shall notify NOF in writing of Ascendis’ observations with respect to the non-compliance without undue delay after receipt of such documentation, provided that failure by Ascendis to do so shall not imply any loss of rights or remedy for Ascendis under this Agreement or at law.</w:t>
      </w:r>
    </w:p>
    <w:p>
      <w:pPr>
        <w:spacing w:after="0" w:line="88" w:lineRule="exact"/>
        <w:rPr>
          <w:sz w:val="20"/>
          <w:szCs w:val="20"/>
          <w:color w:val="auto"/>
        </w:rPr>
      </w:pPr>
    </w:p>
    <w:p>
      <w:pPr>
        <w:ind w:left="425" w:hanging="425"/>
        <w:spacing w:after="0"/>
        <w:tabs>
          <w:tab w:leader="none" w:pos="425"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STORAGE</w:t>
      </w:r>
    </w:p>
    <w:p>
      <w:pPr>
        <w:spacing w:after="0" w:line="133" w:lineRule="exact"/>
        <w:rPr>
          <w:sz w:val="20"/>
          <w:szCs w:val="20"/>
          <w:color w:val="auto"/>
        </w:rPr>
      </w:pPr>
    </w:p>
    <w:p>
      <w:pPr>
        <w:ind w:left="1405" w:right="400" w:hanging="430"/>
        <w:spacing w:after="0" w:line="275" w:lineRule="auto"/>
        <w:rPr>
          <w:sz w:val="20"/>
          <w:szCs w:val="20"/>
          <w:color w:val="auto"/>
        </w:rPr>
      </w:pPr>
      <w:r>
        <w:rPr>
          <w:rFonts w:ascii="Arial" w:cs="Arial" w:eastAsia="Arial" w:hAnsi="Arial"/>
          <w:sz w:val="18"/>
          <w:szCs w:val="18"/>
          <w:color w:val="auto"/>
        </w:rPr>
        <w:t>11.1. Storage by NOF of Product shall be carried out under fail-safe conditions, including but not limited to alarm, emergency power supply, etc.</w:t>
      </w:r>
    </w:p>
    <w:p>
      <w:pPr>
        <w:spacing w:after="0" w:line="77" w:lineRule="exact"/>
        <w:rPr>
          <w:sz w:val="20"/>
          <w:szCs w:val="20"/>
          <w:color w:val="auto"/>
        </w:rPr>
      </w:pPr>
    </w:p>
    <w:p>
      <w:pPr>
        <w:ind w:left="1405" w:right="260" w:hanging="430"/>
        <w:spacing w:after="0" w:line="275" w:lineRule="auto"/>
        <w:rPr>
          <w:sz w:val="20"/>
          <w:szCs w:val="20"/>
          <w:color w:val="auto"/>
        </w:rPr>
      </w:pPr>
      <w:r>
        <w:rPr>
          <w:rFonts w:ascii="Arial" w:cs="Arial" w:eastAsia="Arial" w:hAnsi="Arial"/>
          <w:sz w:val="18"/>
          <w:szCs w:val="18"/>
          <w:color w:val="auto"/>
        </w:rPr>
        <w:t>11.2. NOF shall, upon Ascendis’ written request, store released Product in quantities up to [***] for up to [***] following the Delivery Date. [***].</w:t>
      </w:r>
    </w:p>
    <w:p>
      <w:pPr>
        <w:spacing w:after="0" w:line="73" w:lineRule="exact"/>
        <w:rPr>
          <w:sz w:val="20"/>
          <w:szCs w:val="20"/>
          <w:color w:val="auto"/>
        </w:rPr>
      </w:pPr>
    </w:p>
    <w:p>
      <w:pPr>
        <w:ind w:left="425" w:hanging="425"/>
        <w:spacing w:after="0"/>
        <w:tabs>
          <w:tab w:leader="none" w:pos="425"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AND PAYMENT TERMS</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12.1. Ascendis will pay to NOF the Purchase Price for Product. The Purchase Price for Product is listed in Appendix 2.</w:t>
      </w:r>
    </w:p>
    <w:p>
      <w:pPr>
        <w:spacing w:after="0" w:line="129" w:lineRule="exact"/>
        <w:rPr>
          <w:sz w:val="20"/>
          <w:szCs w:val="20"/>
          <w:color w:val="auto"/>
        </w:rPr>
      </w:pPr>
    </w:p>
    <w:p>
      <w:pPr>
        <w:ind w:left="1405" w:right="380" w:hanging="430"/>
        <w:spacing w:after="0" w:line="275" w:lineRule="auto"/>
        <w:rPr>
          <w:sz w:val="20"/>
          <w:szCs w:val="20"/>
          <w:color w:val="auto"/>
        </w:rPr>
      </w:pPr>
      <w:r>
        <w:rPr>
          <w:rFonts w:ascii="Arial" w:cs="Arial" w:eastAsia="Arial" w:hAnsi="Arial"/>
          <w:sz w:val="18"/>
          <w:szCs w:val="18"/>
          <w:color w:val="auto"/>
        </w:rPr>
        <w:t>12.2. The agreed Purchase Price for Product is based on [***] and [***]. The Parties shall discuss in good faith whether the Purchase Price shall be adjusted if [***].</w:t>
      </w:r>
    </w:p>
    <w:p>
      <w:pPr>
        <w:spacing w:after="0" w:line="10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5"/>
          </w:cols>
          <w:pgMar w:left="455" w:top="273" w:right="499" w:bottom="1440" w:gutter="0" w:footer="0" w:header="0"/>
        </w:sectPr>
      </w:pPr>
    </w:p>
    <w:bookmarkStart w:id="286" w:name="page287"/>
    <w:bookmarkEnd w:id="286"/>
    <w:p>
      <w:pPr>
        <w:ind w:left="1405" w:hanging="43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12.3. NOF’s price for the Services [***]. If NOF is obligated by law to charge any value added and/or similar tax to Ascendis, NOF shall ensure that if such value-added and/or similar tax is applicable, that it is invoiced to Ascendis in accordance with applicable rules so as to allow Ascendis to reclaim such value-added and/or similar tax from the appropriate government authority. Neither Party is responsible for taxes on the other Party’s income or the income of the other Party’s personnel or subcontractors. If Ascendis is required by government regulation to withhold taxes for which NOF is responsible, Ascendis will deduct such withholding tax from payment to NOF and Ascendis will provide to NOF a valid tax receipt in NOF’s name. If NOF is exempt from such withholding taxes as a result of a tax treaty or other regime, NOF shall provide to Ascendis a valid tax treaty residency certificate or other tax exemption certificate at a minimum of [***] prior to payment being due. Without prejudice to any existing remedy NOF may have at law or contract, if Ascendis fails to pay on the due date any undisputed amount which is payable to NOF hereunder, then NOF may charge Ascendis a late payment fee not to exceed [***] on any unpaid amounts each [***] (or part thereof) such payment is late or the highest interest rate permissible under applicable law, whichever is lower.</w:t>
      </w:r>
    </w:p>
    <w:p>
      <w:pPr>
        <w:spacing w:after="0" w:line="77"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12.4. NOF shall invoice Ascendis for Product [***] or [***], whichever event comes first.</w:t>
      </w:r>
    </w:p>
    <w:p>
      <w:pPr>
        <w:spacing w:after="0" w:line="12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12.5. [***].</w:t>
      </w:r>
    </w:p>
    <w:p>
      <w:pPr>
        <w:spacing w:after="0" w:line="129" w:lineRule="exact"/>
        <w:rPr>
          <w:sz w:val="20"/>
          <w:szCs w:val="20"/>
          <w:color w:val="auto"/>
        </w:rPr>
      </w:pPr>
    </w:p>
    <w:p>
      <w:pPr>
        <w:ind w:left="1405" w:right="200" w:hanging="430"/>
        <w:spacing w:after="0" w:line="275" w:lineRule="auto"/>
        <w:rPr>
          <w:sz w:val="20"/>
          <w:szCs w:val="20"/>
          <w:color w:val="auto"/>
        </w:rPr>
      </w:pPr>
      <w:r>
        <w:rPr>
          <w:rFonts w:ascii="Arial" w:cs="Arial" w:eastAsia="Arial" w:hAnsi="Arial"/>
          <w:sz w:val="18"/>
          <w:szCs w:val="18"/>
          <w:color w:val="auto"/>
        </w:rPr>
        <w:t>12.6. Payments by Ascendis will be made in [***] after receipt of invoice by Ascendis, [***]. Any invoices covered by credit insurance obtained by Ascendis will be payable [***].</w:t>
      </w:r>
    </w:p>
    <w:p>
      <w:pPr>
        <w:spacing w:after="0" w:line="73" w:lineRule="exact"/>
        <w:rPr>
          <w:sz w:val="20"/>
          <w:szCs w:val="20"/>
          <w:color w:val="auto"/>
        </w:rPr>
      </w:pPr>
    </w:p>
    <w:p>
      <w:pPr>
        <w:ind w:left="425" w:hanging="425"/>
        <w:spacing w:after="0"/>
        <w:tabs>
          <w:tab w:leader="none" w:pos="425"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NON-COMPLIANCE</w:t>
      </w:r>
    </w:p>
    <w:p>
      <w:pPr>
        <w:spacing w:after="0" w:line="133" w:lineRule="exact"/>
        <w:rPr>
          <w:sz w:val="20"/>
          <w:szCs w:val="20"/>
          <w:color w:val="auto"/>
        </w:rPr>
      </w:pPr>
    </w:p>
    <w:p>
      <w:pPr>
        <w:ind w:left="1405" w:right="20" w:hanging="430"/>
        <w:spacing w:after="0" w:line="256" w:lineRule="auto"/>
        <w:rPr>
          <w:sz w:val="20"/>
          <w:szCs w:val="20"/>
          <w:color w:val="auto"/>
        </w:rPr>
      </w:pPr>
      <w:r>
        <w:rPr>
          <w:rFonts w:ascii="Arial" w:cs="Arial" w:eastAsia="Arial" w:hAnsi="Arial"/>
          <w:sz w:val="18"/>
          <w:szCs w:val="18"/>
          <w:color w:val="auto"/>
        </w:rPr>
        <w:t>13.1. If upon review of the Release Documentation or up to [***] after Delivery, Ascendis finds that Product does not conform to the terms and conditions of this Agreement, including, without limitation, the Specifications and/or Quality Agreement and/or cGMP, Ascendis shall without undue delay notify NOF hereof in writing, stating Ascendis’ observations with respect to the non-compliance. For latent defects (as defined in the Quality Agreement), Ascendis shall notify NOF within a time limit as set out in the Quality Agreement.</w:t>
      </w:r>
    </w:p>
    <w:p>
      <w:pPr>
        <w:spacing w:after="0" w:line="93" w:lineRule="exact"/>
        <w:rPr>
          <w:sz w:val="20"/>
          <w:szCs w:val="20"/>
          <w:color w:val="auto"/>
        </w:rPr>
      </w:pPr>
    </w:p>
    <w:p>
      <w:pPr>
        <w:ind w:left="1405" w:right="60" w:hanging="430"/>
        <w:spacing w:after="0" w:line="262" w:lineRule="auto"/>
        <w:rPr>
          <w:sz w:val="20"/>
          <w:szCs w:val="20"/>
          <w:color w:val="auto"/>
        </w:rPr>
      </w:pPr>
      <w:r>
        <w:rPr>
          <w:rFonts w:ascii="Arial" w:cs="Arial" w:eastAsia="Arial" w:hAnsi="Arial"/>
          <w:sz w:val="18"/>
          <w:szCs w:val="18"/>
          <w:color w:val="auto"/>
        </w:rPr>
        <w:t>13.2. NOF shall within [***] calculated from the day on which such written notification or complaint has been received by NOF, inform Ascendis whether NOF agrees or not to the notification or complaint filed. If such response is not given within the above-mentioned [***] it is understood that NOF agrees to said notification or complaint.</w:t>
      </w:r>
    </w:p>
    <w:p>
      <w:pPr>
        <w:spacing w:after="0" w:line="89" w:lineRule="exact"/>
        <w:rPr>
          <w:sz w:val="20"/>
          <w:szCs w:val="20"/>
          <w:color w:val="auto"/>
        </w:rPr>
      </w:pPr>
    </w:p>
    <w:p>
      <w:pPr>
        <w:ind w:left="1405" w:right="280" w:hanging="430"/>
        <w:spacing w:after="0" w:line="262" w:lineRule="auto"/>
        <w:rPr>
          <w:sz w:val="20"/>
          <w:szCs w:val="20"/>
          <w:color w:val="auto"/>
        </w:rPr>
      </w:pPr>
      <w:r>
        <w:rPr>
          <w:rFonts w:ascii="Arial" w:cs="Arial" w:eastAsia="Arial" w:hAnsi="Arial"/>
          <w:sz w:val="18"/>
          <w:szCs w:val="18"/>
          <w:color w:val="auto"/>
        </w:rPr>
        <w:t>13.3. In the event of a dispute as to the acceptance of a batch of Product, the Parties agree to seek an amicable settlement by way of discussions between quality assurance representatives from either Party. If the dispute is not resolved amicably within [***] from Ascendis’ notice mentioned in Article 13.1, the issue may be referred to [***].</w:t>
      </w:r>
    </w:p>
    <w:p>
      <w:pPr>
        <w:spacing w:after="0" w:line="11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5"/>
          </w:cols>
          <w:pgMar w:left="455" w:top="273" w:right="479" w:bottom="1440" w:gutter="0" w:footer="0" w:header="0"/>
        </w:sectPr>
      </w:pPr>
    </w:p>
    <w:bookmarkStart w:id="287" w:name="page288"/>
    <w:bookmarkEnd w:id="287"/>
    <w:p>
      <w:pPr>
        <w:ind w:left="1405" w:right="20" w:hanging="43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13.4. If the Parties agree or it is otherwise concluded that Product does not conform with this Agreement, NOF shall, [***]. If the defect is detected after shipment from NOF, NOF shall [***].</w:t>
      </w:r>
    </w:p>
    <w:p>
      <w:pPr>
        <w:spacing w:after="0" w:line="73" w:lineRule="exact"/>
        <w:rPr>
          <w:sz w:val="20"/>
          <w:szCs w:val="20"/>
          <w:color w:val="auto"/>
        </w:rPr>
      </w:pPr>
    </w:p>
    <w:p>
      <w:pPr>
        <w:ind w:left="425" w:hanging="425"/>
        <w:spacing w:after="0"/>
        <w:tabs>
          <w:tab w:leader="none" w:pos="425"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RECALL</w:t>
      </w:r>
    </w:p>
    <w:p>
      <w:pPr>
        <w:spacing w:after="0" w:line="133" w:lineRule="exact"/>
        <w:rPr>
          <w:sz w:val="20"/>
          <w:szCs w:val="20"/>
          <w:color w:val="auto"/>
        </w:rPr>
      </w:pPr>
    </w:p>
    <w:p>
      <w:pPr>
        <w:ind w:left="1405" w:hanging="430"/>
        <w:spacing w:after="0" w:line="275" w:lineRule="auto"/>
        <w:rPr>
          <w:sz w:val="20"/>
          <w:szCs w:val="20"/>
          <w:color w:val="auto"/>
        </w:rPr>
      </w:pPr>
      <w:r>
        <w:rPr>
          <w:rFonts w:ascii="Arial" w:cs="Arial" w:eastAsia="Arial" w:hAnsi="Arial"/>
          <w:sz w:val="18"/>
          <w:szCs w:val="18"/>
          <w:color w:val="auto"/>
        </w:rPr>
        <w:t>14.1. [***] shall [***] whether and under what circumstances to require the recall of batches of Product. [***]. In the event that a recall of a batch from a clinical trial or from sale is necessary [***], provided however [***].</w:t>
      </w:r>
    </w:p>
    <w:p>
      <w:pPr>
        <w:spacing w:after="0" w:line="73" w:lineRule="exact"/>
        <w:rPr>
          <w:sz w:val="20"/>
          <w:szCs w:val="20"/>
          <w:color w:val="auto"/>
        </w:rPr>
      </w:pPr>
    </w:p>
    <w:p>
      <w:pPr>
        <w:ind w:left="425" w:hanging="425"/>
        <w:spacing w:after="0"/>
        <w:tabs>
          <w:tab w:leader="none" w:pos="425"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AND SUPPORT</w:t>
      </w:r>
    </w:p>
    <w:p>
      <w:pPr>
        <w:spacing w:after="0" w:line="133" w:lineRule="exact"/>
        <w:rPr>
          <w:sz w:val="20"/>
          <w:szCs w:val="20"/>
          <w:color w:val="auto"/>
        </w:rPr>
      </w:pPr>
    </w:p>
    <w:p>
      <w:pPr>
        <w:ind w:left="1405" w:right="20" w:hanging="430"/>
        <w:spacing w:after="0" w:line="254" w:lineRule="auto"/>
        <w:rPr>
          <w:sz w:val="20"/>
          <w:szCs w:val="20"/>
          <w:color w:val="auto"/>
        </w:rPr>
      </w:pPr>
      <w:r>
        <w:rPr>
          <w:rFonts w:ascii="Arial" w:cs="Arial" w:eastAsia="Arial" w:hAnsi="Arial"/>
          <w:sz w:val="18"/>
          <w:szCs w:val="18"/>
          <w:color w:val="auto"/>
        </w:rPr>
        <w:t>15.1 NOF is obligated to support regulatory requirements and requests of EU (including UK), USA and JP. For the avoidance of doubt, such support includes necessary review of regulatory files. Health Authority Requirements are in this context defined as direct legal requirements imposed on Ascendis where non-compliance results in loss of license to operate or financial penalties due to non-compliance in the respective region. Health Authority Requests are defined as enquiries from Health Authorities with relation to regulatory submissions (including but not limited to marketing authorization applications, clinical trial applications, line extensions, variations and safety requests).</w:t>
      </w:r>
    </w:p>
    <w:p>
      <w:pPr>
        <w:spacing w:after="0" w:line="98" w:lineRule="exact"/>
        <w:rPr>
          <w:sz w:val="20"/>
          <w:szCs w:val="20"/>
          <w:color w:val="auto"/>
        </w:rPr>
      </w:pPr>
    </w:p>
    <w:p>
      <w:pPr>
        <w:ind w:left="1405" w:right="80" w:hanging="430"/>
        <w:spacing w:after="0" w:line="253" w:lineRule="auto"/>
        <w:rPr>
          <w:sz w:val="20"/>
          <w:szCs w:val="20"/>
          <w:color w:val="auto"/>
        </w:rPr>
      </w:pPr>
      <w:r>
        <w:rPr>
          <w:rFonts w:ascii="Arial" w:cs="Arial" w:eastAsia="Arial" w:hAnsi="Arial"/>
          <w:sz w:val="18"/>
          <w:szCs w:val="18"/>
          <w:color w:val="auto"/>
        </w:rPr>
        <w:t>15.2. NOF shall use its best efforts to deliver solely to the respective Health Authority any information/data which are required to support Health Authority Requests. For any Health Authority, NOF shall not be obliged to submit batch records from any manufacturing process. If any Health Authority should require batch records from a manufacturing process, the Parties shall discuss in good faith how to resolve this. [***]. If an Excluded-Health-Authority Requirement or Request would necessitate submission of the detailed information relating to manufacturing processes, the Parties shall discuss in good faith how to resolve this. If the Parties cannot resolve if and how NOF shall disclose batch records from any manufacturing process or certain detailed information relating to the manufacturing processes, [***]</w:t>
      </w:r>
    </w:p>
    <w:p>
      <w:pPr>
        <w:spacing w:after="0" w:line="87" w:lineRule="exact"/>
        <w:rPr>
          <w:sz w:val="20"/>
          <w:szCs w:val="20"/>
          <w:color w:val="auto"/>
        </w:rPr>
      </w:pPr>
    </w:p>
    <w:p>
      <w:pPr>
        <w:ind w:left="1425" w:right="300"/>
        <w:spacing w:after="0" w:line="275" w:lineRule="auto"/>
        <w:rPr>
          <w:sz w:val="20"/>
          <w:szCs w:val="20"/>
          <w:color w:val="auto"/>
        </w:rPr>
      </w:pPr>
      <w:r>
        <w:rPr>
          <w:rFonts w:ascii="Arial" w:cs="Arial" w:eastAsia="Arial" w:hAnsi="Arial"/>
          <w:sz w:val="18"/>
          <w:szCs w:val="18"/>
          <w:color w:val="auto"/>
        </w:rPr>
        <w:t>The Parties agree that [***] if NOF is required and agrees to supply additional information that is not in NOF’s possession at the time of request of disclosure by Ascendis, [***].</w:t>
      </w:r>
    </w:p>
    <w:p>
      <w:pPr>
        <w:spacing w:after="0" w:line="77" w:lineRule="exact"/>
        <w:rPr>
          <w:sz w:val="20"/>
          <w:szCs w:val="20"/>
          <w:color w:val="auto"/>
        </w:rPr>
      </w:pPr>
    </w:p>
    <w:p>
      <w:pPr>
        <w:ind w:left="1405" w:right="600" w:hanging="430"/>
        <w:spacing w:after="0" w:line="275" w:lineRule="auto"/>
        <w:rPr>
          <w:sz w:val="20"/>
          <w:szCs w:val="20"/>
          <w:color w:val="auto"/>
        </w:rPr>
      </w:pPr>
      <w:r>
        <w:rPr>
          <w:rFonts w:ascii="Arial" w:cs="Arial" w:eastAsia="Arial" w:hAnsi="Arial"/>
          <w:sz w:val="18"/>
          <w:szCs w:val="18"/>
          <w:color w:val="auto"/>
        </w:rPr>
        <w:t>15.3. Subject to the section 15.2, NOF must make available to the respective Health Authority any information required to support regulatory requirements/requests within the time the Parties agree.</w:t>
      </w:r>
    </w:p>
    <w:p>
      <w:pPr>
        <w:spacing w:after="0" w:line="10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5"/>
          </w:cols>
          <w:pgMar w:left="455" w:top="273" w:right="479" w:bottom="1440" w:gutter="0" w:footer="0" w:header="0"/>
        </w:sectPr>
      </w:pPr>
    </w:p>
    <w:bookmarkStart w:id="288" w:name="page289"/>
    <w:bookmarkEnd w:id="288"/>
    <w:p>
      <w:pPr>
        <w:ind w:left="425" w:hanging="425"/>
        <w:spacing w:after="0"/>
        <w:tabs>
          <w:tab w:leader="none" w:pos="425"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89535</wp:posOffset>
            </wp:positionV>
            <wp:extent cx="717550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TERM AND TERMINATION</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7"/>
          <w:szCs w:val="17"/>
          <w:color w:val="auto"/>
        </w:rPr>
        <w:t>16.1. This Agreement will be in effect from August 31 2020 and will continue in effect until December 31 2027 (the “Initial Term”).</w:t>
      </w:r>
    </w:p>
    <w:p>
      <w:pPr>
        <w:spacing w:after="0" w:line="141" w:lineRule="exact"/>
        <w:rPr>
          <w:sz w:val="20"/>
          <w:szCs w:val="20"/>
          <w:color w:val="auto"/>
        </w:rPr>
      </w:pPr>
    </w:p>
    <w:p>
      <w:pPr>
        <w:ind w:left="1405" w:right="520" w:hanging="430"/>
        <w:spacing w:after="0" w:line="275" w:lineRule="auto"/>
        <w:rPr>
          <w:sz w:val="20"/>
          <w:szCs w:val="20"/>
          <w:color w:val="auto"/>
        </w:rPr>
      </w:pPr>
      <w:r>
        <w:rPr>
          <w:rFonts w:ascii="Arial" w:cs="Arial" w:eastAsia="Arial" w:hAnsi="Arial"/>
          <w:sz w:val="18"/>
          <w:szCs w:val="18"/>
          <w:color w:val="auto"/>
        </w:rPr>
        <w:t>16.2. Following the Initial Term, this Agreement will continue in effect unless and until terminated by either Party according to the provisions for termination herein.</w:t>
      </w:r>
    </w:p>
    <w:p>
      <w:pPr>
        <w:spacing w:after="0" w:line="77" w:lineRule="exact"/>
        <w:rPr>
          <w:sz w:val="20"/>
          <w:szCs w:val="20"/>
          <w:color w:val="auto"/>
        </w:rPr>
      </w:pPr>
    </w:p>
    <w:p>
      <w:pPr>
        <w:ind w:left="1405" w:right="160" w:hanging="430"/>
        <w:spacing w:after="0" w:line="262" w:lineRule="auto"/>
        <w:rPr>
          <w:sz w:val="20"/>
          <w:szCs w:val="20"/>
          <w:color w:val="auto"/>
        </w:rPr>
      </w:pPr>
      <w:r>
        <w:rPr>
          <w:rFonts w:ascii="Arial" w:cs="Arial" w:eastAsia="Arial" w:hAnsi="Arial"/>
          <w:sz w:val="18"/>
          <w:szCs w:val="18"/>
          <w:color w:val="auto"/>
        </w:rPr>
        <w:t>16.3. Notwithstanding any termination of this Agreement, the rights and duties of the Parties with respect to any terms, which by their nature are intended to survive termination, shall survive and continue to be enforceable, including but not limited to Articles 2, 13, 14, 15, 17, 18, 19, 20, 23.</w:t>
      </w:r>
    </w:p>
    <w:p>
      <w:pPr>
        <w:spacing w:after="0" w:line="8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16.4. This Agreement may be terminated:</w:t>
      </w:r>
    </w:p>
    <w:p>
      <w:pPr>
        <w:spacing w:after="0" w:line="129" w:lineRule="exact"/>
        <w:rPr>
          <w:sz w:val="20"/>
          <w:szCs w:val="20"/>
          <w:color w:val="auto"/>
        </w:rPr>
      </w:pPr>
    </w:p>
    <w:p>
      <w:pPr>
        <w:ind w:left="2405" w:hanging="441"/>
        <w:spacing w:after="0"/>
        <w:tabs>
          <w:tab w:leader="none" w:pos="240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By either Party upon notice to take effect immediately in the event of:</w:t>
      </w:r>
    </w:p>
    <w:p>
      <w:pPr>
        <w:spacing w:after="0" w:line="129" w:lineRule="exact"/>
        <w:rPr>
          <w:rFonts w:ascii="Arial" w:cs="Arial" w:eastAsia="Arial" w:hAnsi="Arial"/>
          <w:sz w:val="18"/>
          <w:szCs w:val="18"/>
          <w:color w:val="auto"/>
        </w:rPr>
      </w:pPr>
    </w:p>
    <w:p>
      <w:pPr>
        <w:ind w:left="2845" w:hanging="437"/>
        <w:spacing w:after="0"/>
        <w:tabs>
          <w:tab w:leader="none" w:pos="284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 assignment by the other Party for the benefit of creditors;</w:t>
      </w:r>
    </w:p>
    <w:p>
      <w:pPr>
        <w:spacing w:after="0" w:line="129" w:lineRule="exact"/>
        <w:rPr>
          <w:rFonts w:ascii="Arial" w:cs="Arial" w:eastAsia="Arial" w:hAnsi="Arial"/>
          <w:sz w:val="18"/>
          <w:szCs w:val="18"/>
          <w:color w:val="auto"/>
        </w:rPr>
      </w:pPr>
    </w:p>
    <w:p>
      <w:pPr>
        <w:ind w:left="2845" w:hanging="437"/>
        <w:spacing w:after="0"/>
        <w:tabs>
          <w:tab w:leader="none" w:pos="284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admitted insolvency of the other Party;</w:t>
      </w:r>
    </w:p>
    <w:p>
      <w:pPr>
        <w:spacing w:after="0" w:line="129" w:lineRule="exact"/>
        <w:rPr>
          <w:rFonts w:ascii="Arial" w:cs="Arial" w:eastAsia="Arial" w:hAnsi="Arial"/>
          <w:sz w:val="18"/>
          <w:szCs w:val="18"/>
          <w:color w:val="auto"/>
        </w:rPr>
      </w:pPr>
    </w:p>
    <w:p>
      <w:pPr>
        <w:jc w:val="both"/>
        <w:ind w:left="2845" w:right="100" w:hanging="437"/>
        <w:spacing w:after="0" w:line="262" w:lineRule="auto"/>
        <w:tabs>
          <w:tab w:leader="none" w:pos="284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institution of voluntary or involuntary proceedings by or against the other Party in bankruptcy, insolvency, moratorium or for a receivership, or for a winding-up or for the dissolution or reorganization of the other Party; or</w:t>
      </w:r>
    </w:p>
    <w:p>
      <w:pPr>
        <w:spacing w:after="0" w:line="88" w:lineRule="exact"/>
        <w:rPr>
          <w:rFonts w:ascii="Arial" w:cs="Arial" w:eastAsia="Arial" w:hAnsi="Arial"/>
          <w:sz w:val="18"/>
          <w:szCs w:val="18"/>
          <w:color w:val="auto"/>
        </w:rPr>
      </w:pPr>
    </w:p>
    <w:p>
      <w:pPr>
        <w:ind w:left="2845" w:hanging="437"/>
        <w:spacing w:after="0"/>
        <w:tabs>
          <w:tab w:leader="none" w:pos="284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taking of any action by the other Party under an act for relief from creditors;</w:t>
      </w:r>
    </w:p>
    <w:p>
      <w:pPr>
        <w:spacing w:after="0" w:line="129" w:lineRule="exact"/>
        <w:rPr>
          <w:rFonts w:ascii="Arial" w:cs="Arial" w:eastAsia="Arial" w:hAnsi="Arial"/>
          <w:sz w:val="18"/>
          <w:szCs w:val="18"/>
          <w:color w:val="auto"/>
        </w:rPr>
      </w:pPr>
    </w:p>
    <w:p>
      <w:pPr>
        <w:ind w:left="2405" w:right="180" w:hanging="441"/>
        <w:spacing w:after="0" w:line="285" w:lineRule="auto"/>
        <w:tabs>
          <w:tab w:leader="none" w:pos="240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By either Party upon [***] written notice to the other Party in the event of a failure of such other Party to perform or observe a material obligation imposed by this Agreement, unless such failure is cured or the Parties have reached agreement on a plan to achieve a cure of such failure prior to the end of such [***] period.</w:t>
      </w:r>
    </w:p>
    <w:p>
      <w:pPr>
        <w:spacing w:after="0" w:line="70" w:lineRule="exact"/>
        <w:rPr>
          <w:rFonts w:ascii="Arial" w:cs="Arial" w:eastAsia="Arial" w:hAnsi="Arial"/>
          <w:sz w:val="17"/>
          <w:szCs w:val="17"/>
          <w:color w:val="auto"/>
        </w:rPr>
      </w:pPr>
    </w:p>
    <w:p>
      <w:pPr>
        <w:ind w:left="2405" w:right="40" w:hanging="441"/>
        <w:spacing w:after="0" w:line="275" w:lineRule="auto"/>
        <w:tabs>
          <w:tab w:leader="none" w:pos="240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By Ascendis after the Initial Term with [***] written notice. Earliest termination shall be effective per [***], provided notice has been served [***].</w:t>
      </w:r>
    </w:p>
    <w:p>
      <w:pPr>
        <w:spacing w:after="0" w:line="77" w:lineRule="exact"/>
        <w:rPr>
          <w:rFonts w:ascii="Arial" w:cs="Arial" w:eastAsia="Arial" w:hAnsi="Arial"/>
          <w:sz w:val="18"/>
          <w:szCs w:val="18"/>
          <w:color w:val="auto"/>
        </w:rPr>
      </w:pPr>
    </w:p>
    <w:p>
      <w:pPr>
        <w:ind w:left="2405" w:right="20" w:hanging="441"/>
        <w:spacing w:after="0" w:line="275" w:lineRule="auto"/>
        <w:tabs>
          <w:tab w:leader="none" w:pos="240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By NOF after Initial Term with [***] notice. Earliest termination shall be effective per [***], provided notice has been served [***].</w:t>
      </w:r>
    </w:p>
    <w:p>
      <w:pPr>
        <w:spacing w:after="0" w:line="77" w:lineRule="exact"/>
        <w:rPr>
          <w:rFonts w:ascii="Arial" w:cs="Arial" w:eastAsia="Arial" w:hAnsi="Arial"/>
          <w:sz w:val="18"/>
          <w:szCs w:val="18"/>
          <w:color w:val="auto"/>
        </w:rPr>
      </w:pPr>
    </w:p>
    <w:p>
      <w:pPr>
        <w:ind w:left="2405" w:hanging="441"/>
        <w:spacing w:after="0"/>
        <w:tabs>
          <w:tab w:leader="none" w:pos="240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By mutual agreement of the Parties.</w:t>
      </w:r>
    </w:p>
    <w:p>
      <w:pPr>
        <w:spacing w:after="0" w:line="129" w:lineRule="exact"/>
        <w:rPr>
          <w:sz w:val="20"/>
          <w:szCs w:val="20"/>
          <w:color w:val="auto"/>
        </w:rPr>
      </w:pPr>
    </w:p>
    <w:p>
      <w:pPr>
        <w:ind w:left="1405" w:hanging="430"/>
        <w:spacing w:after="0" w:line="256" w:lineRule="auto"/>
        <w:rPr>
          <w:sz w:val="20"/>
          <w:szCs w:val="20"/>
          <w:color w:val="auto"/>
        </w:rPr>
      </w:pPr>
      <w:r>
        <w:rPr>
          <w:rFonts w:ascii="Arial" w:cs="Arial" w:eastAsia="Arial" w:hAnsi="Arial"/>
          <w:sz w:val="18"/>
          <w:szCs w:val="18"/>
          <w:color w:val="auto"/>
        </w:rPr>
        <w:t>16.5. This Agreement may be terminated with immediate effect by Ascendis in the event of a change of fifty percent (50%) or more of the direct or indirect ownership of NOF or manufacturing facilities relevant to the Services, if such ownership goes to [***]. NOF shall provide prompt written notice to Ascendis of any such change. If Ascendis chooses to terminate, NOF will provide support and assistance enabling Ascendis to obtain continued supply of Product from an alternate supplier. The costs and expenses of such tech transfer shall be borne [***].</w:t>
      </w:r>
    </w:p>
    <w:p>
      <w:pPr>
        <w:spacing w:after="0" w:line="93" w:lineRule="exact"/>
        <w:rPr>
          <w:sz w:val="20"/>
          <w:szCs w:val="20"/>
          <w:color w:val="auto"/>
        </w:rPr>
      </w:pPr>
    </w:p>
    <w:p>
      <w:pPr>
        <w:ind w:left="1405" w:right="180" w:hanging="430"/>
        <w:spacing w:after="0" w:line="262" w:lineRule="auto"/>
        <w:rPr>
          <w:sz w:val="20"/>
          <w:szCs w:val="20"/>
          <w:color w:val="auto"/>
        </w:rPr>
      </w:pPr>
      <w:r>
        <w:rPr>
          <w:rFonts w:ascii="Arial" w:cs="Arial" w:eastAsia="Arial" w:hAnsi="Arial"/>
          <w:sz w:val="18"/>
          <w:szCs w:val="18"/>
          <w:color w:val="auto"/>
        </w:rPr>
        <w:t>16.6. This Agreement may be terminated with immediate effect by NOF in the event of a change of fifty percent (50%) or more of the direct or indirect ownership of Ascendis, if such ownership goes to [***]. Ascendis shall provide prompt written notice to NOF of any such change.</w:t>
      </w:r>
    </w:p>
    <w:p>
      <w:pPr>
        <w:spacing w:after="0" w:line="116"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5"/>
          </w:cols>
          <w:pgMar w:left="455" w:top="270" w:right="519" w:bottom="1440" w:gutter="0" w:footer="0" w:header="0"/>
        </w:sectPr>
      </w:pPr>
    </w:p>
    <w:bookmarkStart w:id="289" w:name="page290"/>
    <w:bookmarkEnd w:id="289"/>
    <w:p>
      <w:pPr>
        <w:jc w:val="both"/>
        <w:ind w:left="1405" w:right="400" w:hanging="43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16.7. Termination of this Agreement, for any reason, shall not release either Party from any liability which at said time it has already incurred to the other Party, nor affect in any way the survival of any rights, duties or obligations of either Party which are stated elsewhere in this Agreement to survive said expiration or prior termination.</w:t>
      </w:r>
    </w:p>
    <w:p>
      <w:pPr>
        <w:spacing w:after="0" w:line="89" w:lineRule="exact"/>
        <w:rPr>
          <w:sz w:val="20"/>
          <w:szCs w:val="20"/>
          <w:color w:val="auto"/>
        </w:rPr>
      </w:pPr>
    </w:p>
    <w:p>
      <w:pPr>
        <w:ind w:left="1405" w:right="20" w:hanging="430"/>
        <w:spacing w:after="0" w:line="275" w:lineRule="auto"/>
        <w:rPr>
          <w:sz w:val="20"/>
          <w:szCs w:val="20"/>
          <w:color w:val="auto"/>
        </w:rPr>
      </w:pPr>
      <w:r>
        <w:rPr>
          <w:rFonts w:ascii="Arial" w:cs="Arial" w:eastAsia="Arial" w:hAnsi="Arial"/>
          <w:sz w:val="18"/>
          <w:szCs w:val="18"/>
          <w:color w:val="auto"/>
        </w:rPr>
        <w:t>16.8. Upon termination NOF shall keep the original batch documentation for Products manufactured and/or packed by NOF in accordance with the obligations laid down in Appendix 3.</w:t>
      </w:r>
    </w:p>
    <w:p>
      <w:pPr>
        <w:spacing w:after="0" w:line="77" w:lineRule="exact"/>
        <w:rPr>
          <w:sz w:val="20"/>
          <w:szCs w:val="20"/>
          <w:color w:val="auto"/>
        </w:rPr>
      </w:pPr>
    </w:p>
    <w:p>
      <w:pPr>
        <w:ind w:left="1405" w:right="160" w:hanging="430"/>
        <w:spacing w:after="0" w:line="275" w:lineRule="auto"/>
        <w:rPr>
          <w:sz w:val="20"/>
          <w:szCs w:val="20"/>
          <w:color w:val="auto"/>
        </w:rPr>
      </w:pPr>
      <w:r>
        <w:rPr>
          <w:rFonts w:ascii="Arial" w:cs="Arial" w:eastAsia="Arial" w:hAnsi="Arial"/>
          <w:sz w:val="18"/>
          <w:szCs w:val="18"/>
          <w:color w:val="auto"/>
        </w:rPr>
        <w:t>16.9. Upon termination NOF shall [***] regarding the quality of the Products manufactured and/or packed by NOF and [***] in relation to any [***] of the Products in accordance with the obligations laid down in Appendix 3.</w:t>
      </w:r>
    </w:p>
    <w:p>
      <w:pPr>
        <w:spacing w:after="0" w:line="73" w:lineRule="exact"/>
        <w:rPr>
          <w:sz w:val="20"/>
          <w:szCs w:val="20"/>
          <w:color w:val="auto"/>
        </w:rPr>
      </w:pPr>
    </w:p>
    <w:p>
      <w:pPr>
        <w:ind w:left="425" w:hanging="425"/>
        <w:spacing w:after="0"/>
        <w:tabs>
          <w:tab w:leader="none" w:pos="425"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3" w:lineRule="exact"/>
        <w:rPr>
          <w:sz w:val="20"/>
          <w:szCs w:val="20"/>
          <w:color w:val="auto"/>
        </w:rPr>
      </w:pPr>
    </w:p>
    <w:p>
      <w:pPr>
        <w:ind w:left="1405" w:hanging="430"/>
        <w:spacing w:after="0" w:line="270" w:lineRule="auto"/>
        <w:rPr>
          <w:sz w:val="20"/>
          <w:szCs w:val="20"/>
          <w:color w:val="auto"/>
        </w:rPr>
      </w:pPr>
      <w:r>
        <w:rPr>
          <w:rFonts w:ascii="Arial" w:cs="Arial" w:eastAsia="Arial" w:hAnsi="Arial"/>
          <w:sz w:val="17"/>
          <w:szCs w:val="17"/>
          <w:color w:val="auto"/>
        </w:rPr>
        <w:t>17.1. The Recipient shall not, during the term of this Agreement, (a) use Confidential Information for any purpose whatsoever other than for the performance of this Agreement, or (b) disclose Confidential Information to any third party other than employees, Affiliates or representatives (“Representatives”) who have a need to know in order to perform the Services. The Recipient shall impose similar obligations relating to Confidential Information imposed it under this Agreement to such Representatives and shall be responsible for the performance of such obligations by such Representatives. The Recipient agrees that Confidential Information shall remain the sole property of the Discloser. The Recipient further agrees to take all reasonable precautions to prevent any unauthorized disclosure of Confidential Information. Notwithstanding the above, the Recipients’ obligation under this Article 17 relating to Confidential Information shall not apply to information which:</w:t>
      </w:r>
    </w:p>
    <w:p>
      <w:pPr>
        <w:spacing w:after="0" w:line="84" w:lineRule="exact"/>
        <w:rPr>
          <w:sz w:val="20"/>
          <w:szCs w:val="20"/>
          <w:color w:val="auto"/>
        </w:rPr>
      </w:pPr>
    </w:p>
    <w:p>
      <w:pPr>
        <w:ind w:left="2405" w:right="500" w:hanging="441"/>
        <w:spacing w:after="0" w:line="275" w:lineRule="auto"/>
        <w:tabs>
          <w:tab w:leader="none" w:pos="240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is known to the Recipient at the time of first disclosure to the Recipient by the Discloser as evidenced by written records of the Recipient,</w:t>
      </w:r>
    </w:p>
    <w:p>
      <w:pPr>
        <w:spacing w:after="0" w:line="77" w:lineRule="exact"/>
        <w:rPr>
          <w:rFonts w:ascii="Arial" w:cs="Arial" w:eastAsia="Arial" w:hAnsi="Arial"/>
          <w:sz w:val="18"/>
          <w:szCs w:val="18"/>
          <w:color w:val="auto"/>
        </w:rPr>
      </w:pPr>
    </w:p>
    <w:p>
      <w:pPr>
        <w:ind w:left="2405" w:hanging="441"/>
        <w:spacing w:after="0"/>
        <w:tabs>
          <w:tab w:leader="none" w:pos="240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has become publicly known and made generally available through no wrongful act of the Recipient,</w:t>
      </w:r>
    </w:p>
    <w:p>
      <w:pPr>
        <w:spacing w:after="0" w:line="129" w:lineRule="exact"/>
        <w:rPr>
          <w:rFonts w:ascii="Arial" w:cs="Arial" w:eastAsia="Arial" w:hAnsi="Arial"/>
          <w:sz w:val="18"/>
          <w:szCs w:val="18"/>
          <w:color w:val="auto"/>
        </w:rPr>
      </w:pPr>
    </w:p>
    <w:p>
      <w:pPr>
        <w:ind w:left="2405" w:right="400" w:hanging="441"/>
        <w:spacing w:after="0" w:line="275" w:lineRule="auto"/>
        <w:tabs>
          <w:tab w:leader="none" w:pos="240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has been developed independently by or on behalf of the Recipient with no use of or reliance upon the Discloser’s Confidential Information; or</w:t>
      </w:r>
    </w:p>
    <w:p>
      <w:pPr>
        <w:spacing w:after="0" w:line="77" w:lineRule="exact"/>
        <w:rPr>
          <w:rFonts w:ascii="Arial" w:cs="Arial" w:eastAsia="Arial" w:hAnsi="Arial"/>
          <w:sz w:val="18"/>
          <w:szCs w:val="18"/>
          <w:color w:val="auto"/>
        </w:rPr>
      </w:pPr>
    </w:p>
    <w:p>
      <w:pPr>
        <w:ind w:left="2405" w:hanging="441"/>
        <w:spacing w:after="0"/>
        <w:tabs>
          <w:tab w:leader="none" w:pos="240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has been received by the Recipient without restriction on disclosure from a third party.</w:t>
      </w:r>
    </w:p>
    <w:p>
      <w:pPr>
        <w:spacing w:after="0" w:line="15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5"/>
          </w:cols>
          <w:pgMar w:left="455" w:top="274" w:right="479" w:bottom="1440" w:gutter="0" w:footer="0" w:header="0"/>
        </w:sectPr>
      </w:pPr>
    </w:p>
    <w:bookmarkStart w:id="290" w:name="page291"/>
    <w:bookmarkEnd w:id="290"/>
    <w:p>
      <w:pPr>
        <w:ind w:left="1405" w:hanging="43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17.2. Upon the termination of this Agreement (irrespective of the reason therefore), or upon the Discloser’s request, the Recipient will deliver on request to the Discloser or destroy all of the Discloser’s Confidential Information (including its copy), which is in the Recipient’s possession or control. Notwithstanding the foregoing, each Party may keep one (1) copy solely to monitor its obligations under this Agreement.</w:t>
      </w:r>
    </w:p>
    <w:p>
      <w:pPr>
        <w:spacing w:after="0" w:line="92" w:lineRule="exact"/>
        <w:rPr>
          <w:sz w:val="20"/>
          <w:szCs w:val="20"/>
          <w:color w:val="auto"/>
        </w:rPr>
      </w:pPr>
    </w:p>
    <w:p>
      <w:pPr>
        <w:ind w:left="1405" w:right="600" w:hanging="430"/>
        <w:spacing w:after="0" w:line="275" w:lineRule="auto"/>
        <w:rPr>
          <w:sz w:val="20"/>
          <w:szCs w:val="20"/>
          <w:color w:val="auto"/>
        </w:rPr>
      </w:pPr>
      <w:r>
        <w:rPr>
          <w:rFonts w:ascii="Arial" w:cs="Arial" w:eastAsia="Arial" w:hAnsi="Arial"/>
          <w:sz w:val="18"/>
          <w:szCs w:val="18"/>
          <w:color w:val="auto"/>
        </w:rPr>
        <w:t>17.3. The obligations of the Recipient under this Article 17 shall remain in effect for a period of [***] after the termination of this Agreement.</w:t>
      </w:r>
    </w:p>
    <w:p>
      <w:pPr>
        <w:spacing w:after="0" w:line="73" w:lineRule="exact"/>
        <w:rPr>
          <w:sz w:val="20"/>
          <w:szCs w:val="20"/>
          <w:color w:val="auto"/>
        </w:rPr>
      </w:pPr>
    </w:p>
    <w:p>
      <w:pPr>
        <w:ind w:left="425" w:hanging="425"/>
        <w:spacing w:after="0"/>
        <w:tabs>
          <w:tab w:leader="none" w:pos="42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18.1. [***] shall be [***], provided, however, that ownership of [***], whichever may be applicable.</w:t>
      </w:r>
    </w:p>
    <w:p>
      <w:pPr>
        <w:spacing w:after="0" w:line="129" w:lineRule="exact"/>
        <w:rPr>
          <w:sz w:val="20"/>
          <w:szCs w:val="20"/>
          <w:color w:val="auto"/>
        </w:rPr>
      </w:pPr>
    </w:p>
    <w:p>
      <w:pPr>
        <w:ind w:left="1405" w:hanging="430"/>
        <w:spacing w:after="0" w:line="272" w:lineRule="auto"/>
        <w:rPr>
          <w:sz w:val="20"/>
          <w:szCs w:val="20"/>
          <w:color w:val="auto"/>
        </w:rPr>
      </w:pPr>
      <w:r>
        <w:rPr>
          <w:rFonts w:ascii="Arial" w:cs="Arial" w:eastAsia="Arial" w:hAnsi="Arial"/>
          <w:sz w:val="17"/>
          <w:szCs w:val="17"/>
          <w:color w:val="auto"/>
        </w:rPr>
        <w:t>18.2. [***]. This Agreement shall not grant or be construed as granting any rights by license or otherwise to [***]. [***]. [***] after the termination of this Agreement, provided, however, that in the event of termination of this Agreement [***], the Parties agree to negotiate in good faith a tech transfer agreement enabling Ascendis to obtain continued supply of Product from an alternate supplier. The costs and expenses of such tech transfer shall be borne [***]. For purposes of specifically this Article 18.1, second paragraph, NOF’s material obligations shall be understood as NOF’s ability to Deliver, [***] of Product ordered according to the provisions of Section 9 during a [***] period following the Effective Date.</w:t>
      </w:r>
    </w:p>
    <w:p>
      <w:pPr>
        <w:spacing w:after="0" w:line="83" w:lineRule="exact"/>
        <w:rPr>
          <w:sz w:val="20"/>
          <w:szCs w:val="20"/>
          <w:color w:val="auto"/>
        </w:rPr>
      </w:pPr>
    </w:p>
    <w:p>
      <w:pPr>
        <w:ind w:left="1405" w:right="80" w:hanging="430"/>
        <w:spacing w:after="0" w:line="258" w:lineRule="auto"/>
        <w:rPr>
          <w:sz w:val="20"/>
          <w:szCs w:val="20"/>
          <w:color w:val="auto"/>
        </w:rPr>
      </w:pPr>
      <w:r>
        <w:rPr>
          <w:rFonts w:ascii="Arial" w:cs="Arial" w:eastAsia="Arial" w:hAnsi="Arial"/>
          <w:sz w:val="18"/>
          <w:szCs w:val="18"/>
          <w:color w:val="auto"/>
        </w:rPr>
        <w:t>18.3. Other than as set out specifically above. This Agreement will not transfer any rights to intellectual property in any way. If Intellectual Property Rights owned by Ascendis or licensed to Ascendis are necessary for NOF to perform its obligations hereunder and to obtain the benefit of its rights under this Agreement, Ascendis hereby grants to the extent necessary to NOF a [***] solely [***] and solely [***]. As far as [***].</w:t>
      </w:r>
    </w:p>
    <w:p>
      <w:pPr>
        <w:spacing w:after="0" w:line="92" w:lineRule="exact"/>
        <w:rPr>
          <w:sz w:val="20"/>
          <w:szCs w:val="20"/>
          <w:color w:val="auto"/>
        </w:rPr>
      </w:pPr>
    </w:p>
    <w:p>
      <w:pPr>
        <w:ind w:left="1405" w:right="100" w:hanging="430"/>
        <w:spacing w:after="0" w:line="262" w:lineRule="auto"/>
        <w:rPr>
          <w:sz w:val="20"/>
          <w:szCs w:val="20"/>
          <w:color w:val="auto"/>
        </w:rPr>
      </w:pPr>
      <w:r>
        <w:rPr>
          <w:rFonts w:ascii="Arial" w:cs="Arial" w:eastAsia="Arial" w:hAnsi="Arial"/>
          <w:sz w:val="18"/>
          <w:szCs w:val="18"/>
          <w:color w:val="auto"/>
        </w:rPr>
        <w:t>18.4. Issued patents applicable to NOF’s performance of its obligations under this Agreement shall be listed in Appendix 6 as updated by NOF and/or Ascendis from time to time. For the avoidance of doubt, it is understood that Intellectual Property Rights other than issued patents, e.g. trade secrets, may apply without being listed in Appendix 6.</w:t>
      </w:r>
    </w:p>
    <w:p>
      <w:pPr>
        <w:spacing w:after="0" w:line="85" w:lineRule="exact"/>
        <w:rPr>
          <w:sz w:val="20"/>
          <w:szCs w:val="20"/>
          <w:color w:val="auto"/>
        </w:rPr>
      </w:pPr>
    </w:p>
    <w:p>
      <w:pPr>
        <w:ind w:left="425" w:hanging="425"/>
        <w:spacing w:after="0"/>
        <w:tabs>
          <w:tab w:leader="none" w:pos="42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LIABILITY</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19.1. [***] request prove to have taken out, insurance in order to cover damages on Product while in the custody of [***].</w:t>
      </w:r>
    </w:p>
    <w:p>
      <w:pPr>
        <w:spacing w:after="0" w:line="129" w:lineRule="exact"/>
        <w:rPr>
          <w:sz w:val="20"/>
          <w:szCs w:val="20"/>
          <w:color w:val="auto"/>
        </w:rPr>
      </w:pPr>
    </w:p>
    <w:p>
      <w:pPr>
        <w:ind w:left="1405" w:right="20" w:hanging="430"/>
        <w:spacing w:after="0" w:line="285" w:lineRule="auto"/>
        <w:rPr>
          <w:sz w:val="20"/>
          <w:szCs w:val="20"/>
          <w:color w:val="auto"/>
        </w:rPr>
      </w:pPr>
      <w:r>
        <w:rPr>
          <w:rFonts w:ascii="Arial" w:cs="Arial" w:eastAsia="Arial" w:hAnsi="Arial"/>
          <w:sz w:val="17"/>
          <w:szCs w:val="17"/>
          <w:color w:val="auto"/>
        </w:rPr>
        <w:t>19.2. [***] request prove to have taken out, a civil liability insurance in order to cover liabilities imposed on NOF under national legislation and/or EU directives/regulations (a) as a consequence of any and all obligations under this Agreement [***] and/or (b) as a consequence of negligent acts and/or omissions [***], including, without limitation [***] or other treatment of Product.</w:t>
      </w:r>
    </w:p>
    <w:p>
      <w:pPr>
        <w:spacing w:after="0" w:line="97"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5"/>
          </w:cols>
          <w:pgMar w:left="455" w:top="273" w:right="519" w:bottom="1440" w:gutter="0" w:footer="0" w:header="0"/>
        </w:sectPr>
      </w:pPr>
    </w:p>
    <w:bookmarkStart w:id="291" w:name="page292"/>
    <w:bookmarkEnd w:id="291"/>
    <w:p>
      <w:pPr>
        <w:ind w:left="1405" w:right="40" w:hanging="43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19.3. NOF will indemnify, defend and hold harmless Ascendis from all damages suffered or otherwise incurred arising in connection with claims arising from NOF’s failure to perform the Services. Notwithstanding anything to the contrary in this Agreement, this Article 19.3 does not apply to any claims for which a sole or exclusive remedy is provided for under another portion of this Agreement, including Article 13.4.</w:t>
      </w:r>
    </w:p>
    <w:p>
      <w:pPr>
        <w:spacing w:after="0" w:line="92" w:lineRule="exact"/>
        <w:rPr>
          <w:sz w:val="20"/>
          <w:szCs w:val="20"/>
          <w:color w:val="auto"/>
        </w:rPr>
      </w:pPr>
    </w:p>
    <w:p>
      <w:pPr>
        <w:jc w:val="both"/>
        <w:ind w:left="1405" w:hanging="430"/>
        <w:spacing w:after="0" w:line="262" w:lineRule="auto"/>
        <w:rPr>
          <w:sz w:val="20"/>
          <w:szCs w:val="20"/>
          <w:color w:val="auto"/>
        </w:rPr>
      </w:pPr>
      <w:r>
        <w:rPr>
          <w:rFonts w:ascii="Arial" w:cs="Arial" w:eastAsia="Arial" w:hAnsi="Arial"/>
          <w:sz w:val="18"/>
          <w:szCs w:val="18"/>
          <w:color w:val="auto"/>
        </w:rPr>
        <w:t>19.4. Ascendis will indemnify, defend and hold harmless NOF from all damages suffered or otherwise incurred arising in connection with claims arising from: the use of the Product; omissions by Ascendis in inspecting, marketing, or distributing Ascendis’ final products; and/or other claims not subject to NOF’s indemnification obligations.</w:t>
      </w:r>
    </w:p>
    <w:p>
      <w:pPr>
        <w:spacing w:after="0" w:line="89" w:lineRule="exact"/>
        <w:rPr>
          <w:sz w:val="20"/>
          <w:szCs w:val="20"/>
          <w:color w:val="auto"/>
        </w:rPr>
      </w:pPr>
    </w:p>
    <w:p>
      <w:pPr>
        <w:ind w:left="1405" w:right="200" w:hanging="430"/>
        <w:spacing w:after="0" w:line="295" w:lineRule="auto"/>
        <w:rPr>
          <w:sz w:val="20"/>
          <w:szCs w:val="20"/>
          <w:color w:val="auto"/>
        </w:rPr>
      </w:pPr>
      <w:r>
        <w:rPr>
          <w:rFonts w:ascii="Arial" w:cs="Arial" w:eastAsia="Arial" w:hAnsi="Arial"/>
          <w:sz w:val="16"/>
          <w:szCs w:val="16"/>
          <w:color w:val="auto"/>
        </w:rPr>
        <w:t>19.5. The Indemnifying Party shall be entitled, at its option, to control the defense and settlement of any claim for which it is liable, provided that the Indemnifying Party shall act reasonably and in good faith with respect to all matters relating to the settlement or disposition of the claim as the disposition or settlement relates to the indemnified Party. The indemnified Party shall reasonably cooperate in the investigation, defense and settlement of any claim for which indemnification is sought or provided hereunder and shall provide prompt notice of any such claim or reasonably anticipated claim to the Indemnifying Party.</w:t>
      </w:r>
    </w:p>
    <w:p>
      <w:pPr>
        <w:spacing w:after="0" w:line="67" w:lineRule="exact"/>
        <w:rPr>
          <w:sz w:val="20"/>
          <w:szCs w:val="20"/>
          <w:color w:val="auto"/>
        </w:rPr>
      </w:pPr>
    </w:p>
    <w:p>
      <w:pPr>
        <w:ind w:left="1405" w:right="160" w:hanging="430"/>
        <w:spacing w:after="0" w:line="256" w:lineRule="auto"/>
        <w:rPr>
          <w:sz w:val="20"/>
          <w:szCs w:val="20"/>
          <w:color w:val="auto"/>
        </w:rPr>
      </w:pPr>
      <w:r>
        <w:rPr>
          <w:rFonts w:ascii="Arial" w:cs="Arial" w:eastAsia="Arial" w:hAnsi="Arial"/>
          <w:sz w:val="18"/>
          <w:szCs w:val="18"/>
          <w:color w:val="auto"/>
        </w:rPr>
        <w:t>19.6. NEITHER PARTY WILL BE LIABLE TO THE OTHER PARTY FOR INDIRECT, INCIDENTAL OR CONSEQUENTIAL DAMAGES (INCLUDING, WITHOUT LIMITATION, LOSS OF PROFITS, REVENUES, INJURY TO GOODWILL, LOSS OF THE USE OF GOODS OR EQUIPMENT, DAMAGE TO ANY ASSOCIATED EQUIPMENT, COST OF CAPITAL, OR DOWNTIME COSTS), SPECIAL OR PUNITIVE DAMAGES REGARDLESS OF WHETHER SUCH PARTY KNEW OR SHOULD HAVE KNOWN OF THE POSSIBILITY OF SUCH DAMAGES.</w:t>
      </w:r>
    </w:p>
    <w:p>
      <w:pPr>
        <w:spacing w:after="0" w:line="93" w:lineRule="exact"/>
        <w:rPr>
          <w:sz w:val="20"/>
          <w:szCs w:val="20"/>
          <w:color w:val="auto"/>
        </w:rPr>
      </w:pPr>
    </w:p>
    <w:p>
      <w:pPr>
        <w:ind w:left="985"/>
        <w:spacing w:after="0"/>
        <w:rPr>
          <w:sz w:val="20"/>
          <w:szCs w:val="20"/>
          <w:color w:val="auto"/>
        </w:rPr>
      </w:pPr>
      <w:r>
        <w:rPr>
          <w:rFonts w:ascii="Arial" w:cs="Arial" w:eastAsia="Arial" w:hAnsi="Arial"/>
          <w:sz w:val="18"/>
          <w:szCs w:val="18"/>
          <w:color w:val="auto"/>
        </w:rPr>
        <w:t>19.7. Except for [***].</w:t>
      </w:r>
    </w:p>
    <w:p>
      <w:pPr>
        <w:spacing w:after="0" w:line="125" w:lineRule="exact"/>
        <w:rPr>
          <w:sz w:val="20"/>
          <w:szCs w:val="20"/>
          <w:color w:val="auto"/>
        </w:rPr>
      </w:pPr>
    </w:p>
    <w:p>
      <w:pPr>
        <w:ind w:left="425" w:hanging="425"/>
        <w:spacing w:after="0"/>
        <w:tabs>
          <w:tab w:leader="none" w:pos="425"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8"/>
          <w:szCs w:val="18"/>
          <w:color w:val="auto"/>
        </w:rPr>
        <w:t>20.1. NOF hereby represents and warrants the following:</w:t>
      </w:r>
    </w:p>
    <w:p>
      <w:pPr>
        <w:spacing w:after="0" w:line="129" w:lineRule="exact"/>
        <w:rPr>
          <w:sz w:val="20"/>
          <w:szCs w:val="20"/>
          <w:color w:val="auto"/>
        </w:rPr>
      </w:pPr>
    </w:p>
    <w:p>
      <w:pPr>
        <w:ind w:left="2405" w:right="380" w:hanging="441"/>
        <w:spacing w:after="0" w:line="275" w:lineRule="auto"/>
        <w:tabs>
          <w:tab w:leader="none" w:pos="24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it has obtained (and will maintain throughout the existence of this Agreement) all necessary approvals, licenses or registrations necessary or desirable for the performance of the Services,</w:t>
      </w:r>
    </w:p>
    <w:p>
      <w:pPr>
        <w:spacing w:after="0" w:line="77" w:lineRule="exact"/>
        <w:rPr>
          <w:rFonts w:ascii="Arial" w:cs="Arial" w:eastAsia="Arial" w:hAnsi="Arial"/>
          <w:sz w:val="18"/>
          <w:szCs w:val="18"/>
          <w:color w:val="auto"/>
        </w:rPr>
      </w:pPr>
    </w:p>
    <w:p>
      <w:pPr>
        <w:ind w:left="2405" w:hanging="441"/>
        <w:spacing w:after="0"/>
        <w:tabs>
          <w:tab w:leader="none" w:pos="24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it has the necessary experience to perform the Services,</w:t>
      </w:r>
    </w:p>
    <w:p>
      <w:pPr>
        <w:spacing w:after="0" w:line="129" w:lineRule="exact"/>
        <w:rPr>
          <w:rFonts w:ascii="Arial" w:cs="Arial" w:eastAsia="Arial" w:hAnsi="Arial"/>
          <w:sz w:val="18"/>
          <w:szCs w:val="18"/>
          <w:color w:val="auto"/>
        </w:rPr>
      </w:pPr>
    </w:p>
    <w:p>
      <w:pPr>
        <w:ind w:left="2405" w:right="240" w:hanging="441"/>
        <w:spacing w:after="0" w:line="275" w:lineRule="auto"/>
        <w:tabs>
          <w:tab w:leader="none" w:pos="24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personnel that NOF utilizes in the performance of the Agreement shall be appropriately qualified and trained for the tasks that they are to perform,</w:t>
      </w:r>
    </w:p>
    <w:p>
      <w:pPr>
        <w:spacing w:after="0" w:line="77" w:lineRule="exact"/>
        <w:rPr>
          <w:rFonts w:ascii="Arial" w:cs="Arial" w:eastAsia="Arial" w:hAnsi="Arial"/>
          <w:sz w:val="18"/>
          <w:szCs w:val="18"/>
          <w:color w:val="auto"/>
        </w:rPr>
      </w:pPr>
    </w:p>
    <w:p>
      <w:pPr>
        <w:ind w:left="2405" w:right="40" w:hanging="441"/>
        <w:spacing w:after="0" w:line="262" w:lineRule="auto"/>
        <w:tabs>
          <w:tab w:leader="none" w:pos="24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machinery and equipment that NOF provides or causes to be applied in the performance of the Agreement shall be of an appropriate quality and, as required by normal practice shall be qualified and approved by the relevant body or organization,</w:t>
      </w:r>
    </w:p>
    <w:p>
      <w:pPr>
        <w:spacing w:after="0" w:line="116"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5"/>
          </w:cols>
          <w:pgMar w:left="455" w:top="273" w:right="499" w:bottom="1440" w:gutter="0" w:footer="0" w:header="0"/>
        </w:sectPr>
      </w:pPr>
    </w:p>
    <w:bookmarkStart w:id="292" w:name="page293"/>
    <w:bookmarkEnd w:id="292"/>
    <w:p>
      <w:pPr>
        <w:ind w:left="2405" w:right="100" w:hanging="441"/>
        <w:spacing w:after="0" w:line="275" w:lineRule="auto"/>
        <w:tabs>
          <w:tab w:leader="none" w:pos="2405"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Services are conducted in compliance with the laws as applicable at its domicile or by the relevant Purchase Order and relevant standards, such as but not limited to cGMP,</w:t>
      </w:r>
    </w:p>
    <w:p>
      <w:pPr>
        <w:spacing w:after="0" w:line="77" w:lineRule="exact"/>
        <w:rPr>
          <w:rFonts w:ascii="Arial" w:cs="Arial" w:eastAsia="Arial" w:hAnsi="Arial"/>
          <w:sz w:val="18"/>
          <w:szCs w:val="18"/>
          <w:color w:val="auto"/>
        </w:rPr>
      </w:pPr>
    </w:p>
    <w:p>
      <w:pPr>
        <w:ind w:left="2405" w:hanging="441"/>
        <w:spacing w:after="0" w:line="275" w:lineRule="auto"/>
        <w:tabs>
          <w:tab w:leader="none" w:pos="240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NOF is not debarred under the provisions of the Generic Drug Enforcement Act of 1992, 21 U.S.C. Sec. 335a(a) or any foreign equivalents, and</w:t>
      </w:r>
    </w:p>
    <w:p>
      <w:pPr>
        <w:spacing w:after="0" w:line="77" w:lineRule="exact"/>
        <w:rPr>
          <w:rFonts w:ascii="Arial" w:cs="Arial" w:eastAsia="Arial" w:hAnsi="Arial"/>
          <w:sz w:val="18"/>
          <w:szCs w:val="18"/>
          <w:color w:val="auto"/>
        </w:rPr>
      </w:pPr>
    </w:p>
    <w:p>
      <w:pPr>
        <w:jc w:val="both"/>
        <w:ind w:left="2405" w:right="260" w:hanging="441"/>
        <w:spacing w:after="0" w:line="262" w:lineRule="auto"/>
        <w:tabs>
          <w:tab w:leader="none" w:pos="240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 the event that during the term of this Agreement NOF (i) becomes debarred; or (ii) receives notice of an action or threat of an action with respect to its debarment, NOF agrees to immediately notify Ascendis and shall immediately cease all activities relating to this Agreement.</w:t>
      </w:r>
    </w:p>
    <w:p>
      <w:pPr>
        <w:spacing w:after="0" w:line="88" w:lineRule="exact"/>
        <w:rPr>
          <w:rFonts w:ascii="Arial" w:cs="Arial" w:eastAsia="Arial" w:hAnsi="Arial"/>
          <w:sz w:val="18"/>
          <w:szCs w:val="18"/>
          <w:color w:val="auto"/>
        </w:rPr>
      </w:pPr>
    </w:p>
    <w:p>
      <w:pPr>
        <w:ind w:left="2405" w:hanging="441"/>
        <w:spacing w:after="0"/>
        <w:tabs>
          <w:tab w:leader="none" w:pos="240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NOF has no actual knowledge, as of the Effective Date, of [***].</w:t>
      </w:r>
    </w:p>
    <w:p>
      <w:pPr>
        <w:spacing w:after="0" w:line="129" w:lineRule="exact"/>
        <w:rPr>
          <w:sz w:val="20"/>
          <w:szCs w:val="20"/>
          <w:color w:val="auto"/>
        </w:rPr>
      </w:pPr>
    </w:p>
    <w:p>
      <w:pPr>
        <w:ind w:left="1405" w:hanging="430"/>
        <w:spacing w:after="0" w:line="275" w:lineRule="auto"/>
        <w:rPr>
          <w:sz w:val="20"/>
          <w:szCs w:val="20"/>
          <w:color w:val="auto"/>
        </w:rPr>
      </w:pPr>
      <w:r>
        <w:rPr>
          <w:rFonts w:ascii="Arial" w:cs="Arial" w:eastAsia="Arial" w:hAnsi="Arial"/>
          <w:sz w:val="18"/>
          <w:szCs w:val="18"/>
          <w:color w:val="auto"/>
        </w:rPr>
        <w:t>20.2. Ascendis represents and warrants to NOF that Ascendis is the owner or licensee or otherwise has the right to use and provide to NOF all information provided to NOF relating to Product.</w:t>
      </w:r>
    </w:p>
    <w:p>
      <w:pPr>
        <w:spacing w:after="0" w:line="77" w:lineRule="exact"/>
        <w:rPr>
          <w:sz w:val="20"/>
          <w:szCs w:val="20"/>
          <w:color w:val="auto"/>
        </w:rPr>
      </w:pPr>
    </w:p>
    <w:p>
      <w:pPr>
        <w:ind w:left="1405" w:right="20" w:hanging="430"/>
        <w:spacing w:after="0" w:line="252"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i w:val="1"/>
          <w:iCs w:val="1"/>
          <w:color w:val="auto"/>
        </w:rPr>
        <w:t>DISCLAIMER OF ALL OTHER WARRANTIES</w:t>
      </w:r>
      <w:r>
        <w:rPr>
          <w:rFonts w:ascii="Arial" w:cs="Arial" w:eastAsia="Arial" w:hAnsi="Arial"/>
          <w:sz w:val="18"/>
          <w:szCs w:val="18"/>
          <w:color w:val="auto"/>
        </w:rPr>
        <w:t>. THE WARRANTIES SET FORTH IN THIS AGREEMENT ARE THE PARTIES’ ONLY WARRANTIES WITH RESPECT TO THE SUBJECT MATTER OF THIS AGREEMENT AND ARE MADE EXPRESSLY IN LIEU OF ALL OTHER WARRANTIES, EXPRESS OR IMPLIED, WHICH ARE HEREBY DISCLAIMED, INCLUDING ANY IMPLIED WARRANTIES OF FITNESS FOR A PARTICULAR PURPOSE, MERCHANTABILITY, OR ARISING FROM THE COURSE OF PERFORMANCE, COURSE OF DEALING OR USAGE OF TRADE OR OTHERWISE. EXCEPT AS OTHERWISE SET FORTH HEREIN, NOF DOES NOT WARRANT OR GUARANTEE THAT THE MANUFACTURE, SALE OR USE OF THE PRODUCTS WILL NOT INFRINGE THIRD PARTY PATENTS OR OTHER THIRD PARTY INTELLECTUAL PROPERTY RIGHTS AND THAT THE PRODUCTS ARE SUITABLE FOR THE SPECIFIC USE INTENDED BY ASCENDIS.</w:t>
      </w:r>
    </w:p>
    <w:p>
      <w:pPr>
        <w:spacing w:after="0" w:line="98" w:lineRule="exact"/>
        <w:rPr>
          <w:sz w:val="20"/>
          <w:szCs w:val="20"/>
          <w:color w:val="auto"/>
        </w:rPr>
      </w:pPr>
    </w:p>
    <w:p>
      <w:pPr>
        <w:ind w:left="425" w:hanging="425"/>
        <w:spacing w:after="0"/>
        <w:tabs>
          <w:tab w:leader="none" w:pos="42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SUB-CONTRACTING</w:t>
      </w:r>
    </w:p>
    <w:p>
      <w:pPr>
        <w:spacing w:after="0" w:line="133" w:lineRule="exact"/>
        <w:rPr>
          <w:sz w:val="20"/>
          <w:szCs w:val="20"/>
          <w:color w:val="auto"/>
        </w:rPr>
      </w:pPr>
    </w:p>
    <w:p>
      <w:pPr>
        <w:ind w:left="1405" w:right="140" w:hanging="430"/>
        <w:spacing w:after="0" w:line="256" w:lineRule="auto"/>
        <w:rPr>
          <w:sz w:val="20"/>
          <w:szCs w:val="20"/>
          <w:color w:val="auto"/>
        </w:rPr>
      </w:pPr>
      <w:r>
        <w:rPr>
          <w:rFonts w:ascii="Arial" w:cs="Arial" w:eastAsia="Arial" w:hAnsi="Arial"/>
          <w:sz w:val="18"/>
          <w:szCs w:val="18"/>
          <w:color w:val="auto"/>
        </w:rPr>
        <w:t>21.1. Neither Party shall be entitled to assign or sub-contract its rights and/or obligations hereunder in whole or in part to any third party, including Affiliates unless having obtained the other Party’s prior written approval, provided, however, that Ascendis is free to assign its rights and obligations, including (without limitation) to a third party acquiring, by purchase or license, rights to further develop or commercialize the Ascendis Product, it being agreed that no assignment by Ascendis pursuant to Article 21.1 shall release Ascendis from its obligations hereunder, [***].</w:t>
      </w:r>
    </w:p>
    <w:p>
      <w:pPr>
        <w:spacing w:after="0" w:line="12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5"/>
          </w:cols>
          <w:pgMar w:left="455" w:top="273" w:right="479" w:bottom="1440" w:gutter="0" w:footer="0" w:header="0"/>
        </w:sectPr>
      </w:pPr>
    </w:p>
    <w:bookmarkStart w:id="293" w:name="page294"/>
    <w:bookmarkEnd w:id="293"/>
    <w:p>
      <w:pPr>
        <w:ind w:left="425" w:hanging="425"/>
        <w:spacing w:after="0"/>
        <w:tabs>
          <w:tab w:leader="none" w:pos="425"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FORCE MAJEURE</w:t>
      </w:r>
    </w:p>
    <w:p>
      <w:pPr>
        <w:spacing w:after="0" w:line="133" w:lineRule="exact"/>
        <w:rPr>
          <w:sz w:val="20"/>
          <w:szCs w:val="20"/>
          <w:color w:val="auto"/>
        </w:rPr>
      </w:pPr>
    </w:p>
    <w:p>
      <w:pPr>
        <w:ind w:left="985"/>
        <w:spacing w:after="0"/>
        <w:rPr>
          <w:sz w:val="20"/>
          <w:szCs w:val="20"/>
          <w:color w:val="auto"/>
        </w:rPr>
      </w:pPr>
      <w:r>
        <w:rPr>
          <w:rFonts w:ascii="Arial" w:cs="Arial" w:eastAsia="Arial" w:hAnsi="Arial"/>
          <w:sz w:val="17"/>
          <w:szCs w:val="17"/>
          <w:color w:val="auto"/>
        </w:rPr>
        <w:t>22.1. Neither Party shall be liable for non-performance of any provisions of this Agreement due to force majeure as defined below.</w:t>
      </w:r>
    </w:p>
    <w:p>
      <w:pPr>
        <w:spacing w:after="0" w:line="141" w:lineRule="exact"/>
        <w:rPr>
          <w:sz w:val="20"/>
          <w:szCs w:val="20"/>
          <w:color w:val="auto"/>
        </w:rPr>
      </w:pPr>
    </w:p>
    <w:p>
      <w:pPr>
        <w:ind w:left="1405" w:right="40" w:hanging="430"/>
        <w:spacing w:after="0" w:line="292" w:lineRule="auto"/>
        <w:rPr>
          <w:sz w:val="20"/>
          <w:szCs w:val="20"/>
          <w:color w:val="auto"/>
        </w:rPr>
      </w:pPr>
      <w:r>
        <w:rPr>
          <w:rFonts w:ascii="Arial" w:cs="Arial" w:eastAsia="Arial" w:hAnsi="Arial"/>
          <w:sz w:val="16"/>
          <w:szCs w:val="16"/>
          <w:color w:val="auto"/>
        </w:rPr>
        <w:t>22.2. Force majeure shall include strikes, lockouts, other industrial disturbances, rebellions, epidemics, landslides, earthquakes, fires, storms, floods, sinking, droughts, civil disturbances, explosions, act or decisions of duly constituted national government authorities or of courts of law, impossibility to obtain equipment, supplies, fuel or other required materials, unexpected toxicity findings of Product, beyond the control of the Party pleading force majeure preventing this Party from performing its rights and obligations and not to be overcome by due diligence of such Party and which could not reasonably have been foreseen at the time accepting the relevant order, provided neither Party shall have any obligation to settle a labour dispute in order to exercise due diligence.</w:t>
      </w:r>
    </w:p>
    <w:p>
      <w:pPr>
        <w:spacing w:after="0" w:line="69" w:lineRule="exact"/>
        <w:rPr>
          <w:sz w:val="20"/>
          <w:szCs w:val="20"/>
          <w:color w:val="auto"/>
        </w:rPr>
      </w:pPr>
    </w:p>
    <w:p>
      <w:pPr>
        <w:ind w:left="1405" w:hanging="430"/>
        <w:spacing w:after="0" w:line="256" w:lineRule="auto"/>
        <w:rPr>
          <w:sz w:val="20"/>
          <w:szCs w:val="20"/>
          <w:color w:val="auto"/>
        </w:rPr>
      </w:pPr>
      <w:r>
        <w:rPr>
          <w:rFonts w:ascii="Arial" w:cs="Arial" w:eastAsia="Arial" w:hAnsi="Arial"/>
          <w:sz w:val="18"/>
          <w:szCs w:val="18"/>
          <w:color w:val="auto"/>
        </w:rPr>
        <w:t>22.3. The Parties agree that if either of them find themselves wholly or partly unable to fulfil their respective obligations under this Agreement by reasons of force majeure, the Party pleading force majeure will as soon as possible notify the other Party of its inability to perform, giving a detailed explanation of the occurrence which excuses performance. Except from the payments of funds that are due and payable prior to any force majeure neither Party shall be required to make up for any performance that is prevented by force majeure.</w:t>
      </w:r>
    </w:p>
    <w:p>
      <w:pPr>
        <w:spacing w:after="0" w:line="93" w:lineRule="exact"/>
        <w:rPr>
          <w:sz w:val="20"/>
          <w:szCs w:val="20"/>
          <w:color w:val="auto"/>
        </w:rPr>
      </w:pPr>
    </w:p>
    <w:p>
      <w:pPr>
        <w:ind w:left="1405" w:right="560" w:hanging="430"/>
        <w:spacing w:after="0" w:line="262" w:lineRule="auto"/>
        <w:rPr>
          <w:sz w:val="20"/>
          <w:szCs w:val="20"/>
          <w:color w:val="auto"/>
        </w:rPr>
      </w:pPr>
      <w:r>
        <w:rPr>
          <w:rFonts w:ascii="Arial" w:cs="Arial" w:eastAsia="Arial" w:hAnsi="Arial"/>
          <w:sz w:val="18"/>
          <w:szCs w:val="18"/>
          <w:color w:val="auto"/>
        </w:rPr>
        <w:t>22.4. However, if the force majeure persists for a period of more than [***], and the Party pleading force majeure cannot present a remedial action plan acceptable to both Parties within the said [***], the non-failing Party shall be entitled to terminate this Agreement with immediate written notice.</w:t>
      </w:r>
    </w:p>
    <w:p>
      <w:pPr>
        <w:spacing w:after="0" w:line="85" w:lineRule="exact"/>
        <w:rPr>
          <w:sz w:val="20"/>
          <w:szCs w:val="20"/>
          <w:color w:val="auto"/>
        </w:rPr>
      </w:pPr>
    </w:p>
    <w:p>
      <w:pPr>
        <w:ind w:left="425" w:hanging="425"/>
        <w:spacing w:after="0"/>
        <w:tabs>
          <w:tab w:leader="none" w:pos="42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AND LAW</w:t>
      </w:r>
    </w:p>
    <w:p>
      <w:pPr>
        <w:spacing w:after="0" w:line="133" w:lineRule="exact"/>
        <w:rPr>
          <w:sz w:val="20"/>
          <w:szCs w:val="20"/>
          <w:color w:val="auto"/>
        </w:rPr>
      </w:pPr>
    </w:p>
    <w:p>
      <w:pPr>
        <w:ind w:left="1405" w:right="40" w:hanging="430"/>
        <w:spacing w:after="0" w:line="295" w:lineRule="auto"/>
        <w:rPr>
          <w:sz w:val="20"/>
          <w:szCs w:val="20"/>
          <w:color w:val="auto"/>
        </w:rPr>
      </w:pPr>
      <w:r>
        <w:rPr>
          <w:rFonts w:ascii="Arial" w:cs="Arial" w:eastAsia="Arial" w:hAnsi="Arial"/>
          <w:sz w:val="16"/>
          <w:szCs w:val="16"/>
          <w:color w:val="auto"/>
        </w:rPr>
        <w:t>23.1. In the event of any controversy or claim arising out of or relating to any provision of this Agreement or the breach, termination or invalidity thereof, the Parties shall try to settle the problem amicably between themselves. Should they fail to agree, the matter in dispute shall be settled by arbitration in accordance with the Rules of Arbitration of [***]. The award rendered shall be final and binding and enforceable by any court having jurisdiction. The arbitration court shall consist of [***] and shall have its seat in [***]. The language of the proceedings shall be English. The Institute shall appoint [***] on request by a Party hereto.</w:t>
      </w:r>
    </w:p>
    <w:p>
      <w:pPr>
        <w:spacing w:after="0" w:line="67" w:lineRule="exact"/>
        <w:rPr>
          <w:sz w:val="20"/>
          <w:szCs w:val="20"/>
          <w:color w:val="auto"/>
        </w:rPr>
      </w:pPr>
    </w:p>
    <w:p>
      <w:pPr>
        <w:ind w:left="985"/>
        <w:spacing w:after="0"/>
        <w:rPr>
          <w:sz w:val="20"/>
          <w:szCs w:val="20"/>
          <w:color w:val="auto"/>
        </w:rPr>
      </w:pPr>
      <w:r>
        <w:rPr>
          <w:rFonts w:ascii="Arial" w:cs="Arial" w:eastAsia="Arial" w:hAnsi="Arial"/>
          <w:sz w:val="18"/>
          <w:szCs w:val="18"/>
          <w:color w:val="auto"/>
        </w:rPr>
        <w:t>23.2. This Agreement shall be governed by and construed in accordance with the Laws of [***]</w:t>
      </w:r>
    </w:p>
    <w:p>
      <w:pPr>
        <w:spacing w:after="0" w:line="156" w:lineRule="exact"/>
        <w:rPr>
          <w:sz w:val="20"/>
          <w:szCs w:val="20"/>
          <w:color w:val="auto"/>
        </w:rPr>
      </w:pPr>
    </w:p>
    <w:p>
      <w:pPr>
        <w:ind w:left="5405"/>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5"/>
          </w:cols>
          <w:pgMar w:left="455" w:top="269" w:right="519" w:bottom="1440" w:gutter="0" w:footer="0" w:header="0"/>
        </w:sectPr>
      </w:pPr>
    </w:p>
    <w:bookmarkStart w:id="294" w:name="page295"/>
    <w:bookmarkEnd w:id="294"/>
    <w:p>
      <w:pPr>
        <w:ind w:left="425" w:hanging="425"/>
        <w:spacing w:after="0"/>
        <w:tabs>
          <w:tab w:leader="none" w:pos="425"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MISCELLANEOUS</w:t>
      </w:r>
    </w:p>
    <w:p>
      <w:pPr>
        <w:spacing w:after="0" w:line="133" w:lineRule="exact"/>
        <w:rPr>
          <w:sz w:val="20"/>
          <w:szCs w:val="20"/>
          <w:color w:val="auto"/>
        </w:rPr>
      </w:pPr>
    </w:p>
    <w:p>
      <w:pPr>
        <w:ind w:left="1405" w:hanging="430"/>
        <w:spacing w:after="0" w:line="254" w:lineRule="auto"/>
        <w:rPr>
          <w:sz w:val="20"/>
          <w:szCs w:val="20"/>
          <w:color w:val="auto"/>
        </w:rPr>
      </w:pPr>
      <w:r>
        <w:rPr>
          <w:rFonts w:ascii="Arial" w:cs="Arial" w:eastAsia="Arial" w:hAnsi="Arial"/>
          <w:sz w:val="18"/>
          <w:szCs w:val="18"/>
          <w:color w:val="auto"/>
        </w:rPr>
        <w:t>24.1. This Agreement and all Appendixes constitutes the entire agreement between the Parties concerning the subject matter hereof and supersedes all written or oral prior agreements or understandings with respect thereto, except any confidentiality agreements made by the Parties, which shall survive the obligations undertaken hereunder. No variation or modification of the terms of this Agreement nor any change of any of the terms or provisions hereof shall be valid unless stated in an amendment to this Agreement. This notwithstanding, any Appendix associated with this Agreement shall be valid and may be updated from time to time if signed by an Authorised Representative of each Party.</w:t>
      </w:r>
    </w:p>
    <w:p>
      <w:pPr>
        <w:spacing w:after="0" w:line="98" w:lineRule="exact"/>
        <w:rPr>
          <w:sz w:val="20"/>
          <w:szCs w:val="20"/>
          <w:color w:val="auto"/>
        </w:rPr>
      </w:pPr>
    </w:p>
    <w:p>
      <w:pPr>
        <w:ind w:left="1405" w:right="200" w:hanging="430"/>
        <w:spacing w:after="0" w:line="275" w:lineRule="auto"/>
        <w:rPr>
          <w:sz w:val="20"/>
          <w:szCs w:val="20"/>
          <w:color w:val="auto"/>
        </w:rPr>
      </w:pPr>
      <w:r>
        <w:rPr>
          <w:rFonts w:ascii="Arial" w:cs="Arial" w:eastAsia="Arial" w:hAnsi="Arial"/>
          <w:sz w:val="18"/>
          <w:szCs w:val="18"/>
          <w:color w:val="auto"/>
        </w:rPr>
        <w:t>24.2. The headings contained in this Agreement are for convenience and reference purposes only and shall not affect the meaning of the interpretation of this Agreement.</w:t>
      </w:r>
    </w:p>
    <w:p>
      <w:pPr>
        <w:spacing w:after="0" w:line="77" w:lineRule="exact"/>
        <w:rPr>
          <w:sz w:val="20"/>
          <w:szCs w:val="20"/>
          <w:color w:val="auto"/>
        </w:rPr>
      </w:pPr>
    </w:p>
    <w:p>
      <w:pPr>
        <w:ind w:left="1405" w:right="60" w:hanging="430"/>
        <w:spacing w:after="0" w:line="278" w:lineRule="auto"/>
        <w:rPr>
          <w:sz w:val="20"/>
          <w:szCs w:val="20"/>
          <w:color w:val="auto"/>
        </w:rPr>
      </w:pPr>
      <w:r>
        <w:rPr>
          <w:rFonts w:ascii="Arial" w:cs="Arial" w:eastAsia="Arial" w:hAnsi="Arial"/>
          <w:sz w:val="17"/>
          <w:szCs w:val="17"/>
          <w:color w:val="auto"/>
        </w:rPr>
        <w:t>24.3. The provisions of this Agreement are separate and divisible and the invalidity or unenforceability of any part shall not affect the validity or enforceability of any remaining part or parts, all of which shall remain in full force and effect. However, the Parties agree to substitute any invalid or unenforceable provision by a valid and enforceable arrangement, which achieves to the greatest extent possible the financial balance and mutual understanding already established between the Parties.</w:t>
      </w:r>
    </w:p>
    <w:p>
      <w:pPr>
        <w:spacing w:after="0" w:line="76" w:lineRule="exact"/>
        <w:rPr>
          <w:sz w:val="20"/>
          <w:szCs w:val="20"/>
          <w:color w:val="auto"/>
        </w:rPr>
      </w:pPr>
    </w:p>
    <w:p>
      <w:pPr>
        <w:ind w:left="1405" w:right="80" w:hanging="430"/>
        <w:spacing w:after="0" w:line="310" w:lineRule="auto"/>
        <w:rPr>
          <w:sz w:val="20"/>
          <w:szCs w:val="20"/>
          <w:color w:val="auto"/>
        </w:rPr>
      </w:pPr>
      <w:r>
        <w:rPr>
          <w:rFonts w:ascii="Arial" w:cs="Arial" w:eastAsia="Arial" w:hAnsi="Arial"/>
          <w:sz w:val="16"/>
          <w:szCs w:val="16"/>
          <w:color w:val="auto"/>
        </w:rPr>
        <w:t>24.4. The Appendices to this Agreement shall form an integral part of this Agreement and shall be regarded as incorporated into this Agreement in every respect. In case of inconsistency between the terms and conditions of the said Appendices and this Agreement, the latter shall prevail to the extent of such inconsistency, except that in quality related matters, the Quality Agreement shall prevail.</w:t>
      </w:r>
    </w:p>
    <w:p>
      <w:pPr>
        <w:spacing w:after="0" w:line="54" w:lineRule="exact"/>
        <w:rPr>
          <w:sz w:val="20"/>
          <w:szCs w:val="20"/>
          <w:color w:val="auto"/>
        </w:rPr>
      </w:pPr>
    </w:p>
    <w:p>
      <w:pPr>
        <w:ind w:left="1405" w:hanging="430"/>
        <w:spacing w:after="0" w:line="278" w:lineRule="auto"/>
        <w:rPr>
          <w:sz w:val="20"/>
          <w:szCs w:val="20"/>
          <w:color w:val="auto"/>
        </w:rPr>
      </w:pPr>
      <w:r>
        <w:rPr>
          <w:rFonts w:ascii="Arial" w:cs="Arial" w:eastAsia="Arial" w:hAnsi="Arial"/>
          <w:sz w:val="17"/>
          <w:szCs w:val="17"/>
          <w:color w:val="auto"/>
        </w:rPr>
        <w:t>24.5. All communication between the Parties and all notices made hereunder shall be made in the English language unless public authorities may require any written communication to be made in any other language and if so the Party submitting to the other Party and/or suggesting such written communication shall upon request from the other Party provide a proper translation hereof into English (certified by an authorised translator should the receiving Party so require).</w:t>
      </w:r>
    </w:p>
    <w:p>
      <w:pPr>
        <w:spacing w:after="0" w:line="76" w:lineRule="exact"/>
        <w:rPr>
          <w:sz w:val="20"/>
          <w:szCs w:val="20"/>
          <w:color w:val="auto"/>
        </w:rPr>
      </w:pPr>
    </w:p>
    <w:p>
      <w:pPr>
        <w:ind w:left="1405" w:right="80" w:hanging="430"/>
        <w:spacing w:after="0" w:line="262" w:lineRule="auto"/>
        <w:rPr>
          <w:sz w:val="20"/>
          <w:szCs w:val="20"/>
          <w:color w:val="auto"/>
        </w:rPr>
      </w:pPr>
      <w:r>
        <w:rPr>
          <w:rFonts w:ascii="Arial" w:cs="Arial" w:eastAsia="Arial" w:hAnsi="Arial"/>
          <w:sz w:val="18"/>
          <w:szCs w:val="18"/>
          <w:color w:val="auto"/>
        </w:rPr>
        <w:t>24.6. In the implementation of and performance under this Agreement, each Party shall comply with any and all relevant and applicable laws. Such compliance shall be the sole responsibility of such Party requiring no supervision, direction, responsibility or liability on behalf of the other Party.</w:t>
      </w:r>
    </w:p>
    <w:p>
      <w:pPr>
        <w:spacing w:after="0" w:line="89" w:lineRule="exact"/>
        <w:rPr>
          <w:sz w:val="20"/>
          <w:szCs w:val="20"/>
          <w:color w:val="auto"/>
        </w:rPr>
      </w:pPr>
    </w:p>
    <w:p>
      <w:pPr>
        <w:ind w:left="985"/>
        <w:spacing w:after="0"/>
        <w:rPr>
          <w:sz w:val="20"/>
          <w:szCs w:val="20"/>
          <w:color w:val="auto"/>
        </w:rPr>
      </w:pPr>
      <w:r>
        <w:rPr>
          <w:rFonts w:ascii="Arial" w:cs="Arial" w:eastAsia="Arial" w:hAnsi="Arial"/>
          <w:sz w:val="18"/>
          <w:szCs w:val="18"/>
          <w:color w:val="auto"/>
        </w:rPr>
        <w:t>24.7. Agreement shall be valid or binding upon the Parties hereto.</w:t>
      </w:r>
    </w:p>
    <w:p>
      <w:pPr>
        <w:spacing w:after="0" w:line="223" w:lineRule="exact"/>
        <w:rPr>
          <w:sz w:val="20"/>
          <w:szCs w:val="20"/>
          <w:color w:val="auto"/>
        </w:rPr>
      </w:pPr>
    </w:p>
    <w:p>
      <w:pPr>
        <w:ind w:left="5"/>
        <w:spacing w:after="0"/>
        <w:rPr>
          <w:sz w:val="20"/>
          <w:szCs w:val="20"/>
          <w:color w:val="auto"/>
        </w:rPr>
      </w:pPr>
      <w:r>
        <w:rPr>
          <w:rFonts w:ascii="Arial" w:cs="Arial" w:eastAsia="Arial" w:hAnsi="Arial"/>
          <w:sz w:val="18"/>
          <w:szCs w:val="18"/>
          <w:color w:val="auto"/>
        </w:rPr>
        <w:t>Remainder of page intentionally left blank. Signatures on next page.</w:t>
      </w:r>
    </w:p>
    <w:p>
      <w:pPr>
        <w:spacing w:after="0" w:line="15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5"/>
          </w:cols>
          <w:pgMar w:left="455" w:top="269" w:right="47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 witness thereof, the Parties hereto have caused this Agreement to be executed in duplicate by their duly authorised representatives.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Copenhagen, 03-03 2021</w:t>
            </w:r>
          </w:p>
        </w:tc>
        <w:tc>
          <w:tcPr>
            <w:tcW w:w="6480" w:type="dxa"/>
            <w:vAlign w:val="bottom"/>
            <w:gridSpan w:val="2"/>
          </w:tcPr>
          <w:p>
            <w:pPr>
              <w:ind w:left="1880"/>
              <w:spacing w:after="0"/>
              <w:rPr>
                <w:sz w:val="20"/>
                <w:szCs w:val="20"/>
                <w:color w:val="auto"/>
              </w:rPr>
            </w:pPr>
            <w:r>
              <w:rPr>
                <w:rFonts w:ascii="Arial" w:cs="Arial" w:eastAsia="Arial" w:hAnsi="Arial"/>
                <w:sz w:val="18"/>
                <w:szCs w:val="18"/>
                <w:color w:val="auto"/>
              </w:rPr>
              <w:t>Tokyo, Apr. 7 2021</w:t>
            </w:r>
          </w:p>
        </w:tc>
        <w:tc>
          <w:tcPr>
            <w:tcW w:w="0" w:type="dxa"/>
            <w:vAlign w:val="bottom"/>
          </w:tcPr>
          <w:p>
            <w:pPr>
              <w:spacing w:after="0"/>
              <w:rPr>
                <w:sz w:val="1"/>
                <w:szCs w:val="1"/>
                <w:color w:val="auto"/>
              </w:rPr>
            </w:pPr>
          </w:p>
        </w:tc>
      </w:tr>
      <w:tr>
        <w:trPr>
          <w:trHeight w:val="430"/>
        </w:trPr>
        <w:tc>
          <w:tcPr>
            <w:tcW w:w="4500" w:type="dxa"/>
            <w:vAlign w:val="bottom"/>
          </w:tcPr>
          <w:p>
            <w:pPr>
              <w:spacing w:after="0"/>
              <w:rPr>
                <w:sz w:val="20"/>
                <w:szCs w:val="20"/>
                <w:color w:val="auto"/>
              </w:rPr>
            </w:pPr>
            <w:r>
              <w:rPr>
                <w:rFonts w:ascii="Arial" w:cs="Arial" w:eastAsia="Arial" w:hAnsi="Arial"/>
                <w:sz w:val="18"/>
                <w:szCs w:val="18"/>
                <w:b w:val="1"/>
                <w:bCs w:val="1"/>
                <w:color w:val="auto"/>
              </w:rPr>
              <w:t>Ascendis Pharma A/S</w:t>
            </w:r>
          </w:p>
        </w:tc>
        <w:tc>
          <w:tcPr>
            <w:tcW w:w="6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NOF CORPORATION</w:t>
            </w:r>
          </w:p>
        </w:tc>
        <w:tc>
          <w:tcPr>
            <w:tcW w:w="0" w:type="dxa"/>
            <w:vAlign w:val="bottom"/>
          </w:tcPr>
          <w:p>
            <w:pPr>
              <w:spacing w:after="0"/>
              <w:rPr>
                <w:sz w:val="1"/>
                <w:szCs w:val="1"/>
                <w:color w:val="auto"/>
              </w:rPr>
            </w:pPr>
          </w:p>
        </w:tc>
      </w:tr>
      <w:tr>
        <w:trPr>
          <w:trHeight w:val="430"/>
        </w:trPr>
        <w:tc>
          <w:tcPr>
            <w:tcW w:w="4500" w:type="dxa"/>
            <w:vAlign w:val="bottom"/>
          </w:tcPr>
          <w:p>
            <w:pPr>
              <w:spacing w:after="0"/>
              <w:rPr>
                <w:sz w:val="20"/>
                <w:szCs w:val="20"/>
                <w:color w:val="auto"/>
              </w:rPr>
            </w:pPr>
            <w:r>
              <w:rPr>
                <w:rFonts w:ascii="Arial" w:cs="Arial" w:eastAsia="Arial" w:hAnsi="Arial"/>
                <w:sz w:val="18"/>
                <w:szCs w:val="18"/>
                <w:color w:val="auto"/>
              </w:rPr>
              <w:t>/s/ Michael Wolff Jensen</w:t>
            </w:r>
          </w:p>
        </w:tc>
        <w:tc>
          <w:tcPr>
            <w:tcW w:w="6480" w:type="dxa"/>
            <w:vAlign w:val="bottom"/>
            <w:gridSpan w:val="2"/>
          </w:tcPr>
          <w:p>
            <w:pPr>
              <w:ind w:left="1880"/>
              <w:spacing w:after="0"/>
              <w:rPr>
                <w:sz w:val="20"/>
                <w:szCs w:val="20"/>
                <w:color w:val="auto"/>
              </w:rPr>
            </w:pPr>
            <w:r>
              <w:rPr>
                <w:rFonts w:ascii="Arial" w:cs="Arial" w:eastAsia="Arial" w:hAnsi="Arial"/>
                <w:sz w:val="18"/>
                <w:szCs w:val="18"/>
                <w:color w:val="auto"/>
              </w:rPr>
              <w:t>/s/ Tsuncharu Miyazaki</w:t>
            </w:r>
          </w:p>
        </w:tc>
        <w:tc>
          <w:tcPr>
            <w:tcW w:w="0" w:type="dxa"/>
            <w:vAlign w:val="bottom"/>
          </w:tcPr>
          <w:p>
            <w:pPr>
              <w:spacing w:after="0"/>
              <w:rPr>
                <w:sz w:val="1"/>
                <w:szCs w:val="1"/>
                <w:color w:val="auto"/>
              </w:rPr>
            </w:pPr>
          </w:p>
        </w:tc>
      </w:tr>
      <w:tr>
        <w:trPr>
          <w:trHeight w:val="315"/>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Michael Wolff Jensen</w:t>
            </w:r>
          </w:p>
        </w:tc>
        <w:tc>
          <w:tcPr>
            <w:tcW w:w="1880" w:type="dxa"/>
            <w:vAlign w:val="bottom"/>
          </w:tcPr>
          <w:p>
            <w:pPr>
              <w:spacing w:after="0"/>
              <w:rPr>
                <w:sz w:val="24"/>
                <w:szCs w:val="24"/>
                <w:color w:val="auto"/>
              </w:rPr>
            </w:pPr>
          </w:p>
        </w:tc>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Tsuncharu Miyazaki</w:t>
            </w:r>
          </w:p>
        </w:tc>
        <w:tc>
          <w:tcPr>
            <w:tcW w:w="0" w:type="dxa"/>
            <w:vAlign w:val="bottom"/>
          </w:tcPr>
          <w:p>
            <w:pPr>
              <w:spacing w:after="0"/>
              <w:rPr>
                <w:sz w:val="1"/>
                <w:szCs w:val="1"/>
                <w:color w:val="auto"/>
              </w:rPr>
            </w:pPr>
          </w:p>
        </w:tc>
      </w:tr>
      <w:tr>
        <w:trPr>
          <w:trHeight w:val="215"/>
        </w:trPr>
        <w:tc>
          <w:tcPr>
            <w:tcW w:w="4500" w:type="dxa"/>
            <w:vAlign w:val="bottom"/>
          </w:tcPr>
          <w:p>
            <w:pPr>
              <w:jc w:val="center"/>
              <w:spacing w:after="0"/>
              <w:rPr>
                <w:sz w:val="20"/>
                <w:szCs w:val="20"/>
                <w:color w:val="auto"/>
              </w:rPr>
            </w:pPr>
            <w:r>
              <w:rPr>
                <w:rFonts w:ascii="Arial" w:cs="Arial" w:eastAsia="Arial" w:hAnsi="Arial"/>
                <w:sz w:val="18"/>
                <w:szCs w:val="18"/>
                <w:color w:val="auto"/>
                <w:w w:val="89"/>
              </w:rPr>
              <w:t>Chairman</w:t>
            </w:r>
          </w:p>
        </w:tc>
        <w:tc>
          <w:tcPr>
            <w:tcW w:w="188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3"/>
              </w:rPr>
              <w:t>Managing Executive Officer</w:t>
            </w:r>
          </w:p>
        </w:tc>
        <w:tc>
          <w:tcPr>
            <w:tcW w:w="0" w:type="dxa"/>
            <w:vAlign w:val="bottom"/>
          </w:tcPr>
          <w:p>
            <w:pPr>
              <w:spacing w:after="0"/>
              <w:rPr>
                <w:sz w:val="1"/>
                <w:szCs w:val="1"/>
                <w:color w:val="auto"/>
              </w:rPr>
            </w:pP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Ascendis Pharma A/S</w:t>
            </w:r>
          </w:p>
        </w:tc>
        <w:tc>
          <w:tcPr>
            <w:tcW w:w="188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2"/>
              </w:rPr>
              <w:t>General Manager DDS Development Division</w:t>
            </w:r>
          </w:p>
        </w:tc>
        <w:tc>
          <w:tcPr>
            <w:tcW w:w="0" w:type="dxa"/>
            <w:vAlign w:val="bottom"/>
          </w:tcPr>
          <w:p>
            <w:pPr>
              <w:spacing w:after="0"/>
              <w:rPr>
                <w:sz w:val="1"/>
                <w:szCs w:val="1"/>
                <w:color w:val="auto"/>
              </w:rPr>
            </w:pPr>
          </w:p>
        </w:tc>
      </w:tr>
      <w:tr>
        <w:trPr>
          <w:trHeight w:val="444"/>
        </w:trPr>
        <w:tc>
          <w:tcPr>
            <w:tcW w:w="4500" w:type="dxa"/>
            <w:vAlign w:val="bottom"/>
            <w:tcBorders>
              <w:bottom w:val="single" w:sz="8" w:color="auto"/>
            </w:tcBorders>
          </w:tcPr>
          <w:p>
            <w:pPr>
              <w:spacing w:after="0"/>
              <w:rPr>
                <w:sz w:val="24"/>
                <w:szCs w:val="24"/>
                <w:color w:val="auto"/>
              </w:rPr>
            </w:pPr>
          </w:p>
        </w:tc>
        <w:tc>
          <w:tcPr>
            <w:tcW w:w="1880" w:type="dxa"/>
            <w:vAlign w:val="bottom"/>
            <w:vMerge w:val="restart"/>
          </w:tcPr>
          <w:p>
            <w:pPr>
              <w:jc w:val="right"/>
              <w:ind w:right="710"/>
              <w:spacing w:after="0"/>
              <w:rPr>
                <w:sz w:val="20"/>
                <w:szCs w:val="20"/>
                <w:color w:val="auto"/>
              </w:rPr>
            </w:pPr>
            <w:r>
              <w:rPr>
                <w:rFonts w:ascii="Arial" w:cs="Arial" w:eastAsia="Arial" w:hAnsi="Arial"/>
                <w:sz w:val="18"/>
                <w:szCs w:val="18"/>
                <w:color w:val="auto"/>
              </w:rPr>
              <w:t>21</w:t>
            </w: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5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73" w:right="459" w:bottom="1440" w:gutter="0" w:footer="0" w:header="0"/>
        </w:sectPr>
      </w:pPr>
    </w:p>
    <w:bookmarkStart w:id="296" w:name="page297"/>
    <w:bookmarkEnd w:id="296"/>
    <w:p>
      <w:pPr>
        <w:jc w:val="center"/>
        <w:ind w:righ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1</w:t>
      </w:r>
    </w:p>
    <w:p>
      <w:pPr>
        <w:spacing w:after="0" w:line="23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Product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99"/>
          </w:cols>
          <w:pgMar w:left="460" w:top="274" w:right="1440" w:bottom="1440" w:gutter="0" w:footer="0" w:header="0"/>
        </w:sectPr>
      </w:pPr>
    </w:p>
    <w:bookmarkStart w:id="297" w:name="page298"/>
    <w:bookmarkEnd w:id="297"/>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2</w:t>
      </w:r>
    </w:p>
    <w:p>
      <w:pPr>
        <w:spacing w:after="0" w:line="219" w:lineRule="exact"/>
        <w:rPr>
          <w:sz w:val="20"/>
          <w:szCs w:val="20"/>
          <w:color w:val="auto"/>
        </w:rPr>
      </w:pPr>
    </w:p>
    <w:p>
      <w:pPr>
        <w:jc w:val="right"/>
        <w:ind w:right="3939"/>
        <w:spacing w:after="0"/>
        <w:rPr>
          <w:sz w:val="20"/>
          <w:szCs w:val="20"/>
          <w:color w:val="auto"/>
        </w:rPr>
      </w:pPr>
      <w:r>
        <w:rPr>
          <w:rFonts w:ascii="Arial" w:cs="Arial" w:eastAsia="Arial" w:hAnsi="Arial"/>
          <w:sz w:val="18"/>
          <w:szCs w:val="18"/>
          <w:b w:val="1"/>
          <w:bCs w:val="1"/>
          <w:color w:val="auto"/>
        </w:rPr>
        <w:t>Purchase Price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999"/>
          </w:cols>
          <w:pgMar w:left="460" w:top="273" w:right="1440" w:bottom="1440" w:gutter="0" w:footer="0" w:header="0"/>
        </w:sectPr>
      </w:pPr>
    </w:p>
    <w:bookmarkStart w:id="298" w:name="page299"/>
    <w:bookmarkEnd w:id="298"/>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3</w:t>
      </w:r>
    </w:p>
    <w:p>
      <w:pPr>
        <w:spacing w:after="0" w:line="219" w:lineRule="exact"/>
        <w:rPr>
          <w:sz w:val="20"/>
          <w:szCs w:val="20"/>
          <w:color w:val="auto"/>
        </w:rPr>
      </w:pPr>
    </w:p>
    <w:p>
      <w:pPr>
        <w:jc w:val="right"/>
        <w:ind w:right="3779"/>
        <w:spacing w:after="0"/>
        <w:rPr>
          <w:sz w:val="20"/>
          <w:szCs w:val="20"/>
          <w:color w:val="auto"/>
        </w:rPr>
      </w:pPr>
      <w:r>
        <w:rPr>
          <w:rFonts w:ascii="Arial" w:cs="Arial" w:eastAsia="Arial" w:hAnsi="Arial"/>
          <w:sz w:val="18"/>
          <w:szCs w:val="18"/>
          <w:b w:val="1"/>
          <w:bCs w:val="1"/>
          <w:color w:val="auto"/>
        </w:rPr>
        <w:t>Quality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999"/>
          </w:cols>
          <w:pgMar w:left="460" w:top="273" w:right="1440" w:bottom="1440" w:gutter="0" w:footer="0" w:header="0"/>
        </w:sectPr>
      </w:pPr>
    </w:p>
    <w:bookmarkStart w:id="299" w:name="page300"/>
    <w:bookmarkEnd w:id="299"/>
    <w:p>
      <w:pPr>
        <w:ind w:left="4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4</w:t>
      </w:r>
    </w:p>
    <w:p>
      <w:pPr>
        <w:spacing w:after="0" w:line="231"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Specifications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999"/>
          </w:cols>
          <w:pgMar w:left="460" w:top="273" w:right="1440" w:bottom="1440" w:gutter="0" w:footer="0" w:header="0"/>
        </w:sectPr>
      </w:pPr>
    </w:p>
    <w:bookmarkStart w:id="300" w:name="page301"/>
    <w:bookmarkEnd w:id="300"/>
    <w:p>
      <w:pPr>
        <w:jc w:val="center"/>
        <w:ind w:righ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5</w:t>
      </w:r>
    </w:p>
    <w:p>
      <w:pPr>
        <w:spacing w:after="0" w:line="23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99"/>
          </w:cols>
          <w:pgMar w:left="460" w:top="273" w:right="1440" w:bottom="1440" w:gutter="0" w:footer="0" w:header="0"/>
        </w:sectPr>
      </w:pPr>
    </w:p>
    <w:bookmarkStart w:id="301" w:name="page302"/>
    <w:bookmarkEnd w:id="301"/>
    <w:p>
      <w:pPr>
        <w:jc w:val="center"/>
        <w:ind w:righ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6</w:t>
      </w:r>
    </w:p>
    <w:p>
      <w:pPr>
        <w:spacing w:after="0" w:line="219"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List of applicable patents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999"/>
          </w:cols>
          <w:pgMar w:left="460" w:top="273" w:right="1440" w:bottom="1440" w:gutter="0" w:footer="0" w:header="0"/>
        </w:sectPr>
      </w:pPr>
    </w:p>
    <w:bookmarkStart w:id="302" w:name="page303"/>
    <w:bookmarkEnd w:id="302"/>
    <w:p>
      <w:pPr>
        <w:jc w:val="right"/>
        <w:ind w:right="39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5500"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APPENDIX 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999"/>
          </w:cols>
          <w:pgMar w:left="460" w:top="273" w:right="1440"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12.1</w:t>
      </w:r>
    </w:p>
    <w:p>
      <w:pPr>
        <w:spacing w:after="0" w:line="223"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9" w:lineRule="exact"/>
        <w:rPr>
          <w:sz w:val="20"/>
          <w:szCs w:val="20"/>
          <w:color w:val="auto"/>
        </w:rPr>
      </w:pPr>
    </w:p>
    <w:p>
      <w:pPr>
        <w:ind w:left="5"/>
        <w:spacing w:after="0"/>
        <w:rPr>
          <w:sz w:val="20"/>
          <w:szCs w:val="20"/>
          <w:color w:val="auto"/>
        </w:rPr>
      </w:pPr>
      <w:r>
        <w:rPr>
          <w:rFonts w:ascii="Arial" w:cs="Arial" w:eastAsia="Arial" w:hAnsi="Arial"/>
          <w:sz w:val="18"/>
          <w:szCs w:val="18"/>
          <w:color w:val="auto"/>
        </w:rPr>
        <w:t>I, Jan Møller Mikkelsen, certify that:</w:t>
      </w:r>
    </w:p>
    <w:p>
      <w:pPr>
        <w:spacing w:after="0" w:line="116" w:lineRule="exact"/>
        <w:rPr>
          <w:sz w:val="20"/>
          <w:szCs w:val="20"/>
          <w:color w:val="auto"/>
        </w:rPr>
      </w:pPr>
    </w:p>
    <w:p>
      <w:pPr>
        <w:ind w:left="185" w:hanging="185"/>
        <w:spacing w:after="0"/>
        <w:tabs>
          <w:tab w:leader="none" w:pos="18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Ascendis Pharma A/S (the “Company”);</w:t>
      </w:r>
    </w:p>
    <w:p>
      <w:pPr>
        <w:spacing w:after="0" w:line="115" w:lineRule="exact"/>
        <w:rPr>
          <w:rFonts w:ascii="Arial" w:cs="Arial" w:eastAsia="Arial" w:hAnsi="Arial"/>
          <w:sz w:val="18"/>
          <w:szCs w:val="18"/>
          <w:color w:val="auto"/>
        </w:rPr>
      </w:pPr>
    </w:p>
    <w:p>
      <w:pPr>
        <w:ind w:left="5" w:right="60" w:hanging="5"/>
        <w:spacing w:after="0" w:line="340" w:lineRule="auto"/>
        <w:tabs>
          <w:tab w:leader="none" w:pos="18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left="5" w:right="340" w:hanging="5"/>
        <w:spacing w:after="0" w:line="306" w:lineRule="auto"/>
        <w:tabs>
          <w:tab w:leader="none" w:pos="18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9" w:lineRule="exact"/>
        <w:rPr>
          <w:rFonts w:ascii="Arial" w:cs="Arial" w:eastAsia="Arial" w:hAnsi="Arial"/>
          <w:sz w:val="17"/>
          <w:szCs w:val="17"/>
          <w:color w:val="auto"/>
        </w:rPr>
      </w:pPr>
    </w:p>
    <w:p>
      <w:pPr>
        <w:ind w:left="5" w:right="160" w:hanging="5"/>
        <w:spacing w:after="0" w:line="262" w:lineRule="auto"/>
        <w:tabs>
          <w:tab w:leader="none" w:pos="18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75" w:lineRule="exact"/>
        <w:rPr>
          <w:sz w:val="20"/>
          <w:szCs w:val="20"/>
          <w:color w:val="auto"/>
        </w:rPr>
      </w:pPr>
    </w:p>
    <w:p>
      <w:pPr>
        <w:ind w:left="5" w:right="60" w:hanging="5"/>
        <w:spacing w:after="0" w:line="262" w:lineRule="auto"/>
        <w:tabs>
          <w:tab w:leader="none" w:pos="24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 w:right="40" w:hanging="5"/>
        <w:spacing w:after="0" w:line="262" w:lineRule="auto"/>
        <w:tabs>
          <w:tab w:leader="none" w:pos="25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 w:right="80" w:hanging="5"/>
        <w:spacing w:after="0" w:line="306" w:lineRule="auto"/>
        <w:tabs>
          <w:tab w:leader="none" w:pos="24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ind w:left="5" w:right="120" w:hanging="5"/>
        <w:spacing w:after="0" w:line="306" w:lineRule="auto"/>
        <w:tabs>
          <w:tab w:leader="none" w:pos="259" w:val="left"/>
        </w:tabs>
        <w:numPr>
          <w:ilvl w:val="0"/>
          <w:numId w:val="274"/>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0" w:lineRule="exact"/>
        <w:rPr>
          <w:sz w:val="20"/>
          <w:szCs w:val="20"/>
          <w:color w:val="auto"/>
        </w:rPr>
      </w:pPr>
    </w:p>
    <w:p>
      <w:pPr>
        <w:ind w:left="5" w:right="240" w:hanging="5"/>
        <w:spacing w:after="0" w:line="306" w:lineRule="auto"/>
        <w:tabs>
          <w:tab w:leader="none" w:pos="18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5" w:right="20" w:hanging="5"/>
        <w:spacing w:after="0" w:line="275" w:lineRule="auto"/>
        <w:tabs>
          <w:tab w:leader="none" w:pos="24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3" w:lineRule="exact"/>
        <w:rPr>
          <w:rFonts w:ascii="Arial" w:cs="Arial" w:eastAsia="Arial" w:hAnsi="Arial"/>
          <w:sz w:val="18"/>
          <w:szCs w:val="18"/>
          <w:color w:val="auto"/>
        </w:rPr>
      </w:pPr>
    </w:p>
    <w:p>
      <w:pPr>
        <w:ind w:left="5" w:right="40" w:hanging="5"/>
        <w:spacing w:after="0" w:line="275" w:lineRule="auto"/>
        <w:tabs>
          <w:tab w:leader="none" w:pos="25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1" w:lineRule="exact"/>
        <w:rPr>
          <w:sz w:val="20"/>
          <w:szCs w:val="20"/>
          <w:color w:val="auto"/>
        </w:rPr>
      </w:pPr>
    </w:p>
    <w:p>
      <w:pPr>
        <w:ind w:left="5"/>
        <w:spacing w:after="0"/>
        <w:rPr>
          <w:sz w:val="20"/>
          <w:szCs w:val="20"/>
          <w:color w:val="auto"/>
        </w:rPr>
      </w:pPr>
      <w:r>
        <w:rPr>
          <w:rFonts w:ascii="Arial" w:cs="Arial" w:eastAsia="Arial" w:hAnsi="Arial"/>
          <w:sz w:val="18"/>
          <w:szCs w:val="18"/>
          <w:color w:val="auto"/>
        </w:rPr>
        <w:t>Date: March 2, 2022</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By: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5080</wp:posOffset>
            </wp:positionV>
            <wp:extent cx="25539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Name: Jan Møller Mikkelsen</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985"/>
          </w:cols>
          <w:pgMar w:left="455" w:top="121" w:right="45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12.2</w:t>
      </w:r>
    </w:p>
    <w:p>
      <w:pPr>
        <w:spacing w:after="0" w:line="223"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9" w:lineRule="exact"/>
        <w:rPr>
          <w:sz w:val="20"/>
          <w:szCs w:val="20"/>
          <w:color w:val="auto"/>
        </w:rPr>
      </w:pPr>
    </w:p>
    <w:p>
      <w:pPr>
        <w:ind w:left="5"/>
        <w:spacing w:after="0"/>
        <w:rPr>
          <w:sz w:val="20"/>
          <w:szCs w:val="20"/>
          <w:color w:val="auto"/>
        </w:rPr>
      </w:pPr>
      <w:r>
        <w:rPr>
          <w:rFonts w:ascii="Arial" w:cs="Arial" w:eastAsia="Arial" w:hAnsi="Arial"/>
          <w:sz w:val="18"/>
          <w:szCs w:val="18"/>
          <w:color w:val="auto"/>
        </w:rPr>
        <w:t>I, Scott T. Smith, certify that:</w:t>
      </w:r>
    </w:p>
    <w:p>
      <w:pPr>
        <w:spacing w:after="0" w:line="116" w:lineRule="exact"/>
        <w:rPr>
          <w:sz w:val="20"/>
          <w:szCs w:val="20"/>
          <w:color w:val="auto"/>
        </w:rPr>
      </w:pPr>
    </w:p>
    <w:p>
      <w:pPr>
        <w:ind w:left="185" w:hanging="185"/>
        <w:spacing w:after="0"/>
        <w:tabs>
          <w:tab w:leader="none" w:pos="18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Ascendis Pharma A/S (the “Company”);</w:t>
      </w:r>
    </w:p>
    <w:p>
      <w:pPr>
        <w:spacing w:after="0" w:line="115" w:lineRule="exact"/>
        <w:rPr>
          <w:rFonts w:ascii="Arial" w:cs="Arial" w:eastAsia="Arial" w:hAnsi="Arial"/>
          <w:sz w:val="18"/>
          <w:szCs w:val="18"/>
          <w:color w:val="auto"/>
        </w:rPr>
      </w:pPr>
    </w:p>
    <w:p>
      <w:pPr>
        <w:ind w:left="5" w:right="60" w:hanging="5"/>
        <w:spacing w:after="0" w:line="340" w:lineRule="auto"/>
        <w:tabs>
          <w:tab w:leader="none" w:pos="18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left="5" w:right="340" w:hanging="5"/>
        <w:spacing w:after="0" w:line="306" w:lineRule="auto"/>
        <w:tabs>
          <w:tab w:leader="none" w:pos="18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9" w:lineRule="exact"/>
        <w:rPr>
          <w:rFonts w:ascii="Arial" w:cs="Arial" w:eastAsia="Arial" w:hAnsi="Arial"/>
          <w:sz w:val="17"/>
          <w:szCs w:val="17"/>
          <w:color w:val="auto"/>
        </w:rPr>
      </w:pPr>
    </w:p>
    <w:p>
      <w:pPr>
        <w:ind w:left="5" w:right="160" w:hanging="5"/>
        <w:spacing w:after="0" w:line="262" w:lineRule="auto"/>
        <w:tabs>
          <w:tab w:leader="none" w:pos="18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75" w:lineRule="exact"/>
        <w:rPr>
          <w:sz w:val="20"/>
          <w:szCs w:val="20"/>
          <w:color w:val="auto"/>
        </w:rPr>
      </w:pPr>
    </w:p>
    <w:p>
      <w:pPr>
        <w:ind w:left="5" w:right="60" w:hanging="5"/>
        <w:spacing w:after="0" w:line="262" w:lineRule="auto"/>
        <w:tabs>
          <w:tab w:leader="none" w:pos="24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 w:right="40" w:hanging="5"/>
        <w:spacing w:after="0" w:line="262" w:lineRule="auto"/>
        <w:tabs>
          <w:tab w:leader="none" w:pos="25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 w:right="80" w:hanging="5"/>
        <w:spacing w:after="0" w:line="306" w:lineRule="auto"/>
        <w:tabs>
          <w:tab w:leader="none" w:pos="24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ind w:left="5" w:right="120" w:hanging="5"/>
        <w:spacing w:after="0" w:line="306" w:lineRule="auto"/>
        <w:tabs>
          <w:tab w:leader="none" w:pos="25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0" w:lineRule="exact"/>
        <w:rPr>
          <w:sz w:val="20"/>
          <w:szCs w:val="20"/>
          <w:color w:val="auto"/>
        </w:rPr>
      </w:pPr>
    </w:p>
    <w:p>
      <w:pPr>
        <w:ind w:left="5" w:right="240" w:hanging="5"/>
        <w:spacing w:after="0" w:line="306" w:lineRule="auto"/>
        <w:tabs>
          <w:tab w:leader="none" w:pos="184"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5" w:right="20" w:hanging="5"/>
        <w:spacing w:after="0" w:line="275" w:lineRule="auto"/>
        <w:tabs>
          <w:tab w:leader="none" w:pos="24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3" w:lineRule="exact"/>
        <w:rPr>
          <w:rFonts w:ascii="Arial" w:cs="Arial" w:eastAsia="Arial" w:hAnsi="Arial"/>
          <w:sz w:val="18"/>
          <w:szCs w:val="18"/>
          <w:color w:val="auto"/>
        </w:rPr>
      </w:pPr>
    </w:p>
    <w:p>
      <w:pPr>
        <w:ind w:left="5" w:right="40" w:hanging="5"/>
        <w:spacing w:after="0" w:line="275" w:lineRule="auto"/>
        <w:tabs>
          <w:tab w:leader="none" w:pos="25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1" w:lineRule="exact"/>
        <w:rPr>
          <w:sz w:val="20"/>
          <w:szCs w:val="20"/>
          <w:color w:val="auto"/>
        </w:rPr>
      </w:pPr>
    </w:p>
    <w:p>
      <w:pPr>
        <w:ind w:left="5"/>
        <w:spacing w:after="0"/>
        <w:rPr>
          <w:sz w:val="20"/>
          <w:szCs w:val="20"/>
          <w:color w:val="auto"/>
        </w:rPr>
      </w:pPr>
      <w:r>
        <w:rPr>
          <w:rFonts w:ascii="Arial" w:cs="Arial" w:eastAsia="Arial" w:hAnsi="Arial"/>
          <w:sz w:val="18"/>
          <w:szCs w:val="18"/>
          <w:color w:val="auto"/>
        </w:rPr>
        <w:t>Date: March 2, 2022</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By: /s/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5080</wp:posOffset>
            </wp:positionV>
            <wp:extent cx="25539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Name: Scott T. Smith</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Title: Chief Financial Officer and Principal Financial Officer</w:t>
      </w:r>
    </w:p>
    <w:p>
      <w:pPr>
        <w:sectPr>
          <w:pgSz w:w="11900" w:h="16838" w:orient="portrait"/>
          <w:cols w:equalWidth="0" w:num="1">
            <w:col w:w="10985"/>
          </w:cols>
          <w:pgMar w:left="455" w:top="121" w:right="45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13.1</w:t>
      </w:r>
    </w:p>
    <w:p>
      <w:pPr>
        <w:spacing w:after="0" w:line="223"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CERTIFICATION BY THE CHIEF EXECUTIVE OFFICER PURSUANT TO 18 U.S.C.</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SECTION 1350, AS ADOPTED PURSUANT TO SECTION 906 OF THE SARBANES-OXLEY ACT OF 2002*</w:t>
      </w:r>
    </w:p>
    <w:p>
      <w:pPr>
        <w:spacing w:after="0" w:line="209" w:lineRule="exact"/>
        <w:rPr>
          <w:sz w:val="20"/>
          <w:szCs w:val="20"/>
          <w:color w:val="auto"/>
        </w:rPr>
      </w:pPr>
    </w:p>
    <w:p>
      <w:pPr>
        <w:ind w:left="5" w:right="100"/>
        <w:spacing w:after="0" w:line="258" w:lineRule="auto"/>
        <w:rPr>
          <w:sz w:val="20"/>
          <w:szCs w:val="20"/>
          <w:color w:val="auto"/>
        </w:rPr>
      </w:pPr>
      <w:r>
        <w:rPr>
          <w:rFonts w:ascii="Arial" w:cs="Arial" w:eastAsia="Arial" w:hAnsi="Arial"/>
          <w:sz w:val="18"/>
          <w:szCs w:val="18"/>
          <w:color w:val="auto"/>
        </w:rPr>
        <w:t>In connection with the Annual Report on Form 20-F of Ascendis Pharma A/S (the “Company”) for the year ended December 31, 2021, as filed with the U.S. Securities and Exchange Commission on the date hereof (the “Report”), the undersigned Jan Møller Mikkelsen, as Chief Executive Officer of the Company, hereby certifies, pursuant to 18 U.S.C. Section 1350, as adopted pursuant to Section 906 of the Sarbanes-Oxley Act of 2002, that to the best of his knowledge:</w:t>
      </w:r>
    </w:p>
    <w:p>
      <w:pPr>
        <w:spacing w:after="0" w:line="79" w:lineRule="exact"/>
        <w:rPr>
          <w:sz w:val="20"/>
          <w:szCs w:val="20"/>
          <w:color w:val="auto"/>
        </w:rPr>
      </w:pPr>
    </w:p>
    <w:p>
      <w:pPr>
        <w:ind w:left="245" w:hanging="245"/>
        <w:spacing w:after="0"/>
        <w:tabs>
          <w:tab w:leader="none" w:pos="24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5" w:lineRule="exact"/>
        <w:rPr>
          <w:rFonts w:ascii="Arial" w:cs="Arial" w:eastAsia="Arial" w:hAnsi="Arial"/>
          <w:sz w:val="18"/>
          <w:szCs w:val="18"/>
          <w:color w:val="auto"/>
        </w:rPr>
      </w:pPr>
    </w:p>
    <w:p>
      <w:pPr>
        <w:ind w:left="245" w:hanging="245"/>
        <w:spacing w:after="0"/>
        <w:tabs>
          <w:tab w:leader="none" w:pos="24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6" w:lineRule="exact"/>
        <w:rPr>
          <w:sz w:val="20"/>
          <w:szCs w:val="20"/>
          <w:color w:val="auto"/>
        </w:rPr>
      </w:pPr>
    </w:p>
    <w:p>
      <w:pPr>
        <w:ind w:left="5"/>
        <w:spacing w:after="0"/>
        <w:rPr>
          <w:sz w:val="20"/>
          <w:szCs w:val="20"/>
          <w:color w:val="auto"/>
        </w:rPr>
      </w:pPr>
      <w:r>
        <w:rPr>
          <w:rFonts w:ascii="Arial" w:cs="Arial" w:eastAsia="Arial" w:hAnsi="Arial"/>
          <w:sz w:val="18"/>
          <w:szCs w:val="18"/>
          <w:color w:val="auto"/>
        </w:rPr>
        <w:t>Date: March 2, 2022</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By: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5080</wp:posOffset>
            </wp:positionV>
            <wp:extent cx="25539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Name: Jan Møller Mikkelsen</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985"/>
          </w:cols>
          <w:pgMar w:left="455" w:top="122" w:right="45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13.2</w:t>
      </w:r>
    </w:p>
    <w:p>
      <w:pPr>
        <w:spacing w:after="0" w:line="223"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CERTIFICATION BY THE PRINCIPAL FINANCIAL OFFICER PURSUANT TO 18 U.S.C.</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SECTION 1350, AS ADOPTED PURSUANT TO SECTION 906 OF THE SARBANES-OXLEY ACT OF 2002*</w:t>
      </w:r>
    </w:p>
    <w:p>
      <w:pPr>
        <w:spacing w:after="0" w:line="209" w:lineRule="exact"/>
        <w:rPr>
          <w:sz w:val="20"/>
          <w:szCs w:val="20"/>
          <w:color w:val="auto"/>
        </w:rPr>
      </w:pPr>
    </w:p>
    <w:p>
      <w:pPr>
        <w:ind w:left="5" w:right="100"/>
        <w:spacing w:after="0" w:line="258" w:lineRule="auto"/>
        <w:rPr>
          <w:sz w:val="20"/>
          <w:szCs w:val="20"/>
          <w:color w:val="auto"/>
        </w:rPr>
      </w:pPr>
      <w:r>
        <w:rPr>
          <w:rFonts w:ascii="Arial" w:cs="Arial" w:eastAsia="Arial" w:hAnsi="Arial"/>
          <w:sz w:val="18"/>
          <w:szCs w:val="18"/>
          <w:color w:val="auto"/>
        </w:rPr>
        <w:t>In connection with the Annual Report on Form 20-F of Ascendis Pharma A/S (the “Company”) for the year ended December 31, 2021, as filed with the U.S. Securities and Exchange Commission on the date hereof (the “Report”), the undersigned Scott T. Smith, as Chief Financial Officer and Principal Financial Officer of the Company, hereby certifies, pursuant to 18 U.S.C. Section 1350, as adopted pursuant to Section 906 of the Sarbanes-Oxley Act of 2002, that to the best of his knowledge:</w:t>
      </w:r>
    </w:p>
    <w:p>
      <w:pPr>
        <w:spacing w:after="0" w:line="79" w:lineRule="exact"/>
        <w:rPr>
          <w:sz w:val="20"/>
          <w:szCs w:val="20"/>
          <w:color w:val="auto"/>
        </w:rPr>
      </w:pPr>
    </w:p>
    <w:p>
      <w:pPr>
        <w:ind w:left="245" w:hanging="245"/>
        <w:spacing w:after="0"/>
        <w:tabs>
          <w:tab w:leader="none" w:pos="24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5" w:lineRule="exact"/>
        <w:rPr>
          <w:rFonts w:ascii="Arial" w:cs="Arial" w:eastAsia="Arial" w:hAnsi="Arial"/>
          <w:sz w:val="18"/>
          <w:szCs w:val="18"/>
          <w:color w:val="auto"/>
        </w:rPr>
      </w:pPr>
    </w:p>
    <w:p>
      <w:pPr>
        <w:ind w:left="245" w:hanging="245"/>
        <w:spacing w:after="0"/>
        <w:tabs>
          <w:tab w:leader="none" w:pos="24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6" w:lineRule="exact"/>
        <w:rPr>
          <w:sz w:val="20"/>
          <w:szCs w:val="20"/>
          <w:color w:val="auto"/>
        </w:rPr>
      </w:pPr>
    </w:p>
    <w:p>
      <w:pPr>
        <w:ind w:left="5"/>
        <w:spacing w:after="0"/>
        <w:rPr>
          <w:sz w:val="20"/>
          <w:szCs w:val="20"/>
          <w:color w:val="auto"/>
        </w:rPr>
      </w:pPr>
      <w:r>
        <w:rPr>
          <w:rFonts w:ascii="Arial" w:cs="Arial" w:eastAsia="Arial" w:hAnsi="Arial"/>
          <w:sz w:val="18"/>
          <w:szCs w:val="18"/>
          <w:color w:val="auto"/>
        </w:rPr>
        <w:t>Date: March 2, 2022</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By: /s/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5080</wp:posOffset>
            </wp:positionV>
            <wp:extent cx="25539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1" w:lineRule="exact"/>
        <w:rPr>
          <w:sz w:val="20"/>
          <w:szCs w:val="20"/>
          <w:color w:val="auto"/>
        </w:rPr>
      </w:pPr>
    </w:p>
    <w:p>
      <w:pPr>
        <w:ind w:left="5"/>
        <w:spacing w:after="0"/>
        <w:rPr>
          <w:sz w:val="20"/>
          <w:szCs w:val="20"/>
          <w:color w:val="auto"/>
        </w:rPr>
      </w:pPr>
      <w:r>
        <w:rPr>
          <w:rFonts w:ascii="Arial" w:cs="Arial" w:eastAsia="Arial" w:hAnsi="Arial"/>
          <w:sz w:val="18"/>
          <w:szCs w:val="18"/>
          <w:color w:val="auto"/>
        </w:rPr>
        <w:t>Name: Scott T. Smith</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Title: Chief Financial Officer and Principal Financial Officer</w:t>
      </w:r>
    </w:p>
    <w:p>
      <w:pPr>
        <w:sectPr>
          <w:pgSz w:w="11900" w:h="16838" w:orient="portrait"/>
          <w:cols w:equalWidth="0" w:num="1">
            <w:col w:w="10985"/>
          </w:cols>
          <w:pgMar w:left="455" w:top="121" w:right="45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15.1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333-203040, 333-210810, 333-211512, 333-213412, 333-214843, 333-216883, 333-228576, 333-254101 and 333-261550 on Form S-8 and Registration Nos. 333-209336, 333-211511, 333-216882, 333-223134, 333-225284, and 333-256571 on Form F-3 of our report dated March 2, 2022, relating to the financial statements of Ascendis Pharma A/S and the effectiveness of Ascendis Pharma A/S’s internal control over financial reporting appearing in this Annual Report on Form 20-F for the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Statsautoriseret Revisionspartnerselskab</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Copenhagen, Denmark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7F3E5"/>
    <w:multiLevelType w:val="hybridMultilevel"/>
    <w:lvl w:ilvl="0">
      <w:lvlJc w:val="left"/>
      <w:lvlText w:val="☐"/>
      <w:numFmt w:val="bullet"/>
      <w:start w:val="1"/>
    </w:lvl>
  </w:abstractNum>
  <w:abstractNum w:abstractNumId="1">
    <w:nsid w:val="2A6DE806"/>
    <w:multiLevelType w:val="hybridMultilevel"/>
    <w:lvl w:ilvl="0">
      <w:lvlJc w:val="left"/>
      <w:lvlText w:val="☒"/>
      <w:numFmt w:val="bullet"/>
      <w:start w:val="1"/>
    </w:lvl>
  </w:abstractNum>
  <w:abstractNum w:abstractNumId="2">
    <w:nsid w:val="1816F8C4"/>
    <w:multiLevelType w:val="hybridMultilevel"/>
    <w:lvl w:ilvl="0">
      <w:lvlJc w:val="left"/>
      <w:lvlText w:val="☐"/>
      <w:numFmt w:val="bullet"/>
      <w:start w:val="1"/>
    </w:lvl>
  </w:abstractNum>
  <w:abstractNum w:abstractNumId="3">
    <w:nsid w:val="37DF2233"/>
    <w:multiLevelType w:val="hybridMultilevel"/>
    <w:lvl w:ilvl="0">
      <w:lvlJc w:val="left"/>
      <w:lvlText w:val="☐"/>
      <w:numFmt w:val="bullet"/>
      <w:start w:val="1"/>
    </w:lvl>
  </w:abstractNum>
  <w:abstractNum w:abstractNumId="4">
    <w:nsid w:val="7AB49DAF"/>
    <w:multiLevelType w:val="hybridMultilevel"/>
    <w:lvl w:ilvl="0">
      <w:lvlJc w:val="left"/>
      <w:lvlText w:val="*"/>
      <w:numFmt w:val="bullet"/>
      <w:start w:val="1"/>
    </w:lvl>
  </w:abstractNum>
  <w:abstractNum w:abstractNumId="5">
    <w:nsid w:val="759F82CD"/>
    <w:multiLevelType w:val="hybridMultilevel"/>
    <w:lvl w:ilvl="0">
      <w:lvlJc w:val="left"/>
      <w:lvlText w:val="•"/>
      <w:numFmt w:val="bullet"/>
      <w:start w:val="1"/>
    </w:lvl>
  </w:abstractNum>
  <w:abstractNum w:abstractNumId="6">
    <w:nsid w:val="61E74EA3"/>
    <w:multiLevelType w:val="hybridMultilevel"/>
    <w:lvl w:ilvl="0">
      <w:lvlJc w:val="left"/>
      <w:lvlText w:val="•"/>
      <w:numFmt w:val="bullet"/>
      <w:start w:val="1"/>
    </w:lvl>
  </w:abstractNum>
  <w:abstractNum w:abstractNumId="7">
    <w:nsid w:val="597B4D84"/>
    <w:multiLevelType w:val="hybridMultilevel"/>
    <w:lvl w:ilvl="0">
      <w:lvlJc w:val="left"/>
      <w:lvlText w:val="•"/>
      <w:numFmt w:val="bullet"/>
      <w:start w:val="1"/>
    </w:lvl>
  </w:abstractNum>
  <w:abstractNum w:abstractNumId="8">
    <w:nsid w:val="F819E7F"/>
    <w:multiLevelType w:val="hybridMultilevel"/>
    <w:lvl w:ilvl="0">
      <w:lvlJc w:val="left"/>
      <w:lvlText w:val="•"/>
      <w:numFmt w:val="bullet"/>
      <w:start w:val="1"/>
    </w:lvl>
  </w:abstractNum>
  <w:abstractNum w:abstractNumId="9">
    <w:nsid w:val="57C7D42D"/>
    <w:multiLevelType w:val="hybridMultilevel"/>
    <w:lvl w:ilvl="0">
      <w:lvlJc w:val="left"/>
      <w:lvlText w:val="%1."/>
      <w:numFmt w:val="upperLetter"/>
      <w:start w:val="1"/>
    </w:lvl>
  </w:abstractNum>
  <w:abstractNum w:abstractNumId="10">
    <w:nsid w:val="312167AD"/>
    <w:multiLevelType w:val="hybridMultilevel"/>
    <w:lvl w:ilvl="0">
      <w:lvlJc w:val="left"/>
      <w:lvlText w:val="%1."/>
      <w:numFmt w:val="upperLetter"/>
      <w:start w:val="3"/>
    </w:lvl>
  </w:abstractNum>
  <w:abstractNum w:abstractNumId="11">
    <w:nsid w:val="631B64D4"/>
    <w:multiLevelType w:val="hybridMultilevel"/>
    <w:lvl w:ilvl="0">
      <w:lvlJc w:val="left"/>
      <w:lvlText w:val="%1."/>
      <w:numFmt w:val="upperLetter"/>
      <w:start w:val="4"/>
    </w:lvl>
  </w:abstractNum>
  <w:abstractNum w:abstractNumId="12">
    <w:nsid w:val="78B5E776"/>
    <w:multiLevelType w:val="hybridMultilevel"/>
    <w:lvl w:ilvl="0">
      <w:lvlJc w:val="left"/>
      <w:lvlText w:val="•"/>
      <w:numFmt w:val="bullet"/>
      <w:start w:val="1"/>
    </w:lvl>
  </w:abstractNum>
  <w:abstractNum w:abstractNumId="13">
    <w:nsid w:val="75486E47"/>
    <w:multiLevelType w:val="hybridMultilevel"/>
    <w:lvl w:ilvl="0">
      <w:lvlJc w:val="left"/>
      <w:lvlText w:val="•"/>
      <w:numFmt w:val="bullet"/>
      <w:start w:val="1"/>
    </w:lvl>
  </w:abstractNum>
  <w:abstractNum w:abstractNumId="14">
    <w:nsid w:val="6E534CDE"/>
    <w:multiLevelType w:val="hybridMultilevel"/>
    <w:lvl w:ilvl="0">
      <w:lvlJc w:val="left"/>
      <w:lvlText w:val="•"/>
      <w:numFmt w:val="bullet"/>
      <w:start w:val="1"/>
    </w:lvl>
  </w:abstractNum>
  <w:abstractNum w:abstractNumId="15">
    <w:nsid w:val="1A0DDE32"/>
    <w:multiLevelType w:val="hybridMultilevel"/>
    <w:lvl w:ilvl="0">
      <w:lvlJc w:val="left"/>
      <w:lvlText w:val="•"/>
      <w:numFmt w:val="bullet"/>
      <w:start w:val="1"/>
    </w:lvl>
  </w:abstractNum>
  <w:abstractNum w:abstractNumId="16">
    <w:nsid w:val="65968C1C"/>
    <w:multiLevelType w:val="hybridMultilevel"/>
    <w:lvl w:ilvl="0">
      <w:lvlJc w:val="left"/>
      <w:lvlText w:val="•"/>
      <w:numFmt w:val="bullet"/>
      <w:start w:val="1"/>
    </w:lvl>
  </w:abstractNum>
  <w:abstractNum w:abstractNumId="17">
    <w:nsid w:val="46263DEC"/>
    <w:multiLevelType w:val="hybridMultilevel"/>
    <w:lvl w:ilvl="0">
      <w:lvlJc w:val="left"/>
      <w:lvlText w:val="•"/>
      <w:numFmt w:val="bullet"/>
      <w:start w:val="1"/>
    </w:lvl>
  </w:abstractNum>
  <w:abstractNum w:abstractNumId="18">
    <w:nsid w:val="260D8C4A"/>
    <w:multiLevelType w:val="hybridMultilevel"/>
    <w:lvl w:ilvl="0">
      <w:lvlJc w:val="left"/>
      <w:lvlText w:val="•"/>
      <w:numFmt w:val="bullet"/>
      <w:start w:val="1"/>
    </w:lvl>
  </w:abstractNum>
  <w:abstractNum w:abstractNumId="19">
    <w:nsid w:val="73D4D3C4"/>
    <w:multiLevelType w:val="hybridMultilevel"/>
    <w:lvl w:ilvl="0">
      <w:lvlJc w:val="left"/>
      <w:lvlText w:val="•"/>
      <w:numFmt w:val="bullet"/>
      <w:start w:val="1"/>
    </w:lvl>
  </w:abstractNum>
  <w:abstractNum w:abstractNumId="20">
    <w:nsid w:val="746F2E30"/>
    <w:multiLevelType w:val="hybridMultilevel"/>
    <w:lvl w:ilvl="0">
      <w:lvlJc w:val="left"/>
      <w:lvlText w:val="•"/>
      <w:numFmt w:val="bullet"/>
      <w:start w:val="1"/>
    </w:lvl>
  </w:abstractNum>
  <w:abstractNum w:abstractNumId="21">
    <w:nsid w:val="6FDE8AF6"/>
    <w:multiLevelType w:val="hybridMultilevel"/>
    <w:lvl w:ilvl="0">
      <w:lvlJc w:val="left"/>
      <w:lvlText w:val="•"/>
      <w:numFmt w:val="bullet"/>
      <w:start w:val="1"/>
    </w:lvl>
  </w:abstractNum>
  <w:abstractNum w:abstractNumId="22">
    <w:nsid w:val="3FC32E20"/>
    <w:multiLevelType w:val="hybridMultilevel"/>
    <w:lvl w:ilvl="0">
      <w:lvlJc w:val="left"/>
      <w:lvlText w:val="•"/>
      <w:numFmt w:val="bullet"/>
      <w:start w:val="1"/>
    </w:lvl>
  </w:abstractNum>
  <w:abstractNum w:abstractNumId="23">
    <w:nsid w:val="49C0E823"/>
    <w:multiLevelType w:val="hybridMultilevel"/>
    <w:lvl w:ilvl="0">
      <w:lvlJc w:val="left"/>
      <w:lvlText w:val="•"/>
      <w:numFmt w:val="bullet"/>
      <w:start w:val="1"/>
    </w:lvl>
  </w:abstractNum>
  <w:abstractNum w:abstractNumId="24">
    <w:nsid w:val="14D53685"/>
    <w:multiLevelType w:val="hybridMultilevel"/>
    <w:lvl w:ilvl="0">
      <w:lvlJc w:val="left"/>
      <w:lvlText w:val="•"/>
      <w:numFmt w:val="bullet"/>
      <w:start w:val="1"/>
    </w:lvl>
  </w:abstractNum>
  <w:abstractNum w:abstractNumId="25">
    <w:nsid w:val="230F856C"/>
    <w:multiLevelType w:val="hybridMultilevel"/>
    <w:lvl w:ilvl="0">
      <w:lvlJc w:val="left"/>
      <w:lvlText w:val="•"/>
      <w:numFmt w:val="bullet"/>
      <w:start w:val="1"/>
    </w:lvl>
  </w:abstractNum>
  <w:abstractNum w:abstractNumId="26">
    <w:nsid w:val="6EAA85FB"/>
    <w:multiLevelType w:val="hybridMultilevel"/>
    <w:lvl w:ilvl="0">
      <w:lvlJc w:val="left"/>
      <w:lvlText w:val="•"/>
      <w:numFmt w:val="bullet"/>
      <w:start w:val="1"/>
    </w:lvl>
  </w:abstractNum>
  <w:abstractNum w:abstractNumId="27">
    <w:nsid w:val="3F06ECB2"/>
    <w:multiLevelType w:val="hybridMultilevel"/>
    <w:lvl w:ilvl="0">
      <w:lvlJc w:val="left"/>
      <w:lvlText w:val="•"/>
      <w:numFmt w:val="bullet"/>
      <w:start w:val="1"/>
    </w:lvl>
  </w:abstractNum>
  <w:abstractNum w:abstractNumId="28">
    <w:nsid w:val="3B594807"/>
    <w:multiLevelType w:val="hybridMultilevel"/>
    <w:lvl w:ilvl="0">
      <w:lvlJc w:val="left"/>
      <w:lvlText w:val="•"/>
      <w:numFmt w:val="bullet"/>
      <w:start w:val="1"/>
    </w:lvl>
  </w:abstractNum>
  <w:abstractNum w:abstractNumId="29">
    <w:nsid w:val="6CAA2304"/>
    <w:multiLevelType w:val="hybridMultilevel"/>
    <w:lvl w:ilvl="0">
      <w:lvlJc w:val="left"/>
      <w:lvlText w:val="•"/>
      <w:numFmt w:val="bullet"/>
      <w:start w:val="1"/>
    </w:lvl>
  </w:abstractNum>
  <w:abstractNum w:abstractNumId="30">
    <w:nsid w:val="3F7C2FF4"/>
    <w:multiLevelType w:val="hybridMultilevel"/>
    <w:lvl w:ilvl="0">
      <w:lvlJc w:val="left"/>
      <w:lvlText w:val="•"/>
      <w:numFmt w:val="bullet"/>
      <w:start w:val="1"/>
    </w:lvl>
  </w:abstractNum>
  <w:abstractNum w:abstractNumId="31">
    <w:nsid w:val="25413BEC"/>
    <w:multiLevelType w:val="hybridMultilevel"/>
    <w:lvl w:ilvl="0">
      <w:lvlJc w:val="left"/>
      <w:lvlText w:val="•"/>
      <w:numFmt w:val="bullet"/>
      <w:start w:val="1"/>
    </w:lvl>
  </w:abstractNum>
  <w:abstractNum w:abstractNumId="32">
    <w:nsid w:val="17180B0B"/>
    <w:multiLevelType w:val="hybridMultilevel"/>
    <w:lvl w:ilvl="0">
      <w:lvlJc w:val="left"/>
      <w:lvlText w:val="•"/>
      <w:numFmt w:val="bullet"/>
      <w:start w:val="1"/>
    </w:lvl>
  </w:abstractNum>
  <w:abstractNum w:abstractNumId="33">
    <w:nsid w:val="579328B9"/>
    <w:multiLevelType w:val="hybridMultilevel"/>
    <w:lvl w:ilvl="0">
      <w:lvlJc w:val="left"/>
      <w:lvlText w:val="•"/>
      <w:numFmt w:val="bullet"/>
      <w:start w:val="1"/>
    </w:lvl>
  </w:abstractNum>
  <w:abstractNum w:abstractNumId="34">
    <w:nsid w:val="5D205E20"/>
    <w:multiLevelType w:val="hybridMultilevel"/>
    <w:lvl w:ilvl="0">
      <w:lvlJc w:val="left"/>
      <w:lvlText w:val="•"/>
      <w:numFmt w:val="bullet"/>
      <w:start w:val="1"/>
    </w:lvl>
  </w:abstractNum>
  <w:abstractNum w:abstractNumId="35">
    <w:nsid w:val="11CCA8BA"/>
    <w:multiLevelType w:val="hybridMultilevel"/>
    <w:lvl w:ilvl="0">
      <w:lvlJc w:val="left"/>
      <w:lvlText w:val="•"/>
      <w:numFmt w:val="bullet"/>
      <w:start w:val="1"/>
    </w:lvl>
  </w:abstractNum>
  <w:abstractNum w:abstractNumId="36">
    <w:nsid w:val="4D32AB86"/>
    <w:multiLevelType w:val="hybridMultilevel"/>
    <w:lvl w:ilvl="0">
      <w:lvlJc w:val="left"/>
      <w:lvlText w:val="•"/>
      <w:numFmt w:val="bullet"/>
      <w:start w:val="1"/>
    </w:lvl>
  </w:abstractNum>
  <w:abstractNum w:abstractNumId="37">
    <w:nsid w:val="3F07ACC3"/>
    <w:multiLevelType w:val="hybridMultilevel"/>
    <w:lvl w:ilvl="0">
      <w:lvlJc w:val="left"/>
      <w:lvlText w:val="•"/>
      <w:numFmt w:val="bullet"/>
      <w:start w:val="1"/>
    </w:lvl>
  </w:abstractNum>
  <w:abstractNum w:abstractNumId="38">
    <w:nsid w:val="6B47F63E"/>
    <w:multiLevelType w:val="hybridMultilevel"/>
    <w:lvl w:ilvl="0">
      <w:lvlJc w:val="left"/>
      <w:lvlText w:val="•"/>
      <w:numFmt w:val="bullet"/>
      <w:start w:val="1"/>
    </w:lvl>
  </w:abstractNum>
  <w:abstractNum w:abstractNumId="39">
    <w:nsid w:val="5CB44A05"/>
    <w:multiLevelType w:val="hybridMultilevel"/>
    <w:lvl w:ilvl="0">
      <w:lvlJc w:val="left"/>
      <w:lvlText w:val="•"/>
      <w:numFmt w:val="bullet"/>
      <w:start w:val="1"/>
    </w:lvl>
  </w:abstractNum>
  <w:abstractNum w:abstractNumId="40">
    <w:nsid w:val="16CF80F1"/>
    <w:multiLevelType w:val="hybridMultilevel"/>
    <w:lvl w:ilvl="0">
      <w:lvlJc w:val="left"/>
      <w:lvlText w:val="•"/>
      <w:numFmt w:val="bullet"/>
      <w:start w:val="1"/>
    </w:lvl>
  </w:abstractNum>
  <w:abstractNum w:abstractNumId="41">
    <w:nsid w:val="1C695DEC"/>
    <w:multiLevelType w:val="hybridMultilevel"/>
    <w:lvl w:ilvl="0">
      <w:lvlJc w:val="left"/>
      <w:lvlText w:val="•"/>
      <w:numFmt w:val="bullet"/>
      <w:start w:val="1"/>
    </w:lvl>
  </w:abstractNum>
  <w:abstractNum w:abstractNumId="42">
    <w:nsid w:val="3FCFAED9"/>
    <w:multiLevelType w:val="hybridMultilevel"/>
    <w:lvl w:ilvl="0">
      <w:lvlJc w:val="left"/>
      <w:lvlText w:val="•"/>
      <w:numFmt w:val="bullet"/>
      <w:start w:val="1"/>
    </w:lvl>
  </w:abstractNum>
  <w:abstractNum w:abstractNumId="43">
    <w:nsid w:val="F856867"/>
    <w:multiLevelType w:val="hybridMultilevel"/>
    <w:lvl w:ilvl="0">
      <w:lvlJc w:val="left"/>
      <w:lvlText w:val="•"/>
      <w:numFmt w:val="bullet"/>
      <w:start w:val="1"/>
    </w:lvl>
  </w:abstractNum>
  <w:abstractNum w:abstractNumId="44">
    <w:nsid w:val="11B1CC33"/>
    <w:multiLevelType w:val="hybridMultilevel"/>
    <w:lvl w:ilvl="0">
      <w:lvlJc w:val="left"/>
      <w:lvlText w:val="•"/>
      <w:numFmt w:val="bullet"/>
      <w:start w:val="1"/>
    </w:lvl>
  </w:abstractNum>
  <w:abstractNum w:abstractNumId="45">
    <w:nsid w:val="2E22FBB7"/>
    <w:multiLevelType w:val="hybridMultilevel"/>
    <w:lvl w:ilvl="0">
      <w:lvlJc w:val="left"/>
      <w:lvlText w:val="•"/>
      <w:numFmt w:val="bullet"/>
      <w:start w:val="1"/>
    </w:lvl>
  </w:abstractNum>
  <w:abstractNum w:abstractNumId="46">
    <w:nsid w:val="29934699"/>
    <w:multiLevelType w:val="hybridMultilevel"/>
    <w:lvl w:ilvl="0">
      <w:lvlJc w:val="left"/>
      <w:lvlText w:val="•"/>
      <w:numFmt w:val="bullet"/>
      <w:start w:val="1"/>
    </w:lvl>
  </w:abstractNum>
  <w:abstractNum w:abstractNumId="47">
    <w:nsid w:val="77485850"/>
    <w:multiLevelType w:val="hybridMultilevel"/>
    <w:lvl w:ilvl="0">
      <w:lvlJc w:val="left"/>
      <w:lvlText w:val="•"/>
      <w:numFmt w:val="bullet"/>
      <w:start w:val="1"/>
    </w:lvl>
  </w:abstractNum>
  <w:abstractNum w:abstractNumId="48">
    <w:nsid w:val="744939A3"/>
    <w:multiLevelType w:val="hybridMultilevel"/>
    <w:lvl w:ilvl="0">
      <w:lvlJc w:val="left"/>
      <w:lvlText w:val="•"/>
      <w:numFmt w:val="bullet"/>
      <w:start w:val="1"/>
    </w:lvl>
  </w:abstractNum>
  <w:abstractNum w:abstractNumId="49">
    <w:nsid w:val="4FA0D2E3"/>
    <w:multiLevelType w:val="hybridMultilevel"/>
    <w:lvl w:ilvl="0">
      <w:lvlJc w:val="left"/>
      <w:lvlText w:val="•"/>
      <w:numFmt w:val="bullet"/>
      <w:start w:val="1"/>
    </w:lvl>
  </w:abstractNum>
  <w:abstractNum w:abstractNumId="50">
    <w:nsid w:val="6B1D2C14"/>
    <w:multiLevelType w:val="hybridMultilevel"/>
    <w:lvl w:ilvl="0">
      <w:lvlJc w:val="left"/>
      <w:lvlText w:val="(%1)"/>
      <w:numFmt w:val="decimal"/>
      <w:start w:val="1"/>
    </w:lvl>
  </w:abstractNum>
  <w:abstractNum w:abstractNumId="51">
    <w:nsid w:val="68B867D3"/>
    <w:multiLevelType w:val="hybridMultilevel"/>
    <w:lvl w:ilvl="0">
      <w:lvlJc w:val="left"/>
      <w:lvlText w:val="(%1)"/>
      <w:numFmt w:val="lowerRoman"/>
      <w:start w:val="1"/>
    </w:lvl>
  </w:abstractNum>
  <w:abstractNum w:abstractNumId="52">
    <w:nsid w:val="3F7F5DD9"/>
    <w:multiLevelType w:val="hybridMultilevel"/>
    <w:lvl w:ilvl="0">
      <w:lvlJc w:val="left"/>
      <w:lvlText w:val="%1."/>
      <w:numFmt w:val="upperLetter"/>
      <w:start w:val="1"/>
    </w:lvl>
  </w:abstractNum>
  <w:abstractNum w:abstractNumId="53">
    <w:nsid w:val="2AE05A34"/>
    <w:multiLevelType w:val="hybridMultilevel"/>
    <w:lvl w:ilvl="0">
      <w:lvlJc w:val="left"/>
      <w:lvlText w:val="%1."/>
      <w:numFmt w:val="upperLetter"/>
      <w:start w:val="2"/>
    </w:lvl>
  </w:abstractNum>
  <w:abstractNum w:abstractNumId="54">
    <w:nsid w:val="32794FF7"/>
    <w:multiLevelType w:val="hybridMultilevel"/>
    <w:lvl w:ilvl="0">
      <w:lvlJc w:val="left"/>
      <w:lvlText w:val="•"/>
      <w:numFmt w:val="bullet"/>
      <w:start w:val="1"/>
    </w:lvl>
  </w:abstractNum>
  <w:abstractNum w:abstractNumId="55">
    <w:nsid w:val="5454945E"/>
    <w:multiLevelType w:val="hybridMultilevel"/>
    <w:lvl w:ilvl="0">
      <w:lvlJc w:val="left"/>
      <w:lvlText w:val="%1."/>
      <w:numFmt w:val="decimal"/>
      <w:start w:val="1"/>
    </w:lvl>
  </w:abstractNum>
  <w:abstractNum w:abstractNumId="56">
    <w:nsid w:val="4DEFDFA0"/>
    <w:multiLevelType w:val="hybridMultilevel"/>
    <w:lvl w:ilvl="0">
      <w:lvlJc w:val="left"/>
      <w:lvlText w:val="•"/>
      <w:numFmt w:val="bullet"/>
      <w:start w:val="1"/>
    </w:lvl>
    <w:lvl w:ilvl="1">
      <w:lvlJc w:val="left"/>
      <w:lvlText w:val="•"/>
      <w:numFmt w:val="bullet"/>
      <w:start w:val="1"/>
    </w:lvl>
  </w:abstractNum>
  <w:abstractNum w:abstractNumId="57">
    <w:nsid w:val="2123D5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8">
    <w:nsid w:val="135B8110"/>
    <w:multiLevelType w:val="hybridMultilevel"/>
    <w:lvl w:ilvl="0">
      <w:lvlJc w:val="left"/>
      <w:lvlText w:val="•"/>
      <w:numFmt w:val="bullet"/>
      <w:start w:val="1"/>
    </w:lvl>
  </w:abstractNum>
  <w:abstractNum w:abstractNumId="59">
    <w:nsid w:val="94927A8"/>
    <w:multiLevelType w:val="hybridMultilevel"/>
    <w:lvl w:ilvl="0">
      <w:lvlJc w:val="left"/>
      <w:lvlText w:val="•"/>
      <w:numFmt w:val="bullet"/>
      <w:start w:val="1"/>
    </w:lvl>
  </w:abstractNum>
  <w:abstractNum w:abstractNumId="60">
    <w:nsid w:val="DCDF8F6"/>
    <w:multiLevelType w:val="hybridMultilevel"/>
    <w:lvl w:ilvl="0">
      <w:lvlJc w:val="left"/>
      <w:lvlText w:val="•"/>
      <w:numFmt w:val="bullet"/>
      <w:start w:val="1"/>
    </w:lvl>
  </w:abstractNum>
  <w:abstractNum w:abstractNumId="61">
    <w:nsid w:val="52D7B105"/>
    <w:multiLevelType w:val="hybridMultilevel"/>
    <w:lvl w:ilvl="0">
      <w:lvlJc w:val="left"/>
      <w:lvlText w:val="•"/>
      <w:numFmt w:val="bullet"/>
      <w:start w:val="1"/>
    </w:lvl>
  </w:abstractNum>
  <w:abstractNum w:abstractNumId="62">
    <w:nsid w:val="2E8A6394"/>
    <w:multiLevelType w:val="hybridMultilevel"/>
    <w:lvl w:ilvl="0">
      <w:lvlJc w:val="left"/>
      <w:lvlText w:val="•"/>
      <w:numFmt w:val="bullet"/>
      <w:start w:val="1"/>
    </w:lvl>
  </w:abstractNum>
  <w:abstractNum w:abstractNumId="63">
    <w:nsid w:val="24E60401"/>
    <w:multiLevelType w:val="hybridMultilevel"/>
    <w:lvl w:ilvl="0">
      <w:lvlJc w:val="left"/>
      <w:lvlText w:val="•"/>
      <w:numFmt w:val="bullet"/>
      <w:start w:val="1"/>
    </w:lvl>
  </w:abstractNum>
  <w:abstractNum w:abstractNumId="64">
    <w:nsid w:val="2A6AD9BE"/>
    <w:multiLevelType w:val="hybridMultilevel"/>
    <w:lvl w:ilvl="0">
      <w:lvlJc w:val="left"/>
      <w:lvlText w:val="•"/>
      <w:numFmt w:val="bullet"/>
      <w:start w:val="1"/>
    </w:lvl>
  </w:abstractNum>
  <w:abstractNum w:abstractNumId="65">
    <w:nsid w:val="BAAC1B4"/>
    <w:multiLevelType w:val="hybridMultilevel"/>
    <w:lvl w:ilvl="0">
      <w:lvlJc w:val="left"/>
      <w:lvlText w:val="•"/>
      <w:numFmt w:val="bullet"/>
      <w:start w:val="1"/>
    </w:lvl>
  </w:abstractNum>
  <w:abstractNum w:abstractNumId="66">
    <w:nsid w:val="36B2ACBC"/>
    <w:multiLevelType w:val="hybridMultilevel"/>
    <w:lvl w:ilvl="0">
      <w:lvlJc w:val="left"/>
      <w:lvlText w:val="±"/>
      <w:numFmt w:val="bullet"/>
      <w:start w:val="1"/>
    </w:lvl>
  </w:abstractNum>
  <w:abstractNum w:abstractNumId="67">
    <w:nsid w:val="779D8544"/>
    <w:multiLevelType w:val="hybridMultilevel"/>
    <w:lvl w:ilvl="0">
      <w:lvlJc w:val="left"/>
      <w:lvlText w:val="•"/>
      <w:numFmt w:val="bullet"/>
      <w:start w:val="1"/>
    </w:lvl>
  </w:abstractNum>
  <w:abstractNum w:abstractNumId="68">
    <w:nsid w:val="4AB26E78"/>
    <w:multiLevelType w:val="hybridMultilevel"/>
    <w:lvl w:ilvl="0">
      <w:lvlJc w:val="left"/>
      <w:lvlText w:val="•"/>
      <w:numFmt w:val="bullet"/>
      <w:start w:val="1"/>
    </w:lvl>
  </w:abstractNum>
  <w:abstractNum w:abstractNumId="69">
    <w:nsid w:val="21FAA2FA"/>
    <w:multiLevelType w:val="hybridMultilevel"/>
    <w:lvl w:ilvl="0">
      <w:lvlJc w:val="left"/>
      <w:lvlText w:val="•"/>
      <w:numFmt w:val="bullet"/>
      <w:start w:val="1"/>
    </w:lvl>
  </w:abstractNum>
  <w:abstractNum w:abstractNumId="70">
    <w:nsid w:val="5451CF49"/>
    <w:multiLevelType w:val="hybridMultilevel"/>
    <w:lvl w:ilvl="0">
      <w:lvlJc w:val="left"/>
      <w:lvlText w:val="1"/>
      <w:numFmt w:val="bullet"/>
      <w:start w:val="1"/>
    </w:lvl>
  </w:abstractNum>
  <w:abstractNum w:abstractNumId="71">
    <w:nsid w:val="6181EF69"/>
    <w:multiLevelType w:val="hybridMultilevel"/>
    <w:lvl w:ilvl="0">
      <w:lvlJc w:val="left"/>
      <w:lvlText w:val="•"/>
      <w:numFmt w:val="bullet"/>
      <w:start w:val="1"/>
    </w:lvl>
  </w:abstractNum>
  <w:abstractNum w:abstractNumId="72">
    <w:nsid w:val="3E6400E6"/>
    <w:multiLevelType w:val="hybridMultilevel"/>
    <w:lvl w:ilvl="0">
      <w:lvlJc w:val="left"/>
      <w:lvlText w:val="(%1)"/>
      <w:numFmt w:val="lowerRoman"/>
      <w:start w:val="2"/>
    </w:lvl>
  </w:abstractNum>
  <w:abstractNum w:abstractNumId="73">
    <w:nsid w:val="14217E23"/>
    <w:multiLevelType w:val="hybridMultilevel"/>
    <w:lvl w:ilvl="0">
      <w:lvlJc w:val="left"/>
      <w:lvlText w:val="•"/>
      <w:numFmt w:val="bullet"/>
      <w:start w:val="1"/>
    </w:lvl>
  </w:abstractNum>
  <w:abstractNum w:abstractNumId="74">
    <w:nsid w:val="710757D0"/>
    <w:multiLevelType w:val="hybridMultilevel"/>
    <w:lvl w:ilvl="0">
      <w:lvlJc w:val="left"/>
      <w:lvlText w:val="•"/>
      <w:numFmt w:val="bullet"/>
      <w:start w:val="1"/>
    </w:lvl>
  </w:abstractNum>
  <w:abstractNum w:abstractNumId="75">
    <w:nsid w:val="5015CD1A"/>
    <w:multiLevelType w:val="hybridMultilevel"/>
    <w:lvl w:ilvl="0">
      <w:lvlJc w:val="left"/>
      <w:lvlText w:val="•"/>
      <w:numFmt w:val="bullet"/>
      <w:start w:val="1"/>
    </w:lvl>
  </w:abstractNum>
  <w:abstractNum w:abstractNumId="76">
    <w:nsid w:val="424479DA"/>
    <w:multiLevelType w:val="hybridMultilevel"/>
    <w:lvl w:ilvl="0">
      <w:lvlJc w:val="left"/>
      <w:lvlText w:val="•"/>
      <w:numFmt w:val="bullet"/>
      <w:start w:val="1"/>
    </w:lvl>
  </w:abstractNum>
  <w:abstractNum w:abstractNumId="77">
    <w:nsid w:val="1A9A9E69"/>
    <w:multiLevelType w:val="hybridMultilevel"/>
    <w:lvl w:ilvl="0">
      <w:lvlJc w:val="left"/>
      <w:lvlText w:val="•"/>
      <w:numFmt w:val="bullet"/>
      <w:start w:val="1"/>
    </w:lvl>
  </w:abstractNum>
  <w:abstractNum w:abstractNumId="78">
    <w:nsid w:val="475E256A"/>
    <w:multiLevelType w:val="hybridMultilevel"/>
    <w:lvl w:ilvl="0">
      <w:lvlJc w:val="left"/>
      <w:lvlText w:val="(%1)"/>
      <w:numFmt w:val="lowerLetter"/>
      <w:start w:val="2"/>
    </w:lvl>
  </w:abstractNum>
  <w:abstractNum w:abstractNumId="79">
    <w:nsid w:val="368DB37E"/>
    <w:multiLevelType w:val="hybridMultilevel"/>
    <w:lvl w:ilvl="0">
      <w:lvlJc w:val="left"/>
      <w:lvlText w:val="%1."/>
      <w:numFmt w:val="upperLetter"/>
      <w:start w:val="3"/>
    </w:lvl>
  </w:abstractNum>
  <w:abstractNum w:abstractNumId="80">
    <w:nsid w:val="6A3B714C"/>
    <w:multiLevelType w:val="hybridMultilevel"/>
    <w:lvl w:ilvl="0">
      <w:lvlJc w:val="left"/>
      <w:lvlText w:val="%1."/>
      <w:numFmt w:val="upperLetter"/>
      <w:start w:val="4"/>
    </w:lvl>
  </w:abstractNum>
  <w:abstractNum w:abstractNumId="81">
    <w:nsid w:val="327B517E"/>
    <w:multiLevelType w:val="hybridMultilevel"/>
    <w:lvl w:ilvl="0">
      <w:lvlJc w:val="left"/>
      <w:lvlText w:val="(%1)"/>
      <w:numFmt w:val="decimal"/>
      <w:start w:val="1"/>
    </w:lvl>
  </w:abstractNum>
  <w:abstractNum w:abstractNumId="82">
    <w:nsid w:val="1F461B51"/>
    <w:multiLevelType w:val="hybridMultilevel"/>
    <w:lvl w:ilvl="0">
      <w:lvlJc w:val="left"/>
      <w:lvlText w:val="%1."/>
      <w:numFmt w:val="upperLetter"/>
      <w:start w:val="1"/>
    </w:lvl>
  </w:abstractNum>
  <w:abstractNum w:abstractNumId="83">
    <w:nsid w:val="29BACF25"/>
    <w:multiLevelType w:val="hybridMultilevel"/>
    <w:lvl w:ilvl="0">
      <w:lvlJc w:val="left"/>
      <w:lvlText w:val="•"/>
      <w:numFmt w:val="bullet"/>
      <w:start w:val="1"/>
    </w:lvl>
  </w:abstractNum>
  <w:abstractNum w:abstractNumId="84">
    <w:nsid w:val="5D5BABB3"/>
    <w:multiLevelType w:val="hybridMultilevel"/>
    <w:lvl w:ilvl="0">
      <w:lvlJc w:val="left"/>
      <w:lvlText w:val="•"/>
      <w:numFmt w:val="bullet"/>
      <w:start w:val="1"/>
    </w:lvl>
  </w:abstractNum>
  <w:abstractNum w:abstractNumId="85">
    <w:nsid w:val="51BF6B48"/>
    <w:multiLevelType w:val="hybridMultilevel"/>
    <w:lvl w:ilvl="0">
      <w:lvlJc w:val="left"/>
      <w:lvlText w:val="•"/>
      <w:numFmt w:val="bullet"/>
      <w:start w:val="1"/>
    </w:lvl>
  </w:abstractNum>
  <w:abstractNum w:abstractNumId="86">
    <w:nsid w:val="7E0F6384"/>
    <w:multiLevelType w:val="hybridMultilevel"/>
    <w:lvl w:ilvl="0">
      <w:lvlJc w:val="left"/>
      <w:lvlText w:val="%1."/>
      <w:numFmt w:val="upperLetter"/>
      <w:start w:val="2"/>
    </w:lvl>
  </w:abstractNum>
  <w:abstractNum w:abstractNumId="87">
    <w:nsid w:val="2B4B8B53"/>
    <w:multiLevelType w:val="hybridMultilevel"/>
    <w:lvl w:ilvl="0">
      <w:lvlJc w:val="left"/>
      <w:lvlText w:val="•"/>
      <w:numFmt w:val="bullet"/>
      <w:start w:val="1"/>
    </w:lvl>
  </w:abstractNum>
  <w:abstractNum w:abstractNumId="88">
    <w:nsid w:val="72E3413A"/>
    <w:multiLevelType w:val="hybridMultilevel"/>
    <w:lvl w:ilvl="0">
      <w:lvlJc w:val="left"/>
      <w:lvlText w:val="•"/>
      <w:numFmt w:val="bullet"/>
      <w:start w:val="1"/>
    </w:lvl>
  </w:abstractNum>
  <w:abstractNum w:abstractNumId="89">
    <w:nsid w:val="116AE494"/>
    <w:multiLevelType w:val="hybridMultilevel"/>
    <w:lvl w:ilvl="0">
      <w:lvlJc w:val="left"/>
      <w:lvlText w:val="•"/>
      <w:numFmt w:val="bullet"/>
      <w:start w:val="1"/>
    </w:lvl>
  </w:abstractNum>
  <w:abstractNum w:abstractNumId="90">
    <w:nsid w:val="3494B2FB"/>
    <w:multiLevelType w:val="hybridMultilevel"/>
    <w:lvl w:ilvl="0">
      <w:lvlJc w:val="left"/>
      <w:lvlText w:val="•"/>
      <w:numFmt w:val="bullet"/>
      <w:start w:val="1"/>
    </w:lvl>
  </w:abstractNum>
  <w:abstractNum w:abstractNumId="91">
    <w:nsid w:val="B13A31"/>
    <w:multiLevelType w:val="hybridMultilevel"/>
    <w:lvl w:ilvl="0">
      <w:lvlJc w:val="left"/>
      <w:lvlText w:val="%1."/>
      <w:numFmt w:val="upperLetter"/>
      <w:start w:val="3"/>
    </w:lvl>
  </w:abstractNum>
  <w:abstractNum w:abstractNumId="92">
    <w:nsid w:val="64429599"/>
    <w:multiLevelType w:val="hybridMultilevel"/>
    <w:lvl w:ilvl="0">
      <w:lvlJc w:val="left"/>
      <w:lvlText w:val="%1."/>
      <w:numFmt w:val="upperLetter"/>
      <w:start w:val="4"/>
    </w:lvl>
  </w:abstractNum>
  <w:abstractNum w:abstractNumId="93">
    <w:nsid w:val="631F1690"/>
    <w:multiLevelType w:val="hybridMultilevel"/>
    <w:lvl w:ilvl="0">
      <w:lvlJc w:val="left"/>
      <w:lvlText w:val="%1."/>
      <w:numFmt w:val="upperLetter"/>
      <w:start w:val="5"/>
    </w:lvl>
  </w:abstractNum>
  <w:abstractNum w:abstractNumId="94">
    <w:nsid w:val="25973E32"/>
    <w:multiLevelType w:val="hybridMultilevel"/>
    <w:lvl w:ilvl="0">
      <w:lvlJc w:val="left"/>
      <w:lvlText w:val="%1."/>
      <w:numFmt w:val="upperLetter"/>
      <w:start w:val="1"/>
    </w:lvl>
  </w:abstractNum>
  <w:abstractNum w:abstractNumId="95">
    <w:nsid w:val="EAD6F57"/>
    <w:multiLevelType w:val="hybridMultilevel"/>
    <w:lvl w:ilvl="0">
      <w:lvlJc w:val="left"/>
      <w:lvlText w:val="%1."/>
      <w:numFmt w:val="upperLetter"/>
      <w:start w:val="3"/>
    </w:lvl>
  </w:abstractNum>
  <w:abstractNum w:abstractNumId="96">
    <w:nsid w:val="6EC9D844"/>
    <w:multiLevelType w:val="hybridMultilevel"/>
    <w:lvl w:ilvl="0">
      <w:lvlJc w:val="left"/>
      <w:lvlText w:val="•"/>
      <w:numFmt w:val="bullet"/>
      <w:start w:val="1"/>
    </w:lvl>
  </w:abstractNum>
  <w:abstractNum w:abstractNumId="97">
    <w:nsid w:val="5C49EAEE"/>
    <w:multiLevelType w:val="hybridMultilevel"/>
    <w:lvl w:ilvl="0">
      <w:lvlJc w:val="left"/>
      <w:lvlText w:val="•"/>
      <w:numFmt w:val="bullet"/>
      <w:start w:val="1"/>
    </w:lvl>
  </w:abstractNum>
  <w:abstractNum w:abstractNumId="98">
    <w:nsid w:val="64AF49B"/>
    <w:multiLevelType w:val="hybridMultilevel"/>
    <w:lvl w:ilvl="0">
      <w:lvlJc w:val="left"/>
      <w:lvlText w:val="•"/>
      <w:numFmt w:val="bullet"/>
      <w:start w:val="1"/>
    </w:lvl>
  </w:abstractNum>
  <w:abstractNum w:abstractNumId="99">
    <w:nsid w:val="397C46BC"/>
    <w:multiLevelType w:val="hybridMultilevel"/>
    <w:lvl w:ilvl="0">
      <w:lvlJc w:val="left"/>
      <w:lvlText w:val="%1."/>
      <w:numFmt w:val="upperLetter"/>
      <w:start w:val="4"/>
    </w:lvl>
  </w:abstractNum>
  <w:abstractNum w:abstractNumId="100">
    <w:nsid w:val="7E448DE9"/>
    <w:multiLevelType w:val="hybridMultilevel"/>
    <w:lvl w:ilvl="0">
      <w:lvlJc w:val="left"/>
      <w:lvlText w:val="(%1)"/>
      <w:numFmt w:val="decimal"/>
      <w:start w:val="1"/>
    </w:lvl>
  </w:abstractNum>
  <w:abstractNum w:abstractNumId="101">
    <w:nsid w:val="5A9CC3E5"/>
    <w:multiLevelType w:val="hybridMultilevel"/>
    <w:lvl w:ilvl="0">
      <w:lvlJc w:val="left"/>
      <w:lvlText w:val="%1."/>
      <w:numFmt w:val="upperLetter"/>
      <w:start w:val="5"/>
    </w:lvl>
  </w:abstractNum>
  <w:abstractNum w:abstractNumId="102">
    <w:nsid w:val="1AFE3625"/>
    <w:multiLevelType w:val="hybridMultilevel"/>
    <w:lvl w:ilvl="0">
      <w:lvlJc w:val="left"/>
      <w:lvlText w:val="%1."/>
      <w:numFmt w:val="upperLetter"/>
      <w:start w:val="1"/>
    </w:lvl>
  </w:abstractNum>
  <w:abstractNum w:abstractNumId="103">
    <w:nsid w:val="3CA88ECF"/>
    <w:multiLevelType w:val="hybridMultilevel"/>
    <w:lvl w:ilvl="0">
      <w:lvlJc w:val="left"/>
      <w:lvlText w:val="•"/>
      <w:numFmt w:val="bullet"/>
      <w:start w:val="1"/>
    </w:lvl>
  </w:abstractNum>
  <w:abstractNum w:abstractNumId="104">
    <w:nsid w:val="6EBE4208"/>
    <w:multiLevelType w:val="hybridMultilevel"/>
    <w:lvl w:ilvl="0">
      <w:lvlJc w:val="left"/>
      <w:lvlText w:val="*"/>
      <w:numFmt w:val="bullet"/>
      <w:start w:val="1"/>
    </w:lvl>
  </w:abstractNum>
  <w:abstractNum w:abstractNumId="105">
    <w:nsid w:val="C058DF5"/>
    <w:multiLevelType w:val="hybridMultilevel"/>
    <w:lvl w:ilvl="0">
      <w:lvlJc w:val="left"/>
      <w:lvlText w:val="(%1)"/>
      <w:numFmt w:val="decimal"/>
      <w:start w:val="1"/>
    </w:lvl>
  </w:abstractNum>
  <w:abstractNum w:abstractNumId="106">
    <w:nsid w:val="CBE5BE9"/>
    <w:multiLevelType w:val="hybridMultilevel"/>
    <w:lvl w:ilvl="0">
      <w:lvlJc w:val="left"/>
      <w:lvlText w:val="(%1)"/>
      <w:numFmt w:val="decimal"/>
      <w:start w:val="8"/>
    </w:lvl>
  </w:abstractNum>
  <w:abstractNum w:abstractNumId="107">
    <w:nsid w:val="3102BBE2"/>
    <w:multiLevelType w:val="hybridMultilevel"/>
    <w:lvl w:ilvl="0">
      <w:lvlJc w:val="left"/>
      <w:lvlText w:val="%1."/>
      <w:numFmt w:val="upperLetter"/>
      <w:start w:val="2"/>
    </w:lvl>
  </w:abstractNum>
  <w:abstractNum w:abstractNumId="108">
    <w:nsid w:val="26A02C5E"/>
    <w:multiLevelType w:val="hybridMultilevel"/>
    <w:lvl w:ilvl="0">
      <w:lvlJc w:val="left"/>
      <w:lvlText w:val="%1."/>
      <w:numFmt w:val="upperLetter"/>
      <w:start w:val="3"/>
    </w:lvl>
  </w:abstractNum>
  <w:abstractNum w:abstractNumId="109">
    <w:nsid w:val="541C8153"/>
    <w:multiLevelType w:val="hybridMultilevel"/>
    <w:lvl w:ilvl="0">
      <w:lvlJc w:val="left"/>
      <w:lvlText w:val="%1."/>
      <w:numFmt w:val="upperLetter"/>
      <w:start w:val="1"/>
    </w:lvl>
  </w:abstractNum>
  <w:abstractNum w:abstractNumId="110">
    <w:nsid w:val="67906F60"/>
    <w:multiLevelType w:val="hybridMultilevel"/>
    <w:lvl w:ilvl="0">
      <w:lvlJc w:val="left"/>
      <w:lvlText w:val="%1."/>
      <w:numFmt w:val="upperLetter"/>
      <w:start w:val="2"/>
    </w:lvl>
  </w:abstractNum>
  <w:abstractNum w:abstractNumId="111">
    <w:nsid w:val="10DB9DAA"/>
    <w:multiLevelType w:val="hybridMultilevel"/>
    <w:lvl w:ilvl="0">
      <w:lvlJc w:val="left"/>
      <w:lvlText w:val="%1."/>
      <w:numFmt w:val="upperLetter"/>
      <w:start w:val="1"/>
    </w:lvl>
  </w:abstractNum>
  <w:abstractNum w:abstractNumId="112">
    <w:nsid w:val="697D2D2"/>
    <w:multiLevelType w:val="hybridMultilevel"/>
    <w:lvl w:ilvl="0">
      <w:lvlJc w:val="left"/>
      <w:lvlText w:val="%1."/>
      <w:numFmt w:val="upperLetter"/>
      <w:start w:val="2"/>
    </w:lvl>
  </w:abstractNum>
  <w:abstractNum w:abstractNumId="113">
    <w:nsid w:val="6D68AB2"/>
    <w:multiLevelType w:val="hybridMultilevel"/>
    <w:lvl w:ilvl="0">
      <w:lvlJc w:val="left"/>
      <w:lvlText w:val="%1."/>
      <w:numFmt w:val="upperLetter"/>
      <w:start w:val="3"/>
    </w:lvl>
  </w:abstractNum>
  <w:abstractNum w:abstractNumId="114">
    <w:nsid w:val="3A966CD0"/>
    <w:multiLevelType w:val="hybridMultilevel"/>
    <w:lvl w:ilvl="0">
      <w:lvlJc w:val="left"/>
      <w:lvlText w:val="%1."/>
      <w:numFmt w:val="upperLetter"/>
      <w:start w:val="4"/>
    </w:lvl>
  </w:abstractNum>
  <w:abstractNum w:abstractNumId="115">
    <w:nsid w:val="63F37E85"/>
    <w:multiLevelType w:val="hybridMultilevel"/>
    <w:lvl w:ilvl="0">
      <w:lvlJc w:val="left"/>
      <w:lvlText w:val="%1."/>
      <w:numFmt w:val="upperLetter"/>
      <w:start w:val="5"/>
    </w:lvl>
  </w:abstractNum>
  <w:abstractNum w:abstractNumId="116">
    <w:nsid w:val="5895F5FA"/>
    <w:multiLevelType w:val="hybridMultilevel"/>
    <w:lvl w:ilvl="0">
      <w:lvlJc w:val="left"/>
      <w:lvlText w:val="%1."/>
      <w:numFmt w:val="upperLetter"/>
      <w:start w:val="6"/>
    </w:lvl>
  </w:abstractNum>
  <w:abstractNum w:abstractNumId="117">
    <w:nsid w:val="38A5D054"/>
    <w:multiLevelType w:val="hybridMultilevel"/>
    <w:lvl w:ilvl="0">
      <w:lvlJc w:val="left"/>
      <w:lvlText w:val="%1."/>
      <w:numFmt w:val="upperLetter"/>
      <w:start w:val="1"/>
    </w:lvl>
  </w:abstractNum>
  <w:abstractNum w:abstractNumId="118">
    <w:nsid w:val="F3F09D8"/>
    <w:multiLevelType w:val="hybridMultilevel"/>
    <w:lvl w:ilvl="0">
      <w:lvlJc w:val="left"/>
      <w:lvlText w:val="%1."/>
      <w:numFmt w:val="upperLetter"/>
      <w:start w:val="2"/>
    </w:lvl>
  </w:abstractNum>
  <w:abstractNum w:abstractNumId="119">
    <w:nsid w:val="4B793735"/>
    <w:multiLevelType w:val="hybridMultilevel"/>
    <w:lvl w:ilvl="0">
      <w:lvlJc w:val="left"/>
      <w:lvlText w:val="•"/>
      <w:numFmt w:val="bullet"/>
      <w:start w:val="1"/>
    </w:lvl>
  </w:abstractNum>
  <w:abstractNum w:abstractNumId="120">
    <w:nsid w:val="4A10B4E8"/>
    <w:multiLevelType w:val="hybridMultilevel"/>
    <w:lvl w:ilvl="0">
      <w:lvlJc w:val="left"/>
      <w:lvlText w:val="•"/>
      <w:numFmt w:val="bullet"/>
      <w:start w:val="1"/>
    </w:lvl>
  </w:abstractNum>
  <w:abstractNum w:abstractNumId="121">
    <w:nsid w:val="43D3BCD4"/>
    <w:multiLevelType w:val="hybridMultilevel"/>
    <w:lvl w:ilvl="0">
      <w:lvlJc w:val="left"/>
      <w:lvlText w:val="•"/>
      <w:numFmt w:val="bullet"/>
      <w:start w:val="1"/>
    </w:lvl>
  </w:abstractNum>
  <w:abstractNum w:abstractNumId="122">
    <w:nsid w:val="4C2A7166"/>
    <w:multiLevelType w:val="hybridMultilevel"/>
    <w:lvl w:ilvl="0">
      <w:lvlJc w:val="left"/>
      <w:lvlText w:val="•"/>
      <w:numFmt w:val="bullet"/>
      <w:start w:val="1"/>
    </w:lvl>
  </w:abstractNum>
  <w:abstractNum w:abstractNumId="123">
    <w:nsid w:val="2E534A82"/>
    <w:multiLevelType w:val="hybridMultilevel"/>
    <w:lvl w:ilvl="0">
      <w:lvlJc w:val="left"/>
      <w:lvlText w:val="(%1)"/>
      <w:numFmt w:val="lowerRoman"/>
      <w:start w:val="1"/>
    </w:lvl>
  </w:abstractNum>
  <w:abstractNum w:abstractNumId="124">
    <w:nsid w:val="26F2D364"/>
    <w:multiLevelType w:val="hybridMultilevel"/>
    <w:lvl w:ilvl="0">
      <w:lvlJc w:val="left"/>
      <w:lvlText w:val="(%1)"/>
      <w:numFmt w:val="lowerRoman"/>
      <w:start w:val="1"/>
    </w:lvl>
  </w:abstractNum>
  <w:abstractNum w:abstractNumId="125">
    <w:nsid w:val="71C1AF98"/>
    <w:multiLevelType w:val="hybridMultilevel"/>
    <w:lvl w:ilvl="0">
      <w:lvlJc w:val="left"/>
      <w:lvlText w:val="(%1)"/>
      <w:numFmt w:val="lowerRoman"/>
      <w:start w:val="3"/>
    </w:lvl>
  </w:abstractNum>
  <w:abstractNum w:abstractNumId="126">
    <w:nsid w:val="3D00B9D9"/>
    <w:multiLevelType w:val="hybridMultilevel"/>
    <w:lvl w:ilvl="0">
      <w:lvlJc w:val="left"/>
      <w:lvlText w:val="•"/>
      <w:numFmt w:val="bullet"/>
      <w:start w:val="1"/>
    </w:lvl>
  </w:abstractNum>
  <w:abstractNum w:abstractNumId="127">
    <w:nsid w:val="15BCABA8"/>
    <w:multiLevelType w:val="hybridMultilevel"/>
    <w:lvl w:ilvl="0">
      <w:lvlJc w:val="left"/>
      <w:lvlText w:val="(%1)"/>
      <w:numFmt w:val="decimal"/>
      <w:start w:val="2"/>
    </w:lvl>
  </w:abstractNum>
  <w:abstractNum w:abstractNumId="128">
    <w:nsid w:val="4E0B9A87"/>
    <w:multiLevelType w:val="hybridMultilevel"/>
    <w:lvl w:ilvl="0">
      <w:lvlJc w:val="left"/>
      <w:lvlText w:val="%1."/>
      <w:numFmt w:val="upperLetter"/>
      <w:start w:val="3"/>
    </w:lvl>
  </w:abstractNum>
  <w:abstractNum w:abstractNumId="129">
    <w:nsid w:val="434BAE75"/>
    <w:multiLevelType w:val="hybridMultilevel"/>
    <w:lvl w:ilvl="0">
      <w:lvlJc w:val="left"/>
      <w:lvlText w:val="%1."/>
      <w:numFmt w:val="upperLetter"/>
      <w:start w:val="4"/>
    </w:lvl>
  </w:abstractNum>
  <w:abstractNum w:abstractNumId="130">
    <w:nsid w:val="4F38F265"/>
    <w:multiLevelType w:val="hybridMultilevel"/>
    <w:lvl w:ilvl="0">
      <w:lvlJc w:val="left"/>
      <w:lvlText w:val="%1."/>
      <w:numFmt w:val="upperLetter"/>
      <w:start w:val="5"/>
    </w:lvl>
  </w:abstractNum>
  <w:abstractNum w:abstractNumId="131">
    <w:nsid w:val="4C502870"/>
    <w:multiLevelType w:val="hybridMultilevel"/>
    <w:lvl w:ilvl="0">
      <w:lvlJc w:val="left"/>
      <w:lvlText w:val="•"/>
      <w:numFmt w:val="bullet"/>
      <w:start w:val="1"/>
    </w:lvl>
  </w:abstractNum>
  <w:abstractNum w:abstractNumId="132">
    <w:nsid w:val="1DE8725A"/>
    <w:multiLevelType w:val="hybridMultilevel"/>
    <w:lvl w:ilvl="0">
      <w:lvlJc w:val="left"/>
      <w:lvlText w:val="•"/>
      <w:numFmt w:val="bullet"/>
      <w:start w:val="1"/>
    </w:lvl>
  </w:abstractNum>
  <w:abstractNum w:abstractNumId="133">
    <w:nsid w:val="6A37288A"/>
    <w:multiLevelType w:val="hybridMultilevel"/>
    <w:lvl w:ilvl="0">
      <w:lvlJc w:val="left"/>
      <w:lvlText w:val="•"/>
      <w:numFmt w:val="bullet"/>
      <w:start w:val="1"/>
    </w:lvl>
  </w:abstractNum>
  <w:abstractNum w:abstractNumId="134">
    <w:nsid w:val="8F8B73F"/>
    <w:multiLevelType w:val="hybridMultilevel"/>
    <w:lvl w:ilvl="0">
      <w:lvlJc w:val="left"/>
      <w:lvlText w:val="•"/>
      <w:numFmt w:val="bullet"/>
      <w:start w:val="1"/>
    </w:lvl>
  </w:abstractNum>
  <w:abstractNum w:abstractNumId="135">
    <w:nsid w:val="CA6B462"/>
    <w:multiLevelType w:val="hybridMultilevel"/>
    <w:lvl w:ilvl="0">
      <w:lvlJc w:val="left"/>
      <w:lvlText w:val="•"/>
      <w:numFmt w:val="bullet"/>
      <w:start w:val="1"/>
    </w:lvl>
  </w:abstractNum>
  <w:abstractNum w:abstractNumId="136">
    <w:nsid w:val="763CB680"/>
    <w:multiLevelType w:val="hybridMultilevel"/>
    <w:lvl w:ilvl="0">
      <w:lvlJc w:val="left"/>
      <w:lvlText w:val="•"/>
      <w:numFmt w:val="bullet"/>
      <w:start w:val="1"/>
    </w:lvl>
  </w:abstractNum>
  <w:abstractNum w:abstractNumId="137">
    <w:nsid w:val="15B71329"/>
    <w:multiLevelType w:val="hybridMultilevel"/>
    <w:lvl w:ilvl="0">
      <w:lvlJc w:val="left"/>
      <w:lvlText w:val="%1."/>
      <w:numFmt w:val="upperLetter"/>
      <w:start w:val="6"/>
    </w:lvl>
  </w:abstractNum>
  <w:abstractNum w:abstractNumId="138">
    <w:nsid w:val="3DA97044"/>
    <w:multiLevelType w:val="hybridMultilevel"/>
    <w:lvl w:ilvl="0">
      <w:lvlJc w:val="left"/>
      <w:lvlText w:val="%1."/>
      <w:numFmt w:val="upperLetter"/>
      <w:start w:val="7"/>
    </w:lvl>
  </w:abstractNum>
  <w:abstractNum w:abstractNumId="139">
    <w:nsid w:val="1CDCE2DE"/>
    <w:multiLevelType w:val="hybridMultilevel"/>
    <w:lvl w:ilvl="0">
      <w:lvlJc w:val="left"/>
      <w:lvlText w:val="%1."/>
      <w:numFmt w:val="upperLetter"/>
      <w:start w:val="8"/>
    </w:lvl>
  </w:abstractNum>
  <w:abstractNum w:abstractNumId="140">
    <w:nsid w:val="69D3947C"/>
    <w:multiLevelType w:val="hybridMultilevel"/>
    <w:lvl w:ilvl="0">
      <w:lvlJc w:val="left"/>
      <w:lvlText w:val="%1."/>
      <w:numFmt w:val="upperLetter"/>
      <w:start w:val="9"/>
    </w:lvl>
  </w:abstractNum>
  <w:abstractNum w:abstractNumId="141">
    <w:nsid w:val="2539DFA5"/>
    <w:multiLevelType w:val="hybridMultilevel"/>
    <w:lvl w:ilvl="0">
      <w:lvlJc w:val="left"/>
      <w:lvlText w:val="%1."/>
      <w:numFmt w:val="upperLetter"/>
      <w:start w:val="1"/>
    </w:lvl>
  </w:abstractNum>
  <w:abstractNum w:abstractNumId="142">
    <w:nsid w:val="2DB88089"/>
    <w:multiLevelType w:val="hybridMultilevel"/>
    <w:lvl w:ilvl="0">
      <w:lvlJc w:val="left"/>
      <w:lvlText w:val="%1."/>
      <w:numFmt w:val="upperLetter"/>
      <w:start w:val="2"/>
    </w:lvl>
  </w:abstractNum>
  <w:abstractNum w:abstractNumId="143">
    <w:nsid w:val="706B674E"/>
    <w:multiLevelType w:val="hybridMultilevel"/>
    <w:lvl w:ilvl="0">
      <w:lvlJc w:val="left"/>
      <w:lvlText w:val="%1."/>
      <w:numFmt w:val="upperLetter"/>
      <w:start w:val="3"/>
    </w:lvl>
  </w:abstractNum>
  <w:abstractNum w:abstractNumId="144">
    <w:nsid w:val="2C106A57"/>
    <w:multiLevelType w:val="hybridMultilevel"/>
    <w:lvl w:ilvl="0">
      <w:lvlJc w:val="left"/>
      <w:lvlText w:val="%1."/>
      <w:numFmt w:val="upperLetter"/>
      <w:start w:val="4"/>
    </w:lvl>
  </w:abstractNum>
  <w:abstractNum w:abstractNumId="145">
    <w:nsid w:val="684EED59"/>
    <w:multiLevelType w:val="hybridMultilevel"/>
    <w:lvl w:ilvl="0">
      <w:lvlJc w:val="left"/>
      <w:lvlText w:val="•"/>
      <w:numFmt w:val="bullet"/>
      <w:start w:val="1"/>
    </w:lvl>
  </w:abstractNum>
  <w:abstractNum w:abstractNumId="146">
    <w:nsid w:val="545EE5D3"/>
    <w:multiLevelType w:val="hybridMultilevel"/>
    <w:lvl w:ilvl="0">
      <w:lvlJc w:val="left"/>
      <w:lvlText w:val="•"/>
      <w:numFmt w:val="bullet"/>
      <w:start w:val="1"/>
    </w:lvl>
  </w:abstractNum>
  <w:abstractNum w:abstractNumId="147">
    <w:nsid w:val="4A66051"/>
    <w:multiLevelType w:val="hybridMultilevel"/>
    <w:lvl w:ilvl="0">
      <w:lvlJc w:val="left"/>
      <w:lvlText w:val="•"/>
      <w:numFmt w:val="bullet"/>
      <w:start w:val="1"/>
    </w:lvl>
  </w:abstractNum>
  <w:abstractNum w:abstractNumId="148">
    <w:nsid w:val="20F4BDAD"/>
    <w:multiLevelType w:val="hybridMultilevel"/>
    <w:lvl w:ilvl="0">
      <w:lvlJc w:val="left"/>
      <w:lvlText w:val="%1."/>
      <w:numFmt w:val="upperLetter"/>
      <w:start w:val="1"/>
    </w:lvl>
  </w:abstractNum>
  <w:abstractNum w:abstractNumId="149">
    <w:nsid w:val="639DEFAC"/>
    <w:multiLevelType w:val="hybridMultilevel"/>
    <w:lvl w:ilvl="0">
      <w:lvlJc w:val="left"/>
      <w:lvlText w:val="%1."/>
      <w:numFmt w:val="upperLetter"/>
      <w:start w:val="2"/>
    </w:lvl>
  </w:abstractNum>
  <w:abstractNum w:abstractNumId="150">
    <w:nsid w:val="501F9786"/>
    <w:multiLevelType w:val="hybridMultilevel"/>
    <w:lvl w:ilvl="0">
      <w:lvlJc w:val="left"/>
      <w:lvlText w:val="%1."/>
      <w:numFmt w:val="upperLetter"/>
      <w:start w:val="1"/>
    </w:lvl>
  </w:abstractNum>
  <w:abstractNum w:abstractNumId="151">
    <w:nsid w:val="6B057295"/>
    <w:multiLevelType w:val="hybridMultilevel"/>
    <w:lvl w:ilvl="0">
      <w:lvlJc w:val="left"/>
      <w:lvlText w:val="%1."/>
      <w:numFmt w:val="upperLetter"/>
      <w:start w:val="2"/>
    </w:lvl>
  </w:abstractNum>
  <w:abstractNum w:abstractNumId="152">
    <w:nsid w:val="2771AC80"/>
    <w:multiLevelType w:val="hybridMultilevel"/>
    <w:lvl w:ilvl="0">
      <w:lvlJc w:val="left"/>
      <w:lvlText w:val="%1."/>
      <w:numFmt w:val="upperLetter"/>
      <w:start w:val="3"/>
    </w:lvl>
  </w:abstractNum>
  <w:abstractNum w:abstractNumId="153">
    <w:nsid w:val="1C4A08EC"/>
    <w:multiLevelType w:val="hybridMultilevel"/>
    <w:lvl w:ilvl="0">
      <w:lvlJc w:val="left"/>
      <w:lvlText w:val="%1."/>
      <w:numFmt w:val="upperLetter"/>
      <w:start w:val="4"/>
    </w:lvl>
  </w:abstractNum>
  <w:abstractNum w:abstractNumId="154">
    <w:nsid w:val="1958BD17"/>
    <w:multiLevelType w:val="hybridMultilevel"/>
    <w:lvl w:ilvl="0">
      <w:lvlJc w:val="left"/>
      <w:lvlText w:val="•"/>
      <w:numFmt w:val="bullet"/>
      <w:start w:val="1"/>
    </w:lvl>
  </w:abstractNum>
  <w:abstractNum w:abstractNumId="155">
    <w:nsid w:val="4E647FE4"/>
    <w:multiLevelType w:val="hybridMultilevel"/>
    <w:lvl w:ilvl="0">
      <w:lvlJc w:val="left"/>
      <w:lvlText w:val="(%1)"/>
      <w:numFmt w:val="decimal"/>
      <w:start w:val="2"/>
    </w:lvl>
  </w:abstractNum>
  <w:abstractNum w:abstractNumId="156">
    <w:nsid w:val="E0BB885"/>
    <w:multiLevelType w:val="hybridMultilevel"/>
    <w:lvl w:ilvl="0">
      <w:lvlJc w:val="left"/>
      <w:lvlText w:val="•"/>
      <w:numFmt w:val="bullet"/>
      <w:start w:val="1"/>
    </w:lvl>
    <w:lvl w:ilvl="1">
      <w:lvlJc w:val="left"/>
      <w:lvlText w:val="•"/>
      <w:numFmt w:val="bullet"/>
      <w:start w:val="1"/>
    </w:lvl>
  </w:abstractNum>
  <w:abstractNum w:abstractNumId="157">
    <w:nsid w:val="565976F1"/>
    <w:multiLevelType w:val="hybridMultilevel"/>
    <w:lvl w:ilvl="0">
      <w:lvlJc w:val="left"/>
      <w:lvlText w:val="(%1)"/>
      <w:numFmt w:val="decimal"/>
      <w:start w:val="1"/>
    </w:lvl>
  </w:abstractNum>
  <w:abstractNum w:abstractNumId="158">
    <w:nsid w:val="64212B8C"/>
    <w:multiLevelType w:val="hybridMultilevel"/>
    <w:lvl w:ilvl="0">
      <w:lvlJc w:val="left"/>
      <w:lvlText w:val="•"/>
      <w:numFmt w:val="bullet"/>
      <w:start w:val="1"/>
    </w:lvl>
  </w:abstractNum>
  <w:abstractNum w:abstractNumId="159">
    <w:nsid w:val="5C17530C"/>
    <w:multiLevelType w:val="hybridMultilevel"/>
    <w:lvl w:ilvl="0">
      <w:lvlJc w:val="left"/>
      <w:lvlText w:val="•"/>
      <w:numFmt w:val="bullet"/>
      <w:start w:val="1"/>
    </w:lvl>
  </w:abstractNum>
  <w:abstractNum w:abstractNumId="160">
    <w:nsid w:val="19A52566"/>
    <w:multiLevelType w:val="hybridMultilevel"/>
    <w:lvl w:ilvl="0">
      <w:lvlJc w:val="left"/>
      <w:lvlText w:val="•"/>
      <w:numFmt w:val="bullet"/>
      <w:start w:val="1"/>
    </w:lvl>
  </w:abstractNum>
  <w:abstractNum w:abstractNumId="161">
    <w:nsid w:val="335A1DF1"/>
    <w:multiLevelType w:val="hybridMultilevel"/>
    <w:lvl w:ilvl="0">
      <w:lvlJc w:val="left"/>
      <w:lvlText w:val="(%1)"/>
      <w:numFmt w:val="decimal"/>
      <w:start w:val="2"/>
    </w:lvl>
  </w:abstractNum>
  <w:abstractNum w:abstractNumId="162">
    <w:nsid w:val="28677B7C"/>
    <w:multiLevelType w:val="hybridMultilevel"/>
    <w:lvl w:ilvl="0">
      <w:lvlJc w:val="left"/>
      <w:lvlText w:val="•"/>
      <w:numFmt w:val="bullet"/>
      <w:start w:val="1"/>
    </w:lvl>
  </w:abstractNum>
  <w:abstractNum w:abstractNumId="163">
    <w:nsid w:val="378D97C0"/>
    <w:multiLevelType w:val="hybridMultilevel"/>
    <w:lvl w:ilvl="0">
      <w:lvlJc w:val="left"/>
      <w:lvlText w:val="(%1)"/>
      <w:numFmt w:val="decimal"/>
      <w:start w:val="1"/>
    </w:lvl>
  </w:abstractNum>
  <w:abstractNum w:abstractNumId="164">
    <w:nsid w:val="1D91467C"/>
    <w:multiLevelType w:val="hybridMultilevel"/>
    <w:lvl w:ilvl="0">
      <w:lvlJc w:val="left"/>
      <w:lvlText w:val="(%1)"/>
      <w:numFmt w:val="decimal"/>
      <w:start w:val="1"/>
    </w:lvl>
  </w:abstractNum>
  <w:abstractNum w:abstractNumId="165">
    <w:nsid w:val="316032BB"/>
    <w:multiLevelType w:val="hybridMultilevel"/>
    <w:lvl w:ilvl="0">
      <w:lvlJc w:val="left"/>
      <w:lvlText w:val="(%1)"/>
      <w:numFmt w:val="decimal"/>
      <w:start w:val="1"/>
    </w:lvl>
  </w:abstractNum>
  <w:abstractNum w:abstractNumId="166">
    <w:nsid w:val="44344C22"/>
    <w:multiLevelType w:val="hybridMultilevel"/>
    <w:lvl w:ilvl="0">
      <w:lvlJc w:val="left"/>
      <w:lvlText w:val="•"/>
      <w:numFmt w:val="bullet"/>
      <w:start w:val="1"/>
    </w:lvl>
  </w:abstractNum>
  <w:abstractNum w:abstractNumId="167">
    <w:nsid w:val="13CDFCFC"/>
    <w:multiLevelType w:val="hybridMultilevel"/>
    <w:lvl w:ilvl="0">
      <w:lvlJc w:val="left"/>
      <w:lvlText w:val="*"/>
      <w:numFmt w:val="bullet"/>
      <w:start w:val="1"/>
    </w:lvl>
  </w:abstractNum>
  <w:abstractNum w:abstractNumId="168">
    <w:nsid w:val="471745E4"/>
    <w:multiLevelType w:val="hybridMultilevel"/>
    <w:lvl w:ilvl="0">
      <w:lvlJc w:val="left"/>
      <w:lvlText w:val="•"/>
      <w:numFmt w:val="bullet"/>
      <w:start w:val="1"/>
    </w:lvl>
  </w:abstractNum>
  <w:abstractNum w:abstractNumId="169">
    <w:nsid w:val="1DDBC66"/>
    <w:multiLevelType w:val="hybridMultilevel"/>
    <w:lvl w:ilvl="0">
      <w:lvlJc w:val="left"/>
      <w:lvlText w:val="•"/>
      <w:numFmt w:val="bullet"/>
      <w:start w:val="1"/>
    </w:lvl>
  </w:abstractNum>
  <w:abstractNum w:abstractNumId="170">
    <w:nsid w:val="30AADFDA"/>
    <w:multiLevelType w:val="hybridMultilevel"/>
    <w:lvl w:ilvl="0">
      <w:lvlJc w:val="left"/>
      <w:lvlText w:val="(%1)"/>
      <w:numFmt w:val="decimal"/>
      <w:start w:val="2"/>
    </w:lvl>
  </w:abstractNum>
  <w:abstractNum w:abstractNumId="171">
    <w:nsid w:val="30EADA61"/>
    <w:multiLevelType w:val="hybridMultilevel"/>
    <w:lvl w:ilvl="0">
      <w:lvlJc w:val="left"/>
      <w:lvlText w:val="•"/>
      <w:numFmt w:val="bullet"/>
      <w:start w:val="1"/>
    </w:lvl>
  </w:abstractNum>
  <w:abstractNum w:abstractNumId="172">
    <w:nsid w:val="27179C0B"/>
    <w:multiLevelType w:val="hybridMultilevel"/>
    <w:lvl w:ilvl="0">
      <w:lvlJc w:val="left"/>
      <w:lvlText w:val="•"/>
      <w:numFmt w:val="bullet"/>
      <w:start w:val="1"/>
    </w:lvl>
  </w:abstractNum>
  <w:abstractNum w:abstractNumId="173">
    <w:nsid w:val="5E636063"/>
    <w:multiLevelType w:val="hybridMultilevel"/>
    <w:lvl w:ilvl="0">
      <w:lvlJc w:val="left"/>
      <w:lvlText w:val="(%1)"/>
      <w:numFmt w:val="decimal"/>
      <w:start w:val="2"/>
    </w:lvl>
  </w:abstractNum>
  <w:abstractNum w:abstractNumId="174">
    <w:nsid w:val="215641AF"/>
    <w:multiLevelType w:val="hybridMultilevel"/>
    <w:lvl w:ilvl="0">
      <w:lvlJc w:val="left"/>
      <w:lvlText w:val="•"/>
      <w:numFmt w:val="bullet"/>
      <w:start w:val="1"/>
    </w:lvl>
  </w:abstractNum>
  <w:abstractNum w:abstractNumId="175">
    <w:nsid w:val="53280662"/>
    <w:multiLevelType w:val="hybridMultilevel"/>
    <w:lvl w:ilvl="0">
      <w:lvlJc w:val="left"/>
      <w:lvlText w:val="•"/>
      <w:numFmt w:val="bullet"/>
      <w:start w:val="1"/>
    </w:lvl>
  </w:abstractNum>
  <w:abstractNum w:abstractNumId="176">
    <w:nsid w:val="46B24DBC"/>
    <w:multiLevelType w:val="hybridMultilevel"/>
    <w:lvl w:ilvl="0">
      <w:lvlJc w:val="left"/>
      <w:lvlText w:val="•"/>
      <w:numFmt w:val="bullet"/>
      <w:start w:val="1"/>
    </w:lvl>
  </w:abstractNum>
  <w:abstractNum w:abstractNumId="177">
    <w:nsid w:val="75B52783"/>
    <w:multiLevelType w:val="hybridMultilevel"/>
    <w:lvl w:ilvl="0">
      <w:lvlJc w:val="left"/>
      <w:lvlText w:val="•"/>
      <w:numFmt w:val="bullet"/>
      <w:start w:val="1"/>
    </w:lvl>
  </w:abstractNum>
  <w:abstractNum w:abstractNumId="178">
    <w:nsid w:val="57CE66B4"/>
    <w:multiLevelType w:val="hybridMultilevel"/>
    <w:lvl w:ilvl="0">
      <w:lvlJc w:val="left"/>
      <w:lvlText w:val="•"/>
      <w:numFmt w:val="bullet"/>
      <w:start w:val="1"/>
    </w:lvl>
  </w:abstractNum>
  <w:abstractNum w:abstractNumId="179">
    <w:nsid w:val="67A70B69"/>
    <w:multiLevelType w:val="hybridMultilevel"/>
    <w:lvl w:ilvl="0">
      <w:lvlJc w:val="left"/>
      <w:lvlText w:val="•"/>
      <w:numFmt w:val="bullet"/>
      <w:start w:val="1"/>
    </w:lvl>
  </w:abstractNum>
  <w:abstractNum w:abstractNumId="180">
    <w:nsid w:val="5953172F"/>
    <w:multiLevelType w:val="hybridMultilevel"/>
    <w:lvl w:ilvl="0">
      <w:lvlJc w:val="left"/>
      <w:lvlText w:val="[***]"/>
      <w:numFmt w:val="bullet"/>
      <w:start w:val="1"/>
    </w:lvl>
  </w:abstractNum>
  <w:abstractNum w:abstractNumId="181">
    <w:nsid w:val="27EDFE3A"/>
    <w:multiLevelType w:val="hybridMultilevel"/>
    <w:lvl w:ilvl="0">
      <w:lvlJc w:val="left"/>
      <w:lvlText w:val="1"/>
      <w:numFmt w:val="bullet"/>
      <w:start w:val="1"/>
    </w:lvl>
  </w:abstractNum>
  <w:abstractNum w:abstractNumId="182">
    <w:nsid w:val="52AC7DFF"/>
    <w:multiLevelType w:val="hybridMultilevel"/>
    <w:lvl w:ilvl="0">
      <w:lvlJc w:val="left"/>
      <w:lvlText w:val="2"/>
      <w:numFmt w:val="bullet"/>
      <w:start w:val="1"/>
    </w:lvl>
  </w:abstractNum>
  <w:abstractNum w:abstractNumId="183">
    <w:nsid w:val="C4C3AF"/>
    <w:multiLevelType w:val="hybridMultilevel"/>
    <w:lvl w:ilvl="0">
      <w:lvlJc w:val="left"/>
      <w:lvlText w:val="3"/>
      <w:numFmt w:val="bullet"/>
      <w:start w:val="1"/>
    </w:lvl>
  </w:abstractNum>
  <w:abstractNum w:abstractNumId="184">
    <w:nsid w:val="44380727"/>
    <w:multiLevelType w:val="hybridMultilevel"/>
    <w:lvl w:ilvl="0">
      <w:lvlJc w:val="left"/>
      <w:lvlText w:val="%1."/>
      <w:numFmt w:val="decimal"/>
      <w:start w:val="1"/>
    </w:lvl>
  </w:abstractNum>
  <w:abstractNum w:abstractNumId="185">
    <w:nsid w:val="6C053B16"/>
    <w:multiLevelType w:val="hybridMultilevel"/>
    <w:lvl w:ilvl="0">
      <w:lvlJc w:val="left"/>
      <w:lvlText w:val="%1"/>
      <w:numFmt w:val="decimal"/>
      <w:start w:val="1"/>
    </w:lvl>
    <w:lvl w:ilvl="1">
      <w:lvlJc w:val="left"/>
      <w:lvlText w:val="(%2)"/>
      <w:numFmt w:val="upperLetter"/>
      <w:start w:val="1"/>
    </w:lvl>
  </w:abstractNum>
  <w:abstractNum w:abstractNumId="186">
    <w:nsid w:val="4F294393"/>
    <w:multiLevelType w:val="hybridMultilevel"/>
    <w:lvl w:ilvl="0">
      <w:lvlJc w:val="left"/>
      <w:lvlText w:val="%1."/>
      <w:numFmt w:val="decimal"/>
      <w:start w:val="2"/>
    </w:lvl>
    <w:lvl w:ilvl="1">
      <w:lvlJc w:val="left"/>
      <w:lvlText w:val="%2"/>
      <w:numFmt w:val="upperLetter"/>
      <w:start w:val="1"/>
    </w:lvl>
  </w:abstractNum>
  <w:abstractNum w:abstractNumId="187">
    <w:nsid w:val="5243BFAC"/>
    <w:multiLevelType w:val="hybridMultilevel"/>
    <w:lvl w:ilvl="0">
      <w:lvlJc w:val="left"/>
      <w:lvlText w:val="%1."/>
      <w:numFmt w:val="decimal"/>
      <w:start w:val="3"/>
    </w:lvl>
  </w:abstractNum>
  <w:abstractNum w:abstractNumId="188">
    <w:nsid w:val="425EB207"/>
    <w:multiLevelType w:val="hybridMultilevel"/>
    <w:lvl w:ilvl="0">
      <w:lvlJc w:val="left"/>
      <w:lvlText w:val="%1."/>
      <w:numFmt w:val="decimal"/>
      <w:start w:val="4"/>
    </w:lvl>
  </w:abstractNum>
  <w:abstractNum w:abstractNumId="189">
    <w:nsid w:val="334A6F1F"/>
    <w:multiLevelType w:val="hybridMultilevel"/>
    <w:lvl w:ilvl="0">
      <w:lvlJc w:val="left"/>
      <w:lvlText w:val="%1."/>
      <w:numFmt w:val="decimal"/>
      <w:start w:val="5"/>
    </w:lvl>
  </w:abstractNum>
  <w:abstractNum w:abstractNumId="190">
    <w:nsid w:val="2E5B12B8"/>
    <w:multiLevelType w:val="hybridMultilevel"/>
    <w:lvl w:ilvl="0">
      <w:lvlJc w:val="left"/>
      <w:lvlText w:val="%1."/>
      <w:numFmt w:val="decimal"/>
      <w:start w:val="6"/>
    </w:lvl>
  </w:abstractNum>
  <w:abstractNum w:abstractNumId="191">
    <w:nsid w:val="5C03D76D"/>
    <w:multiLevelType w:val="hybridMultilevel"/>
    <w:lvl w:ilvl="0">
      <w:lvlJc w:val="left"/>
      <w:lvlText w:val="(%1)"/>
      <w:numFmt w:val="lowerRoman"/>
      <w:start w:val="1"/>
    </w:lvl>
  </w:abstractNum>
  <w:abstractNum w:abstractNumId="192">
    <w:nsid w:val="66A48D11"/>
    <w:multiLevelType w:val="hybridMultilevel"/>
    <w:lvl w:ilvl="0">
      <w:lvlJc w:val="left"/>
      <w:lvlText w:val="%1."/>
      <w:numFmt w:val="decimal"/>
      <w:start w:val="7"/>
    </w:lvl>
  </w:abstractNum>
  <w:abstractNum w:abstractNumId="193">
    <w:nsid w:val="56C28E34"/>
    <w:multiLevelType w:val="hybridMultilevel"/>
    <w:lvl w:ilvl="0">
      <w:lvlJc w:val="left"/>
      <w:lvlText w:val="•"/>
      <w:numFmt w:val="bullet"/>
      <w:start w:val="1"/>
    </w:lvl>
  </w:abstractNum>
  <w:abstractNum w:abstractNumId="194">
    <w:nsid w:val="13916F2D"/>
    <w:multiLevelType w:val="hybridMultilevel"/>
    <w:lvl w:ilvl="0">
      <w:lvlJc w:val="left"/>
      <w:lvlText w:val="%1."/>
      <w:numFmt w:val="decimal"/>
      <w:start w:val="8"/>
    </w:lvl>
  </w:abstractNum>
  <w:abstractNum w:abstractNumId="195">
    <w:nsid w:val="435D38D"/>
    <w:multiLevelType w:val="hybridMultilevel"/>
    <w:lvl w:ilvl="0">
      <w:lvlJc w:val="left"/>
      <w:lvlText w:val="[***]"/>
      <w:numFmt w:val="bullet"/>
      <w:start w:val="1"/>
    </w:lvl>
  </w:abstractNum>
  <w:abstractNum w:abstractNumId="196">
    <w:nsid w:val="822C0EF"/>
    <w:multiLevelType w:val="hybridMultilevel"/>
    <w:lvl w:ilvl="0">
      <w:lvlJc w:val="left"/>
      <w:lvlText w:val="%1."/>
      <w:numFmt w:val="decimal"/>
      <w:start w:val="9"/>
    </w:lvl>
  </w:abstractNum>
  <w:abstractNum w:abstractNumId="197">
    <w:nsid w:val="57C5BB4F"/>
    <w:multiLevelType w:val="hybridMultilevel"/>
    <w:lvl w:ilvl="0">
      <w:lvlJc w:val="left"/>
      <w:lvlText w:val="%1."/>
      <w:numFmt w:val="decimal"/>
      <w:start w:val="10"/>
    </w:lvl>
  </w:abstractNum>
  <w:abstractNum w:abstractNumId="198">
    <w:nsid w:val="1803D089"/>
    <w:multiLevelType w:val="hybridMultilevel"/>
    <w:lvl w:ilvl="0">
      <w:lvlJc w:val="left"/>
      <w:lvlText w:val="%1."/>
      <w:numFmt w:val="decimal"/>
      <w:start w:val="11"/>
    </w:lvl>
  </w:abstractNum>
  <w:abstractNum w:abstractNumId="199">
    <w:nsid w:val="4F3A06D4"/>
    <w:multiLevelType w:val="hybridMultilevel"/>
    <w:lvl w:ilvl="0">
      <w:lvlJc w:val="left"/>
      <w:lvlText w:val="•"/>
      <w:numFmt w:val="bullet"/>
      <w:start w:val="1"/>
    </w:lvl>
  </w:abstractNum>
  <w:abstractNum w:abstractNumId="200">
    <w:nsid w:val="59A377B6"/>
    <w:multiLevelType w:val="hybridMultilevel"/>
    <w:lvl w:ilvl="0">
      <w:lvlJc w:val="left"/>
      <w:lvlText w:val="%1."/>
      <w:numFmt w:val="decimal"/>
      <w:start w:val="12"/>
    </w:lvl>
  </w:abstractNum>
  <w:abstractNum w:abstractNumId="201">
    <w:nsid w:val="48AEB063"/>
    <w:multiLevelType w:val="hybridMultilevel"/>
    <w:lvl w:ilvl="0">
      <w:lvlJc w:val="left"/>
      <w:lvlText w:val="•"/>
      <w:numFmt w:val="bullet"/>
      <w:start w:val="1"/>
    </w:lvl>
  </w:abstractNum>
  <w:abstractNum w:abstractNumId="202">
    <w:nsid w:val="24E135"/>
    <w:multiLevelType w:val="hybridMultilevel"/>
    <w:lvl w:ilvl="0">
      <w:lvlJc w:val="left"/>
      <w:lvlText w:val="•"/>
      <w:numFmt w:val="bullet"/>
      <w:start w:val="1"/>
    </w:lvl>
  </w:abstractNum>
  <w:abstractNum w:abstractNumId="203">
    <w:nsid w:val="BB13C1"/>
    <w:multiLevelType w:val="hybridMultilevel"/>
    <w:lvl w:ilvl="0">
      <w:lvlJc w:val="left"/>
      <w:lvlText w:val="%1."/>
      <w:numFmt w:val="decimal"/>
      <w:start w:val="13"/>
    </w:lvl>
  </w:abstractNum>
  <w:abstractNum w:abstractNumId="204">
    <w:nsid w:val="271210C7"/>
    <w:multiLevelType w:val="hybridMultilevel"/>
    <w:lvl w:ilvl="0">
      <w:lvlJc w:val="left"/>
      <w:lvlText w:val="%1."/>
      <w:numFmt w:val="decimal"/>
      <w:start w:val="14"/>
    </w:lvl>
  </w:abstractNum>
  <w:abstractNum w:abstractNumId="205">
    <w:nsid w:val="217B22E4"/>
    <w:multiLevelType w:val="hybridMultilevel"/>
    <w:lvl w:ilvl="0">
      <w:lvlJc w:val="left"/>
      <w:lvlText w:val="%1."/>
      <w:numFmt w:val="decimal"/>
      <w:start w:val="15"/>
    </w:lvl>
  </w:abstractNum>
  <w:abstractNum w:abstractNumId="206">
    <w:nsid w:val="53E31A24"/>
    <w:multiLevelType w:val="hybridMultilevel"/>
    <w:lvl w:ilvl="0">
      <w:lvlJc w:val="left"/>
      <w:lvlText w:val="%1."/>
      <w:numFmt w:val="decimal"/>
      <w:start w:val="16"/>
    </w:lvl>
  </w:abstractNum>
  <w:abstractNum w:abstractNumId="207">
    <w:nsid w:val="6DC45E83"/>
    <w:multiLevelType w:val="hybridMultilevel"/>
    <w:lvl w:ilvl="0">
      <w:lvlJc w:val="left"/>
      <w:lvlText w:val="(%1)"/>
      <w:numFmt w:val="lowerRoman"/>
      <w:start w:val="1"/>
    </w:lvl>
    <w:lvl w:ilvl="1">
      <w:lvlJc w:val="left"/>
      <w:lvlText w:val="%2."/>
      <w:numFmt w:val="lowerLetter"/>
      <w:start w:val="1"/>
    </w:lvl>
  </w:abstractNum>
  <w:abstractNum w:abstractNumId="208">
    <w:nsid w:val="17304A67"/>
    <w:multiLevelType w:val="hybridMultilevel"/>
    <w:lvl w:ilvl="0">
      <w:lvlJc w:val="left"/>
      <w:lvlText w:val="(%1)"/>
      <w:numFmt w:val="lowerRoman"/>
      <w:start w:val="5"/>
    </w:lvl>
  </w:abstractNum>
  <w:abstractNum w:abstractNumId="209">
    <w:nsid w:val="2BB180D8"/>
    <w:multiLevelType w:val="hybridMultilevel"/>
    <w:lvl w:ilvl="0">
      <w:lvlJc w:val="left"/>
      <w:lvlText w:val="%1."/>
      <w:numFmt w:val="decimal"/>
      <w:start w:val="17"/>
    </w:lvl>
  </w:abstractNum>
  <w:abstractNum w:abstractNumId="210">
    <w:nsid w:val="556B69ED"/>
    <w:multiLevelType w:val="hybridMultilevel"/>
    <w:lvl w:ilvl="0">
      <w:lvlJc w:val="left"/>
      <w:lvlText w:val="(%1)"/>
      <w:numFmt w:val="lowerRoman"/>
      <w:start w:val="1"/>
    </w:lvl>
  </w:abstractNum>
  <w:abstractNum w:abstractNumId="211">
    <w:nsid w:val="70836196"/>
    <w:multiLevelType w:val="hybridMultilevel"/>
    <w:lvl w:ilvl="0">
      <w:lvlJc w:val="left"/>
      <w:lvlText w:val="%1."/>
      <w:numFmt w:val="decimal"/>
      <w:start w:val="18"/>
    </w:lvl>
  </w:abstractNum>
  <w:abstractNum w:abstractNumId="212">
    <w:nsid w:val="539F7F12"/>
    <w:multiLevelType w:val="hybridMultilevel"/>
    <w:lvl w:ilvl="0">
      <w:lvlJc w:val="left"/>
      <w:lvlText w:val="%1."/>
      <w:numFmt w:val="decimal"/>
      <w:start w:val="20"/>
    </w:lvl>
  </w:abstractNum>
  <w:abstractNum w:abstractNumId="213">
    <w:nsid w:val="2817E7EC"/>
    <w:multiLevelType w:val="hybridMultilevel"/>
    <w:lvl w:ilvl="0">
      <w:lvlJc w:val="left"/>
      <w:lvlText w:val="%1."/>
      <w:numFmt w:val="decimal"/>
      <w:start w:val="21"/>
    </w:lvl>
  </w:abstractNum>
  <w:abstractNum w:abstractNumId="214">
    <w:nsid w:val="71482545"/>
    <w:multiLevelType w:val="hybridMultilevel"/>
    <w:lvl w:ilvl="0">
      <w:lvlJc w:val="left"/>
      <w:lvlText w:val="(%1)"/>
      <w:numFmt w:val="lowerRoman"/>
      <w:start w:val="1"/>
    </w:lvl>
  </w:abstractNum>
  <w:abstractNum w:abstractNumId="215">
    <w:nsid w:val="17D78639"/>
    <w:multiLevelType w:val="hybridMultilevel"/>
    <w:lvl w:ilvl="0">
      <w:lvlJc w:val="left"/>
      <w:lvlText w:val="(%1)"/>
      <w:numFmt w:val="lowerRoman"/>
      <w:start w:val="10"/>
    </w:lvl>
  </w:abstractNum>
  <w:abstractNum w:abstractNumId="216">
    <w:nsid w:val="141D2302"/>
    <w:multiLevelType w:val="hybridMultilevel"/>
    <w:lvl w:ilvl="0">
      <w:lvlJc w:val="left"/>
      <w:lvlText w:val="%1."/>
      <w:numFmt w:val="decimal"/>
      <w:start w:val="22"/>
    </w:lvl>
  </w:abstractNum>
  <w:abstractNum w:abstractNumId="217">
    <w:nsid w:val="407168D8"/>
    <w:multiLevelType w:val="hybridMultilevel"/>
    <w:lvl w:ilvl="0">
      <w:lvlJc w:val="left"/>
      <w:lvlText w:val="%1."/>
      <w:numFmt w:val="decimal"/>
      <w:start w:val="23"/>
    </w:lvl>
  </w:abstractNum>
  <w:abstractNum w:abstractNumId="218">
    <w:nsid w:val="6A1B45E5"/>
    <w:multiLevelType w:val="hybridMultilevel"/>
    <w:lvl w:ilvl="0">
      <w:lvlJc w:val="left"/>
      <w:lvlText w:val="%1."/>
      <w:numFmt w:val="decimal"/>
      <w:start w:val="24"/>
    </w:lvl>
  </w:abstractNum>
  <w:abstractNum w:abstractNumId="219">
    <w:nsid w:val="567BD50A"/>
    <w:multiLevelType w:val="hybridMultilevel"/>
    <w:lvl w:ilvl="0">
      <w:lvlJc w:val="left"/>
      <w:lvlText w:val="%1."/>
      <w:numFmt w:val="decimal"/>
      <w:start w:val="25"/>
    </w:lvl>
  </w:abstractNum>
  <w:abstractNum w:abstractNumId="220">
    <w:nsid w:val="73BBD7F8"/>
    <w:multiLevelType w:val="hybridMultilevel"/>
    <w:lvl w:ilvl="0">
      <w:lvlJc w:val="left"/>
      <w:lvlText w:val="[***]"/>
      <w:numFmt w:val="bullet"/>
      <w:start w:val="1"/>
    </w:lvl>
  </w:abstractNum>
  <w:abstractNum w:abstractNumId="221">
    <w:nsid w:val="1876589D"/>
    <w:multiLevelType w:val="hybridMultilevel"/>
    <w:lvl w:ilvl="0">
      <w:lvlJc w:val="left"/>
      <w:lvlText w:val="1"/>
      <w:numFmt w:val="bullet"/>
      <w:start w:val="1"/>
    </w:lvl>
  </w:abstractNum>
  <w:abstractNum w:abstractNumId="222">
    <w:nsid w:val="327FAC77"/>
    <w:multiLevelType w:val="hybridMultilevel"/>
    <w:lvl w:ilvl="0">
      <w:lvlJc w:val="left"/>
      <w:lvlText w:val="%1"/>
      <w:numFmt w:val="decimal"/>
      <w:start w:val="1"/>
    </w:lvl>
    <w:lvl w:ilvl="1">
      <w:lvlJc w:val="left"/>
      <w:lvlText w:val="(%2)"/>
      <w:numFmt w:val="upperLetter"/>
      <w:start w:val="1"/>
    </w:lvl>
  </w:abstractNum>
  <w:abstractNum w:abstractNumId="223">
    <w:nsid w:val="5A606509"/>
    <w:multiLevelType w:val="hybridMultilevel"/>
    <w:lvl w:ilvl="0">
      <w:lvlJc w:val="left"/>
      <w:lvlText w:val="%1."/>
      <w:numFmt w:val="decimal"/>
      <w:start w:val="2"/>
    </w:lvl>
    <w:lvl w:ilvl="1">
      <w:lvlJc w:val="left"/>
      <w:lvlText w:val="%2"/>
      <w:numFmt w:val="upperLetter"/>
      <w:start w:val="1"/>
    </w:lvl>
  </w:abstractNum>
  <w:abstractNum w:abstractNumId="224">
    <w:nsid w:val="6F38E6D1"/>
    <w:multiLevelType w:val="hybridMultilevel"/>
    <w:lvl w:ilvl="0">
      <w:lvlJc w:val="left"/>
      <w:lvlText w:val="%1."/>
      <w:numFmt w:val="decimal"/>
      <w:start w:val="8"/>
    </w:lvl>
    <w:lvl w:ilvl="1">
      <w:lvlJc w:val="left"/>
      <w:lvlText w:val="•"/>
      <w:numFmt w:val="bullet"/>
      <w:start w:val="1"/>
    </w:lvl>
  </w:abstractNum>
  <w:abstractNum w:abstractNumId="225">
    <w:nsid w:val="46111BA5"/>
    <w:multiLevelType w:val="hybridMultilevel"/>
    <w:lvl w:ilvl="0">
      <w:lvlJc w:val="left"/>
      <w:lvlText w:val="%1)"/>
      <w:numFmt w:val="lowerLetter"/>
      <w:start w:val="1"/>
    </w:lvl>
    <w:lvl w:ilvl="1">
      <w:lvlJc w:val="left"/>
      <w:lvlText w:val="(%2)"/>
      <w:numFmt w:val="lowerRoman"/>
      <w:start w:val="1"/>
    </w:lvl>
  </w:abstractNum>
  <w:abstractNum w:abstractNumId="226">
    <w:nsid w:val="5E963896"/>
    <w:multiLevelType w:val="hybridMultilevel"/>
    <w:lvl w:ilvl="0">
      <w:lvlJc w:val="left"/>
      <w:lvlText w:val="%1"/>
      <w:numFmt w:val="lowerLetter"/>
      <w:start w:val="1"/>
    </w:lvl>
    <w:lvl w:ilvl="1">
      <w:lvlJc w:val="left"/>
      <w:lvlText w:val="(%2)"/>
      <w:numFmt w:val="lowerRoman"/>
      <w:start w:val="2"/>
    </w:lvl>
  </w:abstractNum>
  <w:abstractNum w:abstractNumId="227">
    <w:nsid w:val="775BA7C1"/>
    <w:multiLevelType w:val="hybridMultilevel"/>
    <w:lvl w:ilvl="0">
      <w:lvlJc w:val="left"/>
      <w:lvlText w:val="%1)"/>
      <w:numFmt w:val="lowerLetter"/>
      <w:start w:val="2"/>
    </w:lvl>
    <w:lvl w:ilvl="1">
      <w:lvlJc w:val="left"/>
      <w:lvlText w:val="%2"/>
      <w:numFmt w:val="lowerRoman"/>
      <w:start w:val="1"/>
    </w:lvl>
  </w:abstractNum>
  <w:abstractNum w:abstractNumId="228">
    <w:nsid w:val="1DD6D6F4"/>
    <w:multiLevelType w:val="hybridMultilevel"/>
    <w:lvl w:ilvl="0">
      <w:lvlJc w:val="left"/>
      <w:lvlText w:val="%1)"/>
      <w:numFmt w:val="lowerLetter"/>
      <w:start w:val="1"/>
    </w:lvl>
  </w:abstractNum>
  <w:abstractNum w:abstractNumId="229">
    <w:nsid w:val="769A091F"/>
    <w:multiLevelType w:val="hybridMultilevel"/>
    <w:lvl w:ilvl="0">
      <w:lvlJc w:val="left"/>
      <w:lvlText w:val="%1."/>
      <w:numFmt w:val="decimal"/>
      <w:start w:val="20"/>
    </w:lvl>
  </w:abstractNum>
  <w:abstractNum w:abstractNumId="230">
    <w:nsid w:val="4695AE95"/>
    <w:multiLevelType w:val="hybridMultilevel"/>
    <w:lvl w:ilvl="0">
      <w:lvlJc w:val="left"/>
      <w:lvlText w:val="%1)"/>
      <w:numFmt w:val="lowerLetter"/>
      <w:start w:val="1"/>
    </w:lvl>
  </w:abstractNum>
  <w:abstractNum w:abstractNumId="231">
    <w:nsid w:val="777A4EAA"/>
    <w:multiLevelType w:val="hybridMultilevel"/>
    <w:lvl w:ilvl="0">
      <w:lvlJc w:val="left"/>
      <w:lvlText w:val="%1)"/>
      <w:numFmt w:val="lowerLetter"/>
      <w:start w:val="1"/>
    </w:lvl>
  </w:abstractNum>
  <w:abstractNum w:abstractNumId="232">
    <w:nsid w:val="3F48B982"/>
    <w:multiLevelType w:val="hybridMultilevel"/>
    <w:lvl w:ilvl="0">
      <w:lvlJc w:val="left"/>
      <w:lvlText w:val="[***]"/>
      <w:numFmt w:val="bullet"/>
      <w:start w:val="1"/>
    </w:lvl>
  </w:abstractNum>
  <w:abstractNum w:abstractNumId="233">
    <w:nsid w:val="46BA8FCA"/>
    <w:multiLevelType w:val="hybridMultilevel"/>
    <w:lvl w:ilvl="0">
      <w:lvlJc w:val="left"/>
      <w:lvlText w:val="1"/>
      <w:numFmt w:val="bullet"/>
      <w:start w:val="1"/>
    </w:lvl>
  </w:abstractNum>
  <w:abstractNum w:abstractNumId="234">
    <w:nsid w:val="7835626C"/>
    <w:multiLevelType w:val="hybridMultilevel"/>
    <w:lvl w:ilvl="0">
      <w:lvlJc w:val="left"/>
      <w:lvlText w:val="2"/>
      <w:numFmt w:val="bullet"/>
      <w:start w:val="1"/>
    </w:lvl>
  </w:abstractNum>
  <w:abstractNum w:abstractNumId="235">
    <w:nsid w:val="665ACA49"/>
    <w:multiLevelType w:val="hybridMultilevel"/>
    <w:lvl w:ilvl="0">
      <w:lvlJc w:val="left"/>
      <w:lvlText w:val="3"/>
      <w:numFmt w:val="bullet"/>
      <w:start w:val="1"/>
    </w:lvl>
  </w:abstractNum>
  <w:abstractNum w:abstractNumId="236">
    <w:nsid w:val="6835B2AE"/>
    <w:multiLevelType w:val="hybridMultilevel"/>
    <w:lvl w:ilvl="0">
      <w:lvlJc w:val="left"/>
      <w:lvlText w:val="4"/>
      <w:numFmt w:val="bullet"/>
      <w:start w:val="1"/>
    </w:lvl>
  </w:abstractNum>
  <w:abstractNum w:abstractNumId="237">
    <w:nsid w:val="4C187C90"/>
    <w:multiLevelType w:val="hybridMultilevel"/>
    <w:lvl w:ilvl="0">
      <w:lvlJc w:val="left"/>
      <w:lvlText w:val="5"/>
      <w:numFmt w:val="bullet"/>
      <w:start w:val="1"/>
    </w:lvl>
  </w:abstractNum>
  <w:abstractNum w:abstractNumId="238">
    <w:nsid w:val="541F28CD"/>
    <w:multiLevelType w:val="hybridMultilevel"/>
    <w:lvl w:ilvl="0">
      <w:lvlJc w:val="left"/>
      <w:lvlText w:val="6"/>
      <w:numFmt w:val="bullet"/>
      <w:start w:val="1"/>
    </w:lvl>
  </w:abstractNum>
  <w:abstractNum w:abstractNumId="239">
    <w:nsid w:val="7F65FD16"/>
    <w:multiLevelType w:val="hybridMultilevel"/>
    <w:lvl w:ilvl="0">
      <w:lvlJc w:val="left"/>
      <w:lvlText w:val="7"/>
      <w:numFmt w:val="bullet"/>
      <w:start w:val="1"/>
    </w:lvl>
  </w:abstractNum>
  <w:abstractNum w:abstractNumId="240">
    <w:nsid w:val="77C9FD68"/>
    <w:multiLevelType w:val="hybridMultilevel"/>
    <w:lvl w:ilvl="0">
      <w:lvlJc w:val="left"/>
      <w:lvlText w:val="%1."/>
      <w:numFmt w:val="decimal"/>
      <w:start w:val="1"/>
    </w:lvl>
  </w:abstractNum>
  <w:abstractNum w:abstractNumId="241">
    <w:nsid w:val="298A92BA"/>
    <w:multiLevelType w:val="hybridMultilevel"/>
    <w:lvl w:ilvl="0">
      <w:lvlJc w:val="left"/>
      <w:lvlText w:val="%1"/>
      <w:numFmt w:val="decimal"/>
      <w:start w:val="1"/>
    </w:lvl>
    <w:lvl w:ilvl="1">
      <w:lvlJc w:val="left"/>
      <w:lvlText w:val="(%2)"/>
      <w:numFmt w:val="upperLetter"/>
      <w:start w:val="1"/>
    </w:lvl>
  </w:abstractNum>
  <w:abstractNum w:abstractNumId="242">
    <w:nsid w:val="6FE95EAC"/>
    <w:multiLevelType w:val="hybridMultilevel"/>
    <w:lvl w:ilvl="0">
      <w:lvlJc w:val="left"/>
      <w:lvlText w:val="%1."/>
      <w:numFmt w:val="decimal"/>
      <w:start w:val="2"/>
    </w:lvl>
    <w:lvl w:ilvl="1">
      <w:lvlJc w:val="left"/>
      <w:lvlText w:val="%2"/>
      <w:numFmt w:val="upperLetter"/>
      <w:start w:val="1"/>
    </w:lvl>
  </w:abstractNum>
  <w:abstractNum w:abstractNumId="243">
    <w:nsid w:val="4B697C7A"/>
    <w:multiLevelType w:val="hybridMultilevel"/>
    <w:lvl w:ilvl="0">
      <w:lvlJc w:val="left"/>
      <w:lvlText w:val="%1."/>
      <w:numFmt w:val="decimal"/>
      <w:start w:val="3"/>
    </w:lvl>
  </w:abstractNum>
  <w:abstractNum w:abstractNumId="244">
    <w:nsid w:val="51A27AA6"/>
    <w:multiLevelType w:val="hybridMultilevel"/>
    <w:lvl w:ilvl="0">
      <w:lvlJc w:val="left"/>
      <w:lvlText w:val="%1."/>
      <w:numFmt w:val="decimal"/>
      <w:start w:val="4"/>
    </w:lvl>
  </w:abstractNum>
  <w:abstractNum w:abstractNumId="245">
    <w:nsid w:val="613183F2"/>
    <w:multiLevelType w:val="hybridMultilevel"/>
    <w:lvl w:ilvl="0">
      <w:lvlJc w:val="left"/>
      <w:lvlText w:val="%1."/>
      <w:numFmt w:val="decimal"/>
      <w:start w:val="5"/>
    </w:lvl>
  </w:abstractNum>
  <w:abstractNum w:abstractNumId="246">
    <w:nsid w:val="634102B4"/>
    <w:multiLevelType w:val="hybridMultilevel"/>
    <w:lvl w:ilvl="0">
      <w:lvlJc w:val="left"/>
      <w:lvlText w:val="%1."/>
      <w:numFmt w:val="decimal"/>
      <w:start w:val="6"/>
    </w:lvl>
  </w:abstractNum>
  <w:abstractNum w:abstractNumId="247">
    <w:nsid w:val="65BF9DA8"/>
    <w:multiLevelType w:val="hybridMultilevel"/>
    <w:lvl w:ilvl="0">
      <w:lvlJc w:val="left"/>
      <w:lvlText w:val="%1."/>
      <w:numFmt w:val="decimal"/>
      <w:start w:val="7"/>
    </w:lvl>
  </w:abstractNum>
  <w:abstractNum w:abstractNumId="248">
    <w:nsid w:val="21A2ECCA"/>
    <w:multiLevelType w:val="hybridMultilevel"/>
    <w:lvl w:ilvl="0">
      <w:lvlJc w:val="left"/>
      <w:lvlText w:val="%1."/>
      <w:numFmt w:val="decimal"/>
      <w:start w:val="8"/>
    </w:lvl>
  </w:abstractNum>
  <w:abstractNum w:abstractNumId="249">
    <w:nsid w:val="4D5C4899"/>
    <w:multiLevelType w:val="hybridMultilevel"/>
    <w:lvl w:ilvl="0">
      <w:lvlJc w:val="left"/>
      <w:lvlText w:val="%1."/>
      <w:numFmt w:val="decimal"/>
      <w:start w:val="9"/>
    </w:lvl>
  </w:abstractNum>
  <w:abstractNum w:abstractNumId="250">
    <w:nsid w:val="3C3B72B2"/>
    <w:multiLevelType w:val="hybridMultilevel"/>
    <w:lvl w:ilvl="0">
      <w:lvlJc w:val="left"/>
      <w:lvlText w:val="(%1)"/>
      <w:numFmt w:val="lowerRoman"/>
      <w:start w:val="2"/>
    </w:lvl>
  </w:abstractNum>
  <w:abstractNum w:abstractNumId="251">
    <w:nsid w:val="155EC4C2"/>
    <w:multiLevelType w:val="hybridMultilevel"/>
    <w:lvl w:ilvl="0">
      <w:lvlJc w:val="left"/>
      <w:lvlText w:val="%1."/>
      <w:numFmt w:val="decimal"/>
      <w:start w:val="10"/>
    </w:lvl>
  </w:abstractNum>
  <w:abstractNum w:abstractNumId="252">
    <w:nsid w:val="65D2A137"/>
    <w:multiLevelType w:val="hybridMultilevel"/>
    <w:lvl w:ilvl="0">
      <w:lvlJc w:val="left"/>
      <w:lvlText w:val="%1)"/>
      <w:numFmt w:val="lowerLetter"/>
      <w:start w:val="1"/>
    </w:lvl>
  </w:abstractNum>
  <w:abstractNum w:abstractNumId="253">
    <w:nsid w:val="6EBB1F2A"/>
    <w:multiLevelType w:val="hybridMultilevel"/>
    <w:lvl w:ilvl="0">
      <w:lvlJc w:val="left"/>
      <w:lvlText w:val="%1)"/>
      <w:numFmt w:val="lowerLetter"/>
      <w:start w:val="2"/>
    </w:lvl>
  </w:abstractNum>
  <w:abstractNum w:abstractNumId="254">
    <w:nsid w:val="6FBF29CB"/>
    <w:multiLevelType w:val="hybridMultilevel"/>
    <w:lvl w:ilvl="0">
      <w:lvlJc w:val="left"/>
      <w:lvlText w:val="%1."/>
      <w:numFmt w:val="decimal"/>
      <w:start w:val="11"/>
    </w:lvl>
  </w:abstractNum>
  <w:abstractNum w:abstractNumId="255">
    <w:nsid w:val="550B8808"/>
    <w:multiLevelType w:val="hybridMultilevel"/>
    <w:lvl w:ilvl="0">
      <w:lvlJc w:val="left"/>
      <w:lvlText w:val="%1."/>
      <w:numFmt w:val="decimal"/>
      <w:start w:val="12"/>
    </w:lvl>
  </w:abstractNum>
  <w:abstractNum w:abstractNumId="256">
    <w:nsid w:val="34CC3ACF"/>
    <w:multiLevelType w:val="hybridMultilevel"/>
    <w:lvl w:ilvl="0">
      <w:lvlJc w:val="left"/>
      <w:lvlText w:val="%1."/>
      <w:numFmt w:val="decimal"/>
      <w:start w:val="13"/>
    </w:lvl>
  </w:abstractNum>
  <w:abstractNum w:abstractNumId="257">
    <w:nsid w:val="4E556261"/>
    <w:multiLevelType w:val="hybridMultilevel"/>
    <w:lvl w:ilvl="0">
      <w:lvlJc w:val="left"/>
      <w:lvlText w:val="%1."/>
      <w:numFmt w:val="decimal"/>
      <w:start w:val="14"/>
    </w:lvl>
  </w:abstractNum>
  <w:abstractNum w:abstractNumId="258">
    <w:nsid w:val="4C672FC9"/>
    <w:multiLevelType w:val="hybridMultilevel"/>
    <w:lvl w:ilvl="0">
      <w:lvlJc w:val="left"/>
      <w:lvlText w:val="%1."/>
      <w:numFmt w:val="decimal"/>
      <w:start w:val="15"/>
    </w:lvl>
  </w:abstractNum>
  <w:abstractNum w:abstractNumId="259">
    <w:nsid w:val="52A311C3"/>
    <w:multiLevelType w:val="hybridMultilevel"/>
    <w:lvl w:ilvl="0">
      <w:lvlJc w:val="left"/>
      <w:lvlText w:val="%1."/>
      <w:numFmt w:val="decimal"/>
      <w:start w:val="16"/>
    </w:lvl>
  </w:abstractNum>
  <w:abstractNum w:abstractNumId="260">
    <w:nsid w:val="44EF6B80"/>
    <w:multiLevelType w:val="hybridMultilevel"/>
    <w:lvl w:ilvl="0">
      <w:lvlJc w:val="left"/>
      <w:lvlText w:val="%1)"/>
      <w:numFmt w:val="lowerLetter"/>
      <w:start w:val="1"/>
    </w:lvl>
    <w:lvl w:ilvl="1">
      <w:lvlJc w:val="left"/>
      <w:lvlText w:val="%2)"/>
      <w:numFmt w:val="lowerRoman"/>
      <w:start w:val="1"/>
    </w:lvl>
  </w:abstractNum>
  <w:abstractNum w:abstractNumId="261">
    <w:nsid w:val="12FCDE5E"/>
    <w:multiLevelType w:val="hybridMultilevel"/>
    <w:lvl w:ilvl="0">
      <w:lvlJc w:val="left"/>
      <w:lvlText w:val="%1."/>
      <w:numFmt w:val="decimal"/>
      <w:start w:val="17"/>
    </w:lvl>
  </w:abstractNum>
  <w:abstractNum w:abstractNumId="262">
    <w:nsid w:val="4A1D606E"/>
    <w:multiLevelType w:val="hybridMultilevel"/>
    <w:lvl w:ilvl="0">
      <w:lvlJc w:val="left"/>
      <w:lvlText w:val="%1)"/>
      <w:numFmt w:val="lowerLetter"/>
      <w:start w:val="1"/>
    </w:lvl>
  </w:abstractNum>
  <w:abstractNum w:abstractNumId="263">
    <w:nsid w:val="4382503"/>
    <w:multiLevelType w:val="hybridMultilevel"/>
    <w:lvl w:ilvl="0">
      <w:lvlJc w:val="left"/>
      <w:lvlText w:val="%1."/>
      <w:numFmt w:val="decimal"/>
      <w:start w:val="18"/>
    </w:lvl>
  </w:abstractNum>
  <w:abstractNum w:abstractNumId="264">
    <w:nsid w:val="59B76E28"/>
    <w:multiLevelType w:val="hybridMultilevel"/>
    <w:lvl w:ilvl="0">
      <w:lvlJc w:val="left"/>
      <w:lvlText w:val="%1."/>
      <w:numFmt w:val="decimal"/>
      <w:start w:val="19"/>
    </w:lvl>
  </w:abstractNum>
  <w:abstractNum w:abstractNumId="265">
    <w:nsid w:val="4252C2DA"/>
    <w:multiLevelType w:val="hybridMultilevel"/>
    <w:lvl w:ilvl="0">
      <w:lvlJc w:val="left"/>
      <w:lvlText w:val="%1."/>
      <w:numFmt w:val="decimal"/>
      <w:start w:val="20"/>
    </w:lvl>
  </w:abstractNum>
  <w:abstractNum w:abstractNumId="266">
    <w:nsid w:val="6A92EF4C"/>
    <w:multiLevelType w:val="hybridMultilevel"/>
    <w:lvl w:ilvl="0">
      <w:lvlJc w:val="left"/>
      <w:lvlText w:val="%1)"/>
      <w:numFmt w:val="lowerLetter"/>
      <w:start w:val="1"/>
    </w:lvl>
  </w:abstractNum>
  <w:abstractNum w:abstractNumId="267">
    <w:nsid w:val="41ED20D7"/>
    <w:multiLevelType w:val="hybridMultilevel"/>
    <w:lvl w:ilvl="0">
      <w:lvlJc w:val="left"/>
      <w:lvlText w:val="%1)"/>
      <w:numFmt w:val="lowerLetter"/>
      <w:start w:val="5"/>
    </w:lvl>
  </w:abstractNum>
  <w:abstractNum w:abstractNumId="268">
    <w:nsid w:val="E6B3F6A"/>
    <w:multiLevelType w:val="hybridMultilevel"/>
    <w:lvl w:ilvl="0">
      <w:lvlJc w:val="left"/>
      <w:lvlText w:val="%1."/>
      <w:numFmt w:val="decimal"/>
      <w:start w:val="21"/>
    </w:lvl>
  </w:abstractNum>
  <w:abstractNum w:abstractNumId="269">
    <w:nsid w:val="3EB21819"/>
    <w:multiLevelType w:val="hybridMultilevel"/>
    <w:lvl w:ilvl="0">
      <w:lvlJc w:val="left"/>
      <w:lvlText w:val="%1."/>
      <w:numFmt w:val="decimal"/>
      <w:start w:val="22"/>
    </w:lvl>
  </w:abstractNum>
  <w:abstractNum w:abstractNumId="270">
    <w:nsid w:val="41531DED"/>
    <w:multiLevelType w:val="hybridMultilevel"/>
    <w:lvl w:ilvl="0">
      <w:lvlJc w:val="left"/>
      <w:lvlText w:val="%1."/>
      <w:numFmt w:val="decimal"/>
      <w:start w:val="23"/>
    </w:lvl>
  </w:abstractNum>
  <w:abstractNum w:abstractNumId="271">
    <w:nsid w:val="6353CD2"/>
    <w:multiLevelType w:val="hybridMultilevel"/>
    <w:lvl w:ilvl="0">
      <w:lvlJc w:val="left"/>
      <w:lvlText w:val="%1."/>
      <w:numFmt w:val="decimal"/>
      <w:start w:val="24"/>
    </w:lvl>
  </w:abstractNum>
  <w:abstractNum w:abstractNumId="272">
    <w:nsid w:val="683CAAD3"/>
    <w:multiLevelType w:val="hybridMultilevel"/>
    <w:lvl w:ilvl="0">
      <w:lvlJc w:val="left"/>
      <w:lvlText w:val="%1."/>
      <w:numFmt w:val="decimal"/>
      <w:start w:val="1"/>
    </w:lvl>
  </w:abstractNum>
  <w:abstractNum w:abstractNumId="273">
    <w:nsid w:val="313C7C99"/>
    <w:multiLevelType w:val="hybridMultilevel"/>
    <w:lvl w:ilvl="0">
      <w:lvlJc w:val="left"/>
      <w:lvlText w:val="(%1)"/>
      <w:numFmt w:val="lowerLetter"/>
      <w:start w:val="1"/>
    </w:lvl>
  </w:abstractNum>
  <w:abstractNum w:abstractNumId="274">
    <w:nsid w:val="519EB94C"/>
    <w:multiLevelType w:val="hybridMultilevel"/>
    <w:lvl w:ilvl="0">
      <w:lvlJc w:val="left"/>
      <w:lvlText w:val="%1."/>
      <w:numFmt w:val="decimal"/>
      <w:start w:val="5"/>
    </w:lvl>
  </w:abstractNum>
  <w:abstractNum w:abstractNumId="275">
    <w:nsid w:val="39DF2579"/>
    <w:multiLevelType w:val="hybridMultilevel"/>
    <w:lvl w:ilvl="0">
      <w:lvlJc w:val="left"/>
      <w:lvlText w:val="(%1)"/>
      <w:numFmt w:val="lowerLetter"/>
      <w:start w:val="1"/>
    </w:lvl>
  </w:abstractNum>
  <w:abstractNum w:abstractNumId="276">
    <w:nsid w:val="126E008B"/>
    <w:multiLevelType w:val="hybridMultilevel"/>
    <w:lvl w:ilvl="0">
      <w:lvlJc w:val="left"/>
      <w:lvlText w:val="%1."/>
      <w:numFmt w:val="decimal"/>
      <w:start w:val="1"/>
    </w:lvl>
  </w:abstractNum>
  <w:abstractNum w:abstractNumId="277">
    <w:nsid w:val="34DFBC00"/>
    <w:multiLevelType w:val="hybridMultilevel"/>
    <w:lvl w:ilvl="0">
      <w:lvlJc w:val="left"/>
      <w:lvlText w:val="(%1)"/>
      <w:numFmt w:val="lowerLetter"/>
      <w:start w:val="1"/>
    </w:lvl>
  </w:abstractNum>
  <w:abstractNum w:abstractNumId="278">
    <w:nsid w:val="1F9EC322"/>
    <w:multiLevelType w:val="hybridMultilevel"/>
    <w:lvl w:ilvl="0">
      <w:lvlJc w:val="left"/>
      <w:lvlText w:val="%1."/>
      <w:numFmt w:val="decimal"/>
      <w:start w:val="5"/>
    </w:lvl>
  </w:abstractNum>
  <w:abstractNum w:abstractNumId="279">
    <w:nsid w:val="3410ED56"/>
    <w:multiLevelType w:val="hybridMultilevel"/>
    <w:lvl w:ilvl="0">
      <w:lvlJc w:val="left"/>
      <w:lvlText w:val="(%1)"/>
      <w:numFmt w:val="lowerLetter"/>
      <w:start w:val="1"/>
    </w:lvl>
  </w:abstractNum>
  <w:abstractNum w:abstractNumId="280">
    <w:nsid w:val="23C049A"/>
    <w:multiLevelType w:val="hybridMultilevel"/>
    <w:lvl w:ilvl="0">
      <w:lvlJc w:val="left"/>
      <w:lvlText w:val="(%1)"/>
      <w:numFmt w:val="decimal"/>
      <w:start w:val="1"/>
    </w:lvl>
  </w:abstractNum>
  <w:abstractNum w:abstractNumId="281">
    <w:nsid w:val="5BDA35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30" Type="http://schemas.openxmlformats.org/officeDocument/2006/relationships/image" Target="media/image215.png"/><Relationship Id="rId241"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222" Type="http://schemas.openxmlformats.org/officeDocument/2006/relationships/hyperlink" Target="http://www.sec.gov/Archives/edgar/data/1612042/000119312522032399/d306593dex11.htm" TargetMode="External"/><Relationship Id="rId223" Type="http://schemas.openxmlformats.org/officeDocument/2006/relationships/hyperlink" Target="http://www.sec.gov/Archives/edgar/data/1612042/000119312516447629/d65395dex42.htm" TargetMode="External"/><Relationship Id="rId224" Type="http://schemas.openxmlformats.org/officeDocument/2006/relationships/hyperlink" Target="http://www.sec.gov/Archives/edgar/data/1612042/000119312514446974/d744944dex103a.htm" TargetMode="External"/><Relationship Id="rId225" Type="http://schemas.openxmlformats.org/officeDocument/2006/relationships/hyperlink" Target="http://www.sec.gov/Archives/edgar/data/1612042/000119312514446974/d744944dex103b.htm" TargetMode="External"/><Relationship Id="rId226" Type="http://schemas.openxmlformats.org/officeDocument/2006/relationships/hyperlink" Target="http://www.sec.gov/Archives/edgar/data/1612042/000119312514446974/d744944dex104b.htm" TargetMode="External"/><Relationship Id="rId227" Type="http://schemas.openxmlformats.org/officeDocument/2006/relationships/hyperlink" Target="http://www.sec.gov/Archives/edgar/data/1612042/000119312516543253/d163051dex44c.htm" TargetMode="External"/><Relationship Id="rId228" Type="http://schemas.openxmlformats.org/officeDocument/2006/relationships/hyperlink" Target="http://www.sec.gov/Archives/edgar/data/1612042/000119312515012416/d744944dex105.htm" TargetMode="External"/><Relationship Id="rId229" Type="http://schemas.openxmlformats.org/officeDocument/2006/relationships/hyperlink" Target="http://www.sec.gov/Archives/edgar/data/1612042/000119312515401787/d105019dex41.htm" TargetMode="External"/><Relationship Id="rId231" Type="http://schemas.openxmlformats.org/officeDocument/2006/relationships/hyperlink" Target="http://www.sec.gov/Archives/edgar/data/1612042/000119312516447629/d65395dex101.htm" TargetMode="External"/><Relationship Id="rId232" Type="http://schemas.openxmlformats.org/officeDocument/2006/relationships/hyperlink" Target="http://www.sec.gov/Archives/edgar/data/1612042/000119312518099514/d445343dex49.htm" TargetMode="External"/><Relationship Id="rId233" Type="http://schemas.openxmlformats.org/officeDocument/2006/relationships/hyperlink" Target="http://www.sec.gov/Archives/edgar/data/1612042/000119312518099514/d445343dex410.htm" TargetMode="External"/><Relationship Id="rId234" Type="http://schemas.openxmlformats.org/officeDocument/2006/relationships/hyperlink" Target="http://www.sec.gov/Archives/edgar/data/1612042/000119312519096759/d654369dex411.htm" TargetMode="External"/><Relationship Id="rId235" Type="http://schemas.openxmlformats.org/officeDocument/2006/relationships/hyperlink" Target="http://www.sec.gov/Archives/edgar/data/1612042/000119312519096759/d654369dex412.htm" TargetMode="External"/><Relationship Id="rId236" Type="http://schemas.openxmlformats.org/officeDocument/2006/relationships/hyperlink" Target="http://www.sec.gov/Archives/edgar/data/1612042/000119312519096759/d654369dex413.htm" TargetMode="External"/><Relationship Id="rId237" Type="http://schemas.openxmlformats.org/officeDocument/2006/relationships/hyperlink" Target="http://www.sec.gov/Archives/edgar/data/1612042/000119312519096759/d654369dex415.htm" TargetMode="External"/><Relationship Id="rId238" Type="http://schemas.openxmlformats.org/officeDocument/2006/relationships/hyperlink" Target="http://www.sec.gov/Archives/edgar/data/1612042/000119312519096759/d654369dex416.htm" TargetMode="External"/><Relationship Id="rId239" Type="http://schemas.openxmlformats.org/officeDocument/2006/relationships/hyperlink" Target="http://www.sec.gov/Archives/edgar/data/1612042/000119312519096759/d654369dex417.htm" TargetMode="External"/><Relationship Id="rId240" Type="http://schemas.openxmlformats.org/officeDocument/2006/relationships/hyperlink" Target="http://www.sec.gov/Archives/edgar/data/1612042/000119312520096870/d841629dex416.htm" TargetMode="External"/><Relationship Id="rId242" Type="http://schemas.openxmlformats.org/officeDocument/2006/relationships/hyperlink" Target="http://www.sec.gov/Archives/edgar/data/1612042/000119312520096870/d841629dex417.htm" TargetMode="External"/><Relationship Id="rId243" Type="http://schemas.openxmlformats.org/officeDocument/2006/relationships/hyperlink" Target="http://www.sec.gov/Archives/edgar/data/1612042/000119312521076349/d123790dex417.htm" TargetMode="External"/><Relationship Id="rId244" Type="http://schemas.openxmlformats.org/officeDocument/2006/relationships/hyperlink" Target="http://www.sec.gov/Archives/edgar/data/1612042/000119312521076349/d123790dex418.htm" TargetMode="External"/><Relationship Id="rId245" Type="http://schemas.openxmlformats.org/officeDocument/2006/relationships/hyperlink" Target="http://www.sec.gov/Archives/edgar/data/1612042/000119312521076349/d123790dex419.htm" TargetMode="External"/><Relationship Id="rId246" Type="http://schemas.openxmlformats.org/officeDocument/2006/relationships/hyperlink" Target="http://www.sec.gov/Archives/edgar/data/1612042/000119312521076349/d123790dex420.htm" TargetMode="External"/><Relationship Id="rId247" Type="http://schemas.openxmlformats.org/officeDocument/2006/relationships/hyperlink" Target="http://www.sec.gov/Archives/edgar/data/1612042/000119312521351764/d245267dex992.htm" TargetMode="External"/><Relationship Id="rId248" Type="http://schemas.openxmlformats.org/officeDocument/2006/relationships/hyperlink" Target="http://www.sec.gov/Archives/edgar/data/1612042/000119312521076349/d123790d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2022-03-02T15:28:43Z</dcterms:created>
  <dcterms:modified xsi:type="dcterms:W3CDTF">2022-03-02T15:28:43Z</dcterms:modified>
</cp:coreProperties>
</file>