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52763d6k.htm"/>
      <w:bookmarkStart w:id="1" w:name="ksd52763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6-K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PURSUANT TO RULE 13a-16 OR 15d-16</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September 2026 </w:t>
      </w:r>
    </w:p>
    <w:p>
      <w:pPr>
        <w:pStyle w:val="TextBody"/>
        <w:bidi w:val="0"/>
        <w:spacing w:before="240" w:after="0"/>
        <w:jc w:val="center"/>
        <w:rPr>
          <w:rFonts w:ascii="Times New Roman" w:hAnsi="Times New Roman"/>
          <w:b/>
          <w:sz w:val="20"/>
        </w:rPr>
      </w:pPr>
      <w:r>
        <w:rPr>
          <w:rFonts w:ascii="Times New Roman" w:hAnsi="Times New Roman"/>
          <w:b/>
          <w:sz w:val="20"/>
        </w:rPr>
        <w:t>Commission File Number: 001-36815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Ascendis Pharma A/S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Tuborg Boulevard 12 </w:t>
      </w:r>
    </w:p>
    <w:p>
      <w:pPr>
        <w:pStyle w:val="TextBody"/>
        <w:bidi w:val="0"/>
        <w:spacing w:before="0" w:after="0"/>
        <w:jc w:val="center"/>
        <w:rPr>
          <w:rFonts w:ascii="Times New Roman" w:hAnsi="Times New Roman"/>
          <w:b/>
          <w:sz w:val="20"/>
        </w:rPr>
      </w:pPr>
      <w:r>
        <w:rPr>
          <w:rFonts w:ascii="Times New Roman" w:hAnsi="Times New Roman"/>
          <w:b/>
          <w:sz w:val="20"/>
        </w:rPr>
        <w:t xml:space="preserve">DK-2900 Hellerup </w:t>
      </w:r>
    </w:p>
    <w:p>
      <w:pPr>
        <w:pStyle w:val="TextBody"/>
        <w:bidi w:val="0"/>
        <w:spacing w:before="0" w:after="0"/>
        <w:jc w:val="center"/>
        <w:rPr>
          <w:rFonts w:ascii="Times New Roman" w:hAnsi="Times New Roman"/>
          <w:b/>
          <w:sz w:val="20"/>
        </w:rPr>
      </w:pPr>
      <w:r>
        <w:rPr>
          <w:rFonts w:ascii="Times New Roman" w:hAnsi="Times New Roman"/>
          <w:b/>
          <w:sz w:val="20"/>
        </w:rPr>
        <w:t xml:space="preserve">Denmark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files or will file annual reports under cover of Form 20-F or Form 40-F.</w:t>
      </w:r>
    </w:p>
    <w:p>
      <w:pPr>
        <w:pStyle w:val="TextBody"/>
        <w:bidi w:val="0"/>
        <w:spacing w:before="240" w:after="0"/>
        <w:jc w:val="center"/>
        <w:rPr>
          <w:rFonts w:ascii="Times New Roman" w:hAnsi="Times New Roman"/>
          <w:sz w:val="20"/>
        </w:rPr>
      </w:pPr>
      <w:r>
        <w:rPr>
          <w:rFonts w:ascii="Times New Roman" w:hAnsi="Times New Roman"/>
          <w:sz w:val="20"/>
        </w:rPr>
        <w:t>Form 20-F ☒   Form 40-F ☐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This report on Form 6-K shall be deemed to be incorporated by reference into the registration statements on Form S-8 (Registration Numbers 333-203040, 333-210810, 333-211512, 333-213412, 333-214843, 333-216883, 333-228576, 333-254101, 333-261550, 333-270088, 333-277519, 333-281916, 333-285322 and 333-293854) and Form F-3 (Registration Numbers 333-209336 and 333-282196) of Ascendis Pharma A/S (the “Company” or “Ascendis”) (including any prospectuses forming a part of such registration statements) and to be a part thereof from the date on which this report is filed, to the extent not superseded by documents or reports subsequently filed or furnished. </w:t>
      </w:r>
    </w:p>
    <w:p>
      <w:pPr>
        <w:pStyle w:val="TextBody"/>
        <w:bidi w:val="0"/>
        <w:spacing w:before="240" w:after="0"/>
        <w:jc w:val="left"/>
        <w:rPr>
          <w:rFonts w:ascii="Times New Roman" w:hAnsi="Times New Roman"/>
          <w:sz w:val="20"/>
        </w:rPr>
      </w:pPr>
      <w:r>
        <w:rPr>
          <w:rFonts w:ascii="Times New Roman" w:hAnsi="Times New Roman"/>
          <w:sz w:val="20"/>
        </w:rPr>
        <w:t xml:space="preserve">On September 14, 2026, the Company announced that its Board of Directors has authorized the Company to repurchase up to $400 million of the Company’s ordinary shares (the Share Repurchase Program). </w:t>
      </w:r>
    </w:p>
    <w:p>
      <w:pPr>
        <w:pStyle w:val="TextBody"/>
        <w:bidi w:val="0"/>
        <w:spacing w:before="240" w:after="0"/>
        <w:jc w:val="left"/>
        <w:rPr>
          <w:rFonts w:ascii="Times New Roman" w:hAnsi="Times New Roman"/>
          <w:sz w:val="20"/>
        </w:rPr>
      </w:pPr>
      <w:r>
        <w:rPr>
          <w:rFonts w:ascii="Times New Roman" w:hAnsi="Times New Roman"/>
          <w:sz w:val="20"/>
        </w:rPr>
        <w:t xml:space="preserve">Purchases under the planned Share Repurchase Program may be made from time to time, in such amounts as management deems appropriate, through a variety of methods, which may include open market purchases, privately negotiated transactions, block trades, accelerated share repurchase transactions, purchases through 10b5-1 trading plans, or by any combination of such methods. The timing and amount of any repurchases pursuant to the Share Repurchase Program will be determined based on market conditions, share price and other factors. The Share Repurchase Program does not require the Company to repurchase any specific number of shares, and may be modified, suspended or terminated at any time without notice.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report contains forward-looking statements that involve substantial risks and uncertainties. All statements, other than statements of historical facts, included in this report regarding Ascendis’ future operations, plans and objectives of management are forward-looking statements within the meaning of Section 27A of the Securities Act of 1933, as amended, and Section 21E of the Securities Exchange Act of 1934, as amended. Examples of such statements include, but are not limited to, statements relating to the planned Share Repurchase Program, including the timing, amount, and methods of any repurchases. Ascendis may not actually achieve the plans, carry out the intentions or meet the expectations or projections disclosed in the forward-looking statements and you should not place undue reliance on these forward-looking statements. Actual results or events could differ materially from the plans, intentions, expectations and projections disclosed in the forward-looking statements. Various important factors could cause actual results or events to differ materially from the forward-looking statements that Ascendis makes, including, without limitation: dependence on third-party manufacturers, distributors, and service providers for Ascendis’ products and product candidates; risks related to regulatory review and approval, including the possibility of delays, requests for additional data or analyses, restrictions or limitations on use, approval with labeling that is more limited than expected, or failure to obtain approval in the United States, European Union, or other jurisdictions; clinical development risks, including that results from ongoing or future trials may not confirm earlier data; unforeseen safety or efficacy findings in development programs or on-market products; manufacturing, supply chain, quality, or logistics issues that could delay development or commercialization; unforeseen expenses related to commercialization of any approved Ascendis products; unforeseen research and development or selling, general and administrative expenses and other costs impacting Ascendis’ business generally; market acceptance, pricing, and reimbursement challenges, including payer coverage decisions and health technology assessments; competitive developments, including new or improved therapies; intellectual property protection, freedom-to-operate, and litigation risks; Ascendis’ ability to obtain additional funding, if needed, to support its business activities; cybersecurity, data privacy, and information technology disruptions; and the impact of international economic, political, legal, compliance, public health, and business factors, including tariffs, trade policies, currency fluctuations, and geopolitical events. For a further description of the risks and uncertainties that could cause actual results to differ from those expressed in these forward-looking statements, as well as risks relating to Ascendis’ business in general, see Ascendis’ Annual Report on Form 20-F filed with the U.S. Securities and Exchange Commission (SEC) on February 11, 2026, and Ascendis’ other future reports filed with, or submitted to, the SEC. Forward-looking statements do not reflect the potential impact of any future licensing, collaborations, acquisitions, mergers, dispositions, joint ventures, or investments that Ascendis may enter into or make. Ascendis does not assume any obligation to update any forward-looking statements, except as required by law.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92"/>
        <w:gridCol w:w="101"/>
        <w:gridCol w:w="407"/>
        <w:gridCol w:w="101"/>
        <w:gridCol w:w="305"/>
        <w:gridCol w:w="101"/>
        <w:gridCol w:w="4598"/>
      </w:tblGrid>
      <w:tr>
        <w:trPr/>
        <w:tc>
          <w:tcPr>
            <w:tcW w:w="459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598" w:type="dxa"/>
            <w:tcBorders/>
            <w:vAlign w:val="center"/>
          </w:tcPr>
          <w:p>
            <w:pPr>
              <w:pStyle w:val="TableContents"/>
              <w:bidi w:val="0"/>
              <w:spacing w:before="0" w:after="283"/>
              <w:jc w:val="left"/>
              <w:rPr>
                <w:sz w:val="4"/>
                <w:szCs w:val="4"/>
              </w:rPr>
            </w:pPr>
            <w:r>
              <w:rPr>
                <w:sz w:val="4"/>
                <w:szCs w:val="4"/>
              </w:rPr>
            </w:r>
          </w:p>
        </w:tc>
      </w:tr>
      <w:tr>
        <w:trPr/>
        <w:tc>
          <w:tcPr>
            <w:tcW w:w="4592"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004" w:type="dxa"/>
            <w:gridSpan w:val="3"/>
            <w:tcBorders/>
            <w:vAlign w:val="bottom"/>
          </w:tcPr>
          <w:p>
            <w:pPr>
              <w:pStyle w:val="TableContents"/>
              <w:bidi w:val="0"/>
              <w:spacing w:before="0" w:after="283"/>
              <w:jc w:val="left"/>
              <w:rPr/>
            </w:pPr>
            <w:r>
              <w:rPr/>
              <w:t>Ascendis Pharma A/S</w:t>
            </w:r>
          </w:p>
        </w:tc>
      </w:tr>
      <w:tr>
        <w:trPr>
          <w:trHeight w:val="240" w:hRule="atLeast"/>
        </w:trPr>
        <w:tc>
          <w:tcPr>
            <w:tcW w:w="4592"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406" w:type="dxa"/>
            <w:gridSpan w:val="2"/>
            <w:tcBorders/>
            <w:vAlign w:val="center"/>
          </w:tcPr>
          <w:p>
            <w:pPr>
              <w:pStyle w:val="TableContents"/>
              <w:bidi w:val="0"/>
              <w:spacing w:before="0" w:after="283"/>
              <w:jc w:val="left"/>
              <w:rPr>
                <w:sz w:val="4"/>
                <w:szCs w:val="4"/>
              </w:rPr>
            </w:pPr>
            <w:r>
              <w:rPr>
                <w:sz w:val="4"/>
                <w:szCs w:val="4"/>
              </w:rPr>
            </w:r>
          </w:p>
        </w:tc>
        <w:tc>
          <w:tcPr>
            <w:tcW w:w="4699" w:type="dxa"/>
            <w:gridSpan w:val="2"/>
            <w:tcBorders/>
            <w:vAlign w:val="center"/>
          </w:tcPr>
          <w:p>
            <w:pPr>
              <w:pStyle w:val="TableContents"/>
              <w:bidi w:val="0"/>
              <w:spacing w:before="0" w:after="283"/>
              <w:jc w:val="left"/>
              <w:rPr>
                <w:sz w:val="4"/>
                <w:szCs w:val="4"/>
              </w:rPr>
            </w:pPr>
            <w:r>
              <w:rPr>
                <w:sz w:val="4"/>
                <w:szCs w:val="4"/>
              </w:rPr>
            </w:r>
          </w:p>
        </w:tc>
      </w:tr>
      <w:tr>
        <w:trPr/>
        <w:tc>
          <w:tcPr>
            <w:tcW w:w="4592" w:type="dxa"/>
            <w:tcBorders/>
            <w:vAlign w:val="bottom"/>
          </w:tcPr>
          <w:p>
            <w:pPr>
              <w:pStyle w:val="TableContents"/>
              <w:bidi w:val="0"/>
              <w:spacing w:before="0" w:after="283"/>
              <w:jc w:val="left"/>
              <w:rPr/>
            </w:pPr>
            <w:r>
              <w:rPr/>
              <w:t>Date: September 14, 2026</w:t>
            </w:r>
          </w:p>
        </w:tc>
        <w:tc>
          <w:tcPr>
            <w:tcW w:w="101"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By:</w:t>
            </w:r>
          </w:p>
        </w:tc>
        <w:tc>
          <w:tcPr>
            <w:tcW w:w="101" w:type="dxa"/>
            <w:tcBorders/>
            <w:vAlign w:val="bottom"/>
          </w:tcPr>
          <w:p>
            <w:pPr>
              <w:pStyle w:val="TableContents"/>
              <w:bidi w:val="0"/>
              <w:spacing w:before="0" w:after="283"/>
              <w:jc w:val="left"/>
              <w:rPr/>
            </w:pPr>
            <w:r>
              <w:rPr/>
              <w:t> </w:t>
            </w:r>
          </w:p>
        </w:tc>
        <w:tc>
          <w:tcPr>
            <w:tcW w:w="4598"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Wolff Jensen</w:t>
            </w:r>
          </w:p>
        </w:tc>
      </w:tr>
      <w:tr>
        <w:trPr/>
        <w:tc>
          <w:tcPr>
            <w:tcW w:w="4592"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98" w:type="dxa"/>
            <w:tcBorders/>
            <w:vAlign w:val="bottom"/>
          </w:tcPr>
          <w:p>
            <w:pPr>
              <w:pStyle w:val="TableContents"/>
              <w:bidi w:val="0"/>
              <w:spacing w:before="0" w:after="283"/>
              <w:jc w:val="left"/>
              <w:rPr/>
            </w:pPr>
            <w:r>
              <w:rPr/>
              <w:t>Michael Wolff Jensen</w:t>
            </w:r>
          </w:p>
        </w:tc>
      </w:tr>
      <w:tr>
        <w:trPr/>
        <w:tc>
          <w:tcPr>
            <w:tcW w:w="4592"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98" w:type="dxa"/>
            <w:tcBorders/>
            <w:vAlign w:val="bottom"/>
          </w:tcPr>
          <w:p>
            <w:pPr>
              <w:pStyle w:val="TableContents"/>
              <w:bidi w:val="0"/>
              <w:spacing w:before="0" w:after="283"/>
              <w:jc w:val="left"/>
              <w:rPr/>
            </w:pPr>
            <w:r>
              <w:rPr/>
              <w:t>Executive Vice President, Chief Legal Officer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841</Words>
  <Characters>5174</Characters>
  <CharactersWithSpaces>6035</CharactersWithSpaces>
  <Paragraphs>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6-K</dc:title>
</cp:coreProperties>
</file>