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nd-20260630.htm"/>
      <w:bookmarkStart w:id="1" w:name="ksasnd2026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August,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001-36815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Ascendis Pharma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 Hellerup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contains the Company’s Unaudited Condensed Consolidated Interim Financial Statements as of and for the period ended June 30, 2026, including Management’s Discussion and Analysis of Financial Condition and Results of Operations for the period presented therein.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6307" w:type="dxa"/>
        <w:jc w:val="left"/>
        <w:tblInd w:w="0" w:type="dxa"/>
        <w:tblLayout w:type="fixed"/>
        <w:tblCellMar>
          <w:top w:w="28" w:type="dxa"/>
          <w:left w:w="28" w:type="dxa"/>
          <w:bottom w:w="28" w:type="dxa"/>
          <w:right w:w="28" w:type="dxa"/>
        </w:tblCellMar>
      </w:tblPr>
      <w:tblGrid>
        <w:gridCol w:w="1951"/>
        <w:gridCol w:w="109"/>
        <w:gridCol w:w="406"/>
        <w:gridCol w:w="38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Ascendis Pharma A/S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Wolff Jensen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8778" w:type="dxa"/>
        <w:jc w:val="left"/>
        <w:tblInd w:w="0" w:type="dxa"/>
        <w:tblLayout w:type="fixed"/>
        <w:tblCellMar>
          <w:top w:w="28" w:type="dxa"/>
          <w:left w:w="28" w:type="dxa"/>
          <w:bottom w:w="28" w:type="dxa"/>
          <w:right w:w="28" w:type="dxa"/>
        </w:tblCellMar>
      </w:tblPr>
      <w:tblGrid>
        <w:gridCol w:w="511"/>
        <w:gridCol w:w="7606"/>
        <w:gridCol w:w="661"/>
      </w:tblGrid>
      <w:tr>
        <w:trPr/>
        <w:tc>
          <w:tcPr>
            <w:tcW w:w="51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_nterim_financia">
              <w:r>
                <w:rPr>
                  <w:rStyle w:val="InternetLink"/>
                  <w:rFonts w:ascii="Times New Roman" w:hAnsi="Times New Roman"/>
                  <w:color w:val="0000FF"/>
                  <w:sz w:val="20"/>
                  <w:u w:val="single"/>
                </w:rPr>
                <w:t>Unaudited Condensed Consolidated Interim Financial Statements – June 30, 2026</w:t>
              </w:r>
            </w:hyperlink>
            <w:hyperlink w:anchor="condensed_consolidate_nterim_financia">
              <w:r>
                <w:rPr>
                  <w:rStyle w:val="InternetLink"/>
                  <w:rFonts w:ascii="Times New Roman" w:hAnsi="Times New Roman"/>
                  <w:color w:val="0000FF"/>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F-1</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40"/>
        <w:jc w:val="center"/>
        <w:rPr>
          <w:rFonts w:ascii="Times New Roman" w:hAnsi="Times New Roman"/>
          <w:sz w:val="20"/>
        </w:rPr>
      </w:pPr>
      <w:bookmarkStart w:id="3" w:name="index"/>
      <w:bookmarkStart w:id="4" w:name="tx355617_1"/>
      <w:bookmarkStart w:id="5" w:name="condensed_consolidate_nterim_financia"/>
      <w:bookmarkEnd w:id="3"/>
      <w:bookmarkEnd w:id="4"/>
      <w:bookmarkEnd w:id="5"/>
      <w:r>
        <w:rPr>
          <w:rFonts w:ascii="Times New Roman" w:hAnsi="Times New Roman"/>
          <w:b/>
          <w:color w:val="000000"/>
          <w:sz w:val="20"/>
        </w:rPr>
        <w:t>INDEX TO UNAUDITED CONDENSED CONSOLIDATED INTERIM FINANCIAL STATEMENTS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427"/>
        <w:gridCol w:w="778"/>
      </w:tblGrid>
      <w:tr>
        <w:trPr/>
        <w:tc>
          <w:tcPr>
            <w:tcW w:w="94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9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nd_consol_interim__of_profit">
              <w:r>
                <w:rPr>
                  <w:rStyle w:val="InternetLink"/>
                  <w:rFonts w:ascii="Times New Roman" w:hAnsi="Times New Roman"/>
                  <w:color w:val="0000FF"/>
                  <w:sz w:val="20"/>
                  <w:u w:val="single"/>
                </w:rPr>
                <w:t>Unaudited Condensed Consolidated Interim Statements of Profit or (Loss) and Other Comprehensive Income or (Loss) for the Three and Six Months Ended June 30, 2026 and 2025</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F-2</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_cond_co_int_st_of_financial_position">
              <w:r>
                <w:rPr>
                  <w:rStyle w:val="InternetLink"/>
                  <w:rFonts w:ascii="Times New Roman" w:hAnsi="Times New Roman"/>
                  <w:color w:val="0000FF"/>
                  <w:sz w:val="20"/>
                  <w:u w:val="single"/>
                </w:rPr>
                <w:t>Unaudited Condensed Consolidated Interim Statements of Financial Position as of June 30, 2026 and December 31, 2025</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F-3</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_cons_inter_state_of_chan_in_equity">
              <w:r>
                <w:rPr>
                  <w:rStyle w:val="InternetLink"/>
                  <w:rFonts w:ascii="Times New Roman" w:hAnsi="Times New Roman"/>
                  <w:color w:val="000080"/>
                  <w:sz w:val="20"/>
                  <w:u w:val="single"/>
                </w:rPr>
                <w:t>Unaudited Condensed Consolidated Interim Statements of Changes in Equity for the Six Months Ended</w:t>
              </w:r>
            </w:hyperlink>
            <w:hyperlink w:anchor="una_cons_inter_state_of_chan_in_equity">
              <w:r>
                <w:rPr>
                  <w:rStyle w:val="InternetLink"/>
                  <w:rFonts w:ascii="Times New Roman" w:hAnsi="Times New Roman"/>
                  <w:color w:val="000080"/>
                  <w:sz w:val="20"/>
                  <w:u w:val="single"/>
                </w:rPr>
                <w:t xml:space="preserve"> June 30, 2026 and 2025</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F-4</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_consolid_interim_cash_flow">
              <w:r>
                <w:rPr>
                  <w:rStyle w:val="InternetLink"/>
                  <w:rFonts w:ascii="Times New Roman" w:hAnsi="Times New Roman"/>
                  <w:color w:val="0000FF"/>
                  <w:sz w:val="20"/>
                  <w:u w:val="single"/>
                </w:rPr>
                <w:t>Unaudited Condensed Consolidated Interim Statements of Cash Flows for the Six Months Ended June 30, 2026 and 2025</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F-5</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
              <w:r>
                <w:rPr>
                  <w:rStyle w:val="InternetLink"/>
                  <w:rFonts w:ascii="Times New Roman" w:hAnsi="Times New Roman"/>
                  <w:color w:val="0000FF"/>
                  <w:sz w:val="20"/>
                  <w:u w:val="single"/>
                </w:rPr>
                <w:t>Notes to the Unaudited Condensed Consolidated Interim Financial Statements</w:t>
              </w:r>
            </w:hyperlink>
          </w:p>
        </w:tc>
        <w:tc>
          <w:tcPr>
            <w:tcW w:w="778" w:type="dxa"/>
            <w:tcBorders/>
            <w:tcMar>
              <w:top w:w="0" w:type="dxa"/>
              <w:left w:w="0" w:type="dxa"/>
              <w:bottom w:w="0" w:type="dxa"/>
              <w:right w:w="0" w:type="dxa"/>
            </w:tcMar>
            <w:vAlign w:val="center"/>
          </w:tcPr>
          <w:p>
            <w:pPr>
              <w:pStyle w:val="TableContents"/>
              <w:bidi w:val="0"/>
              <w:spacing w:before="0" w:after="20"/>
              <w:jc w:val="center"/>
              <w:rPr>
                <w:color w:val="000000"/>
              </w:rPr>
            </w:pPr>
            <w:r>
              <w:rPr>
                <w:color w:val="000000"/>
              </w:rPr>
              <w:t> </w:t>
            </w:r>
            <w:r>
              <w:rPr>
                <w:rFonts w:ascii="Times New Roman" w:hAnsi="Times New Roman"/>
                <w:color w:val="000000"/>
                <w:sz w:val="20"/>
              </w:rPr>
              <w:t>F-6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6" w:name="unaudited_cond_consol_interim__of_profit"/>
      <w:bookmarkEnd w:id="6"/>
      <w:r>
        <w:rPr>
          <w:rFonts w:ascii="Times New Roman" w:hAnsi="Times New Roman"/>
          <w:b/>
          <w:color w:val="000000"/>
          <w:sz w:val="20"/>
        </w:rPr>
        <w:t>Unaudited Condensed Consolidated Interim Statements of Profit or (Loss)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 Other Comprehensive Income or (Loss)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307"/>
        <w:gridCol w:w="146"/>
        <w:gridCol w:w="511"/>
        <w:gridCol w:w="146"/>
        <w:gridCol w:w="146"/>
        <w:gridCol w:w="841"/>
        <w:gridCol w:w="166"/>
        <w:gridCol w:w="146"/>
        <w:gridCol w:w="146"/>
        <w:gridCol w:w="841"/>
        <w:gridCol w:w="166"/>
        <w:gridCol w:w="146"/>
        <w:gridCol w:w="146"/>
        <w:gridCol w:w="841"/>
        <w:gridCol w:w="166"/>
        <w:gridCol w:w="146"/>
        <w:gridCol w:w="146"/>
        <w:gridCol w:w="841"/>
        <w:gridCol w:w="211"/>
      </w:tblGrid>
      <w:tr>
        <w:trPr/>
        <w:tc>
          <w:tcPr>
            <w:tcW w:w="4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(157,164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Comprehensive Income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Items that may be reclassified subsequently to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on translating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 for the period,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period,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844,227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(134,956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7" w:name="tx355617_4"/>
      <w:bookmarkEnd w:id="7"/>
      <w:r>
        <w:rPr>
          <w:rFonts w:ascii="Times New Roman" w:hAnsi="Times New Roman"/>
          <w:b/>
          <w:color w:val="000000"/>
          <w:sz w:val="20"/>
        </w:rPr>
        <w:t>Unaudited Condensed Consol</w:t>
      </w:r>
      <w:bookmarkStart w:id="8" w:name="un_cond_co_int_st_of_financial_position"/>
      <w:bookmarkEnd w:id="8"/>
      <w:r>
        <w:rPr>
          <w:rFonts w:ascii="Times New Roman" w:hAnsi="Times New Roman"/>
          <w:b/>
          <w:color w:val="000000"/>
          <w:sz w:val="20"/>
        </w:rPr>
        <w:t>idated Interim Statements of Financial Position as of June 30, 2026 and December 31, 2025</w:t>
      </w:r>
    </w:p>
    <w:tbl>
      <w:tblPr>
        <w:tblW w:w="6629" w:type="dxa"/>
        <w:jc w:val="left"/>
        <w:tblInd w:w="0" w:type="dxa"/>
        <w:tblLayout w:type="fixed"/>
        <w:tblCellMar>
          <w:top w:w="28" w:type="dxa"/>
          <w:left w:w="28" w:type="dxa"/>
          <w:bottom w:w="28" w:type="dxa"/>
          <w:right w:w="28" w:type="dxa"/>
        </w:tblCellMar>
      </w:tblPr>
      <w:tblGrid>
        <w:gridCol w:w="3151"/>
        <w:gridCol w:w="146"/>
        <w:gridCol w:w="511"/>
        <w:gridCol w:w="146"/>
        <w:gridCol w:w="146"/>
        <w:gridCol w:w="931"/>
        <w:gridCol w:w="146"/>
        <w:gridCol w:w="146"/>
        <w:gridCol w:w="148"/>
        <w:gridCol w:w="947"/>
        <w:gridCol w:w="2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895,609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193,585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1,390,411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1,108,985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2,286,020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1,302,570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Distributable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1,436,491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383,769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1,069,391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849,529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1,465,391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2,286,020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1,302,570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9" w:name="tx355617_5"/>
      <w:bookmarkEnd w:id="9"/>
      <w:r>
        <w:rPr>
          <w:rFonts w:ascii="Times New Roman" w:hAnsi="Times New Roman"/>
          <w:b/>
          <w:color w:val="000000"/>
          <w:sz w:val="20"/>
        </w:rPr>
        <w:t xml:space="preserve">Unaudited </w:t>
      </w:r>
      <w:bookmarkStart w:id="10" w:name="una_cons_inter_state_of_chan_in_equity"/>
      <w:bookmarkEnd w:id="10"/>
      <w:r>
        <w:rPr>
          <w:rFonts w:ascii="Times New Roman" w:hAnsi="Times New Roman"/>
          <w:b/>
          <w:color w:val="000000"/>
          <w:sz w:val="20"/>
        </w:rPr>
        <w:t>Condensed Consolidated Interim Statements of Changes in Equity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287"/>
        <w:gridCol w:w="146"/>
        <w:gridCol w:w="511"/>
        <w:gridCol w:w="146"/>
        <w:gridCol w:w="146"/>
        <w:gridCol w:w="511"/>
        <w:gridCol w:w="146"/>
        <w:gridCol w:w="146"/>
        <w:gridCol w:w="146"/>
        <w:gridCol w:w="826"/>
        <w:gridCol w:w="166"/>
        <w:gridCol w:w="146"/>
        <w:gridCol w:w="227"/>
        <w:gridCol w:w="539"/>
        <w:gridCol w:w="166"/>
        <w:gridCol w:w="146"/>
        <w:gridCol w:w="192"/>
        <w:gridCol w:w="754"/>
        <w:gridCol w:w="166"/>
        <w:gridCol w:w="146"/>
        <w:gridCol w:w="148"/>
        <w:gridCol w:w="903"/>
        <w:gridCol w:w="166"/>
        <w:gridCol w:w="146"/>
        <w:gridCol w:w="146"/>
        <w:gridCol w:w="826"/>
        <w:gridCol w:w="211"/>
      </w:tblGrid>
      <w:tr>
        <w:trPr/>
        <w:tc>
          <w:tcPr>
            <w:tcW w:w="2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(2,700,388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(162,821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836,310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836,310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844,227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59,964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on equity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41,835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settlement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50,086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 from redemption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719,518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capital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3,299,996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(1,878,483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1,436,491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82"/>
        <w:gridCol w:w="146"/>
        <w:gridCol w:w="511"/>
        <w:gridCol w:w="146"/>
        <w:gridCol w:w="146"/>
        <w:gridCol w:w="511"/>
        <w:gridCol w:w="146"/>
        <w:gridCol w:w="146"/>
        <w:gridCol w:w="146"/>
        <w:gridCol w:w="826"/>
        <w:gridCol w:w="146"/>
        <w:gridCol w:w="146"/>
        <w:gridCol w:w="192"/>
        <w:gridCol w:w="574"/>
        <w:gridCol w:w="166"/>
        <w:gridCol w:w="146"/>
        <w:gridCol w:w="192"/>
        <w:gridCol w:w="754"/>
        <w:gridCol w:w="166"/>
        <w:gridCol w:w="146"/>
        <w:gridCol w:w="148"/>
        <w:gridCol w:w="903"/>
        <w:gridCol w:w="166"/>
        <w:gridCol w:w="146"/>
        <w:gridCol w:w="146"/>
        <w:gridCol w:w="751"/>
        <w:gridCol w:w="211"/>
      </w:tblGrid>
      <w:tr>
        <w:trPr/>
        <w:tc>
          <w:tcPr>
            <w:tcW w:w="2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2,444,175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(2,559,700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(105,706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(134,956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55,580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settlement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26,302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8,211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2,470,415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(2,666,427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(187,572</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11" w:name="tx355617_6"/>
      <w:bookmarkEnd w:id="11"/>
      <w:r>
        <w:rPr>
          <w:rFonts w:ascii="Times New Roman" w:hAnsi="Times New Roman"/>
          <w:b/>
          <w:color w:val="000000"/>
          <w:sz w:val="20"/>
        </w:rPr>
        <w:t xml:space="preserve">Unaudited Condensed </w:t>
      </w:r>
      <w:bookmarkStart w:id="12" w:name="unaudited_co_consolid_interim_cash_flow"/>
      <w:bookmarkEnd w:id="12"/>
      <w:r>
        <w:rPr>
          <w:rFonts w:ascii="Times New Roman" w:hAnsi="Times New Roman"/>
          <w:b/>
          <w:color w:val="000000"/>
          <w:sz w:val="20"/>
        </w:rPr>
        <w:t>Consolidated Interim Statements of Cash Flows for the Six Months Ended June 30, 2026 and 2025</w:t>
      </w:r>
      <w:r>
        <w:rPr>
          <w:rFonts w:ascii="Times New Roman" w:hAnsi="Times New Roman"/>
          <w:color w:val="000000"/>
          <w:sz w:val="20"/>
        </w:rPr>
        <w:t xml:space="preserve"> </w:t>
      </w:r>
    </w:p>
    <w:tbl>
      <w:tblPr>
        <w:tblW w:w="8649" w:type="dxa"/>
        <w:jc w:val="left"/>
        <w:tblInd w:w="0" w:type="dxa"/>
        <w:tblLayout w:type="fixed"/>
        <w:tblCellMar>
          <w:top w:w="28" w:type="dxa"/>
          <w:left w:w="28" w:type="dxa"/>
          <w:bottom w:w="28" w:type="dxa"/>
          <w:right w:w="28" w:type="dxa"/>
        </w:tblCellMar>
      </w:tblPr>
      <w:tblGrid>
        <w:gridCol w:w="5806"/>
        <w:gridCol w:w="146"/>
        <w:gridCol w:w="146"/>
        <w:gridCol w:w="841"/>
        <w:gridCol w:w="166"/>
        <w:gridCol w:w="146"/>
        <w:gridCol w:w="146"/>
        <w:gridCol w:w="841"/>
        <w:gridCol w:w="4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(gain)/loss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consideration relating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generated from/(used in)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received/(paid)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 under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intangible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capital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held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812,260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494,046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Notes to the Unaudited Condensed Consolidated Interim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3" w:name="notes"/>
      <w:bookmarkEnd w:id="13"/>
      <w:r>
        <w:rPr>
          <w:rFonts w:ascii="Times New Roman" w:hAnsi="Times New Roman"/>
          <w:b/>
          <w:color w:val="000000"/>
          <w:sz w:val="20"/>
        </w:rPr>
        <w:t>Note 1—General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Ascendis Pharma A/S, together with its subsidiaries, is a global biopharmaceutical company focused on applying its innovative TransCon technology platform to make a meaningful difference for patients. Ascendis Pharma A/S was incorporated in 2006 and is headquartered in Hellerup, Denmark. Unless the context otherwise requires, references to the “Company,” “we,” “us,” and “our” refer to Ascendis Pharma A/S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address of the Company’s registered office is Tuborg Boulevard 12, DK-2900, Hellerup, Denmark. The Company’s registration number in Denmark is 29918791.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 2015, the Company completed an initial public offering which resulted in the listing of American Depositary Shares (“ADSs”), representing the Company’s ordinary shares, under the symbol “ASND” in the United States on the Nasdaq Global Select Market. On April 20, 2026, the Company completed a mandatory exchange of all outstanding ADSs for ordinary shares resulting in the Company’s ordinary shares being listed on the Nasdaq Global Select Market. Refer to Note 4, “Significant Events in the Reporting Period” for further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Board of Directors (the “Board”) approved these unaudited condensed consolidated interim financial statements on August 12, 2026.</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2025 and accompanying notes, which have been prepared in accordance with IFRS as issued by the International Accounting Standards Board (the “IASB”) and as adopted by the European Union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applied are consistent with those of the previous financial year. A description of the accounting policies is provided in the Accounting Policies section of the audited consolidated financial statements as of and for the year ended December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and Amended IFRS Accounting Standards and Interpretations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IASB issued Amendments to the Classification and Measurement of Financial Instruments which amended IFRS 9 “Financial Instruments” and IFRS 7 “Financial Instruments: Disclosures” (the “Amendments”). The Amendments provide additional guidance and clarity on specific matters following completion of the IFRS 9 post-implementation review for Classification and Measurement. The Amendments apply for the annual reporting periods beginning on or after January 1, 2026. The Amendments: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clarify the existing requirements for the recognition and derecognition of financial assets and financial liabilities, including an accounting policy choice to derecognize financial liabilities settled using an electronic payment system before the settlement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guidance on assessing whether the contractual cash flows of a financial asset are solely payments of principal and interest (“SPPI”), including instruments with environmental, social and corporate governance (“ESG”)-linked or other contingent features.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clarify the treatment of non-recourse assets and contractually linked instruments (“CLI”), including how to assess SPPI and apply the CLI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additional disclosures for instruments with contingent contractual terms, and for equity instruments classified at fair value through other comprehensive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assessed this amendment and concluded that this, and other new and amended standards and interpretations applied for the first time in 2026, did not have an impact on its operations or unaudited condensed consolidated interim financial statements for the period ended June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New IFRS Accounting Standards Not Yet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IASB has issued a number of new or amended standards, which have not yet become effective or have not yet been adopted by the EU. Therefore, these new standards have not been incorporated in these unaudited condensed consolidated interim financial statements.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IFRS 18, “Presentation and Disclosure in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IASB issued IFRS 18, “Presentation and Disclosure in Financial Statements” (“IFRS 18”), which replaces IAS 1, “Presentation of Financial Statements.” IFRS 18 introduces new categories and subtotals in the statement of profit or loss, comprising the following categories: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IFRS 18 includes new requirements for the location, aggregation and disaggregation of financial information, and disclosure of management-defined performance measures, as defined, if any. IFRS 18 does not include any measurement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IFRS 18 will be effective for annual reporting periods beginning on or after January 1, 2027, and must be applied retrospectively, with early adoption permitted. While IFRS 18 will change the structure and subtotals in the statement of profit or loss, the full impact from implementing IFRS 18 is currently being analyzed.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interim financial statements are not expected to be affected by other new or amended standards. </w:t>
      </w:r>
    </w:p>
    <w:p>
      <w:pPr>
        <w:pStyle w:val="TextBody"/>
        <w:bidi w:val="0"/>
        <w:spacing w:before="360" w:after="283"/>
        <w:jc w:val="left"/>
        <w:rPr>
          <w:rFonts w:ascii="Times New Roman" w:hAnsi="Times New Roman"/>
          <w:sz w:val="20"/>
        </w:rPr>
      </w:pPr>
      <w:r>
        <w:rPr>
          <w:rFonts w:ascii="Times New Roman" w:hAnsi="Times New Roman"/>
          <w:b/>
          <w:color w:val="000000"/>
          <w:sz w:val="20"/>
        </w:rPr>
        <w:t>Note 3—Significant Accounting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application of the Company’s accounting policies, management is required to make judgments, estimates and assumptions about the carrying amounts of assets and liabilities that are not readily apparent from other sources. Judgments,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interim financial statements do not include all disclosures for significant accounting judgments, estimates and assumptions, that are required in the annual consolidated financial statements, and therefore should be read in conjunction with the Company’s audited consolidated financial statements as of and for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and underlying assumptions are reviewed on an ongoing basis. Revisions to accounting estimates are recognized prospectively. The three and six months ended June 30, 2026 and 2025 include adjustments to prior-period estimates and assumptions for sales deductions.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application of critical accounting estimates is subject to material estimation uncertainties, management’s ongoing revisions of critical accounting estimates and underlying assumptions have, except for deferred tax assets, as described below, not revealed any other material impact to any of the periods presented in the unaudited condensed consolidated interim financial statements compared to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recognized all deferred tax assets. Deferred tax assets are recognized only to the extent that management assesses it is probable that future taxable profits will be available against which these assets can be utilized. This assessment involves significant judgment and is reviewed on an ongoing basis, considering actual results as well as updated forecasts and long-range business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sources of estimation uncertainty primarily relate to continued global commercial growth, mainly expected revenue growth from YORVIPATH, and development of operating expenses to support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recognized deferred tax assets were €699.3 million. The basis for recognizing deferred tax assets will be reassessed annually, or more frequently considering internal and external factors that may affect the Company’s ability to generate taxable profits, and adjusted as necessary. Due to the nature of factors affecting taxable profit, it is not practicable to provide meaningful sensitivity analyses. Refer to Note 4, “Significant Events in the Reporting Period” for further details about the impact on the unaudited condensed consolidated interim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Note 4—Significant Events in the Reporting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Redemption of $575 Million of Outstanding 2.25% Convertible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6, 2026, the Company completed its previously announced optional redemption process in respect of all of the aggregate principal amount outstanding of its 2.25% convertible notes due 2028. Within the redemption period, all holders of the convertible notes surrendered their notes for conversion, whereupon the Company delivered 3,635,813 ordinary shares, together with cash in lieu of fractional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resulted in the settlement of the current liabilities of convertible notes, comprising borrowings and derivative liabilities totaling €719.4 million as of May 6, 2026. The conversion had no impact on profit or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 Regulatory Approval of YUVIWEL® (navepegritide; developed as TransCon® CNP)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27, 2026, the Company announced that the U.S. Food &amp; Drug Administration (“FDA”) has granted approval under the FDA’s Accelerated Approval Program for YUVIWEL® (navepegritide; developed as TransCon® CNP), the first and only once-weekly treatment indicated to increase linear growth in children 2 years of age and older with achondroplasia with open epiphyses and the only one to provide continuous systemic exposure to C-type natriuretic peptide (“CNP”) over the weekly dosing interval.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obtaining marketing approval for YUVIWEL, the Company reversed prior period write-downs related to pre-launch inventories through research and development expenses. For the six months ended June 30, 2026, the reversal had a positive impact of €10.9 million on the Company’s unaudited condensed consolidated interim statement of profit or loss.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Rare Pediatric Disease Priority Review Voucher (“PRV”)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approval, the FDA issued a Rare Pediatric Disease PRV, which confers priority review to a subsequent drug application that would not otherwise qualify for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2026, the Company entered into an agreement to sell its Rare Pediatric Disease PRV to an undisclosed buyer for $187.5 million. The PRV was awarded by the FDA upon approval of YUVIWEL in February 2026. The transaction closed with payment in the second quarter of 2026. The income from sale of the PRV, net of transaction costs was €158.1 million and is presented as other operating income in the statements of profit or loss and included within cash flows from operating activities in the statements of cash flows, since it arises from the Company’s R&amp;D and regulatory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Nasdaq Listing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20, 2026, the Company completed a mandatory exchange of all outstanding ADSs for ordinary shares, resulting in the Company’s ordinary shares being listed on the Nasdaq Global Select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direct listing and the exchange of ADSs for ordinary shares did not have any impact on the Company’s consolidated financial statements other than presentational changes reflecting the elimination of the ADS structure and corresponding updates to the related disclosures regarding share-based payment arrangements and convertible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2026, the Company announced that the Board had authorized a $120 million share repurchase program (the “Share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Company repurchased 254,027 of its ordinary shares for a total consideration of $60.0 million with an average price of $236.16 under the Share Repurchase Program. In May 2026, the Company repurchased an additional 251,391 of its ordinary shares for a total consideration of $60.0 million with an average price of $238.64 under the same Program. The repurchased shares are held by the Company as treasury shares and presented as a deduction within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holding of treasury shares is disclosed in Note 10,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Board is authorized by the shareholders to repurchase up to 2,000,000 of the Company’s ordinary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recognized deferred tax assets relating to tax losses carried forward and other deductible temporary differences. Deferred tax assets are recognized only to the extent that management assesses it is probable that future taxable profits will be available against which these assets can be utilized. Refer to Note 3, “Significant Accounting Judgments and Estimates” for further details. The deferred tax assets related to future use of tax losses can be carried forward without timing limitations.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Income taxes are recognized in the unaudited condensed consolidated interim statements of profit or loss with the following amounts:</w:t>
      </w:r>
    </w:p>
    <w:tbl>
      <w:tblPr>
        <w:tblW w:w="10205" w:type="dxa"/>
        <w:jc w:val="left"/>
        <w:tblInd w:w="0" w:type="dxa"/>
        <w:tblLayout w:type="fixed"/>
        <w:tblCellMar>
          <w:top w:w="28" w:type="dxa"/>
          <w:left w:w="28" w:type="dxa"/>
          <w:bottom w:w="28" w:type="dxa"/>
          <w:right w:w="28" w:type="dxa"/>
        </w:tblCellMar>
      </w:tblPr>
      <w:tblGrid>
        <w:gridCol w:w="5549"/>
        <w:gridCol w:w="146"/>
        <w:gridCol w:w="146"/>
        <w:gridCol w:w="736"/>
        <w:gridCol w:w="166"/>
        <w:gridCol w:w="146"/>
        <w:gridCol w:w="146"/>
        <w:gridCol w:w="631"/>
        <w:gridCol w:w="166"/>
        <w:gridCol w:w="146"/>
        <w:gridCol w:w="146"/>
        <w:gridCol w:w="781"/>
        <w:gridCol w:w="166"/>
        <w:gridCol w:w="146"/>
        <w:gridCol w:w="146"/>
        <w:gridCol w:w="631"/>
        <w:gridCol w:w="211"/>
      </w:tblGrid>
      <w:tr>
        <w:trPr/>
        <w:tc>
          <w:tcPr>
            <w:tcW w:w="5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on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adjustments to prior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movement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recognition of previously unrecognized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adjustments to prior periods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tax on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deferred tax assets/(liabilities) was as follows:</w:t>
      </w:r>
    </w:p>
    <w:tbl>
      <w:tblPr>
        <w:tblW w:w="6325" w:type="dxa"/>
        <w:jc w:val="left"/>
        <w:tblInd w:w="0" w:type="dxa"/>
        <w:tblLayout w:type="fixed"/>
        <w:tblCellMar>
          <w:top w:w="28" w:type="dxa"/>
          <w:left w:w="28" w:type="dxa"/>
          <w:bottom w:w="28" w:type="dxa"/>
          <w:right w:w="28" w:type="dxa"/>
        </w:tblCellMar>
      </w:tblPr>
      <w:tblGrid>
        <w:gridCol w:w="5041"/>
        <w:gridCol w:w="146"/>
        <w:gridCol w:w="146"/>
        <w:gridCol w:w="781"/>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Development in deferred tax assets/(liabilities)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(expense)/income,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(expense)/income, through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699,276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assets/(liabilities) at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699,276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Specification of deferred tax assets/(liabilities) as of June 30, 2026 compared to December 31, 2025 was as follows:</w:t>
      </w:r>
    </w:p>
    <w:tbl>
      <w:tblPr>
        <w:tblW w:w="6515" w:type="dxa"/>
        <w:jc w:val="left"/>
        <w:tblInd w:w="0" w:type="dxa"/>
        <w:tblLayout w:type="fixed"/>
        <w:tblCellMar>
          <w:top w:w="28" w:type="dxa"/>
          <w:left w:w="28" w:type="dxa"/>
          <w:bottom w:w="28" w:type="dxa"/>
          <w:right w:w="28" w:type="dxa"/>
        </w:tblCellMar>
      </w:tblPr>
      <w:tblGrid>
        <w:gridCol w:w="3241"/>
        <w:gridCol w:w="146"/>
        <w:gridCol w:w="177"/>
        <w:gridCol w:w="948"/>
        <w:gridCol w:w="146"/>
        <w:gridCol w:w="146"/>
        <w:gridCol w:w="222"/>
        <w:gridCol w:w="1278"/>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deductible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temporary differences,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temporary differences,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has been recognized in the unaudited condensed consolidated interim statements of profit or loss with the following amounts: </w:t>
      </w:r>
    </w:p>
    <w:tbl>
      <w:tblPr>
        <w:tblW w:w="7742" w:type="dxa"/>
        <w:jc w:val="left"/>
        <w:tblInd w:w="0" w:type="dxa"/>
        <w:tblLayout w:type="fixed"/>
        <w:tblCellMar>
          <w:top w:w="28" w:type="dxa"/>
          <w:left w:w="28" w:type="dxa"/>
          <w:bottom w:w="28" w:type="dxa"/>
          <w:right w:w="28" w:type="dxa"/>
        </w:tblCellMar>
      </w:tblPr>
      <w:tblGrid>
        <w:gridCol w:w="2821"/>
        <w:gridCol w:w="146"/>
        <w:gridCol w:w="146"/>
        <w:gridCol w:w="781"/>
        <w:gridCol w:w="146"/>
        <w:gridCol w:w="146"/>
        <w:gridCol w:w="146"/>
        <w:gridCol w:w="781"/>
        <w:gridCol w:w="146"/>
        <w:gridCol w:w="146"/>
        <w:gridCol w:w="146"/>
        <w:gridCol w:w="781"/>
        <w:gridCol w:w="146"/>
        <w:gridCol w:w="146"/>
        <w:gridCol w:w="146"/>
        <w:gridCol w:w="78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per geographical area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United States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 of World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Beginning with the year ended December 31, 2025, revenue related to the United States has been disclosed separately. Comparatives for the United States and Rest of World have been restated for comparative purposes.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sz w:val="20"/>
        </w:rPr>
      </w:pPr>
      <w:r>
        <w:rPr>
          <w:rFonts w:ascii="Times New Roman" w:hAnsi="Times New Roman"/>
          <w:color w:val="000000"/>
          <w:sz w:val="18"/>
        </w:rPr>
        <w:t>For the three and six months ended June 30, 2026, Denmark, the country of domicile, contributed €3.6 million and €8.1 million, respectively, of revenue.</w:t>
      </w:r>
      <w:r>
        <w:rPr>
          <w:rFonts w:ascii="Times New Roman" w:hAnsi="Times New Roman"/>
          <w:color w:val="000000"/>
          <w:sz w:val="20"/>
        </w:rPr>
        <w:t xml:space="preserve"> </w:t>
      </w:r>
      <w:r>
        <w:rPr>
          <w:rFonts w:ascii="Times New Roman" w:hAnsi="Times New Roman"/>
          <w:color w:val="000000"/>
          <w:sz w:val="18"/>
        </w:rPr>
        <w:t>For the three and six months ended June 30, 2025, Denmark contributed €2.6</w:t>
      </w:r>
      <w:r>
        <w:rPr>
          <w:rFonts w:ascii="Times New Roman" w:hAnsi="Times New Roman"/>
          <w:color w:val="000000"/>
          <w:sz w:val="20"/>
        </w:rPr>
        <w:t xml:space="preserve"> </w:t>
      </w:r>
      <w:r>
        <w:rPr>
          <w:rFonts w:ascii="Times New Roman" w:hAnsi="Times New Roman"/>
          <w:color w:val="000000"/>
          <w:sz w:val="18"/>
        </w:rPr>
        <w:t>million and €5.0</w:t>
      </w:r>
      <w:r>
        <w:rPr>
          <w:rFonts w:ascii="Times New Roman" w:hAnsi="Times New Roman"/>
          <w:color w:val="000000"/>
          <w:sz w:val="20"/>
        </w:rPr>
        <w:t xml:space="preserve"> </w:t>
      </w:r>
      <w:r>
        <w:rPr>
          <w:rFonts w:ascii="Times New Roman" w:hAnsi="Times New Roman"/>
          <w:color w:val="000000"/>
          <w:sz w:val="18"/>
        </w:rPr>
        <w:t>million, respectively, of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Commercial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from sale of commercial products was as follows:</w:t>
      </w:r>
    </w:p>
    <w:tbl>
      <w:tblPr>
        <w:tblW w:w="8537" w:type="dxa"/>
        <w:jc w:val="left"/>
        <w:tblInd w:w="0" w:type="dxa"/>
        <w:tblLayout w:type="fixed"/>
        <w:tblCellMar>
          <w:top w:w="28" w:type="dxa"/>
          <w:left w:w="28" w:type="dxa"/>
          <w:bottom w:w="28" w:type="dxa"/>
          <w:right w:w="28" w:type="dxa"/>
        </w:tblCellMar>
      </w:tblPr>
      <w:tblGrid>
        <w:gridCol w:w="3616"/>
        <w:gridCol w:w="146"/>
        <w:gridCol w:w="146"/>
        <w:gridCol w:w="781"/>
        <w:gridCol w:w="146"/>
        <w:gridCol w:w="146"/>
        <w:gridCol w:w="146"/>
        <w:gridCol w:w="781"/>
        <w:gridCol w:w="146"/>
        <w:gridCol w:w="146"/>
        <w:gridCol w:w="146"/>
        <w:gridCol w:w="781"/>
        <w:gridCol w:w="146"/>
        <w:gridCol w:w="146"/>
        <w:gridCol w:w="146"/>
        <w:gridCol w:w="78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YORVIPATH</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SKYTROFA</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YUVIWEL</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555,763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249,690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In the U.S., the Company has established an integrated organization to commercialize the Company’s approved Endocrinology Rare Disease products, YORVIPATH</w:t>
      </w:r>
      <w:r>
        <w:rPr>
          <w:rFonts w:ascii="Times New Roman" w:hAnsi="Times New Roman"/>
          <w:color w:val="000000"/>
          <w:sz w:val="13"/>
        </w:rPr>
        <w:t>®</w:t>
      </w:r>
      <w:r>
        <w:rPr>
          <w:rFonts w:ascii="Times New Roman" w:hAnsi="Times New Roman"/>
          <w:color w:val="000000"/>
          <w:sz w:val="20"/>
        </w:rPr>
        <w:t>, SKYTROFA</w:t>
      </w:r>
      <w:r>
        <w:rPr>
          <w:rFonts w:ascii="Times New Roman" w:hAnsi="Times New Roman"/>
          <w:color w:val="000000"/>
          <w:sz w:val="13"/>
        </w:rPr>
        <w:t xml:space="preserve">® </w:t>
      </w:r>
      <w:r>
        <w:rPr>
          <w:rFonts w:ascii="Times New Roman" w:hAnsi="Times New Roman"/>
          <w:color w:val="000000"/>
          <w:sz w:val="20"/>
        </w:rPr>
        <w:t>and YUVIWEL</w:t>
      </w:r>
      <w:r>
        <w:rPr>
          <w:rFonts w:ascii="Times New Roman" w:hAnsi="Times New Roman"/>
          <w:color w:val="000000"/>
          <w:sz w:val="13"/>
        </w:rPr>
        <w:t>®</w:t>
      </w:r>
      <w:r>
        <w:rPr>
          <w:rFonts w:ascii="Times New Roman" w:hAnsi="Times New Roman"/>
          <w:color w:val="000000"/>
          <w:sz w:val="20"/>
        </w:rPr>
        <w:t xml:space="preserve">. In Europe, the Company has established its presence by building integrated organizations in select countries (“Europe Direct”), where the Company has launched YORVIPATH and SKYTROFA.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 U.S. and Europe Direct, the Company is expanding global reach for its Endocrinology Rare Disease products through exclusive sales and distribution agreements with geographic market leaders (“International Markets”) and under Strategic Collaborations. As of June 30, 2026, the Company has agreements covering over 75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YORVIPATH, SKYTROFA and YUVIWEL are approved by the U.S. Food &amp; Drug Administration (“FDA”) and YORVIPATH and SKYTROFA are authorized by the European Commission (“EC”) and other regulatory agencies. The Company began selling YUVIWEL in the U.S. in the second quarter of 2026. The Company began selling YORVIPATH in Europe in the first quarter of 2024 and in the U.S. in the fourth quarter of 2024. The Company began selling SKYTROFA in the U.S. in the fourth quarter of 2021 and in Europe in the third quarter of 2023.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revenue is attributable to the Company’s Strategic Collaborations, and relates to Novo Nordisk A/S (“Novo Nordisk”), Eyconis, Inc. (“Eyconis”), Teijin Limited (“Teijin”) and VISEN Pharmaceuticals (“VISEN”).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6—Earnings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earnings and share data used in the basic and diluted earnings per share calculations:</w:t>
      </w:r>
    </w:p>
    <w:tbl>
      <w:tblPr>
        <w:tblW w:w="10205" w:type="dxa"/>
        <w:jc w:val="left"/>
        <w:tblInd w:w="0" w:type="dxa"/>
        <w:tblLayout w:type="fixed"/>
        <w:tblCellMar>
          <w:top w:w="28" w:type="dxa"/>
          <w:left w:w="28" w:type="dxa"/>
          <w:bottom w:w="28" w:type="dxa"/>
          <w:right w:w="28" w:type="dxa"/>
        </w:tblCellMar>
      </w:tblPr>
      <w:tblGrid>
        <w:gridCol w:w="3884"/>
        <w:gridCol w:w="146"/>
        <w:gridCol w:w="226"/>
        <w:gridCol w:w="1036"/>
        <w:gridCol w:w="166"/>
        <w:gridCol w:w="146"/>
        <w:gridCol w:w="226"/>
        <w:gridCol w:w="1036"/>
        <w:gridCol w:w="166"/>
        <w:gridCol w:w="146"/>
        <w:gridCol w:w="226"/>
        <w:gridCol w:w="1036"/>
        <w:gridCol w:w="146"/>
        <w:gridCol w:w="146"/>
        <w:gridCol w:w="226"/>
        <w:gridCol w:w="1036"/>
        <w:gridCol w:w="211"/>
      </w:tblGrid>
      <w:tr>
        <w:trPr/>
        <w:tc>
          <w:tcPr>
            <w:tcW w:w="3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number of shares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attributable to ordinary equity holders of the parent for the purposes of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from convertible notes (interests, foreign exchange gain/(loss), and fair value adjustments on derivative liabilities,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attributable to ordinary equity holders of the parent adjusted for dilution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ordinary shares for the purposes of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64,344,993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60,454,589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63,011,704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60,237,774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Dilution effects 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and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ordinary shares,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68,320,412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63,911,374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65,678,245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60,237,774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Diluted earnings per share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three and six months ended June 30, 2026 and 2025 outstanding warrants, restricted stock units and performance stock units can potentially dilute earnings per share. For the three and six months ended June 30, 2026, only a portion were dilutive, while the remaining were excluded because they are out-of-the money and/or anti-dilutive for the periods presented. For the three and six months ended June 30, 2025, none had a dilutive impact. Refer to Note 8, “Share-based Payment” and Note 11, “Financial Assets and Liabilities,” for further information about the share-based incentive programs and convertible notes,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7—Segment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managed and operated as one business unit. Accordingly, no additional information on business segments or geographical areas is disclosed apart from revenue by geographical areas as disclosed in Note 5 “Revenue.” Revenue is specified on geographical areas according to the location of the customer.</w:t>
      </w:r>
    </w:p>
    <w:p>
      <w:pPr>
        <w:pStyle w:val="TextBody"/>
        <w:bidi w:val="0"/>
        <w:spacing w:before="360" w:after="283"/>
        <w:jc w:val="left"/>
        <w:rPr>
          <w:rFonts w:ascii="Times New Roman" w:hAnsi="Times New Roman"/>
          <w:sz w:val="20"/>
        </w:rPr>
      </w:pPr>
      <w:r>
        <w:rPr>
          <w:rFonts w:ascii="Times New Roman" w:hAnsi="Times New Roman"/>
          <w:b/>
          <w:color w:val="000000"/>
          <w:sz w:val="20"/>
        </w:rPr>
        <w:t>Note 8—Share-based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 </w:t>
      </w:r>
    </w:p>
    <w:p>
      <w:pPr>
        <w:pStyle w:val="TextBody"/>
        <w:bidi w:val="0"/>
        <w:spacing w:before="240" w:after="283"/>
        <w:jc w:val="left"/>
        <w:rPr>
          <w:rFonts w:ascii="Times New Roman" w:hAnsi="Times New Roman"/>
          <w:sz w:val="20"/>
        </w:rPr>
      </w:pPr>
      <w:r>
        <w:rPr>
          <w:rFonts w:ascii="Times New Roman" w:hAnsi="Times New Roman"/>
          <w:b/>
          <w:color w:val="000000"/>
          <w:sz w:val="20"/>
        </w:rPr>
        <w:t>Share-based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costs are determined using the grant date fair value and are recognized over the vesting period as research and development expenses, selling, general and administrative expenses, or cost of sales. For the three and six months ended June 30, 2026 and 2025, share-based compensation costs recognized in the unaudited condensed consolidated interim statement of profit or loss were €29.6 million and €60.0 million, respectively, and €30.0 million and €55.6 million,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granted by the Board to members of senior management, other employees and members of the Board (the “RSU-holders”), as stipulated in the program. In addition, RSUs may be granted to select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RSU represents a right for the RSU-holder to receive one ordinary share of Ascendis Pharma A/S upon vesting, if the vesting conditions are met. RSUs granted vest over three years with 1/3 of the RSUs vesting on each anniversary date from the date of grant, and require RSU-holders to be employed, appointed as a member of the Board, or retained as a consultant (the “service conditions”).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Performance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are granted by the Board to certain members of senior management (the “PSU-holders”), as stipulated in the program. In addition, PSUs may be granted to other employees, select consultants and members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PSU represents a right for the PSU-holder to receive one ordinary share of Ascendis Pharma A/S upon vesting. PSUs vest in a manner similar to the service conditions of the RSUs. In addition to service conditions, vesting is also contingent upon achievement of long-term strategic goals as evaluated by the Board no later than two weeks prior to each vesting date. Exceeding performance targets will not result in vesting of more than 100% of the PSUs granted, nor will it result in additional grants. </w:t>
      </w:r>
    </w:p>
    <w:p>
      <w:pPr>
        <w:pStyle w:val="TextBody"/>
        <w:bidi w:val="0"/>
        <w:spacing w:before="240" w:after="283"/>
        <w:jc w:val="left"/>
        <w:rPr>
          <w:rFonts w:ascii="Times New Roman" w:hAnsi="Times New Roman"/>
          <w:sz w:val="20"/>
        </w:rPr>
      </w:pPr>
      <w:r>
        <w:rPr>
          <w:rFonts w:ascii="Times New Roman" w:hAnsi="Times New Roman"/>
          <w:b/>
          <w:i/>
          <w:color w:val="000000"/>
          <w:sz w:val="20"/>
        </w:rPr>
        <w:t>RSU and PSU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of outstanding RSUs and PSUs:</w:t>
      </w:r>
    </w:p>
    <w:tbl>
      <w:tblPr>
        <w:tblW w:w="8179" w:type="dxa"/>
        <w:jc w:val="left"/>
        <w:tblInd w:w="0" w:type="dxa"/>
        <w:tblLayout w:type="fixed"/>
        <w:tblCellMar>
          <w:top w:w="28" w:type="dxa"/>
          <w:left w:w="28" w:type="dxa"/>
          <w:bottom w:w="28" w:type="dxa"/>
          <w:right w:w="28" w:type="dxa"/>
        </w:tblCellMar>
      </w:tblPr>
      <w:tblGrid>
        <w:gridCol w:w="2491"/>
        <w:gridCol w:w="146"/>
        <w:gridCol w:w="231"/>
        <w:gridCol w:w="1479"/>
        <w:gridCol w:w="166"/>
        <w:gridCol w:w="146"/>
        <w:gridCol w:w="301"/>
        <w:gridCol w:w="1619"/>
        <w:gridCol w:w="166"/>
        <w:gridCol w:w="146"/>
        <w:gridCol w:w="146"/>
        <w:gridCol w:w="93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1"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1,276,328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vesting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1,276,328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Warrant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and weighted average exercise prices of, and movements in, warrants:</w:t>
      </w:r>
    </w:p>
    <w:tbl>
      <w:tblPr>
        <w:tblW w:w="5222" w:type="dxa"/>
        <w:jc w:val="left"/>
        <w:tblInd w:w="0" w:type="dxa"/>
        <w:tblLayout w:type="fixed"/>
        <w:tblCellMar>
          <w:top w:w="28" w:type="dxa"/>
          <w:left w:w="28" w:type="dxa"/>
          <w:bottom w:w="28" w:type="dxa"/>
          <w:right w:w="28" w:type="dxa"/>
        </w:tblCellMar>
      </w:tblPr>
      <w:tblGrid>
        <w:gridCol w:w="2371"/>
        <w:gridCol w:w="146"/>
        <w:gridCol w:w="146"/>
        <w:gridCol w:w="931"/>
        <w:gridCol w:w="166"/>
        <w:gridCol w:w="146"/>
        <w:gridCol w:w="199"/>
        <w:gridCol w:w="92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4,759,879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4,008,234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outstanding warrants under the Company’s warrant programs range from €19.42 to €211.85 depending on the grant dates.</w:t>
      </w:r>
    </w:p>
    <w:p>
      <w:pPr>
        <w:pStyle w:val="TextBody"/>
        <w:bidi w:val="0"/>
        <w:spacing w:before="360" w:after="283"/>
        <w:jc w:val="left"/>
        <w:rPr>
          <w:rFonts w:ascii="Times New Roman" w:hAnsi="Times New Roman"/>
          <w:sz w:val="20"/>
        </w:rPr>
      </w:pPr>
      <w:r>
        <w:rPr>
          <w:rFonts w:ascii="Times New Roman" w:hAnsi="Times New Roman"/>
          <w:b/>
          <w:color w:val="000000"/>
          <w:sz w:val="20"/>
        </w:rPr>
        <w:t>Note 9—Share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share capital of Ascendis Pharma A/S consists of 66,189,926 fully paid shares at a nominal value of DKK 1, all in the same share class, and which includes 516,642 ordinary shares held by Ascendis Pharma A/S. For the six months ended June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30, 2026, the share capital was increased by 4,212,518 shares, of which 3,635,813 shares related to the redemption of convertible notes. Refer to Note 4, “Significant Events in the Reporting Period” for further details.</w:t>
      </w:r>
    </w:p>
    <w:p>
      <w:pPr>
        <w:pStyle w:val="TextBody"/>
        <w:bidi w:val="0"/>
        <w:spacing w:before="360" w:after="283"/>
        <w:jc w:val="left"/>
        <w:rPr>
          <w:rFonts w:ascii="Times New Roman" w:hAnsi="Times New Roman"/>
          <w:sz w:val="20"/>
        </w:rPr>
      </w:pPr>
      <w:r>
        <w:rPr>
          <w:rFonts w:ascii="Times New Roman" w:hAnsi="Times New Roman"/>
          <w:b/>
          <w:color w:val="000000"/>
          <w:sz w:val="20"/>
        </w:rPr>
        <w:t>Note 10—Treasury Shares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development in the holding of treasury shares was as follows:</w:t>
      </w:r>
    </w:p>
    <w:tbl>
      <w:tblPr>
        <w:tblW w:w="7595" w:type="dxa"/>
        <w:jc w:val="left"/>
        <w:tblInd w:w="0" w:type="dxa"/>
        <w:tblLayout w:type="fixed"/>
        <w:tblCellMar>
          <w:top w:w="28" w:type="dxa"/>
          <w:left w:w="28" w:type="dxa"/>
          <w:bottom w:w="28" w:type="dxa"/>
          <w:right w:w="28" w:type="dxa"/>
        </w:tblCellMar>
      </w:tblPr>
      <w:tblGrid>
        <w:gridCol w:w="3631"/>
        <w:gridCol w:w="146"/>
        <w:gridCol w:w="251"/>
        <w:gridCol w:w="649"/>
        <w:gridCol w:w="166"/>
        <w:gridCol w:w="146"/>
        <w:gridCol w:w="146"/>
        <w:gridCol w:w="841"/>
        <w:gridCol w:w="166"/>
        <w:gridCol w:w="146"/>
        <w:gridCol w:w="276"/>
        <w:gridCol w:w="685"/>
        <w:gridCol w:w="34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values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 in</w:t>
              <w:br/>
              <w:t>% of total</w:t>
              <w:br/>
              <w:t>outstanding</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from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516,642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11—Financial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Financial assets and liabilities comprise the following:</w:t>
      </w:r>
    </w:p>
    <w:tbl>
      <w:tblPr>
        <w:tblW w:w="8957" w:type="dxa"/>
        <w:jc w:val="left"/>
        <w:tblInd w:w="0" w:type="dxa"/>
        <w:tblLayout w:type="fixed"/>
        <w:tblCellMar>
          <w:top w:w="28" w:type="dxa"/>
          <w:left w:w="28" w:type="dxa"/>
          <w:bottom w:w="28" w:type="dxa"/>
          <w:right w:w="28" w:type="dxa"/>
        </w:tblCellMar>
      </w:tblPr>
      <w:tblGrid>
        <w:gridCol w:w="5956"/>
        <w:gridCol w:w="146"/>
        <w:gridCol w:w="146"/>
        <w:gridCol w:w="931"/>
        <w:gridCol w:w="146"/>
        <w:gridCol w:w="146"/>
        <w:gridCol w:w="148"/>
        <w:gridCol w:w="947"/>
        <w:gridCol w:w="3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by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indirect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776,964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1,053,525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776,964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1,053,525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776,964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by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indirect tax, and employee related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963,489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Borrowings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the Company issued an aggregate principal amount of $575 million of fixed rate 2.25% convertible notes. The net proceeds from the offering of the convertible notes were $557.9 million (€503.3 million) after deducting the initial purchasers’ discounts and commissions and offering expenses. The convertible notes ranked equally in right of payment with all then-existing and future senior unsecured indebtedness and, prior to redemption, bore interest at a rate of 2.25% per annum, payable semi-annually in arrears on April 1 and October 1 of each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2026, the Company completed its previously announced optional redemption process in respect of all of the aggregate principal amount outstanding of its 2.25% convertible notes due 2028. Within the redemption period, all holders of the convertible notes surrendered their notes for conversion, whereupon the Company delivered 3,635,813 ordinary shares (following the exchange of all outstanding ADSs for ordinary shares on April 20, 2026), together with cash in lieu of fractional shares. Refer to Note 4, “Significant Events in the Reporting Period” for further details.</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capped synthetic royalty funding agreements with Royalty Pharma (the “Purchaser”), which is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carrying amount of the royalty funding liabilities was €301.8 million, and the fair value was €303.0 million. Fair value cannot be measured based on quoted prices in active markets or other observable inputs, and accordingly the fair value was measured by using an estimated market rate for an equivalent instrument.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YORVIPATH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$150.0 million capped synthetic royalty funding agreement (the “Royalty Pharma Yorvipath Agreement”) with the Purchaser. The net proceeds were $148.2 million (€134.2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SKYTROFA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entered into a $150.0 million capped synthetic royalty funding agreement (the “Royalty Pharma Skytrofa Agreement”) with the Purchaser. The net proceeds were $146.3 million (€136.3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full redemption of the convertible notes on May 6, 2026, derivative liabilities related to the foreign currency conversion option embedded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fair value could not be measured based on quoted prices in active markets or other observable inputs, derivative liabilities were measured using the Black-Scholes option pricing model prior to redemption. Fair value of the option was calculated applying the following assumptions: (1) conversion price; (2) the Company’s share price; (3) maturity of the option; (4) a risk-free interest rate equaling the effective interest rate on a U.S. government bond with the same lifetime as the maturity of the option; (5) an expected dividend yield of zero; and (6) an expected volatility using the Company’s share price (48.9%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description of fair values, refer to the following section “Fair Value Measurement.”</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short-term maturity for cash and cash equivalents, receivables and trade payables, their fair value approximates carrying amount. Fair value of lease liabilities is not disclosed. Fair value compared to carrying amount of convertible notes, royalty funding liabilities and derivative liabilities, and their level in the fair value hierarchy is summarized in the following table, where: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inputs are quoted prices (unadjusted) in active markets for identical assets or liabilities that the entity can access at the measurement date;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inputs are inputs other than quoted prices included within Level 1 that are observable for the asset or liability, either directly or indirectly; and</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inputs are unobservable inputs for the asset or liability.</w:t>
      </w:r>
    </w:p>
    <w:tbl>
      <w:tblPr>
        <w:tblW w:w="10205" w:type="dxa"/>
        <w:jc w:val="left"/>
        <w:tblInd w:w="0" w:type="dxa"/>
        <w:tblLayout w:type="fixed"/>
        <w:tblCellMar>
          <w:top w:w="28" w:type="dxa"/>
          <w:left w:w="28" w:type="dxa"/>
          <w:bottom w:w="28" w:type="dxa"/>
          <w:right w:w="28" w:type="dxa"/>
        </w:tblCellMar>
      </w:tblPr>
      <w:tblGrid>
        <w:gridCol w:w="4016"/>
        <w:gridCol w:w="146"/>
        <w:gridCol w:w="146"/>
        <w:gridCol w:w="781"/>
        <w:gridCol w:w="146"/>
        <w:gridCol w:w="146"/>
        <w:gridCol w:w="146"/>
        <w:gridCol w:w="781"/>
        <w:gridCol w:w="146"/>
        <w:gridCol w:w="146"/>
        <w:gridCol w:w="146"/>
        <w:gridCol w:w="781"/>
        <w:gridCol w:w="146"/>
        <w:gridCol w:w="146"/>
        <w:gridCol w:w="146"/>
        <w:gridCol w:w="781"/>
        <w:gridCol w:w="146"/>
        <w:gridCol w:w="146"/>
        <w:gridCol w:w="397"/>
        <w:gridCol w:w="578"/>
        <w:gridCol w:w="192"/>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723,328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specifies movements in Level 3 fair value measurements:</w:t>
      </w:r>
    </w:p>
    <w:tbl>
      <w:tblPr>
        <w:tblW w:w="7454" w:type="dxa"/>
        <w:jc w:val="left"/>
        <w:tblInd w:w="0" w:type="dxa"/>
        <w:tblLayout w:type="fixed"/>
        <w:tblCellMar>
          <w:top w:w="28" w:type="dxa"/>
          <w:left w:w="28" w:type="dxa"/>
          <w:bottom w:w="28" w:type="dxa"/>
          <w:right w:w="28" w:type="dxa"/>
        </w:tblCellMar>
      </w:tblPr>
      <w:tblGrid>
        <w:gridCol w:w="4891"/>
        <w:gridCol w:w="146"/>
        <w:gridCol w:w="146"/>
        <w:gridCol w:w="841"/>
        <w:gridCol w:w="166"/>
        <w:gridCol w:w="146"/>
        <w:gridCol w:w="146"/>
        <w:gridCol w:w="781"/>
        <w:gridCol w:w="1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recognized in finance (income) or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Reclassified to equity upon conversion to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186,579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Maturity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maturity analysis (on an undiscounted basis) for non-derivative financial liabilities recognized in the unaudited condensed consolidated interim statements of financial position.</w:t>
      </w:r>
    </w:p>
    <w:tbl>
      <w:tblPr>
        <w:tblW w:w="10205" w:type="dxa"/>
        <w:jc w:val="left"/>
        <w:tblInd w:w="0" w:type="dxa"/>
        <w:tblLayout w:type="fixed"/>
        <w:tblCellMar>
          <w:top w:w="28" w:type="dxa"/>
          <w:left w:w="28" w:type="dxa"/>
          <w:bottom w:w="28" w:type="dxa"/>
          <w:right w:w="28" w:type="dxa"/>
        </w:tblCellMar>
      </w:tblPr>
      <w:tblGrid>
        <w:gridCol w:w="4046"/>
        <w:gridCol w:w="146"/>
        <w:gridCol w:w="146"/>
        <w:gridCol w:w="781"/>
        <w:gridCol w:w="146"/>
        <w:gridCol w:w="146"/>
        <w:gridCol w:w="146"/>
        <w:gridCol w:w="781"/>
        <w:gridCol w:w="146"/>
        <w:gridCol w:w="146"/>
        <w:gridCol w:w="146"/>
        <w:gridCol w:w="781"/>
        <w:gridCol w:w="146"/>
        <w:gridCol w:w="146"/>
        <w:gridCol w:w="148"/>
        <w:gridCol w:w="798"/>
        <w:gridCol w:w="146"/>
        <w:gridCol w:w="146"/>
        <w:gridCol w:w="146"/>
        <w:gridCol w:w="781"/>
        <w:gridCol w:w="191"/>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566,240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Borrowings comprise royalty funding and lease liabilities. Expected maturity for royalty funding liabilities is based on anticipated amount and timing of future revenue from sale of commercial products. Further details regarding the payment structure of the royalty funding agreements are provided above.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Note 12—Subsequent Events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No events have occurred after the balance sheet date that would influence the evaluation of these unaudited condensed consolidated interim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4" w:name="managements_discussion"/>
      <w:bookmarkEnd w:id="14"/>
      <w:r>
        <w:rPr>
          <w:rFonts w:ascii="Times New Roman" w:hAnsi="Times New Roman"/>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2025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“positioned,” “potential,” “predict,” “seek,” “should,” “target,” “will,” “would,” and other similar expressions that are predictions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commercial availability of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commercialization of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for our products and product candidates and associated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developing our product candidates or any other future product candidates, and the timing, conduct, and results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Eyconis’s ability to develop, manufacture, and commercialize TransCon ophthalmology assets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advantages of our products and product candidates over existing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collaborations and license agreements and our ability to enter into new collaborations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benefits of using our products and product candidates in combination with each other and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develop additional product candidates using our TransCon technologies and submit Investigational New Drug Applications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established data of clinically validated parent drugs or pathways to which we apply our TransCon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plans with respect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additional indications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products and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apply our technology platform and algorithm for product innovation to develop highly differentiated product candidates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TransCon technology platform to develop new therapies that demonstrate best-in-class potential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application of our TransCon technology platform to make a meaningful difference for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goals for Vision 2030;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hire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market conditions, competitors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ongoing and potential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business of international economic, political, legal, compliance, social and business factors, including inflation, tariffs, geopolitical conflicts and energy shortages.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2025 — “Item 3.D.—Key Information—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(“SEC”) after the date of this report. We qualify all of our forward-looking statements by these cautionary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certain information included herein or elsewhere (such as our website) is informed by various stakeholder expectations or third-party frameworks, and therefore should not necessarily be interpreted as rising to the level of materiality as defined under U.S. federal securities laws and regulations, even if we use the language “material” or “materiality.” Particularly in the ESG context, materiality is subject to varying definitions that are often different (and more expansive) than the concept for U.S. federal securities laws purposes.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biopharmaceutical company focused on applying our innovative TransCon technology platform to make a meaningful difference for patients. Guided by our core values of Patients, Science, and Passion, and following our algorithm for product innovation, we develop TransCon-based therapies that demonstrate best-in-class potential to address unmet medical needs. Our portfolio of Endocrinology Rare Disease approved products and product candidates addresses hypoparathyroidism and growth disorders. To create additional value, we have established partnerships to develop and bring to market TransCon-based products in large therapeutic areas, including Metabolic and Cardiovascular diseases and Ophthalmology.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announced in January 2024, Vision 2030 is our vision to achieve blockbuster status for multiple products and expand our engine for future innovation,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Leading Endocrinology Rare Disease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&gt;€5B for TransCon PTH, TransCon hGH, and TransCon CNP through worldwide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leader in growth disorders and hypoparathyroidism, pursuing clinical conditions, innovative life cycle management, and complementary patient offerings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pipeline with Endocrinology Rare Disease blockbuster product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Value in Additional Therapeutic Areas through Innovative Business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accelerated approval in oncology with registrational trials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TransCon product opportunities in &gt;€5B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Maximize value creation of these product opportunities through collaboration with therapeutic area market leaders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Differentiate with Ascendis Fundamentals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Outperform industry drug development benchmarks with Ascendis’ product innovation 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independent as a profitable biopharma through lean and flexible ways of working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 our values Patients, Science, Passion drive our decisions to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product candidates leverage clinically validated parent drugs or pathways, with the goal of optimizing safety, efficacy, tolerability, and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our TransCon technologies using our algorithm for product innovation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 </w:t>
      </w:r>
    </w:p>
    <w:p>
      <w:pPr>
        <w:pStyle w:val="TextBody"/>
        <w:bidi w:val="0"/>
        <w:spacing w:before="360" w:after="120"/>
        <w:jc w:val="left"/>
        <w:rPr>
          <w:rFonts w:ascii="Times New Roman" w:hAnsi="Times New Roman"/>
          <w:sz w:val="20"/>
        </w:rPr>
      </w:pPr>
      <w:r>
        <w:rPr>
          <w:rFonts w:ascii="Times New Roman" w:hAnsi="Times New Roman"/>
          <w:b/>
          <w:color w:val="000000"/>
          <w:sz w:val="20"/>
        </w:rPr>
        <w:t>Ascendis Algorithm for Product Innovation</w:t>
      </w:r>
      <w:r>
        <w:rPr>
          <w:rFonts w:ascii="Times New Roman" w:hAnsi="Times New Roman"/>
          <w:color w:val="000000"/>
          <w:sz w:val="20"/>
        </w:rPr>
        <w:t xml:space="preserve"> </w:t>
      </w:r>
    </w:p>
    <w:p>
      <w:pPr>
        <w:pStyle w:val="TextBody"/>
        <w:bidi w:val="0"/>
        <w:jc w:val="left"/>
        <w:rPr/>
      </w:pPr>
      <w:r>
        <w:rPr/>
        <w:drawing>
          <wp:inline distT="0" distB="0" distL="0" distR="0">
            <wp:extent cx="6076950" cy="1600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76950" cy="1600200"/>
                    </a:xfrm>
                    <a:prstGeom prst="rect">
                      <a:avLst/>
                    </a:prstGeom>
                  </pic:spPr>
                </pic:pic>
              </a:graphicData>
            </a:graphic>
          </wp:inline>
        </w:drawing>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Ascendis Approach to Patient Centric Drug Design</w:t>
      </w:r>
    </w:p>
    <w:p>
      <w:pPr>
        <w:pStyle w:val="TextBody"/>
        <w:bidi w:val="0"/>
        <w:jc w:val="left"/>
        <w:rPr/>
      </w:pPr>
      <w:r>
        <w:rPr/>
        <w:drawing>
          <wp:inline distT="0" distB="0" distL="0" distR="0">
            <wp:extent cx="6858000" cy="2476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4765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clinically validated parent drug or pathway, are suitable to our TransCon technologies, have potential for creating a clearly differentiated product, have a potential established development pathway, and have the potential to address a large market. When the indication is identified we make use of patient centric drug design to optimally apply our TransCon technologies to address the unmet medical need.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Program Summaries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diversified portfolio of three marketed products and three product candidates in clinical development in the area of Endocrinology Rare Disease. One of the three product candidates, TransCon CNP (navepegritide), is currently under review in the European Union (“EU”) for the treatment of children with achondroplasia. Additionally, we are working to apply our TransCon technology platform in additional therapeutic areas such as metabolic diseases, where we believe we have designed a potentially best-in-class, once-monthly glucagon-like peptide 1 (“GLP-1”)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YORVIPATH® (palopegteriparatide), was developed as TransCon PTH and was approved by the U.S. Food &amp; Drug Administration (“FDA”), and authorized by the European Commission (“EC”) and other regulatory agencies for the treatment of adults with hypoparathyroidism. In the EU YORVIPATH is commercially available for prescription in our Europe Direct and International Markets, and is also available in other countries through named patient programs. In the United States, YORVIPATH has been commercially available for prescription since December 2024. In Japan, YORVIPATH has been commercially available for prescription since November 2025, through our partner Teijin Limited (“Teijin”). YORVIPATH has also been authorized by other regulatory authorities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SKYTROFA® (lonapegsomatropin-tcgd) was developed as TransCon hGH and approved by the FDA for the treatment of pediatric patients one year and older who weigh at least 11.5 kg and have growth failure due to inadequate secretion of endogenous growth hormone, also known as growth hormone deficiency (“GHD”) and for the replacement of endogenous growth hormone in adults with GHD. SKYTROFA has been commercially available for prescription in the United States since October 2021. In addition, the EC has authorized SKYTROFA (lonapegsomatropin) in the EU for the treatment of children and adolescents (3 – 18 years) with growth failure due to GHD. In the EU, SKYTROFA has been commercially available for prescription in Germany since September 2023. SKYTROFA has also been authorized by other regulatory authorities globally including in China through our strategic collaboration partner, VISEN Pharmaceuticals (“VISEN”) in January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YUVIWEL® (navepegritide) was developed as TransCon CNP and approved by the FDA as a once-weekly treatment indicated to increase linear growth in children 2 years of age and older with achondroplasia with open growth plates (epiphyses). In the United States, YUVIWEL has been commercially available for prescription since April 2026. We also plan to make YUVIWEL available in certain International Markets through named patient programs. In the EU, a Marketing Authorisation Application (“MAA”) is under review with a decision expected in the fourth quarter of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Endocrinology Rare Disease Pipeline – </w:t>
      </w:r>
      <w:r>
        <w:rPr>
          <w:rFonts w:ascii="Times New Roman" w:hAnsi="Times New Roman"/>
          <w:color w:val="000000"/>
          <w:sz w:val="20"/>
        </w:rPr>
        <w:t xml:space="preserve">Three product candidates in our Endocrinology Rare Disease portfolio are currently in development for additional indications and geographies. These product candidates are TransCon hGH (lonapegsomatropin) for children with Turner syndrome, TransCon PTH (palopegteriparatide) for adolescents with hypoparathyroidism, and TransCon CNP (navepegritide) for infants, children, and adolescents with achondroplasia. We are also investigating the combination of TransCon CNP and TransCon hGH in children with achondroplasia and other indications. In addition, we are investigating TransCon hGH in other established daily growth hormone indications and TransCon CNP, alone and in combination with TransCon hGH, for the treatment of children with hypochondroplasia, a related FGFR3-driven skeletal dysplasia. Through our strategic collaboration, Teijin is developing and, if approved, plans to commercialize TransCon hGH, and TransCon CNP for endocrinology rare diseases in Japan. In addition, VISEN is developing and, if approved, plans to commercialize TransCon PTH, and TransCon CNP for endocrinology rare diseases in the People’s Republic of China, Hong Kong, Macau, and Taiwan (“Greater China”). </w:t>
      </w:r>
    </w:p>
    <w:p>
      <w:pPr>
        <w:pStyle w:val="TextBody"/>
        <w:bidi w:val="0"/>
        <w:spacing w:before="360" w:after="120"/>
        <w:jc w:val="left"/>
        <w:rPr>
          <w:rFonts w:ascii="Times New Roman" w:hAnsi="Times New Roman"/>
          <w:sz w:val="20"/>
        </w:rPr>
      </w:pPr>
      <w:r>
        <w:rPr>
          <w:rFonts w:ascii="Times New Roman" w:hAnsi="Times New Roman"/>
          <w:b/>
          <w:color w:val="000000"/>
          <w:sz w:val="20"/>
        </w:rPr>
        <w:t>TransCon Product Candidates Pipeline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Other than the rights we have granted to Eyconis, Inc. (“Eyconis”), Novo Nordisk A/S (“Novo Nordisk”), Teijin, and VISEN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TransCon CNP, or any of our other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drawing>
          <wp:inline distT="0" distB="0" distL="0" distR="0">
            <wp:extent cx="6858000" cy="3609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609975"/>
                    </a:xfrm>
                    <a:prstGeom prst="rect">
                      <a:avLst/>
                    </a:prstGeom>
                  </pic:spPr>
                </pic:pic>
              </a:graphicData>
            </a:graphic>
          </wp:inline>
        </w:drawing>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Note: The above chart lists our current clinical interventional trials related to the disclosed indication. Other ongoing clinical or observational studies not expected to directly support regulatory submissions are not disclosed.</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ApproaCH Trial (NCT05598320). Decision expected in the fourth quarter of 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AttaCH Trial (NCT05929807). Includes patients from ACcomplisH and ApproaCH.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InsiGHTS Trial (NCT05690386).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HighLiGHts Trial (NCT07221851).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PaTHway60 Trial (NCT07081997).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Adolescent Trial (NCT07706764).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reACHin Trial (NCT06079398).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teACH Trial (NCT06732895).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HCH – Uplift Mono (NCT pending).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COACH Trial (NCT06433557).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CATCH Trial (NCT pending).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riGHt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China Trial (NCT05387070).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ACcomplisH China Trial (NCT05246033).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an intellectual property portfolio comprising over 465 granted patents and over 625 patent applications as of December 31, 2025,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or product candidates, TransCon hGH, TransCon PTH, TransCon CNP, and each of our other product candidates are new molecular entities and therefore eligible to be granted new intellectual property rights, including new composition of matter patents.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Global Commercialization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establishing a global presence to commercialize TransCon products, where approved, to address patients’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we have established an integrated organization to commercialize our approved Endocrinology Rare Disease products, YORVIPATH, SKYTROFA and YUVIWEL. Our U.S. organization includes various departments, including sales, market access, patient support, and medical affairs teams. The sales team engages with healthcare providers to present products, usage, and safety guidelines in accordance with the label. Our market access team engages with health authorities, insurance companies, and payers to support patients in need of gaining access to our products. Our patient support team facilitates reimbursement support and out-of-pocket assistance and provides educational resources and product training. Our medical affairs team engages in scientific exchange with the physician and medical community. We have also established a network of specialty pharmacies to support product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 we have established our presence by building integrated organizations to commercialize our approved Endocrinology Rare Disease products in select countries, which we call “Europe Direct.”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 U.S. and Europe Direct, we are expanding global reach for our Endocrinology Rare Disease products through exclusive sales and distribution agreements with geographic market leaders, which we call “International Markets.” As of June 30, 2026, we have agreements covering over 75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we are making our Endocrinology Rare Disease products commercially available in China and Japan under exclusive license agreements with partners with local development and commercialization expertise and infrastructure, which we call strategic collaborations. In Japan, Teijin has exclusive license rights to develop and commercialize TransCon hGH, TransCon PTH, and TransCon CNP. In Greater China, VISEN has exclusive license rights to develop and commercialize TransCon hGH, TransCon PTH, and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Demand for our products has not been subject to material seasonal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2025, an executive order was issued in the United States imposing “reciprocal tariffs” under the International Emergency Economic Powers Act (“IEEPA”), including a 10% baseline tariff and higher country-specific rates for certain trading partners, although specified pharmaceutical products were excluded. On February 20, 2026, the U.S. Supreme Court held that IEEPA does not authorize the U.S. president to impose tariffs, invalidating the IEEPA tariffs. The U.S. administration then imposed a temporary 10% import surcharge under Section 122 of the Trade Act of 1974, which excluded pharmaceuticals and pharmaceutical ingredients and expired by its terms on July 24, 2026. On April 2, 2026, the U.S. President issued a proclamation imposing Section 232 tariffs on covered patented pharmaceuticals and associated pharmaceutical ingredients. The tariff treatment became effective for companies identified in Annex III to the proclamation on July 31, 2026 and is scheduled to become effective for other companies on September 29, 2026, subject to applicable country-, product- and company-specific rates and exemptions. As the application, potential modification and duration of current and future tariff measures remain uncertain, we continue to monitor and assess the potential impact of existing and potential tariffs on our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TransCon prodrugs can have up to three components: a parent drug, an inert TransCon carrier that protects it, and a TransCon linker that temporarily binds the two. When bound in prodrug form, the carrier inactivates the parent drug and shields it from receptor uptake, renal clearance, and enzymatic degradation. When injected into the body, physiologic pH and temperature conditions initiate sustained release of the active, unmodified parent drug at a predictable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type of TransCon carrier we employ, we can design our TransCon prodrugs for sustained localized or systemic delivery.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drawing>
          <wp:inline distT="0" distB="0" distL="0" distR="0">
            <wp:extent cx="5943600" cy="2209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220980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TransCon Carriers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TransCon technologies incorporate three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u w:val="single"/>
        </w:rPr>
        <w:t>Systemic</w:t>
      </w:r>
      <w:r>
        <w:rPr>
          <w:color w:val="000000"/>
        </w:rPr>
        <w:t xml:space="preserve"> – </w:t>
      </w:r>
      <w:r>
        <w:rPr>
          <w:rFonts w:ascii="Times New Roman" w:hAnsi="Times New Roman"/>
          <w:color w:val="000000"/>
          <w:sz w:val="20"/>
        </w:rPr>
        <w:t>Our TransCon systemic carriers are used to provide systemic drug exposure and are based on soluble compounds such as methoxypolyethylene glycol (“mPEG”) or other natural or synthetic polymers, as well as our albumin avidity approach, where 2 or more albumin binding moieties are incorporated into the drug molecule to facilitate sustained exposure.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pStyle w:val="TextBody"/>
        <w:bidi w:val="0"/>
        <w:jc w:val="center"/>
        <w:rPr/>
      </w:pPr>
      <w:r>
        <w:rPr/>
        <w:drawing>
          <wp:inline distT="0" distB="0" distL="0" distR="0">
            <wp:extent cx="5943600" cy="2266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226695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u w:val="single"/>
        </w:rPr>
        <w:t>Localized</w:t>
      </w:r>
      <w:r>
        <w:rPr>
          <w:color w:val="000000"/>
        </w:rPr>
        <w:t xml:space="preserve"> – </w:t>
      </w:r>
      <w:r>
        <w:rPr>
          <w:rFonts w:ascii="Times New Roman" w:hAnsi="Times New Roman"/>
          <w:color w:val="000000"/>
          <w:sz w:val="20"/>
        </w:rPr>
        <w:t>Our TransCon localized carriers include TransCon hydrogels based on PEG, hyaluronic acid, or other biopolymers. TransCon 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pStyle w:val="TextBody"/>
        <w:bidi w:val="0"/>
        <w:jc w:val="center"/>
        <w:rPr/>
      </w:pPr>
      <w:r>
        <w:rPr/>
        <w:drawing>
          <wp:inline distT="0" distB="0" distL="0" distR="0">
            <wp:extent cx="4438650" cy="1619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38650" cy="161925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Linkers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Parent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applicable across a broad range of therapeutic classes and are currently used to create long-acting product candidates with best-in-class potential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approach has enabled us to develop three approved products and generate a pipeline of product candidates designed to address significant unmet medical needs. Because our TransCon technologies leverage clinically validated parent drugs or pathways, we believe we may benefit from a higher development and regulatory success rate compared to development of drug compounds without established biology.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Products and Product Candidates - Endocrinology Rare Disease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 of Hypoparathyroidism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Hypoparathyroidism is a rare endocrine disease caused by insufficient levels of parathyroid hormone (“PTH”). As reported in a 2016 paper by Clarke BL, et al. (J Clin Endocrinol Metab. 2016 Jun;101(6):2284-99), most patients with hypoparathyroidism (70-80% of cases) develop the disease following damage to or accidental removal of the parathyroid glands during thyroid surgery.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Individuals with hypoparathyroidism may experience a range of severe and potentially life-threatening short-term and long-term complications. Short-term symptoms of hypoparathyroidism include weakness; severe muscle cramps (tetany); abnormal sensations such as tingling, burning, and numbness (paresthesia); memory loss; impaired judgment; and headache. A survey published by Hadker et al. (Endocrine Pr. 20(7), 671–679), in 2014 of 374 individuals with hypoparathyroidism showed that 72% experienced more than ten symptoms in the preceding twelve months, with symptoms experienced for a mean of 13 ± 9 hours a day. Prolonged use of conventional therapy may increase the risk of major complications, such as calcium deposits in the brain, blood vessels, eyes, and soft tissues. According to a systematic review by Gosmanova et al. published in 2021, chronic hypoparathyroidism treated with conventional therapy is associated with higher rates of renal complications compared to the general population, including nephrolithiasis (up to 36%), nephrocalcinosis (up to 38%), and chronic kidney disease (up to 41%). Studies have found that the burden of hypoparathyroidism negatively impacts health-related quality of life (“QoL”), physical functioning, and psychological well-being. Compared with an age-matched general population sample, individuals with hypoparathyroidism have reported markedly lower health-related QoL, irrespective of serum calcium level, as measured by the physical (P&lt;0.001) and mental (P&lt;0.001) component scores of the 36-Item Short Form Health Survey (SF-36) as well as the EuroQol-5 Dimensions Visual Analogue Scale. As reported in a 2021 paper by Brod et al. (Qual of Life Res. 2021 Jan; 30(1):277-291), in interviews conducted on 42 individuals with hypoparathyroidism, 98% reported reduced functioning and well-being, including anxiety (81%), feeling sad or depressed (62%), and feeling irritable or short-tempered (43%) despite management with conventional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Hypoparathyroidism also imposes a substantial burden on the healthcare system despite the use of conventional therapy. For example, individuals with hypoparathyroidism may require hospitalizations or emergency department visits due to acute severe hypocalcemia (calcium crashes) and those with post-surgical hypoparathyroidism have an increased risk of hospitalization due to infection than age- and sex-matched controls from the general population. Individuals with hypoparathyroidism also have an increased risk of hospitalization due to renal complications, such as chronic kidney disease and renal failure, compared to age- and sex-matched controls. A 2019 retrospective review of clinical burden and healthcare resource utilization found that 90.7% of individuals had ≥1 hypoparathyroidism-related healthcare utilization event during a 12-month period, including 87.8% with ≥1 outpatient visit, 41% with ≥1 emergency department visit, and 19.5% with ≥1 hospitalization (Chen K, et al. J Med Econ. Nov 2019;22(11):1141-1152). The management of hypoparathyroidism is also associated with substantial economic burdens and consequences of hypoparathyroidism may negatively impact employment status and work productivity.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2022 Guidelines from the Second International Workshop addressing the prevention, diagnosis, and management of hypoparathyroidism were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companies and groups are developing therapies for hypoparathyroidism at the clinical stage, including Calcilytix (a BridgeBio company), Entera Bio/Opko Health, Extend Biosciences, AstraZeneca, MBX Biosciences, and Septerna.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Forteo® (teriparatide,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hypoparathyroidism affects more than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more than 100,000 patients in the rest of Europe.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PTH (palopegteriparatide) is a prodrug of PTH (1-34) that is administered once-daily to achieve and maintain a steady concentration of PTH in the bloodstream within the physiological range. TransCon PTH is designed to provide PTH in the physiological range for 24 hours per day, thereby more fully addressing aspects of the disease, including maintaining normal serum calcium and phosphate levels and normalizing urinary calcium.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 for the Treatment of Hypoparathyroidism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YORVIPATH (palopegteriparatide; developed as TransCon PTH) has received regulatory approval for the treatment of adults with hypoparathyroidism in the U.S., EU, Japan and several other countries. YORVIPATH is commercially available in the U.S., across major European markets, in Japan through our partner, Teijin, and other countries.</w:t>
      </w:r>
    </w:p>
    <w:p>
      <w:pPr>
        <w:pStyle w:val="TextBody"/>
        <w:bidi w:val="0"/>
        <w:spacing w:before="240" w:after="283"/>
        <w:jc w:val="left"/>
        <w:rPr>
          <w:rFonts w:ascii="Times New Roman" w:hAnsi="Times New Roman"/>
          <w:sz w:val="20"/>
        </w:rPr>
      </w:pPr>
      <w:r>
        <w:rPr>
          <w:rFonts w:ascii="Times New Roman" w:hAnsi="Times New Roman"/>
          <w:i/>
          <w:color w:val="000000"/>
          <w:sz w:val="20"/>
        </w:rPr>
        <w:t>Clinical Development of TransCon PTH for Treatment of Hypoparathyroidism in Adults and Adolescents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PTH was evaluated for the treatment of hypoparathyroidism in adults in the completed Phase 2 PaTH Forward Trial and Phase 3 PaTHway Trial and is being evaluated in the ongoing Phase 3 PaTHway Japan Trial, the Phase 3 PaTHway60 Trial, and the PaTHway Adolescent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announced new data from Week 182 (3.5 year) of our completed Phase 3 PaTHway Trial, confirming that long-term treatment with TransCon PTH (palopegteriparatide) continued to provide a durable response in adults with hypoparathyroidism regardless of its cause (post-surgical, autoimmune, genetic, or idiopathic), including improvements in biochemistries, kidney function, and quality of life. At Week 182, 86% of patients achieved the multi-component endpoint ((1) serum calcium in the normal range, (2) taking no active vitamin D, and (3) taking ≤600 mg/day of calcium). Reflecting clinically meaningful improvements in kidney function, improvements in eGFR from baseline were sustained through Week 182: mean (SE) eGFR increase of 11.0 (1.4) mL/min/1.73 m2 from baseline. Among patients randomized to TransCon PTH, eGFR increased from baseline through Week 38 and stabilized thereafter. After initiation of open-label treatment at Week 26, patients who had been receiving placebo in the double-blind period experienced a similar increase in eGFR. Following these eGFR increases, mean eGFR values were maintained through Week 182, in contrast to the expected typical age-related decline in eGFR in adults. As measured by Hypoparathyroidism Patient Experience Scales (HPES) and SF-36, patients treated with TransCon PTH reported rapid and sustained improvements in hypoparathyroidism-related symptoms, health-related quality of life, physical functioning and daily life through Week 182 of TransCon PTH treatment. In the trial, TransCon PTH treatment was generally well-tolerated, with no new safety signals identified. Treatment-emergent adverse events (AEs) were mostly mild or moderate, and no discontinuations were related to study drug. Over three and a half years of treatment, no patients developed anti-PTH antibodies. Seventy-three of the original 82 patients enrolled (89%) completed the three-and-a-half-year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announced new data from Week 266 (5 year) of our completed Phase 2 PaTH Forward Trial, confirming that long-term treatment with TransCon PTH (palopegteriparatide) continued to provide a durable response in adults with hypoparathyroidism regardless of its cause (post-surgical, autoimmune, genetic, or idiopathic), including improvements in biochemistries, kidney function, and quality of life. At Week 266, 82% of patients achieved the multi-component endpoint ((1) serum calcium in the normal range, (2) taking no active vitamin D, and (3) taking ≤600 mg/day of calcium). Reflecting clinically meaningful improvements in kidney function, improvements in eGFR from baseline were sustained through Week 266: mean (SE) eGFR increase of 9.4 (1.9) mL/min/1.73 m2 from baseline. Improvements were evident as early as Week 4, increased from baseline through Week 58 and were sustained over five years of treatment, in contrast to the expected typical age-related decline in eGFR in adults. As measured by Hypoparathyroidism Patient Experience Scales (HPES) and SF-36, patients treated with TransCon PTH reported rapid and sustained improvements in hypoparathyroidism-related symptoms, health-related quality of life, physical functioning and daily life through Week 266 of TransCon PTH treatment. In the trial, TransCon PTH treatment was generally well-tolerated, with no new safety signals identified. Treatment-emergent adverse events (AEs) were mostly mild or moderate, and no discontinuations were related to study drug. Over five years of treatment, one patient developed transient, low-titer and non-neutralizing anti-PTH antibodies, with no impact on safety or efficacy. Over five years of treatment, no other patients developed anti-PTH antibodies. Fifty-six of the original 59 patients enrolled (95%) completed the five-year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The open-label extension (“OLE”) of this trial has been extended, and all patients have transitioned into the Investigational Medical Product supply period designed to ensure continuous treatment through the launch of YORVIPATH in Japan. In November 2025, Teijin announced that YORVIPATH is commercially available for prescription.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Disorders</w:t>
      </w:r>
    </w:p>
    <w:p>
      <w:pPr>
        <w:pStyle w:val="TextBody"/>
        <w:bidi w:val="0"/>
        <w:spacing w:before="120" w:after="283"/>
        <w:jc w:val="left"/>
        <w:rPr>
          <w:rFonts w:ascii="Times New Roman" w:hAnsi="Times New Roman"/>
          <w:sz w:val="20"/>
        </w:rPr>
      </w:pPr>
      <w:r>
        <w:rPr>
          <w:rFonts w:ascii="Times New Roman" w:hAnsi="Times New Roman"/>
          <w:b/>
          <w:i/>
          <w:color w:val="000000"/>
          <w:sz w:val="20"/>
        </w:rPr>
        <w:t>Market Opportunity for Recombinant Human Growth Hormone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GHD is a serious rare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 </w:t>
      </w:r>
    </w:p>
    <w:p>
      <w:pPr>
        <w:pStyle w:val="TextBody"/>
        <w:bidi w:val="0"/>
        <w:spacing w:before="240" w:after="283"/>
        <w:jc w:val="left"/>
        <w:rPr>
          <w:rFonts w:ascii="Times New Roman" w:hAnsi="Times New Roman"/>
          <w:sz w:val="20"/>
        </w:rPr>
      </w:pPr>
      <w:r>
        <w:rPr>
          <w:rFonts w:ascii="Times New Roman" w:hAnsi="Times New Roman"/>
          <w:color w:val="000000"/>
          <w:sz w:val="20"/>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hAnsi="Times New Roman"/>
          <w:color w:val="000000"/>
          <w:sz w:val="13"/>
        </w:rPr>
        <w:t>®</w:t>
      </w:r>
      <w:r>
        <w:rPr>
          <w:rFonts w:ascii="Times New Roman" w:hAnsi="Times New Roman"/>
          <w:color w:val="000000"/>
          <w:sz w:val="20"/>
        </w:rPr>
        <w:t xml:space="preserve"> (Novo Nordisk A/S), Humatrope</w:t>
      </w:r>
      <w:r>
        <w:rPr>
          <w:rFonts w:ascii="Times New Roman" w:hAnsi="Times New Roman"/>
          <w:color w:val="000000"/>
          <w:sz w:val="13"/>
        </w:rPr>
        <w:t xml:space="preserve">® </w:t>
      </w:r>
      <w:r>
        <w:rPr>
          <w:rFonts w:ascii="Times New Roman" w:hAnsi="Times New Roman"/>
          <w:color w:val="000000"/>
          <w:sz w:val="20"/>
        </w:rPr>
        <w:t>(Eli Lilly and Company), Genotropin</w:t>
      </w:r>
      <w:r>
        <w:rPr>
          <w:rFonts w:ascii="Times New Roman" w:hAnsi="Times New Roman"/>
          <w:color w:val="000000"/>
          <w:sz w:val="13"/>
        </w:rPr>
        <w:t xml:space="preserve">® </w:t>
      </w:r>
      <w:r>
        <w:rPr>
          <w:rFonts w:ascii="Times New Roman" w:hAnsi="Times New Roman"/>
          <w:color w:val="000000"/>
          <w:sz w:val="20"/>
        </w:rPr>
        <w:t>(Pfizer Inc.), Zomacton</w:t>
      </w:r>
      <w:r>
        <w:rPr>
          <w:rFonts w:ascii="Times New Roman" w:hAnsi="Times New Roman"/>
          <w:color w:val="000000"/>
          <w:sz w:val="13"/>
        </w:rPr>
        <w:t xml:space="preserve">® </w:t>
      </w:r>
      <w:r>
        <w:rPr>
          <w:rFonts w:ascii="Times New Roman" w:hAnsi="Times New Roman"/>
          <w:color w:val="000000"/>
          <w:sz w:val="20"/>
        </w:rPr>
        <w:t>(Ferring Pharmaceuticals, Inc.) and Omnitrope</w:t>
      </w:r>
      <w:r>
        <w:rPr>
          <w:rFonts w:ascii="Times New Roman" w:hAnsi="Times New Roman"/>
          <w:color w:val="000000"/>
          <w:sz w:val="13"/>
        </w:rPr>
        <w:t xml:space="preserve">® </w:t>
      </w:r>
      <w:r>
        <w:rPr>
          <w:rFonts w:ascii="Times New Roman" w:hAnsi="Times New Roman"/>
          <w:color w:val="000000"/>
          <w:sz w:val="20"/>
        </w:rPr>
        <w:t xml:space="preserve">(Sandoz GmbH) – contain unmodified somatropin and are administered by subcutaneous injections. The global market for daily hGH products is largely composed of products from Novo Nordisk, Pfizer, Eli Lilly, Sandoz, and Merck KGaA, which together account for most of the global market share. Eli Lilly has decided to permanently discontinue Humatrope® effective December 31, 2026, which might impact the hGH global market share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pediatric GHD.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and permanent modification of growth hormone: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Unmodified somatropin</w:t>
      </w:r>
      <w:r>
        <w:rPr>
          <w:rFonts w:ascii="Times New Roman" w:hAnsi="Times New Roman"/>
          <w:color w:val="000000"/>
          <w:sz w:val="20"/>
        </w:rPr>
        <w:t>: Two long-acting growth hormone products using encapsulation technologies previously received regulatory approval in the U.S. and Europe, but were subsequently discontinued due to commercial challenges. These include Nutropin Depot®, formerly marketed by Genentech, and Somatropin Biopartners, developed by LG Life Sciences and Biopartners GmbH. Nutropin Depot was approved by the FDA in 1999 and later withdrawn; Somatropin Biopartners (LB03002) was authorized by the EC in 2013, and later withdrawn. We believe that the lack of market acceptance was a result of the various safety and tolerability issues that tend to arise with encapsulation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Permanent modification of growth hormone</w:t>
      </w:r>
      <w:r>
        <w:rPr>
          <w:rFonts w:ascii="Times New Roman" w:hAnsi="Times New Roman"/>
          <w:color w:val="000000"/>
          <w:sz w:val="20"/>
        </w:rPr>
        <w:t xml:space="preserv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and may also negatively impact the drug’s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Novo Nordisk also received regulatory approval in the U.S. for once-weekly somapacitan (SOGROYA®) in three new pediatric indications; patients aged 2.5 years and older with idiopathic short stature (ISS), growth failure associated with Noonan syndrome and short stature born Small for Gestational Age with no catch-up growth by 2 years of 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(in collaboration with OPKO Health Inc.) received regulatory approval of once-weekly somatrogon (NGENLA) in various countries and regions including the U.S., Japan, and EU for pediatric GHD.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long-acting GH products are available in Asia, including the permanently PEGylated once-weekly therapies Jintrolong® developed by GeneScience Pharmaceuticals Co., Ltd. (approved in China for pGHD, Turner syndrome, and ISS) and Pegpesen® developed by Xiamen Amoytop Biotech Co., Ltd. (approved in China for pGHD), as well as LB03002 (Somatropin Biopartners), a sustained-release long-acting GH marketed in South Korea.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experimental growth hormone therapies based on permanent modification are in different stages of clinical development by various companies, including Genexine Inc. &amp; I-Mab, UnionGene, Anhui Anke Biotechnology, Alteogen, JCR Pharmaceuticals Co., Ltd., Kexing Biopharm, Qianhong Biopharma (Zonhon), SCOHIA Pharma and Evive Biotech (Yifan).</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(lonapegsomatropin) is a prodrug composed of somatropin that is transiently bound to a TransCon carrier by a proprietary TransCon linker. TransCon hGH is administered once weekly and is designed to maintain the same mode of action as daily therapies by providing sustained release of active, unmodified somatropin, the same recombinant growth hormone molecule used in the daily hGH therapies that have historically been the standard of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Growth Hormone (hGH) for Pediatric and Adult GHD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SKYTROFA® (lonapegsomatropin; developed as TransCon hGH) is approved in the U.S., Europe, and other regions for pediatric growth hormone deficiency and is approved in the U.S. for adult growth hormone deficiency. SKYTROFA is commercially available in the U.S., major European markets, and other countries.</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Clinical Trial of TransCon hGH in Japanese Pediatric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ongoing Phase 3 riGHt Trial, we are evaluating TransCon hGH (N=15) compared to somatropin (N=16) as a treatment in Japanese children with GHD. The trial achieved its primary objective with Week 52 top-line results consistent with our pivotal heiGHt Trial and VISEN’s Phase 3 trial. In the riGHt Trial, TransCon hGH was generally well tolerated with a safety profile that was similar to that of somatropin. Trial subjects continue in the extension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Proprietary Auto-Injector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SKYTROFA includes the SKYTROFA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pStyle w:val="TextBody"/>
        <w:bidi w:val="0"/>
        <w:jc w:val="center"/>
        <w:rPr/>
      </w:pPr>
      <w:r>
        <w:rPr/>
        <w:drawing>
          <wp:inline distT="0" distB="0" distL="0" distR="0">
            <wp:extent cx="1962150" cy="3286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62150" cy="32861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Our state-of-the-art auto-injector is designed to address important patient needs.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 for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we announced Week 52 top-line results from New InsiGHTS. At Week 52, children treated with TransCon hGH demonstrated an LS mean AHV of 9.05 cm/year, similar to 9.04 cm/year for children treated with daily somatropin, independent of starting dose. The mean dose at Week 52 was 0.22 mg/kg/week for TransCon hGH and 0.29 mg/kg/week for daily somatropin. TransCon hGH demonstrated a safety and tolerability profile similar to daily somatropin through follow-up of up to 143 weeks, with adverse events that were mild to moderate in severity and no adverse events leading to discontinuation of study drug. Additionally, there were no occurrences of slipped capital femoral epiphysis. TransCon hGH was generally safe and well tolerated, with five discontinuations from the trial for reasons unrelated to safety or efficacy of the study drug. As of June 30, 2026, 45 out of the 50 children are ongoing in the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we announced positive top-line results from the Phase 2 New InsiGHTS Trial. New InsiGHTS randomized and dosed 49 children with Turner syndrome aged 1 to 10 years old into one of four treatment groups 1:1:1:1 – one of three starting doses of TransCon hGH (0.24, 0.30, or 0.36 mg/kg/week) or an active comparator of daily somatropin with a starting dose of 0.35 mg/kg/week. Doses were individualized based on IGF-1. On the primary endpoint of annualized height velocity (“AHV”) and secondary endpoint of change from baseline in height SDS, children treated with TransCon hGH demonstrated improved growth similar to daily somatropin at Week 26, independent of starting dose.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2025, we submitted the protocol for a basket trial evaluating additional growth disorder indications (planned for small for gestational age without catch-up growth; idiopathic short stature; SHOX deficiency (including Turner syndrome)). In addition, we are investigating potential combinations of TransCon hGH and TransCon CNP. For more information see the section entitled “Combination Therapy (TransCon CNP + TransCon hGH).”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 of Achondroplasia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a rare genetic condition arising from a systemic fibroblast growth factor receptor 3 (“FGFR3”) variant, which causes serious muscular, neurological, and cardiorespiratory complications in addition to the well-characterized skeletal dysplasia that leads to disproportionate short stature. Achondroplasia is associated with a well-delineated range of clinical complications and manifestations, occurring in about one in 10,000 to 30,000 newborns or more than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Achondroplasia is caused by gain-of-function variants of the FGFR3 gene resulting in constitutive activation of FGFR3 that leads to an imbalance between the effects of the FGFR3 and C-type natriuretic peptide (“CNP”) signaling. In achondroplasia, FGFR3 is constitutively activated, suppressing the differentiation of chondrocytes in the growth plate leading to poor endochondral bone growth and causing dysfunction in the skeletal muscle. Preclinical and clinical data show that therapeutic continuous CNP exposure helps to counteract the constitutively activated FGFR3 downstream.</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2021, BioMarin Pharmaceutical Inc.’s (“BioMarin”) daily VOXZOGO</w:t>
      </w:r>
      <w:r>
        <w:rPr>
          <w:rFonts w:ascii="Times New Roman" w:hAnsi="Times New Roman"/>
          <w:color w:val="000000"/>
          <w:sz w:val="13"/>
        </w:rPr>
        <w:t xml:space="preserve">® </w:t>
      </w:r>
      <w:r>
        <w:rPr>
          <w:rFonts w:ascii="Times New Roman" w:hAnsi="Times New Roman"/>
          <w:color w:val="000000"/>
          <w:sz w:val="20"/>
        </w:rPr>
        <w:t>(vosoritide) was approved by the FDA to increase linear growth in pediatric patients with achondroplasia with open epiphyses. Additionally, BioMarin is developing a long-acting CNP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BioMarin has initiated certain legal proceedings aimed at delaying or preventing patient access to TransCon CNP. We believe BioMarin’s claims lack merit and that these actions threaten potential harm to patients by limiting or preventing access to a treatment option that has the potential to address multiple unmet clinical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legal proceedings include a case filed by BioMarin before the Unified Patent Court (“UPC”) in Munich related to alleged infringement against EP3175863 (the “‘863 patent”), along with a complaint filed with the U.S. International Trade Commission (“ITC”) related to alleged infringement of U.S. Reissue Patent No. 48,267. Trial in the ITC took place this April 2026. In response to the ITC action, we initiated legal action before the District Court in the U.S. Northern District of California. The District Court litigation has been stayed in view of the pending ITC proceedings.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European case, we took the view that we did not infringe the ‘863 patent and that the patent was, in any event, invalid. Following opposition proceedings against the ‘863 patent that were initiated before the European Patent Office (“EPO”) in September 2022, the EPO Technical Boards of Appeal revoked the ‘863 patent in its entirety on October 16, 2025. As a consequence of the revocation, the UPC dismissed the infringement case on December 29, 2025, which included an agreement for BioMarin to reimburse Ascendis for certain legal expenses related to the case. In addition, we have instituted proceedings before the Danish Maritime and Commercial High Court, claiming entitlement to European patent applications EP21211450.8, EP25151367.7 and EP25175852.0, all of which are divisional applications of the revoked ‘863 patent. The EPO has granted a stay of proceedings with respect to these divisional applications. BioMarin is challenging such stays at the German Courts in Munich. On August 7, 2026, the Legal Division of the EPO issued a formal decision rejecting BioMarin’s request for a resumption of proceedings with respect to EP21211450.8.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12, 2025, BioMarin also submitted a Citizen Petition to the FDA under Section 505(q) of the Federal Food, Drug and Cosmetic Act requesting that FDA refrain from approving any analog of human CNP as a treatment for achondroplasia until orphan-drug exclusivities applicable to VOXZOGO expire. We submitted a response to the FDA in September 2025 and in February 2026, the FDA denied the Citizen Petition.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on October 21, 2025, we filed a petition before the Korean Intellectual Property Trial and Appeal Board (“IPTAB”) for the invalidation of BioMarin’s Korean patent KR2033680.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on March 11, 2026, we filed two lawsuits in Brazil relating to BioMarin’s Brazilian patent, BR 12 2019 026832 0. One suit was filed in the Federal Court Rio de Janeiro, requesting revocation of the patent and the other suit filed at the State Court São Paulo, requesting the court for a declaratory judgement of non-infringement of our YUVIWEL product.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Changing the Treatment Paradigm of Achondroplasia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pStyle w:val="TextBody"/>
        <w:bidi w:val="0"/>
        <w:jc w:val="center"/>
        <w:rPr/>
      </w:pPr>
      <w:r>
        <w:rPr/>
        <w:drawing>
          <wp:inline distT="0" distB="0" distL="0" distR="0">
            <wp:extent cx="5943600" cy="2105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1050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ACH-AE: Increased incidence of Achondroplasia-related Adverse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HRQoL: Reduced Health-Related QOL; Height; Reduced height. Muscle Strength/Stamina; Reduced muscular functionality, including reduced strength and stamina.</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TransCon CNP (navepegritide) is a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and release unmodified CNP (89-126), which is small enough in size to allow effective penetration into growth plates. Shorter-acting CNP and CNP analogs in development have resulted in high maximum serum concentration (“C</w:t>
      </w:r>
      <w:r>
        <w:rPr>
          <w:rFonts w:ascii="Times New Roman" w:hAnsi="Times New Roman"/>
          <w:color w:val="000000"/>
          <w:sz w:val="13"/>
        </w:rPr>
        <w:t>max</w:t>
      </w:r>
      <w:r>
        <w:rPr>
          <w:rFonts w:ascii="Times New Roman" w:hAnsi="Times New Roman"/>
          <w:color w:val="000000"/>
          <w:sz w:val="20"/>
        </w:rPr>
        <w:t>”) levels that may cause adverse hypotensive events. We believe the sustained release of active CNP offers advantages that may mitigate this issue, leading to continuous CNP exposure while avoiding a high C</w:t>
      </w:r>
      <w:r>
        <w:rPr>
          <w:rFonts w:ascii="Times New Roman" w:hAnsi="Times New Roman"/>
          <w:color w:val="000000"/>
          <w:sz w:val="13"/>
        </w:rPr>
        <w:t xml:space="preserve">max </w:t>
      </w:r>
      <w:r>
        <w:rPr>
          <w:rFonts w:ascii="Times New Roman" w:hAnsi="Times New Roman"/>
          <w:color w:val="000000"/>
          <w:sz w:val="20"/>
        </w:rPr>
        <w:t>to correlate with better therapeutic outcomes.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CNP for the Treatment of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we received accelerated approval of YUVIWEL (navepegritide; developed as TransCon CNP) for the treatment of pediatric patients 2 years of age and older with achondroplasia with open epiphyses. Additionally in March 2026, the FDA granted Orphan Drug exclusivity to YUVIWEL, providing seven years of market exclusivity for YUVIWEL in the United States for the treatment of pediatric patients 2 years of age and older with achondroplasia with open epiphyses.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submitted a Marketing Authorisation Application (“MAA”) to the European Medicines Agency (“EMA”) for the treatment of children with achondroplasia on October 8,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2019, we were granted ODD by the FDA for TransCon CNP for the treatment of achondroplasia. In July 2020, we received ODD from the EC for TransCon CNP for the treatment of achondroplasia.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Development of TransCon CNP for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pivotal ApproaCH Trial, our Phase 2 ACcomplisH Trial, and our long-term extension trial AttaCH, are evaluating the safety and efficacy of TransCon CNP in children with achondroplasia. The reACHin Trial is evaluating the safety, tolerability, and efficacy of TransCon CNP in infants with achondroplasia (aged 0 to &lt; 2 years at the time of randomization). The teACH Trial is evaluating the safety, tolerability, and efficacy of TransCon CNP in adolescents with achondroplasia (aged 12 to &lt;18).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2026, we announced that 96% of the 140 children enrolled in the AttaCH long-term open-label extension trial remain on therapy, either receiving TransCon CNP monotherapy with treatment duration of up to nearly six years or participating in the ongoing COACH combination therapy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2026, we announced new radiographic data from Week 104 of the completed pivotal ApproaCH Trial showing that children with achondroplasia treated with once-weekly TransCon CNP (navepegritide) demonstrated continued improvements in lower extremity alignment through up to two years of treatment, including improvements in tibial-femoral angle (TFA). The data also showed that greater improvements were observed in children with preexisting genu varum (leg bowing). Additionally, improvements in annualized growth velocity were maintained and ACH-specific height Z-score increased with TransCon CNP treatment through Week 104. Through up to two years of treatment, TransCon CNP was generally well tolerated, with a low rate of ISRs (all mild), no symptomatic hypotension, and no acceleration of bone age. Most adverse events in TransCon CNP-treated children were mild or moderate, with none leading to treatment discontinuation or withdrawal from the trial. </w:t>
      </w:r>
    </w:p>
    <w:p>
      <w:pPr>
        <w:pStyle w:val="TextBody"/>
        <w:bidi w:val="0"/>
        <w:spacing w:before="240" w:after="283"/>
        <w:jc w:val="left"/>
        <w:rPr/>
      </w:pPr>
      <w:r>
        <w:rPr/>
        <w:drawing>
          <wp:inline distT="0" distB="0" distL="0" distR="0">
            <wp:extent cx="6858000" cy="2619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26193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drawing>
          <wp:inline distT="0" distB="0" distL="0" distR="0">
            <wp:extent cx="6858000" cy="2628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26289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we announced expanded data building on findings presented at the 2026 Pediatric Endocrine Society Annual Meeting recently presented showing that children with achondroplasia ≥5 years of age at enrollment treated with once-weekly TransCon CNP (navepegritide) in its pivotal ApproaCH Trial demonstrated statistically significant improvements in growth compared to placebo after 52 weeks and sustained these improvements through two years of treatment. Through two years of treatment, TransCon CNP was generally well-tolerated across age groups, and safety profile in children ≥5 years was similar to the overall population. Most adverse events were mild or moderate, with none leading to treatment discontinuation or withdrawal. There were no occurrences of symptomatic hypotension, no acceleration of bone age, and the ISR rate was low (all mild) at 0.35 per person-year of exposure, approximately one ISR for every three years of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we announced new two-year data from the pivotal ApproaCH Trial, which were shared in an oral presentation during the Annual Clinical Genetics Meeting of the American College of Medical Genetics and Genomics ("ACMG"). The data showed that children with achondroplasia treated with once-weekly TransCon CNP maintained consistent improvements in growth through Week 104, with further improvement in body proportionality during the second year of treatment. TransCon CNP was generally well-tolerated, with most adverse events in TransCon CNP-treated children mild or moderate in severity and none leading to treatment discontinuation or withdrawal from the trial. There were no occurrences of symptomatic hypotension, and the overall rate of injection-site reactions, all of which were mild was 0.35 per person-year of exposure. Retention in the pivotal ApproaCH Trial was strong, with 80 of 84 children enrolled completing the trial, and all 80 children enrolled into the long-term, open-label AttaCH extension trial.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2025, we announced that Week 52 results from the pivotal ApproaCH trial were published in </w:t>
      </w:r>
      <w:r>
        <w:rPr>
          <w:rFonts w:ascii="Times New Roman" w:hAnsi="Times New Roman"/>
          <w:i/>
          <w:color w:val="000000"/>
          <w:sz w:val="20"/>
        </w:rPr>
        <w:t>JAMA Pediatrics</w:t>
      </w:r>
      <w:r>
        <w:rPr>
          <w:rFonts w:ascii="Times New Roman" w:hAnsi="Times New Roman"/>
          <w:color w:val="000000"/>
          <w:sz w:val="20"/>
        </w:rPr>
        <w:t xml:space="preserve"> titled “Once-Weekly Navepegritide in Children with Achondroplasia: The ApproaCH Randomized Clinical Trial.” The authors reported that treatment with TransCon CNP led to significantly higher annualized growth velocity (AGV) at Week 52 compared to placebo (primary endpoint), as well as improved lower limb alignment and body proportionality and positive changes in health-related QOL, with a safety and tolerability profile similar to placebo. The publication is available at Savarirayan R, et al. </w:t>
      </w:r>
      <w:r>
        <w:rPr>
          <w:rFonts w:ascii="Times New Roman" w:hAnsi="Times New Roman"/>
          <w:i/>
          <w:color w:val="000000"/>
          <w:sz w:val="20"/>
        </w:rPr>
        <w:t>JAMA Pediatr</w:t>
      </w:r>
      <w:r>
        <w:rPr>
          <w:rFonts w:ascii="Times New Roman" w:hAnsi="Times New Roman"/>
          <w:color w:val="000000"/>
          <w:sz w:val="20"/>
        </w:rPr>
        <w:t>. 2026;180(1):18-25. doi:10.1001/jamapediatrics.2025.4771.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we announced new analyses from the pivotal ApproaCH Trial were presented at the American Society for Bone and Mineral Research (ASBMR) Annual Meeting. The new analyses showed that children treated with TransCon CNP had improvements in the Physical Functioning domain of the Achondroplasia Child Experience Measure (ACEM-PF), with greatest benefits in younger children who had more severe genu varum (≥5°) at baseline, supporting benefits beyond linear growth. Further analyses showed correlations between improvements in physical functioning and improvements in lower limb alignment in these children, supporting the potential for TransCon CNP to provide benefits beyond linear growth.</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May 2025, we announced data demonstrating improvements in growth and bone morphometry from Week 52 of our pivotal ApproaCH Trial of TransCon CNP (navepegritide) in children with achondroplasia. TransCon CNP demonstrated superiority over placebo in annualized growth velocity (AGV), with a safety and tolerability profile comparable to placebo that included a low rate of injection site reactions, no treatment-related serious adverse events (SAEs), no cases of symptomatic hypotension, no fractures, and no acceleration of bone age versus chronological age. Analyses also showed that TransCon CNP improved aspects of bone morphometry at Week 52. This included improvement in lower limb alignment and proportional growth, as well as increases in spinal canal dimensions, versus placebo.</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January 2025, we announced data demonstrating improvements in leg bowing, a common complication in achondroplasia, observed with TransCon CNP compared to worsening observed with placebo in the pivotal ApproaCH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 µg/kg/week or placebo for 52 weeks in the double-blind period, after which all participants could choose to receive TransCon CNP at 100 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Highlights of the ApproaCH Trial Top-line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Primary Endpoint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primary endpoint of AGV at Week 52, children treated with TransCon CNP (n=57) demonstrated an LS mean AGV of 5.89 cm/year compared to 4.41 cm/year in the placebo arm (n=27), an LS mean difference of 1.49 cm/year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Sub-group analyses: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2 to &lt;5 years treated with TransCon CNP (n=21) demonstrated an LS mean AGV at Week 52 of 6.07 cm/year compared to 5.06 cm/year in the placebo arm (n=10), an LS mean difference of 1.02 cm/year (p=0.0084).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5-11 years treated with TransCon CNP (n=36) demonstrated an LS mean AGV at Week 52 of 5.79 cm/year compared to 4.02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AGV Change from Baseline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2 to &lt;5 years, treated with TransCon CNP (n=19) demonstrated a change from baseline AGV at Week 52 of 1.57 cm/year compared to 0.43 cm/year in the placebo arm (n=10), an LS mean difference of 1.15 cm/year (p=0.0047).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5-11 years, treated with TransCon CNP (n=35) demonstrated a change from baseline AGV at Week 52 of 2.29 cm/year compared to 0.52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secondary endpoint of change in achondroplasia-specific height Z-score, children treated with TransCon CNP (n=57) demonstrated an LS mean change from baseline achondroplasia-specific height Z-score of 0.30 compared to 0.01 in the placebo arm (n=27), an LS mean difference of 0.28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secondary endpoint of change in CDC-based height Z-score, children treated with TransCon CNP (n=55) demonstrated an LS mean change from baseline CDC Height Z-score of 0.15 compared to -0.15 in the placebo arm (n=27), an LS mean difference of 0.30 (p=0.0003).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Results Summary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was generally well-tolerated and demonstrated safety profile similar to that observed in the placebo arm, with generally mild treatment emergent adverse events (“TEAEs”), no evidence of hypotensive effect, and a low frequency of injection site reactions (0.41 events per patient year), all mild.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adverse events (“AEs”) led to discontinuation of TransCon CNP or withdrawal from the trial and no serious adverse events (“SAEs”) were assessed as related to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new analyses demonstrating benefits beyond linear growth from the blinded and ongoing OLE periods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analyzed available data for patients who only received TransCon CNP at the 100 µg/kg/week dose in either the blinded or OLE period and were treated for one year (n=19), compared to those administered placebo for one year (n=15). Results showed that these TransCon CNP-treated patients (data available for 9-16 patients) showed improvements (nominal p-value &lt;0.05) in health-related QoL and disease impacts compared to those receiving placebo (data available for 5-13 patients).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Assessments were performed with the SF-10 (a 10-item non-condition specific survey of a child’s functional health and well-being that has been validated to assess children aged 5 years and older) and the Achondroplasia Child Experience Measure (“ACEM”) a condition-specific clinical outcome measure that assesses the impact of achondroplasia on a child’s health-related QOL, with statistically significant improved outcome in TransCon CNP-treatment versus placebo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SF-10 Physical Summary (p=0.002, aged 5 years and 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Daily Living Function (p=0.047)</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ACEM Emotional Well-being (p=0.045)</w:t>
      </w:r>
    </w:p>
    <w:p>
      <w:pPr>
        <w:pStyle w:val="TextBody"/>
        <w:bidi w:val="0"/>
        <w:jc w:val="center"/>
        <w:rPr/>
      </w:pPr>
      <w:r>
        <w:rPr/>
        <w:drawing>
          <wp:inline distT="0" distB="0" distL="0" distR="0">
            <wp:extent cx="5943600" cy="2514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5146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2023, we filed an Investigational New Drug Application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we announced top-line results from ACcomplisH, a Phase 2 randomized, double-blind, placebo-controlled, dose-escalation trial evaluating the safety and efficacy of once-weekly TransCon CNP compared to placebo in children with achondroplasia aged 2 to 10 years 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AGV at 52 weeks (p=0.0218).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ACcomplisH Trial completed in October 2024, with 53 of the original 57 children transitioning into AttaCH, a multicenter, long-term, open-label extension trial to continue treatment with TransCon CNP 100 µg/kg/week, and two into COACH, a TransCon CNP and TransCon hGH combination therapy trial. Two children did not roll-over for reasons unrelated to safety or efficacy of the study drug. For more information, see section entitled, “Combination Therapy TransCon CNP + TransCon hGH.”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of the 53 children that rolled over from ACcomplisH, 41 children continue in AttaCH with 5 children withdrawn from treatment, for reasons unrelated to safety or efficacy of the study drug. Seven children from AttaCH were enrolled and continue in COACH. For more information, see section entitled, “Combination Therapy TransCon CNP + TransCon hGH.”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Combination Therapy (TransCon CNP + TransCon hGH)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CNP has demonstrated improvement in linear growth and in benefits beyond height. Clinical use of daily growth hormone monotherapy has demonstrated some growth improvements in children with achondroplasia; however, without reports of benefits beyond height, as it does not address the underlying overactive FGFR3 signaling pathway.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combination of once-weekly TransCon CNP and TransCon hGH, through two independent and complementary mechanisms of action, may provide benefits beyond monotherapies in achondroplasia. The active CNP released from TransCon CNP continuously relieves the pre-hypertrophic block in the growth plate, enabling the strong complementary effect of unmodified somatropin released from TransCon hGH.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COACH, a Phase 2 open-label single-arm trial is the first clinical trial to evaluate combination treatment with once-weekly investigational TransCon CNP (navepegritide) and once-weekly TransCon hGH (lonapegsomatropin)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enrolled 21 children (treatment naïve, n=12; prior treatment with TransCon CNP (100 µg/kg/week) for at least 1 year, n=9).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2026, we announced new data from Week 78 of the ongoing Phase 2 COACH Trial continuing to demonstrate sustained growth in children with achondroplasia, with a mean annualized growth velocity (“AGV”) meeting or exceeding the 97th percentile of children of average stature, without compromising safety or tolerability at Week 78. Safety and tolerability were consistent with those observed for TransCon CNP and TransCon hGH monotherapies. Combination therapy was generally well-tolerated, with a low incidence of injection site reactions and generally mild treatment-emergent adverse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TransCon CNP monotherapy improved growth rates in line with children of average stature, while combination therapy enhanced growth even further.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TransCon CNP treatment-naïve cohort, mean AGV at Week 78 was 7.73 cm/year, with an increase in mean ACH height Z-score of +1.29, increasing from 0.46 to 1.75 over 78 weeks.</w:t>
      </w:r>
    </w:p>
    <w:p>
      <w:pPr>
        <w:pStyle w:val="TextBody"/>
        <w:bidi w:val="0"/>
        <w:spacing w:before="120" w:after="283"/>
        <w:jc w:val="left"/>
        <w:rPr/>
      </w:pPr>
      <w:r>
        <w:rPr/>
        <w:drawing>
          <wp:inline distT="0" distB="0" distL="0" distR="0">
            <wp:extent cx="6858000" cy="2600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260032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8"/>
        </w:rPr>
        <w:t>Hoover-Fong JE, et al</w:t>
      </w:r>
      <w:r>
        <w:rPr>
          <w:rFonts w:ascii="Times New Roman" w:hAnsi="Times New Roman"/>
          <w:i/>
          <w:color w:val="000000"/>
          <w:sz w:val="18"/>
        </w:rPr>
        <w:t>. Am J Clin Nutr</w:t>
      </w:r>
      <w:r>
        <w:rPr>
          <w:rFonts w:ascii="Times New Roman" w:hAnsi="Times New Roman"/>
          <w:color w:val="000000"/>
          <w:sz w:val="18"/>
        </w:rPr>
        <w:t>. 2008 Aug;88(2):364-71. Natural history AGV curves presented for male children; curves for average stature children from 0-3y reflect 10th, 50th, and 90th percentile.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TransCon CNP-experienced cohort (mean treatment duration with TransCon CNP of 2.56 years), mean AGV at Week 78 was 7.67 cm/year, with an improvement in mean ACH height Z-score of +1.10, increasing from 1.28 to 2.38 over 78 weeks.</w:t>
      </w:r>
    </w:p>
    <w:p>
      <w:pPr>
        <w:pStyle w:val="TextBody"/>
        <w:bidi w:val="0"/>
        <w:spacing w:before="120" w:after="283"/>
        <w:jc w:val="left"/>
        <w:rPr/>
      </w:pPr>
      <w:r>
        <w:rPr/>
        <w:drawing>
          <wp:inline distT="0" distB="0" distL="0" distR="0">
            <wp:extent cx="6858000" cy="2457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24574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7"/>
        </w:rPr>
        <w:t>Hoover-Fong JE, et al</w:t>
      </w:r>
      <w:r>
        <w:rPr>
          <w:rFonts w:ascii="Times New Roman" w:hAnsi="Times New Roman"/>
          <w:i/>
          <w:color w:val="000000"/>
          <w:sz w:val="17"/>
        </w:rPr>
        <w:t>. Am J Clin Nutr</w:t>
      </w:r>
      <w:r>
        <w:rPr>
          <w:rFonts w:ascii="Times New Roman" w:hAnsi="Times New Roman"/>
          <w:color w:val="000000"/>
          <w:sz w:val="17"/>
        </w:rPr>
        <w:t>. 2008 Aug;88(2):364-71. Natural history AGV curves presented for male children; curves for average stature children from 0-3y reflect 10th, 50th, and 90th percentile</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Sustained increases in ACH height Z-scores through Week-78, indicate a tripling of efficacy compared to TransCon CNP monotherapy</w:t>
      </w:r>
    </w:p>
    <w:p>
      <w:pPr>
        <w:pStyle w:val="TextBody"/>
        <w:bidi w:val="0"/>
        <w:spacing w:before="120" w:after="283"/>
        <w:jc w:val="left"/>
        <w:rPr/>
      </w:pPr>
      <w:r>
        <w:rPr/>
        <w:drawing>
          <wp:inline distT="0" distB="0" distL="0" distR="0">
            <wp:extent cx="6858000" cy="2466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24669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Week 78, children treated with combination therapy demonstrated continued improvements in body proportionality aligning with the increase in linear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drawing>
          <wp:inline distT="0" distB="0" distL="0" distR="0">
            <wp:extent cx="6858000" cy="2533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2533650"/>
                    </a:xfrm>
                    <a:prstGeom prst="rect">
                      <a:avLst/>
                    </a:prstGeom>
                  </pic:spPr>
                </pic:pic>
              </a:graphicData>
            </a:graphic>
          </wp:inline>
        </w:drawing>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August 6, 2026, the COACH Trial maintained 100% retention through Week 78, with all 21 enrolled children remaining on therapy.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April 2026, we announced data from Week 52 of the ongoing Phase 2 COACH Trial demonstrating that combination therapy with once-weekly TransCon CNP and once-weekly TransCon hGH accelerated benefits beyond linear growth in children with achondroplasia, with unprecedented improvements observed in arm span, and enhanced improvements in spinal canal dimensions, and leg bowing.</w:t>
      </w:r>
    </w:p>
    <w:p>
      <w:pPr>
        <w:pStyle w:val="TextBody"/>
        <w:bidi w:val="0"/>
        <w:jc w:val="left"/>
        <w:rPr/>
      </w:pPr>
      <w:r>
        <w:rPr/>
        <w:drawing>
          <wp:inline distT="0" distB="0" distL="0" distR="0">
            <wp:extent cx="6858000" cy="3000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00037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18"/>
        </w:rPr>
        <w:t>ApproaCH placebo patients crossed over to TransCon CNP therapy at Week 52.</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Unprecedented improvements in arm span observed at Week 52 with TransCon CNP and TransCon hGH combination therapy, a measure highly meaningful to the achondroplasia community, with the mean change from baseline in achondroplasia (ACH)-specific arm span Z-scores at Week 52 for TransCon CNP treatment-naïve and TransCon CNP-treated children in COACH were +1.02 and +0.66, respectively. The TransCon CNP treatment-naïve cohort improved +9.4 cm and the TransCon CNP-treated cohort improved +7.9 cm. By comparison, humeral gain by limb lengthening surgery is approximately 8 cm per arm and carries a high complication risk (Hosny G, et al. International Orthopaedics. Published online March 16, 2026. doi: https://doi.org/10.1007/s00264-025-06720-z).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2514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251460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18"/>
        </w:rPr>
        <w:t>Change from baseline to Week 52 for L1-L5 average for TransCon CNP group in the ApproaCH trial was +0.6 mm.</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Mean of L1-L5 average changes in interpedicular distance (IPD) for TransCon CNP treatment-naïve and TransCon CNP-treated children on combination therapy in COACH were +1.7 mm and +1.1 mm, respectively, compared to +0.6 mm for children on TransCon CNP monotherapy in ApproaCH. Improvements in IPD offer the potential to reduce nerve compression and pain that can result from a narrowed spinal column.</w:t>
      </w:r>
    </w:p>
    <w:p>
      <w:pPr>
        <w:pStyle w:val="TextBody"/>
        <w:bidi w:val="0"/>
        <w:jc w:val="left"/>
        <w:rPr/>
      </w:pPr>
      <w:r>
        <w:rPr/>
        <w:drawing>
          <wp:inline distT="0" distB="0" distL="0" distR="0">
            <wp:extent cx="6858000" cy="2333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233362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18"/>
        </w:rPr>
        <w:t xml:space="preserve">Absolute Z-scores averaged across both legs, calculated based on data from children of average stature: Sabharwal S, Zhao C. The hip-knee-ankle angle in children: reference values based on a full-length standing radiograph. </w:t>
      </w:r>
      <w:r>
        <w:rPr>
          <w:rFonts w:ascii="Times New Roman" w:hAnsi="Times New Roman"/>
          <w:i/>
          <w:color w:val="000000"/>
          <w:sz w:val="18"/>
        </w:rPr>
        <w:t>J Bone Joint Surg Am.</w:t>
      </w:r>
      <w:r>
        <w:rPr>
          <w:rFonts w:ascii="Times New Roman" w:hAnsi="Times New Roman"/>
          <w:color w:val="000000"/>
          <w:sz w:val="18"/>
        </w:rPr>
        <w:t>2009 Oct;91(10):2461-8. doi: 10.2106/JBJS.I.00015.</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TransCon CNP treatment-naïve cohort, the mean change in tibial femoral angle (TFA) Z-score was -0.86 with combination therapy at Week 52 in COACH and was -0.47 for TransCon CNP monotherapy at Week 52 in ApproaCH, indicating enhanced straightening of the legs. Children previously treated with long-term TransCon CNP monotherapy for an average of 2.56 years maintained in normal range for TFA Z-score.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2276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227647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18"/>
        </w:rPr>
        <w:t>Tibial femoral angles were determined for each leg and then converted to absolute values. Summary data are presented as the average absolute TFA across both legs.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TransCon CNP treatment-naïve cohort, the mean change in TFA was -3.0 degrees with combination therapy in COACH and was -1.3 degrees for children on TransCon CNP monotherapy at Week 52 in ApproaCH. Children previously treated with long-term TransCon CNP monotherapy for an average of 2.56 years maintained TFA treatment benefit in the setting of accelerated growth.</w:t>
      </w:r>
    </w:p>
    <w:p>
      <w:pPr>
        <w:pStyle w:val="TextBody"/>
        <w:bidi w:val="0"/>
        <w:spacing w:before="240" w:after="283"/>
        <w:jc w:val="left"/>
        <w:rPr>
          <w:rFonts w:ascii="Times New Roman" w:hAnsi="Times New Roman"/>
          <w:sz w:val="20"/>
        </w:rPr>
      </w:pPr>
      <w:r>
        <w:rPr>
          <w:rFonts w:ascii="Times New Roman" w:hAnsi="Times New Roman"/>
          <w:color w:val="000000"/>
          <w:sz w:val="20"/>
        </w:rPr>
        <w:t>In January 2026, we announced topline results from Week 52 of COACH, the first Phase 2 clinical trial to evaluate combination therapy with once-weekly TransCon CNP (navepegritide) and once-weekly TransCon hGH (lonapegsomatropin) in children with achondroplasia. Annualized growth velocity exceeded the 97</w:t>
      </w:r>
      <w:r>
        <w:rPr>
          <w:rFonts w:ascii="Times New Roman" w:hAnsi="Times New Roman"/>
          <w:color w:val="000000"/>
          <w:sz w:val="13"/>
        </w:rPr>
        <w:t>th</w:t>
      </w:r>
      <w:r>
        <w:rPr>
          <w:rFonts w:ascii="Times New Roman" w:hAnsi="Times New Roman"/>
          <w:color w:val="000000"/>
          <w:sz w:val="20"/>
        </w:rPr>
        <w:t xml:space="preserve"> percentile of average stature children and the improvement in achondroplasia-specific height Z-score indicated a tripling of efficacy compared to TransCon CNP monotherapy. Additionally, combination therapy demonstrated benefits beyond linear growth with improvements in body proportionality and arm span, aligning with the increase in linear growth. The combination therapy was generally well tolerated, with generally mild TEAEs, consistent with TransCon CNP and TransCon hGH monotherapies.</w:t>
      </w:r>
      <w:r>
        <w:rPr>
          <w:rFonts w:ascii="Times New Roman" w:hAnsi="Times New Roman"/>
          <w:color w:val="58595B"/>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Strategic Collaborations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engage in strategic collaborations to further leverage our TransCon technologies in certain geographies and therapeutic areas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Novo Nordisk 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research and development collaboration and license agreement with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that was paid to us in January 2025. For each additional metabolic or cardiovascular disease product candidate, we are eligible to receive payments of up to $77.5 million in development and regulatory milestone payments.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agreed to conduct certain pre-agreed early research and development of TransCon product candidates under the collaboration and we are eligible to receive cost reimbursement from Novo Nordisk for its performance of such research and development activities under the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of the agreement, we granted Novo Nordisk an exclusive, worldwide, royalty-bearing license, with the right to grant sublicenses, to use our proprietary TransCon technology platform to develop, manufacture and commercialize Novo Nordisk proprietary products in metabolic diseases (including obesity and type 2 diabetes) and a product-by-product exclusive license in cardiovascular diseases. Additionally, we granted Novo Nordisk an exclusive, worldwide, royalty-bearing license, with the right to grant sublicenses, to use our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expiry of the last royalty term and for one-year thereafter, we are not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termination of the agreement due to Novo Nordisk’s default, some or all of the licenses granted by us to Novo Nordisk to develop, manufacture and commercialize any of the licensed products will automatically terminate.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agreement due to certain defaults by us,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we announced that our multi-product collaboration with Novo Nordisk for TransCon technology-based therapies in obesity and metabolic diseases continues and that the lead program TransCon Semaglutide, remains on track to enter the clinic as anticipated.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announced that we entered into an exclusive license agreement with Teijin for the further development and commercialization of TransCon hGH, TransCon PTH, and TransCon CNP for endocrinology rare disease in Japan. Under the terms of the agreement with Teijin,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Teijin announced that it had applied for manufacturing and marketing approval in Japan for lonapegsomatropin for the treatment of pediatric GHD to the Pharmaceuticals and Medical Devices Agency.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Teijin announced that YORVIPATH is commercially available for prescription.</w:t>
      </w:r>
    </w:p>
    <w:p>
      <w:pPr>
        <w:pStyle w:val="TextBody"/>
        <w:bidi w:val="0"/>
        <w:spacing w:before="240" w:after="283"/>
        <w:jc w:val="left"/>
        <w:rPr>
          <w:rFonts w:ascii="Times New Roman" w:hAnsi="Times New Roman"/>
          <w:sz w:val="20"/>
        </w:rPr>
      </w:pPr>
      <w:r>
        <w:rPr>
          <w:rFonts w:ascii="Times New Roman" w:hAnsi="Times New Roman"/>
          <w:b/>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we announced the formation of VISEN, a company established to develop and commercialize our endocrinology rare disease therapies in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50.0% ownership of the outstanding shares of VISEN and concurrently with the rights we granted to VISEN, entities affiliated with Vivo Capital and Sofinnova Ventures purchased shares in VISEN for an aggregate purchase price of $40 million in cash. In January 2021, we invested an additional $12.5 million in VISEN as part of VISEN’s $150 million Series B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20, 2025, VISEN announced the pricing of its initial public offering (“IPO”) on the Hong Kong Stock Exchange. The shares offered in the IPO were priced at HKD 68.80 per share and expected to result in gross proceeds of HKD 783,288,000 (approximately USD 100 million) plus a potential greenshoe of up to HKD 117,489,760 (approximately USD 15 million). This amount was calculated before deducting underwriting discounts, commissions, and other offering expenses. The IPO closed on March 21, 2025, and VISEN’s shares began trading under the stock code 2561.HK. Ascendis Pharma holds 41,136,364 shares in VISEN. Following the IPO, we owned 39.2% in VISEN. The management and existing shareholders of VISEN, including Ascendis Pharma, have entered into customary lock-up agreements restricting the sale of VISEN shares for six months following the IPO; additionally, certain significant shareholders of VISEN, including Ascendis Pharma,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VISEN pursuant to applicable listing rules. As of December 31, 2025 and 2024, our ownership in VISEN was 39.2% and 43.9%, respectively. As of December 31, 2025, VISEN’s share price at the Hong Kong Stock Exchange was HK$32.80, reflecting the market value of the our equity position of €147.5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2026, VISEN announced the commercial launch of lonapegsomatropin (TransCon hGH) in Mainland China.</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April 2026, VISEN announced that results from its briGHt Trial, the pivotal Phase 3 trial in China of once-weekly lonapegsomatropin (TransCon hGH) in pediatric patients with GHD, were published in </w:t>
      </w:r>
      <w:r>
        <w:rPr>
          <w:rFonts w:ascii="Times New Roman" w:hAnsi="Times New Roman"/>
          <w:i/>
          <w:color w:val="000000"/>
          <w:sz w:val="20"/>
        </w:rPr>
        <w:t>Hormone Research in Paediatrics</w:t>
      </w:r>
      <w:r>
        <w:rPr>
          <w:rFonts w:ascii="Times New Roman" w:hAnsi="Times New Roman"/>
          <w:color w:val="000000"/>
          <w:sz w:val="20"/>
        </w:rPr>
        <w:t>, the official journal of the European Society for Paediatric Endocrinology (“ESPE”). The briGHt Trial was a Phase 3, randomized, open-label, active-controlled trial conducted across 17 sites in China. VISEN reported that weekly lonapegsomatropin demonstrated non-inferiority and superiority over daily somatropin in annualized height velocity (“AHV”) among treatment-naïve Chinese children with GHD.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VISEN announced its biologics license application (“BLA”) for lonapegsomatropin (TransCon hGH) was approved by the National Medical Products Administration (“NMPA”) of China for the treatment of pediatric patients who have growth failure due to inadequate secretion of growth hormone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2025, VISEN announced that palopegteriparatide (TransCon PTH) was approved by the Hainan Medical Products Administration for clinical use in the Boao Lecheng Pilot Zone for the treatment of adults with chronic hypoparathyroidism.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VISEN announced top-line data from the 26-week randomized, double-blind, placebo-controlled portion of the Phase 3 PaTHway China Trial of Palopegteriparatide (TransCon PTH) in adults with chronic hypoparathyroidism. VISEN reported a statistically significant higher proportion of patients treated with palopegteriparatide achieved the primary multi-component endpoint compared to placebo. The primary multi-component endpoint was achieved by 77.6% of palopegteriparatide-treated patients (45 of 58), compared to 0.0% of patients (0 of 22) in the placebo group (p-value &lt;0.0001). Results were consistent with those announced by us for our palopegteriparatide Phase 3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VISEN announced top-line results from the Phase 2 ACcomplisH China Trial in children with achondroplasia aged 2 to 10 years. VISEN reported that patients dosed with TransCon CNP at the 100 μg CNP/kg/week showed significantly higher AGV than placebo at Week 52.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VISEN announced data from its pivotal Phase 3 study of TransCon hGH in children with GHD in China. VISEN reported that patients dosed with TransCon hGH demonstrated an AHV of 10.66 cm/year compared to 9.75 cm/year for daily hGH at 52 weeks (treatment difference at 0.91 cm/year with a 95% confidence interval: 0.37 – 1.45 cm/year, p=0.0010), reaching its primary objective, demonstrating that TransCon hGH is non-inferior to the daily hGH.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Opportunity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NMPA has introduced initiatives such as fast track review for drugs for unmet medical needs and adopted new rules that streamline the drug approval process in China for global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Rights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three exclusive license agreements, each effective November 7, 2018, and as amended January 4, 2021, between us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Further, in June 2025, we entered into a Commercial Supply Framework Agreement with VISEN regarding the supply of additional batches of licensed product (TransCon hGH) to VISEN.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announced the formation and launch with Frazier Life Sciences of Eyconis Inc., a separate company created to develop, manufacture, and commercialize TransCon ophthalmology assets globally, together with a $150 million commitment from an investor syndicate that included Frazier, RA Capital Management, venBio, and HealthQuest Capital. 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As of June 30, 2026, our ownership in Eyconis was 24% on a non-diluted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Financial Highlights (unaudited)</w:t>
      </w:r>
    </w:p>
    <w:tbl>
      <w:tblPr>
        <w:tblW w:w="10205" w:type="dxa"/>
        <w:jc w:val="left"/>
        <w:tblInd w:w="0" w:type="dxa"/>
        <w:tblLayout w:type="fixed"/>
        <w:tblCellMar>
          <w:top w:w="28" w:type="dxa"/>
          <w:left w:w="28" w:type="dxa"/>
          <w:bottom w:w="28" w:type="dxa"/>
          <w:right w:w="28" w:type="dxa"/>
        </w:tblCellMar>
      </w:tblPr>
      <w:tblGrid>
        <w:gridCol w:w="2746"/>
        <w:gridCol w:w="146"/>
        <w:gridCol w:w="146"/>
        <w:gridCol w:w="781"/>
        <w:gridCol w:w="146"/>
        <w:gridCol w:w="146"/>
        <w:gridCol w:w="146"/>
        <w:gridCol w:w="781"/>
        <w:gridCol w:w="166"/>
        <w:gridCol w:w="146"/>
        <w:gridCol w:w="146"/>
        <w:gridCol w:w="781"/>
        <w:gridCol w:w="146"/>
        <w:gridCol w:w="146"/>
        <w:gridCol w:w="146"/>
        <w:gridCol w:w="781"/>
        <w:gridCol w:w="146"/>
        <w:gridCol w:w="146"/>
        <w:gridCol w:w="146"/>
        <w:gridCol w:w="841"/>
        <w:gridCol w:w="166"/>
        <w:gridCol w:w="146"/>
        <w:gridCol w:w="146"/>
        <w:gridCol w:w="781"/>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Operating expenses comprise research and development expenses and 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Compared to the three and six months ended June 30, 2025, revenue for the three and six months ended June 30, 2026, primarily benefited from the continued growth of YORVIPATH global sales. Operating profit for the three and six months ended June 30, 2026, represented an improvement of €273.4 million and €402.4 million compared to the same period last year. This improvement reflected higher revenue, sale of the Rare Pediatric Disease Priority Review Voucher (“PRV”), partially offset by higher operating expenses associated with commercial expansion.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profit for the six months ended June 30, 2026 was €836.3 million, compared to a net loss of €133.5 million for the same period last year. In addition to the positive development in operating profit, this development was driven by initial recognition of deferred tax assets of €679.6 million in the first quarter of 2026, partly offset by higher net financial expenses of €63.1 million, compared to the same period last year, primarily related to non-cash items.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operating activities for the six months ended June 30, 2026, represented an improvement of €295.6 million compared to the same period last year, primarily attributable to commercial revenue growth and net proceeds from sale of the PRV, partially offset by unfavorable changes to working capital.</w:t>
      </w:r>
    </w:p>
    <w:p>
      <w:pPr>
        <w:pStyle w:val="TextBody"/>
        <w:bidi w:val="0"/>
        <w:spacing w:before="240" w:after="60"/>
        <w:jc w:val="left"/>
        <w:rPr>
          <w:rFonts w:ascii="Times New Roman" w:hAnsi="Times New Roman"/>
          <w:color w:val="000000"/>
          <w:sz w:val="20"/>
        </w:rPr>
      </w:pPr>
      <w:r>
        <w:rPr>
          <w:rFonts w:ascii="Times New Roman" w:hAnsi="Times New Roman"/>
          <w:color w:val="000000"/>
          <w:sz w:val="20"/>
        </w:rPr>
        <w:t>Foreign currency translation reduced reported revenue for the three and six months ended June 30, 2026 by €7.6 million and €28.0 million, compared to the same period last year. Similarly, operating expenses decreased due to currency translation by €2.9 million and €16.3 million for the three and six months ended June 30, 2026, compared to the same period last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equity presented a surplus of €1,436.5 million as of June 30, 2026, compared to a deficit of €162.8 million as of December 31, 2025. In addition to net profit, this improvement includes the redemption of $575 million of outstanding 2.25% convertible notes on May 6, 2026. The conversion resulted in the settlement of the current liabilities of convertible notes to equity, comprising borrowings and derivative liabilities totaling €719.4 million as of the redemption date. The conversion had no impact on profit or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details about our results of operations and cash flows are described in the following sections.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the Three and Six Months Ended June 30, 2026 and 2025 (unaudited)</w:t>
      </w:r>
    </w:p>
    <w:p>
      <w:pPr>
        <w:pStyle w:val="TextBody"/>
        <w:bidi w:val="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revenue for the three and six months ended June 30, 2026 and 2025:</w:t>
      </w:r>
    </w:p>
    <w:tbl>
      <w:tblPr>
        <w:tblW w:w="9760" w:type="dxa"/>
        <w:jc w:val="left"/>
        <w:tblInd w:w="0" w:type="dxa"/>
        <w:tblLayout w:type="fixed"/>
        <w:tblCellMar>
          <w:top w:w="28" w:type="dxa"/>
          <w:left w:w="28" w:type="dxa"/>
          <w:bottom w:w="28" w:type="dxa"/>
          <w:right w:w="28" w:type="dxa"/>
        </w:tblCellMar>
      </w:tblPr>
      <w:tblGrid>
        <w:gridCol w:w="2401"/>
        <w:gridCol w:w="146"/>
        <w:gridCol w:w="146"/>
        <w:gridCol w:w="781"/>
        <w:gridCol w:w="146"/>
        <w:gridCol w:w="146"/>
        <w:gridCol w:w="146"/>
        <w:gridCol w:w="781"/>
        <w:gridCol w:w="146"/>
        <w:gridCol w:w="146"/>
        <w:gridCol w:w="146"/>
        <w:gridCol w:w="781"/>
        <w:gridCol w:w="146"/>
        <w:gridCol w:w="146"/>
        <w:gridCol w:w="146"/>
        <w:gridCol w:w="781"/>
        <w:gridCol w:w="146"/>
        <w:gridCol w:w="146"/>
        <w:gridCol w:w="146"/>
        <w:gridCol w:w="781"/>
        <w:gridCol w:w="146"/>
        <w:gridCol w:w="146"/>
        <w:gridCol w:w="146"/>
        <w:gridCol w:w="78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326,888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Revenue from sale of commercial products was as follows:</w:t>
      </w:r>
    </w:p>
    <w:tbl>
      <w:tblPr>
        <w:tblW w:w="10205" w:type="dxa"/>
        <w:jc w:val="left"/>
        <w:tblInd w:w="0" w:type="dxa"/>
        <w:tblLayout w:type="fixed"/>
        <w:tblCellMar>
          <w:top w:w="28" w:type="dxa"/>
          <w:left w:w="28" w:type="dxa"/>
          <w:bottom w:w="28" w:type="dxa"/>
          <w:right w:w="28" w:type="dxa"/>
        </w:tblCellMar>
      </w:tblPr>
      <w:tblGrid>
        <w:gridCol w:w="2826"/>
        <w:gridCol w:w="146"/>
        <w:gridCol w:w="146"/>
        <w:gridCol w:w="781"/>
        <w:gridCol w:w="146"/>
        <w:gridCol w:w="146"/>
        <w:gridCol w:w="146"/>
        <w:gridCol w:w="781"/>
        <w:gridCol w:w="146"/>
        <w:gridCol w:w="146"/>
        <w:gridCol w:w="146"/>
        <w:gridCol w:w="781"/>
        <w:gridCol w:w="146"/>
        <w:gridCol w:w="146"/>
        <w:gridCol w:w="146"/>
        <w:gridCol w:w="781"/>
        <w:gridCol w:w="146"/>
        <w:gridCol w:w="146"/>
        <w:gridCol w:w="146"/>
        <w:gridCol w:w="781"/>
        <w:gridCol w:w="146"/>
        <w:gridCol w:w="146"/>
        <w:gridCol w:w="146"/>
        <w:gridCol w:w="781"/>
        <w:gridCol w:w="211"/>
      </w:tblGrid>
      <w:tr>
        <w:trPr/>
        <w:tc>
          <w:tcPr>
            <w:tcW w:w="2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YORVIPATH</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SKYTROFA</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YUVIWEL</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555,763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306,073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sales of commercial products for the three and six months ended June 30, 2026 represented an increase of €161.2 million and €306.1 million, respectively, compared to the same period last year, primarily due to the continued growth of YORVIPATH global sales. In addition, revenue was positively impacted by the U.S. launch of YUVIWEL.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sales of SKYTROFA was impacted by increased revenue in the U.S. offset by lower collaboration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for the three and six months ended June 30, 2026 was €27.7 million and €45.2 million, respectively, representing a decrease of €3.8 million compared to the same period last year. This development was primarily due to increased revenue in the U.S. offset by lower collaboration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external project costs on the development pipeline and other research and development (“R&amp;D”) expenses.</w:t>
      </w:r>
    </w:p>
    <w:tbl>
      <w:tblPr>
        <w:tblW w:w="10205" w:type="dxa"/>
        <w:jc w:val="left"/>
        <w:tblInd w:w="0" w:type="dxa"/>
        <w:tblLayout w:type="fixed"/>
        <w:tblCellMar>
          <w:top w:w="28" w:type="dxa"/>
          <w:left w:w="28" w:type="dxa"/>
          <w:bottom w:w="28" w:type="dxa"/>
          <w:right w:w="28" w:type="dxa"/>
        </w:tblCellMar>
      </w:tblPr>
      <w:tblGrid>
        <w:gridCol w:w="3211"/>
        <w:gridCol w:w="146"/>
        <w:gridCol w:w="146"/>
        <w:gridCol w:w="676"/>
        <w:gridCol w:w="146"/>
        <w:gridCol w:w="146"/>
        <w:gridCol w:w="146"/>
        <w:gridCol w:w="676"/>
        <w:gridCol w:w="146"/>
        <w:gridCol w:w="146"/>
        <w:gridCol w:w="146"/>
        <w:gridCol w:w="631"/>
        <w:gridCol w:w="166"/>
        <w:gridCol w:w="146"/>
        <w:gridCol w:w="146"/>
        <w:gridCol w:w="781"/>
        <w:gridCol w:w="146"/>
        <w:gridCol w:w="146"/>
        <w:gridCol w:w="146"/>
        <w:gridCol w:w="781"/>
        <w:gridCol w:w="146"/>
        <w:gridCol w:w="146"/>
        <w:gridCol w:w="146"/>
        <w:gridCol w:w="736"/>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Hypoparathyroidism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Disorders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Oncology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expenses for the three and six months ended June 30, 2026 were €75.9 million and €134.9 million, representing an increase of €3.9 million and a decrease of €23.7 million, respectively, compared to the same period last year. This development was primarily due to increased clinical trial activities within the Endocrinology Rare Disease pipeline, offset by reduced clinical trial activities within Oncology. Further, the six months ended June 30, 2026 included a reversal (income) of prior period write-downs related to pre-launch inventories for Growth Disorders of €10.9 million due to the U.S. FDA approval of YUVIWEL.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selling, general and administrative (“SG&amp;A”) expenses:</w:t>
      </w:r>
    </w:p>
    <w:tbl>
      <w:tblPr>
        <w:tblW w:w="10205" w:type="dxa"/>
        <w:jc w:val="left"/>
        <w:tblInd w:w="0" w:type="dxa"/>
        <w:tblLayout w:type="fixed"/>
        <w:tblCellMar>
          <w:top w:w="28" w:type="dxa"/>
          <w:left w:w="28" w:type="dxa"/>
          <w:bottom w:w="28" w:type="dxa"/>
          <w:right w:w="28" w:type="dxa"/>
        </w:tblCellMar>
      </w:tblPr>
      <w:tblGrid>
        <w:gridCol w:w="2911"/>
        <w:gridCol w:w="146"/>
        <w:gridCol w:w="146"/>
        <w:gridCol w:w="781"/>
        <w:gridCol w:w="146"/>
        <w:gridCol w:w="146"/>
        <w:gridCol w:w="146"/>
        <w:gridCol w:w="781"/>
        <w:gridCol w:w="146"/>
        <w:gridCol w:w="146"/>
        <w:gridCol w:w="146"/>
        <w:gridCol w:w="676"/>
        <w:gridCol w:w="166"/>
        <w:gridCol w:w="146"/>
        <w:gridCol w:w="146"/>
        <w:gridCol w:w="781"/>
        <w:gridCol w:w="146"/>
        <w:gridCol w:w="146"/>
        <w:gridCol w:w="146"/>
        <w:gridCol w:w="781"/>
        <w:gridCol w:w="146"/>
        <w:gridCol w:w="146"/>
        <w:gridCol w:w="146"/>
        <w:gridCol w:w="78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SG&amp;A expenses for the three and six months ended June 30, 2026 were €173.3 million and €318.6 million, representing an increase of €65.8 million and €110.0 million, respectively, compared to the same period last year. This increase was primarily due to the continued impact from commercial expansion, including global launch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Finance Income and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result of finance income and expenses, further disaggregated into cash and non-cash items:</w:t>
      </w:r>
    </w:p>
    <w:tbl>
      <w:tblPr>
        <w:tblW w:w="10205" w:type="dxa"/>
        <w:jc w:val="left"/>
        <w:tblInd w:w="0" w:type="dxa"/>
        <w:tblLayout w:type="fixed"/>
        <w:tblCellMar>
          <w:top w:w="28" w:type="dxa"/>
          <w:left w:w="28" w:type="dxa"/>
          <w:bottom w:w="28" w:type="dxa"/>
          <w:right w:w="28" w:type="dxa"/>
        </w:tblCellMar>
      </w:tblPr>
      <w:tblGrid>
        <w:gridCol w:w="2996"/>
        <w:gridCol w:w="146"/>
        <w:gridCol w:w="146"/>
        <w:gridCol w:w="736"/>
        <w:gridCol w:w="166"/>
        <w:gridCol w:w="146"/>
        <w:gridCol w:w="146"/>
        <w:gridCol w:w="736"/>
        <w:gridCol w:w="166"/>
        <w:gridCol w:w="146"/>
        <w:gridCol w:w="146"/>
        <w:gridCol w:w="736"/>
        <w:gridCol w:w="166"/>
        <w:gridCol w:w="146"/>
        <w:gridCol w:w="146"/>
        <w:gridCol w:w="736"/>
        <w:gridCol w:w="166"/>
        <w:gridCol w:w="146"/>
        <w:gridCol w:w="146"/>
        <w:gridCol w:w="736"/>
        <w:gridCol w:w="166"/>
        <w:gridCol w:w="146"/>
        <w:gridCol w:w="146"/>
        <w:gridCol w:w="736"/>
        <w:gridCol w:w="21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(63,054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in cash and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gain/(loss) of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charges, accruals, and 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(63,054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expenses measured under the effective interest method, related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in non-cash items was primarily driven by remeasurement loss of financial liabilities, and net currency gains, primarily driven by conversion of U.S. dollar denominated monetary positions into Euro, primarily cash and cash equivalents, convertible notes and royalty funding liabilities. In addition, interest expenses were lower due to the redemption of all of the aggregate principal amount outstanding of our convertible notes on May 6, 2026. Refer to Note 11, “Financial Assets and Liabilities” for further information about our convertible notes and royalty funding agreements.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income tax benefit through the profit or loss was €654.4 million, primarily reflecting €679.6 million from the reversal of prior-period write-downs against deferred tax assets, recognized in the first quarter of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comprise cash and cash equivalents, which as of June 30, 2026, amounted to €812.3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expenditures primarily relate to research and development activities and selling, general, and administrative activities to support our business, including our continued development of products and product candidates, the commercialization of our products, and expenses incurred in anticipation of potential future product launches. We manage our liquidity risk by maintaining adequate cash reserves. The risk of shortage of funds is monitored, through the financial forecasting process, to ensure sufficient funds are available to settle liabilities as they fall due.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funded our operations primarily through the issuance of preference shares, ordinary shares (including public offerings and exercise of warrants), convertible debt securities, payments to us made under collaboration agreements, and our royalty funding agreements. Including our initial public offering, since February 2015, we have completed public offerings that have provided aggregate net proceeds of $2,580.2 million (or €2,259.0 million at the time of the public offerings).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6, 2026, the Company completed its previously announced optional redemption process in respect of all of the aggregate principal amount outstanding of its 2.25% convertible notes due 2028. Within the redemption period, all holders of the convertible notes surrendered their notes for conversion, whereupon the Company delivered 3,635,813 ordinary shares (following the exchange of all outstanding ADSs for ordinary shares on April 20, 2026), together with cash in lieu of fractional shares. Refer to Note 11, “Financial Assets and Liabilities” for further information about our convertible notes and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description of our cash requirements, public offerings, expense structure and commitments, refer to “Item 5B. Liquidity and Capital Resources,” set forth in our Annual Report on Form 20-F filed with the Securities and Exchange Commission on February 11,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currently estimate that our existing cash and cash equivalents will be sufficient to fund our operations for at least twelve months from the date of this report. However, our operating plan and actual cash requirements may change as a result of many factors. For example, our future funding requirements will depend on many factors, including, but not limited to those described in “Item 3.D – Key Information—Risk Factors—Risks Related to Our Limited Operating History, Financial Condition and Capital Requirements,” set forth in our Annual Report on Form 20-F filed with the Securities and Exchange Commission on February 11, 2026.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six months ended June 30, 2026 and 2025: </w:t>
      </w:r>
    </w:p>
    <w:tbl>
      <w:tblPr>
        <w:tblW w:w="8203"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736"/>
        <w:gridCol w:w="166"/>
        <w:gridCol w:w="146"/>
        <w:gridCol w:w="146"/>
        <w:gridCol w:w="78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219,140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operating activities for the six months ended June 30, 2026, were €274.0 million, representing an improvement of €295.6 million compared to the same period last year, primarily related to commercial revenue growth, and sale of the PRV of €158.1 million (net of transaction costs), partially offset by unfavorable changes to working capital of €95.8 million which primarily related to the settlement of the upfront payment from our exclusive license agreement with Novo Nordisk of $100 million plus related indirect taxes in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investing activities for the six months ended June 30, 2026, were €9.6 million, representing an increase of €4.6 million compared to the same period last year and was primarily attributable to leasehold improvements.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financing activities for the six months ended June 30, 2026 were €83.0 million, representing an increase of €71.9 million compared to the same period last year, primarily reflecting €86.0 million higher treasury shares repurchases, partly offset by €23.8 million higher proceeds from warrant exercises.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and we do not have any holdings in variable interest entities.</w:t>
      </w:r>
    </w:p>
    <w:p>
      <w:pPr>
        <w:pStyle w:val="TextBody"/>
        <w:bidi w:val="0"/>
        <w:spacing w:before="360" w:after="283"/>
        <w:jc w:val="left"/>
        <w:rPr>
          <w:rFonts w:ascii="Times New Roman" w:hAnsi="Times New Roman"/>
          <w:sz w:val="20"/>
        </w:rPr>
      </w:pPr>
      <w:r>
        <w:rPr>
          <w:rFonts w:ascii="Times New Roman" w:hAnsi="Times New Roman"/>
          <w:b/>
          <w:color w:val="000000"/>
          <w:sz w:val="20"/>
        </w:rPr>
        <w:t>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11, “Financial Assets and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exchange risk arising from various currency exposures, primarily with respect to the U.S. Dollar. While our reporting currency is the Euro, a substantial portion of our revenue and operating expenses is denominated in U.S. Dollars. In addition, our royalty funding liabilities are denominated in U.S. Dollars. We seek to minimize exchange rate risk by holding cash in the same currencies as our liabilities and expected future cash outflows.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indebtedness relates to royalty funding liabilities and lease liabilities. The interest rate on lease liabilities is fixed at the lease commencement date. Expected maturity for royalty funding liabilities is based on anticipated amount and timing of future revenue from sale of commercial products, and accordingly is not affected by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2026, we completed our previously announced optional redemption process in respect of all of the aggregate principal amount outstanding of our 2.25% convertible notes due 2028. Within the redemption period, all holders of the convertible notes surrendered their notes for conversion, whereupon we delivered 3,635,813 ordinary shares, together with cash in lieu of fractional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resulted in the settlement of the current liabilities of convertible notes to equity, comprising borrowings and derivative liabilities totaling €719.4 million as of May 6, 2026. The conversion had no impact on profit or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counterparty is considered to be low. Our exposure to credit risk primarily relates to cash and cash equivalents. The credit risk on our bank deposits is limited because the counterparties holding significant deposits are banks with high credit-ratings (minimum A3/A-) assigned by international credit-rating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 As of June 30, 2026, we do not hold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23338</Words>
  <Characters>135780</Characters>
  <CharactersWithSpaces>160805</CharactersWithSpaces>
  <Paragraphs>5932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