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0" w:right="479" w:bottom="71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JENSEN MICHAEL WOLFF</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8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Ascendis Pharma A/S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ASND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71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ind w:left="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ASCENDIS PHARMA A/S</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TUBORG BOULEVARD 12</w:t>
            </w:r>
          </w:p>
        </w:tc>
      </w:tr>
      <w:tr>
        <w:trPr>
          <w:trHeight w:val="177"/>
        </w:trPr>
        <w:tc>
          <w:tcPr>
            <w:tcW w:w="10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5"/>
              </w:rPr>
              <w:t>HELLERUP</w:t>
            </w:r>
          </w:p>
        </w:tc>
        <w:tc>
          <w:tcPr>
            <w:tcW w:w="720" w:type="dxa"/>
            <w:vAlign w:val="bottom"/>
          </w:tcPr>
          <w:p>
            <w:pPr>
              <w:spacing w:after="0"/>
              <w:rPr>
                <w:sz w:val="23"/>
                <w:szCs w:val="2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DK-2900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EVP, 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71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Warrants</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12/11/2028</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30,000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62.17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Warrants</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12/10/2029</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27,000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108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Warrants</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12/10/2030</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22,755</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176.28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Warrants</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12/09/2031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14,504</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139.65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4,246</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3,197</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9,552</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warrants are fully vested and currently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vest on March 1, 2027 and have no expiration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contingent right to receive one ADS.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vest in two equal annual installments beginning on March 1, 2027.</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vest in three equal annual installments beginning on March 1, 2027.</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9"/>
              </w:rPr>
              <w:t>/s/ Michael Wolff Jensen   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715"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619" w:firstLine="585"/>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Ascendis Pharma A/S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060" w:right="619" w:hanging="475"/>
        <w:spacing w:after="0" w:line="254" w:lineRule="auto"/>
        <w:tabs>
          <w:tab w:leader="none" w:pos="129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 Notices of Proposed Sale of Securities Pursuant to Rule 144 ("Form 144"), in accordance with the requirements of Rule 144 under the Securities Act of 1933, as amended (the "Securities Act"); and</w:t>
      </w:r>
    </w:p>
    <w:p>
      <w:pPr>
        <w:spacing w:after="0" w:line="107" w:lineRule="exact"/>
        <w:rPr>
          <w:rFonts w:ascii="Courier New" w:cs="Courier New" w:eastAsia="Courier New" w:hAnsi="Courier New"/>
          <w:sz w:val="20"/>
          <w:szCs w:val="20"/>
          <w:color w:val="auto"/>
        </w:rPr>
      </w:pPr>
    </w:p>
    <w:p>
      <w:pPr>
        <w:ind w:left="1060" w:right="619" w:hanging="475"/>
        <w:spacing w:after="0" w:line="254" w:lineRule="auto"/>
        <w:tabs>
          <w:tab w:leader="none" w:pos="129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08" w:lineRule="exact"/>
        <w:rPr>
          <w:sz w:val="20"/>
          <w:szCs w:val="20"/>
          <w:color w:val="auto"/>
        </w:rPr>
      </w:pPr>
    </w:p>
    <w:p>
      <w:pPr>
        <w:jc w:val="both"/>
        <w:ind w:left="580" w:right="619"/>
        <w:spacing w:after="0" w:line="283"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87" w:lineRule="exact"/>
        <w:rPr>
          <w:sz w:val="20"/>
          <w:szCs w:val="20"/>
          <w:color w:val="auto"/>
        </w:rPr>
      </w:pPr>
    </w:p>
    <w:p>
      <w:pPr>
        <w:jc w:val="both"/>
        <w:ind w:right="619" w:firstLine="585"/>
        <w:spacing w:after="0" w:line="265"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00" w:lineRule="exact"/>
        <w:rPr>
          <w:sz w:val="20"/>
          <w:szCs w:val="20"/>
          <w:color w:val="auto"/>
        </w:rPr>
      </w:pPr>
    </w:p>
    <w:p>
      <w:pPr>
        <w:ind w:right="619" w:firstLine="585"/>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left="580" w:right="6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18th day of March, 2026.</w:t>
      </w:r>
    </w:p>
    <w:p>
      <w:pPr>
        <w:spacing w:after="0" w:line="24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Michael W. Jensen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Schedule A</w:t>
      </w:r>
    </w:p>
    <w:p>
      <w:pPr>
        <w:spacing w:after="0" w:line="224" w:lineRule="exact"/>
        <w:rPr>
          <w:sz w:val="20"/>
          <w:szCs w:val="20"/>
          <w:color w:val="auto"/>
        </w:rPr>
      </w:pPr>
    </w:p>
    <w:p>
      <w:pPr>
        <w:jc w:val="center"/>
        <w:ind w:right="959"/>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Jan Mikkelsen, President and Chief Executive Officer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Scott Smith, Executive Vice President, Chief Financial Officer</w:t>
      </w:r>
    </w:p>
    <w:p>
      <w:pPr>
        <w:ind w:right="739"/>
        <w:spacing w:after="0" w:line="238" w:lineRule="auto"/>
        <w:rPr>
          <w:sz w:val="20"/>
          <w:szCs w:val="20"/>
          <w:color w:val="auto"/>
        </w:rPr>
      </w:pPr>
      <w:r>
        <w:rPr>
          <w:rFonts w:ascii="Courier New" w:cs="Courier New" w:eastAsia="Courier New" w:hAnsi="Courier New"/>
          <w:sz w:val="20"/>
          <w:szCs w:val="20"/>
          <w:color w:val="auto"/>
        </w:rPr>
        <w:t>Mads Bodenhoff, Senior Vice President, Head of Finance and Principal Accounting Officer</w:t>
      </w:r>
    </w:p>
    <w:p>
      <w:pPr>
        <w:spacing w:after="0" w:line="1" w:lineRule="exact"/>
        <w:rPr>
          <w:sz w:val="20"/>
          <w:szCs w:val="20"/>
          <w:color w:val="auto"/>
        </w:rPr>
      </w:pPr>
    </w:p>
    <w:p>
      <w:pPr>
        <w:ind w:right="2479"/>
        <w:spacing w:after="0" w:line="371" w:lineRule="auto"/>
        <w:rPr>
          <w:sz w:val="20"/>
          <w:szCs w:val="20"/>
          <w:color w:val="auto"/>
        </w:rPr>
      </w:pPr>
      <w:r>
        <w:rPr>
          <w:rFonts w:ascii="Courier New" w:cs="Courier New" w:eastAsia="Courier New" w:hAnsi="Courier New"/>
          <w:sz w:val="18"/>
          <w:szCs w:val="18"/>
          <w:color w:val="auto"/>
        </w:rPr>
        <w:t>Birgitte Bogelund-Arvidsen, Senior Director, Equity Compensation Anders Carstensen, Head of Corporate and Legal Transactions</w:t>
      </w:r>
    </w:p>
    <w:p>
      <w:pPr>
        <w:sectPr>
          <w:pgSz w:w="11900" w:h="16838" w:orient="portrait"/>
          <w:cols w:equalWidth="0" w:num="1">
            <w:col w:w="9979"/>
          </w:cols>
          <w:pgMar w:left="480" w:top="331" w:right="1440" w:bottom="194"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5622" TargetMode="External"/><Relationship Id="rId11" Type="http://schemas.openxmlformats.org/officeDocument/2006/relationships/hyperlink" Target="http://www.sec.gov/cgi-bin/browse-edgar?action=getcompany&amp;CIK=0001612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2026-03-18T17:14:03Z</dcterms:created>
  <dcterms:modified xsi:type="dcterms:W3CDTF">2026-03-18T17:14:03Z</dcterms:modified>
</cp:coreProperties>
</file>