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259080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320" w:right="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236220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227965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80"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333-228576, 333-203040, 333-210810, 333-211512, 333-213412, 333-214843, 333-216883, 333-254101, 333-261550, 333-270088 and 333-277519)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report contains the Company’s Unaudited Condensed Consolidated Interim Financial Statements as of and for the period ended June 30, 2024, including Management’s Discussion and Analysis of Financial Condition and Results of Operations for the period presented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83"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color w:val="auto"/>
        </w:rPr>
        <w:t>Date: September 3, 2024</w:t>
      </w:r>
      <w:r>
        <w:rPr>
          <w:sz w:val="20"/>
          <w:szCs w:val="20"/>
          <w:color w:val="auto"/>
        </w:rPr>
        <w:tab/>
      </w:r>
      <w:r>
        <w:rPr>
          <w:rFonts w:ascii="Times New Roman" w:cs="Times New Roman" w:eastAsia="Times New Roman" w:hAnsi="Times New Roman"/>
          <w:sz w:val="18"/>
          <w:szCs w:val="18"/>
          <w:color w:val="auto"/>
        </w:rPr>
        <w:t>By: /s/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180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8420" w:type="dxa"/>
            <w:vAlign w:val="bottom"/>
            <w:gridSpan w:val="3"/>
          </w:tcPr>
          <w:p>
            <w:pPr>
              <w:ind w:left="4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18"/>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Financial Statements – June 30, 2024</w:t>
            </w:r>
          </w:p>
        </w:tc>
        <w:tc>
          <w:tcPr>
            <w:tcW w:w="2480" w:type="dxa"/>
            <w:vAlign w:val="bottom"/>
            <w:gridSpan w:val="2"/>
          </w:tcPr>
          <w:p>
            <w:pPr>
              <w:spacing w:after="0"/>
              <w:rPr>
                <w:sz w:val="24"/>
                <w:szCs w:val="24"/>
                <w:color w:val="auto"/>
              </w:rPr>
            </w:pPr>
          </w:p>
        </w:tc>
        <w:tc>
          <w:tcPr>
            <w:tcW w:w="2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F-1</w:t>
            </w:r>
          </w:p>
        </w:tc>
      </w:tr>
      <w:tr>
        <w:trPr>
          <w:trHeight w:val="237"/>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1404"/>
        </w:trPr>
        <w:tc>
          <w:tcPr>
            <w:tcW w:w="360" w:type="dxa"/>
            <w:vAlign w:val="bottom"/>
            <w:tcBorders>
              <w:bottom w:val="single" w:sz="8" w:color="9A9A9A"/>
            </w:tcBorders>
          </w:tcPr>
          <w:p>
            <w:pPr>
              <w:spacing w:after="0"/>
              <w:rPr>
                <w:sz w:val="24"/>
                <w:szCs w:val="24"/>
                <w:color w:val="auto"/>
              </w:rPr>
            </w:pPr>
          </w:p>
        </w:tc>
        <w:tc>
          <w:tcPr>
            <w:tcW w:w="594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INTERIM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00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Unaudited Condensed Consolidated Interim Statements of Profit or (Loss) and Other Comprehensive Income or (Loss) for the Three and</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6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Six Months Ended June 30, 2024 and 2023</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10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Statements of Financial Position as of June 30, 2024 and December 31, 2023</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Statements of Changes in Equity at June 30, 2024 and 2023</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Unaudited Condensed Consolidated Interim Cash Flow Statements for the Six Months Ended June 30, 2024 and 2023</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Unaudited Condensed Consolidated Interim Financial Statements</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7"/>
        </w:trPr>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100" w:type="dxa"/>
            <w:vAlign w:val="bottom"/>
            <w:tcBorders>
              <w:top w:val="single" w:sz="8" w:color="0000FF"/>
            </w:tcBorders>
          </w:tcPr>
          <w:p>
            <w:pPr>
              <w:spacing w:after="0"/>
              <w:rPr>
                <w:sz w:val="24"/>
                <w:szCs w:val="24"/>
                <w:color w:val="auto"/>
              </w:rPr>
            </w:pPr>
          </w:p>
        </w:tc>
        <w:tc>
          <w:tcPr>
            <w:tcW w:w="2280" w:type="dxa"/>
            <w:vAlign w:val="bottom"/>
            <w:tcBorders>
              <w:top w:val="single" w:sz="8" w:color="0000FF"/>
            </w:tcBorders>
          </w:tcPr>
          <w:p>
            <w:pPr>
              <w:ind w:left="2020"/>
              <w:spacing w:after="0"/>
              <w:rPr>
                <w:sz w:val="20"/>
                <w:szCs w:val="20"/>
                <w:color w:val="auto"/>
              </w:rPr>
            </w:pPr>
            <w:r>
              <w:rPr>
                <w:rFonts w:ascii="Times New Roman" w:cs="Times New Roman" w:eastAsia="Times New Roman" w:hAnsi="Times New Roman"/>
                <w:sz w:val="18"/>
                <w:szCs w:val="18"/>
                <w:color w:val="auto"/>
                <w:w w:val="95"/>
              </w:rPr>
              <w:t>F-1</w:t>
            </w:r>
          </w:p>
        </w:tc>
        <w:tc>
          <w:tcPr>
            <w:tcW w:w="448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Profit or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or (Loss) for the Three and Six Months Ended June 30,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vMerge w:val="restart"/>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Profit or (Loss)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34,464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112,858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154,165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(133,257 )</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(140,838 )</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(182,402 )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(284,523 )</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profit/(loss) of associates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(5,322 )</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(7,451 )</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(11,118 )</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(8,677 )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(109,151 )</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(121,862 )</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(237,678 )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(231,478 )</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taxes/(expenses)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(2,737 )</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(109,380 )</w:t>
            </w:r>
          </w:p>
        </w:tc>
        <w:tc>
          <w:tcPr>
            <w:tcW w:w="2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(121,433 )</w:t>
            </w: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(240,415 )</w:t>
            </w: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(232,346 )</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(109,380 )</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(121,433 )</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(240,415 )</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(232,346 )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earnings/(loss) per share</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(1.91 )  €</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(2.16 )  €</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(4.21 )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Number of shares used for calculation (basic and diluted) </w:t>
            </w:r>
            <w:r>
              <w:rPr>
                <w:rFonts w:ascii="Times New Roman" w:cs="Times New Roman" w:eastAsia="Times New Roman" w:hAnsi="Times New Roman"/>
                <w:sz w:val="24"/>
                <w:szCs w:val="24"/>
                <w:color w:val="auto"/>
                <w:vertAlign w:val="superscript"/>
              </w:rPr>
              <w:t>(1)</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57,345,613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56,218,257</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57,114,435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56,155,441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5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Comprehensive Income or (Loss)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(109,380 )</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(121,433 )</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(240,415 )</w:t>
            </w: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(232,346 )</w:t>
            </w:r>
          </w:p>
        </w:tc>
        <w:tc>
          <w:tcPr>
            <w:tcW w:w="0" w:type="dxa"/>
            <w:vAlign w:val="bottom"/>
          </w:tcPr>
          <w:p>
            <w:pPr>
              <w:spacing w:after="0"/>
              <w:rPr>
                <w:sz w:val="1"/>
                <w:szCs w:val="1"/>
                <w:color w:val="auto"/>
              </w:rPr>
            </w:pPr>
          </w:p>
        </w:tc>
      </w:tr>
      <w:tr>
        <w:trPr>
          <w:trHeight w:val="245"/>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 or (loss):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(1,016 )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(1,803 )</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period, net of tax</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(1,016 )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(1,803 )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period, net of tax</w:t>
            </w: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(109,365 )</w:t>
            </w:r>
          </w:p>
        </w:tc>
        <w:tc>
          <w:tcPr>
            <w:tcW w:w="2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(122,449 )</w:t>
            </w: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(240,337 )</w:t>
            </w: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(234,149 )</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(109,365 )</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(122,449 )</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(240,337 )</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(234,149 )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-3676650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-3676650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-3676650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-2099945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-2082165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-2099945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-2082165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-2099945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-2082165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-513715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-513715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-513715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-187960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520" w:right="240" w:hanging="512"/>
        <w:spacing w:after="0" w:line="215" w:lineRule="auto"/>
        <w:tabs>
          <w:tab w:leader="none" w:pos="520" w:val="left"/>
        </w:tabs>
        <w:numPr>
          <w:ilvl w:val="0"/>
          <w:numId w:val="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June 30, 2024 and June 30, 2023, a total of 6,107,875 and 6,866,241 warrants outstanding, respectively, each carrying the right to subscribe for one ordinary share, and 575,000 convertible senior notes which can potentially be converted into 3,456,785 ordinary shares, can potentially dilute earnings per share in the future but have not been included in the calculation of diluted earnings per share because they are antidilutive for the periods presented.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Financial Position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9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104,041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associates</w:t>
            </w:r>
          </w:p>
        </w:tc>
        <w:tc>
          <w:tcPr>
            <w:tcW w:w="3600" w:type="dxa"/>
            <w:vAlign w:val="bottom"/>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60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Borders>
              <w:top w:val="single" w:sz="8" w:color="CFF0FC"/>
              <w:bottom w:val="single" w:sz="8" w:color="CFF0FC"/>
            </w:tcBorders>
            <w:shd w:val="clear" w:color="auto" w:fill="CFF0FC"/>
          </w:tcPr>
          <w:p>
            <w:pPr>
              <w:spacing w:after="0"/>
              <w:rPr>
                <w:sz w:val="20"/>
                <w:szCs w:val="20"/>
                <w:color w:val="auto"/>
              </w:rPr>
            </w:pPr>
          </w:p>
        </w:tc>
        <w:tc>
          <w:tcPr>
            <w:tcW w:w="284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130,977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251,199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60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60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60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20" w:type="dxa"/>
            <w:vAlign w:val="bottom"/>
          </w:tcPr>
          <w:p>
            <w:pPr>
              <w:spacing w:after="0"/>
              <w:rPr>
                <w:sz w:val="20"/>
                <w:szCs w:val="20"/>
                <w:color w:val="auto"/>
              </w:rPr>
            </w:pPr>
          </w:p>
        </w:tc>
        <w:tc>
          <w:tcPr>
            <w:tcW w:w="19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tcBorders>
              <w:bottom w:val="single" w:sz="8" w:color="CFF0FC"/>
            </w:tcBorders>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258,696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627,321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758,298</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60" w:type="dxa"/>
            <w:vAlign w:val="bottom"/>
            <w:tcBorders>
              <w:top w:val="single" w:sz="8" w:color="CFF0FC"/>
            </w:tcBorders>
          </w:tcPr>
          <w:p>
            <w:pPr>
              <w:spacing w:after="0"/>
              <w:rPr>
                <w:sz w:val="19"/>
                <w:szCs w:val="19"/>
                <w:color w:val="auto"/>
              </w:rPr>
            </w:pPr>
          </w:p>
        </w:tc>
        <w:tc>
          <w:tcPr>
            <w:tcW w:w="284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3600" w:type="dxa"/>
            <w:vAlign w:val="bottom"/>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equity</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(328,952 )</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(153,446 )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0" w:type="dxa"/>
            <w:vAlign w:val="bottom"/>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(321,133 )</w:t>
            </w: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(145,697 )</w:t>
            </w:r>
          </w:p>
        </w:tc>
        <w:tc>
          <w:tcPr>
            <w:tcW w:w="0" w:type="dxa"/>
            <w:vAlign w:val="bottom"/>
          </w:tcPr>
          <w:p>
            <w:pPr>
              <w:spacing w:after="0"/>
              <w:rPr>
                <w:sz w:val="1"/>
                <w:szCs w:val="1"/>
                <w:color w:val="auto"/>
              </w:rPr>
            </w:pPr>
          </w:p>
        </w:tc>
      </w:tr>
      <w:tr>
        <w:trPr>
          <w:trHeight w:val="239"/>
        </w:trPr>
        <w:tc>
          <w:tcPr>
            <w:tcW w:w="4260" w:type="dxa"/>
            <w:vAlign w:val="bottom"/>
            <w:tcBorders>
              <w:top w:val="single" w:sz="8" w:color="CFF0FC"/>
            </w:tcBorders>
          </w:tcPr>
          <w:p>
            <w:pPr>
              <w:spacing w:after="0"/>
              <w:rPr>
                <w:sz w:val="20"/>
                <w:szCs w:val="20"/>
                <w:color w:val="auto"/>
              </w:rPr>
            </w:pPr>
          </w:p>
        </w:tc>
        <w:tc>
          <w:tcPr>
            <w:tcW w:w="2840" w:type="dxa"/>
            <w:vAlign w:val="bottom"/>
            <w:tcBorders>
              <w:top w:val="single" w:sz="8" w:color="CFF0FC"/>
            </w:tcBorders>
          </w:tcPr>
          <w:p>
            <w:pPr>
              <w:spacing w:after="0"/>
              <w:rPr>
                <w:sz w:val="20"/>
                <w:szCs w:val="20"/>
                <w:color w:val="auto"/>
              </w:rPr>
            </w:pPr>
          </w:p>
        </w:tc>
        <w:tc>
          <w:tcPr>
            <w:tcW w:w="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0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2, 10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219,052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231,696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234,775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40" w:type="dxa"/>
            <w:vAlign w:val="bottom"/>
            <w:tcBorders>
              <w:top w:val="single" w:sz="8" w:color="CFF0FC"/>
            </w:tcBorders>
          </w:tcPr>
          <w:p>
            <w:pPr>
              <w:spacing w:after="0"/>
              <w:rPr>
                <w:sz w:val="20"/>
                <w:szCs w:val="20"/>
                <w:color w:val="auto"/>
              </w:rPr>
            </w:pPr>
          </w:p>
        </w:tc>
        <w:tc>
          <w:tcPr>
            <w:tcW w:w="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matures in April 2028</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0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2, 10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432,190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0" w:type="dxa"/>
            <w:vAlign w:val="bottom"/>
            <w:tcBorders>
              <w:bottom w:val="single" w:sz="8" w:color="CFF0FC"/>
            </w:tcBorders>
            <w:gridSpan w:val="2"/>
            <w:shd w:val="clear" w:color="auto" w:fill="CFF0FC"/>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2, 10</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159,059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591,249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0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2, 10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360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0" w:type="dxa"/>
            <w:vAlign w:val="bottom"/>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payables</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3600" w:type="dxa"/>
            <w:vAlign w:val="bottom"/>
            <w:tcBorders>
              <w:bottom w:val="single" w:sz="8" w:color="CFF0FC"/>
            </w:tcBorders>
            <w:gridSpan w:val="2"/>
            <w:shd w:val="clear" w:color="auto" w:fill="CFF0FC"/>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256,486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CFF0FC"/>
            </w:tcBorders>
            <w:shd w:val="clear" w:color="auto" w:fill="CFF0FC"/>
          </w:tcPr>
          <w:p>
            <w:pPr>
              <w:spacing w:after="0"/>
              <w:rPr>
                <w:sz w:val="20"/>
                <w:szCs w:val="20"/>
                <w:color w:val="auto"/>
              </w:rPr>
            </w:pPr>
          </w:p>
        </w:tc>
        <w:tc>
          <w:tcPr>
            <w:tcW w:w="28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847,735</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736,509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1,079,431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4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758,298</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4260" w:type="dxa"/>
            <w:vAlign w:val="bottom"/>
            <w:tcBorders>
              <w:top w:val="single" w:sz="8" w:color="CFF0FC"/>
            </w:tcBorders>
          </w:tcPr>
          <w:p>
            <w:pPr>
              <w:spacing w:after="0"/>
              <w:rPr>
                <w:sz w:val="24"/>
                <w:szCs w:val="24"/>
                <w:color w:val="auto"/>
              </w:rPr>
            </w:pPr>
          </w:p>
        </w:tc>
        <w:tc>
          <w:tcPr>
            <w:tcW w:w="3600" w:type="dxa"/>
            <w:vAlign w:val="bottom"/>
            <w:tcBorders>
              <w:top w:val="single" w:sz="8" w:color="CFF0FC"/>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Borders>
              <w:top w:val="single" w:sz="8" w:color="CFF0F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5993130</wp:posOffset>
            </wp:positionH>
            <wp:positionV relativeFrom="paragraph">
              <wp:posOffset>-7032625</wp:posOffset>
            </wp:positionV>
            <wp:extent cx="9398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-7032625</wp:posOffset>
            </wp:positionV>
            <wp:extent cx="9398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-5614035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-5614035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-5288280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-5271135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-5288280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-4328160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-3385185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-2759710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-1516380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-1190625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Statements of Changes in Equity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2"/>
                <w:szCs w:val="12"/>
                <w:color w:val="auto"/>
              </w:rPr>
            </w:pPr>
          </w:p>
        </w:tc>
        <w:tc>
          <w:tcPr>
            <w:tcW w:w="110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80" w:type="dxa"/>
            <w:vAlign w:val="bottom"/>
            <w:gridSpan w:val="2"/>
            <w:vMerge w:val="continue"/>
          </w:tcPr>
          <w:p>
            <w:pPr>
              <w:spacing w:after="0"/>
              <w:rPr>
                <w:sz w:val="12"/>
                <w:szCs w:val="12"/>
                <w:color w:val="auto"/>
              </w:rPr>
            </w:pPr>
          </w:p>
        </w:tc>
        <w:tc>
          <w:tcPr>
            <w:tcW w:w="9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at January 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7,749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2,123,074</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(146 )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721</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(2,277,095 )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(145,697 )</w:t>
            </w:r>
          </w:p>
        </w:tc>
        <w:tc>
          <w:tcPr>
            <w:tcW w:w="0" w:type="dxa"/>
            <w:vAlign w:val="bottom"/>
          </w:tcPr>
          <w:p>
            <w:pPr>
              <w:spacing w:after="0"/>
              <w:rPr>
                <w:sz w:val="1"/>
                <w:szCs w:val="1"/>
                <w:color w:val="auto"/>
              </w:rPr>
            </w:pPr>
          </w:p>
        </w:tc>
      </w:tr>
      <w:tr>
        <w:trPr>
          <w:trHeight w:val="22"/>
        </w:trPr>
        <w:tc>
          <w:tcPr>
            <w:tcW w:w="46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profit/(loss) for the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(240,415 )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(240,415 )</w:t>
            </w:r>
          </w:p>
        </w:tc>
        <w:tc>
          <w:tcPr>
            <w:tcW w:w="0" w:type="dxa"/>
            <w:vAlign w:val="bottom"/>
          </w:tcPr>
          <w:p>
            <w:pPr>
              <w:spacing w:after="0"/>
              <w:rPr>
                <w:sz w:val="1"/>
                <w:szCs w:val="1"/>
                <w:color w:val="auto"/>
              </w:rPr>
            </w:pPr>
          </w:p>
        </w:tc>
      </w:tr>
      <w:tr>
        <w:trPr>
          <w:trHeight w:val="232"/>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income/(loss), net of tax</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(240,415 )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(240,337 )</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Transactions with Owners</w:t>
            </w: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 (Note 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43,327</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 under stock incentive programs</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(28 )</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increase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21,504</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at June 30,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7,819</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2,144,578</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(118 )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799</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(2,474,211 )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(321,133 )</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Distributable Equity</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2"/>
                <w:szCs w:val="12"/>
                <w:color w:val="auto"/>
              </w:rPr>
            </w:pPr>
          </w:p>
        </w:tc>
        <w:tc>
          <w:tcPr>
            <w:tcW w:w="110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80" w:type="dxa"/>
            <w:vAlign w:val="bottom"/>
            <w:gridSpan w:val="2"/>
            <w:vMerge w:val="continue"/>
          </w:tcPr>
          <w:p>
            <w:pPr>
              <w:spacing w:after="0"/>
              <w:rPr>
                <w:sz w:val="12"/>
                <w:szCs w:val="12"/>
                <w:color w:val="auto"/>
              </w:rPr>
            </w:pPr>
          </w:p>
        </w:tc>
        <w:tc>
          <w:tcPr>
            <w:tcW w:w="9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at January 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7,675</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2,112,863</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(149 )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3,452</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(1,860,493 )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263,348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profit/(loss) for the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(232,346 )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(232,346 )</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income/(loss), net of tax</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(1,803 )</w:t>
            </w: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(1,803 )</w:t>
            </w:r>
          </w:p>
        </w:tc>
        <w:tc>
          <w:tcPr>
            <w:tcW w:w="0" w:type="dxa"/>
            <w:vAlign w:val="bottom"/>
          </w:tcPr>
          <w:p>
            <w:pPr>
              <w:spacing w:after="0"/>
              <w:rPr>
                <w:sz w:val="1"/>
                <w:szCs w:val="1"/>
                <w:color w:val="auto"/>
              </w:rPr>
            </w:pPr>
          </w:p>
        </w:tc>
      </w:tr>
      <w:tr>
        <w:trPr>
          <w:trHeight w:val="22"/>
        </w:trPr>
        <w:tc>
          <w:tcPr>
            <w:tcW w:w="46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(1,803 )</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(232,346 )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(234,149 )</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Transactions with Owners</w:t>
            </w: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 (Note 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33,568</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increase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at June 30,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7,699</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2,114,913</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1,649</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(2,059,271</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-3222625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-3222625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-3222625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-3222625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-3222625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-2922270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-2922270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-2922270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-2922270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-2922270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-2022475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-2005330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-2022475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-2005330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-2022475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-2005330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-2022475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-2005330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-2022475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-2005330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-1079500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-1079500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-1079500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-1079500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-1079500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-779780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-779780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-779780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-779780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-779780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Interim Cash Flow Statements for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21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period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(240,415 )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(232,346 )</w:t>
            </w:r>
          </w:p>
        </w:tc>
      </w:tr>
      <w:tr>
        <w:trPr>
          <w:trHeight w:val="245"/>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Reversal of finance income</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(14,395 )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(80,374 )</w:t>
            </w:r>
          </w:p>
        </w:tc>
      </w:tr>
      <w:tr>
        <w:trPr>
          <w:trHeight w:val="23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Reversal of finance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100" w:type="dxa"/>
            <w:vAlign w:val="bottom"/>
          </w:tcPr>
          <w:p>
            <w:pPr>
              <w:spacing w:after="0"/>
              <w:rPr>
                <w:sz w:val="20"/>
                <w:szCs w:val="20"/>
                <w:color w:val="auto"/>
              </w:rPr>
            </w:pPr>
          </w:p>
        </w:tc>
      </w:tr>
      <w:tr>
        <w:trPr>
          <w:trHeight w:val="247"/>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Reversal of (gain)/loss on disposal of property, plant and equipment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(91 )</w:t>
            </w: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Reversal of income taxes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r>
      <w:tr>
        <w:trPr>
          <w:trHeight w:val="247"/>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Non-cash consideration relating to revenue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(25,639 )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47"/>
        </w:trPr>
        <w:tc>
          <w:tcPr>
            <w:tcW w:w="8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of profit/(loss) of associates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Share-based payment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100" w:type="dxa"/>
            <w:vAlign w:val="bottom"/>
          </w:tcPr>
          <w:p>
            <w:pPr>
              <w:spacing w:after="0"/>
              <w:rPr>
                <w:sz w:val="20"/>
                <w:szCs w:val="20"/>
                <w:color w:val="auto"/>
              </w:rPr>
            </w:pPr>
          </w:p>
        </w:tc>
      </w:tr>
      <w:tr>
        <w:trPr>
          <w:trHeight w:val="247"/>
        </w:trPr>
        <w:tc>
          <w:tcPr>
            <w:tcW w:w="8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r>
      <w:tr>
        <w:trPr>
          <w:trHeight w:val="247"/>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(42,268 )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(37,246 )</w:t>
            </w:r>
          </w:p>
        </w:tc>
      </w:tr>
      <w:tr>
        <w:trPr>
          <w:trHeight w:val="247"/>
        </w:trPr>
        <w:tc>
          <w:tcPr>
            <w:tcW w:w="8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(22,747 )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(10,715 )</w:t>
            </w: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(12,779 )</w:t>
            </w:r>
          </w:p>
        </w:tc>
      </w:tr>
      <w:tr>
        <w:trPr>
          <w:trHeight w:val="247"/>
        </w:trPr>
        <w:tc>
          <w:tcPr>
            <w:tcW w:w="8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 (deferred income)</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(840 )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(9,118 )</w:t>
            </w:r>
          </w:p>
        </w:tc>
      </w:tr>
      <w:tr>
        <w:trPr>
          <w:trHeight w:val="239"/>
        </w:trPr>
        <w:tc>
          <w:tcPr>
            <w:tcW w:w="8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payables, accrued expenses and other payables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(10,571 )</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provisions</w:t>
            </w:r>
          </w:p>
        </w:tc>
        <w:tc>
          <w:tcPr>
            <w:tcW w:w="9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72,276</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generated from/(used in) operations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(158,223 )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(299,863 )</w:t>
            </w:r>
          </w:p>
        </w:tc>
      </w:tr>
      <w:tr>
        <w:trPr>
          <w:trHeight w:val="245"/>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received</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FF0FC"/>
          </w:tcPr>
          <w:p>
            <w:pPr>
              <w:spacing w:after="0"/>
              <w:rPr>
                <w:sz w:val="21"/>
                <w:szCs w:val="21"/>
                <w:color w:val="auto"/>
              </w:rPr>
            </w:pPr>
          </w:p>
        </w:tc>
      </w:tr>
      <w:tr>
        <w:trPr>
          <w:trHeight w:val="23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expenses paid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(7,714 )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(7,746 )</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received/(paid)</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(3,218 )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(966 )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from/(used in) operating activities</w:t>
            </w:r>
          </w:p>
        </w:tc>
        <w:tc>
          <w:tcPr>
            <w:tcW w:w="9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(162,890 )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(300,172 )</w:t>
            </w: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(1,529 )</w:t>
            </w:r>
          </w:p>
        </w:tc>
      </w:tr>
      <w:tr>
        <w:trPr>
          <w:trHeight w:val="247"/>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marketable securities</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259,132</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from/(used in) investing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7,763</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257,603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borrowings</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(5,606 )</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(5,085 )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20"/>
                <w:szCs w:val="20"/>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from/(used in) financing activities</w:t>
            </w: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15,968</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(3,011 )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9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(139,159 )</w:t>
            </w: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(45,580 )</w:t>
            </w: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9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balances held in foreign currencies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(4,965 )</w:t>
            </w:r>
          </w:p>
        </w:tc>
      </w:tr>
      <w:tr>
        <w:trPr>
          <w:trHeight w:val="27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June 30</w:t>
            </w:r>
          </w:p>
        </w:tc>
        <w:tc>
          <w:tcPr>
            <w:tcW w:w="96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258,696</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394,222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include: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deposits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258,696</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394,222</w:t>
            </w:r>
          </w:p>
        </w:tc>
        <w:tc>
          <w:tcPr>
            <w:tcW w:w="100" w:type="dxa"/>
            <w:vAlign w:val="bottom"/>
            <w:shd w:val="clear" w:color="auto" w:fill="CFF0FC"/>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June 30</w:t>
            </w:r>
          </w:p>
        </w:tc>
        <w:tc>
          <w:tcPr>
            <w:tcW w:w="9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258,696</w:t>
            </w:r>
          </w:p>
        </w:tc>
        <w:tc>
          <w:tcPr>
            <w:tcW w:w="2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394,222</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3"/>
        </w:trPr>
        <w:tc>
          <w:tcPr>
            <w:tcW w:w="864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-4217035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-3590925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-2639695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-2005330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-1362075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-1345565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Ascendis Pharma A/S, together with its subsidiaries, is applying its innovative TransCon technology platform to build a leading, fully integrated, global biopharma company focused on making a meaningful difference in patients’ lives. Ascendis Pharma A/S was incorporated in 2006 and is headquartered in Hellerup, Denmark. Unless the context otherwise requires, references to the “Company,” “we,” “us,” and “our,” refer to Ascendis Pharma A/S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(the “Board”) approved these unaudited condensed consolidated interim financial statements on September 3,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Material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2023, and accompanying notes, which have been prepared in accordance with IFRS as issued by the International Accounting Standards Board (the “IASB”) and as adopted by the European Union (the “EU”).</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accounting policies applied are consistent with those of the previous financial year. A description of the accounting policies is provided in the Accounting Policies section of the audited consolidated financial statements as of and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applied amendments to paragraphs 69 to 76 of IAS 1, “Presentation of Financial Statements,” which was effective for annual reporting periods beginning on or after January 1, 2024, and must be applied retrospectively. The amendments to IAS 1 specify the requirements for classifying liabilities as current or non-current. The amendments clarify: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meant by a right to defer settlement;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right to defer must exist at the end of the reporting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classification is unaffected by the likelihood that an entity will exercise its deferral right;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only if an embedded derivative in a convertible liability is itself an equity instrument would the terms of a liability not impact its classification.</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convertible senior notes (“convertible notes”) include an embedded equity conversion option which is not deemed closely related to the financial liability and was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t>Since the embedded derivative is not an equity instrument under IFRS, the amendments require the convertible notes (presented as part of borrowings in the statement of financial position) and derivative liabilities, presented as non-current liabilities at December 31, 2023, to be presented as current liabilities. The amendments require presentation of the convertible notes as current liabilities even though: the initial conversion price of $166.34 per ADS is not met; the conversion would not require cash settlement; and, the convertible notes do not mature until April 1, 2028. Further details, including (cash) maturity analysis are provided in Note 10, “Financial Assets and Liabilities.” On December 31, 2023, the carrying amount of convertible notes and derivative liabilities were €407.1 million and €143.3 million, respectively. Comparative amounts have been reclassified to reflect the change to presentation.</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31, 2023, lease liabilities were presented separately in the consolidated statements of financial position. At December 31, 2023, carrying amount of lease liabilities was €84.6 million and €14.2 million, for non-current liabilities and current liabilities, respectively. Since March 31, 2024, lease liabilities are presented as part of borrowings in the consolidated statements of financial position. Comparative amounts have been reclassified to reflect the change in presentation.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Accordingly, since March 31, 2024, borrowings comprise convertible notes, royalty funding liabilities, and lease liabilities. The change to presentation had no other impact on the unaudited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applied amendments had no other impact on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amendments apply for the first time in 2024, but do not have an impact on the unaudited condensed consolidated interim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International Financial Reporting Standards Not Yet Effective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IASB has issued a number of new or amended standards, which have not yet become effective or have not yet been adopted by the EU. Therefore, these new standards have not been incorporated in these unaudited condensed consolidated interim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IFRS 18, “Presentation and Disclosure in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IASB issued IFRS 18, “Presentation and Disclosure in Financial Statements” (“IFRS 18”), which replaces IAS 1, “Presentation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IFRS 18 introduces new categories and subtotals in the statement of profit or loss, into:</w:t>
      </w:r>
    </w:p>
    <w:p>
      <w:pPr>
        <w:spacing w:after="0" w:line="9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IFRS 18 includes new requirements for the location, aggregation and disaggregation of financial information, and disclosure of management-defined performance measures, as defined, if any. IFRS 18 does not include any measurement changes.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not expected to be affected by other new or amended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3—Significant Accounting Judgements and Estimates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2023.</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except for revenue and provisions, as described below, not revealed any material impact in any of the periods presented in the unaudited condensed consolidated interim financial statements.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other changes to the application of significant accounting judgements, or estimation uncertainties regarding accounting estimates compared to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 - Change in Accounting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includes provision for a variety of sales deductions such as prompt pay discounts, shelf stock adjustments and applicable sales rebates attributable to various commercial arrangements, managed healthcare organizations, government programs, and co-pay arrangement. Provisions for sales deductions attributed to commercial arrangements are recognized when the related sales takes place and measured using the expected value method. Payable amounts for commercial arrangements are generally settled within 90-180 days from the transaction date. Provisions for unsettled sales deductions under commercial arrangements are estimated on the basis of a percentage of sales as defined by individual agreements and contracts.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These estimates and assumptions are subject to material uncertainties and could result in outcomes that require a material adjustment in future periods.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June 30, 2024, was negatively impacted by an adjustment to prior periods estimates and assumptions for sales deductions of €27.1 million, where €19.5 million and €7.6 million were attributable to the three months ended March 31, 2024 and periods prior to January 1, 2024, respectively. The adjustment was primarily attributable to a different payer and rebate mix than anticipated, and which provisions for prior periods were based upon.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provisions for the year ended, December 31, 2023 and six months ended June 30, 2024, were €32.7 million and €106.8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4—Significant Events in the Reporting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 Inc.</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January 29, 2024, the Company announced the formation and launch with Frazier Life Sciences of Eyconis, Inc. (“Eyconis”),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granted Eyconis exclusive rights to develop and commercialize TransCon ophthalmology products globally and received an equity position in the newly formed company. As consideration for the granting of such rights, the Company received, as consideration, approximately 42% ownership of Eyconis’ on a non-diluted basis. In addition, various development and administrative services were provided to Eyconis and invoiced during the three and six months ended June 30, 2024. Further details regarding Eyconis are provided in Note 5, “Revenue.”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Development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June 30, 2024, the unaudited condensed consolidated interim statements of financial position presented a negative balance of equity of €321.1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its current operating plan, the Company believes that the existing capital resources as of June 30, 2024, will be sufficient to meet projected cash requirements for at least twelve months from the date of this report. However, the Company's operating plan may change as a result of many factors that are currently unknown, and the Company may need to seek additional funds sooner than planned. Further details regarding borrowings including maturity analysis are provided in Note 10, “Financial Assets and Liabilities.”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has been recognized in the unaudited condensed consolidated interim statements of profit or loss in the following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6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740" w:type="dxa"/>
            <w:vAlign w:val="bottom"/>
            <w:gridSpan w:val="3"/>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commercial products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97,888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clinical supply</w:t>
            </w: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131,892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80,982</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customers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97,888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partners and license agreements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131,892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80,982</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timing of recognition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36,484</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123,528</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131,892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80,982</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per geographical area</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79,828</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r>
      <w:tr>
        <w:trPr>
          <w:trHeight w:val="279"/>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35,998</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47,393</w:t>
            </w: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131,892</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-2296795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-2296795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-2296795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-1645285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-1645285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-1645285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-993775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-993775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-993775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Customers</w:t>
      </w:r>
    </w:p>
    <w:p>
      <w:pPr>
        <w:spacing w:after="0" w:line="128"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18"/>
          <w:szCs w:val="18"/>
          <w:color w:val="auto"/>
        </w:rPr>
        <w:t>Revenue to commercial customers primarily relates to sale of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primarily in the U.S. market, which is sold to specialty pharmacies and specialty distributors. In addition, the Company began shipping SKYTROFA to customers in Germany in September 2023. In November 2023, TransCon PTH received regulatory approval in the EU and European Economic Area countries and is marketed as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In August 2024, TransCon PTH received regulatory approval in the U.S. and will be marketed in the U.S. as YORVIPATH. The Company began shipping YORVIPATH to customers in Europe in the first quarter of 2024.</w:t>
      </w:r>
    </w:p>
    <w:p>
      <w:pPr>
        <w:spacing w:after="0" w:line="20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four commercial customers, each represented more than 10% of sales to commercial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Partners and License Agreements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attributable to collaboration partners and license agreements relates to Eyconis, Teijin Limited and VISEN Pharmaceuticals. Under the collaboration agreements, we provide various research and development services which are invoiced to collaboration partners. Revenue for these activities is presented as part of “Rendering of services.” Employment costs related to these activities are presented as Research and Development Costs in the consolidated statement of profit or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Eyconis, Inc.</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January 29, 2024, the Company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6"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Company has granted Eyconis exclusive rights to develop and commercialize TransCon ophthalmology products globally and received, as consideration, an equity position in the newly formed company. In addition, the Company is eligible to receive development, regulatory, and sales milestone payments, plus single digit royalties on global net sales of commercialized products, if any.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expected to provide various research and development services, which are subject to separate remuneration, and which will be recognized as revenue over time as rendering of services or reimbursement revenue, as applicable.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right="2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revenue from “Licenses” of €25.6 million relates to non-cash upfront payment through an equity position in Eyconis, which is allocated to transfer of the Company’s intellectual property (“IP”) adjusted for internal profit. Internal profit relates to the Company’s share of the non-cash upfront payment which is recognized as part of “Investment in associates” and recognized as revenue from “Licenses” as the IP is amortized in the associate.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no revenue from royalties or milestones has been recognized under the Eyconis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Teijin Limited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29, 2023, the Company entered into an exclusive license agreement with Teijin Limited (the “Teijin Agreement”)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spacing w:after="0" w:line="18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Further, the Company will provide clinical and commercial supply, and development services for joint activities, which are subject to separate remuneration, and which will be recognized as revenue over time as rendering of services or reimbursement revenue, as applicable.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none of the Licensed Products have received marketing authorization in Japan. The Licensed Products are patent protected, where future activities do not affect their existing stand-alone functionalities. Accordingly, all three licenses have been classified as “right-to-use” licenses, with revenue recognized at a point in time, where the licensee is granted access to the IP.</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Development and regulatory milestones of up to $175 million are recognized as revenue when the milestone criteria specific to the Licensed Product are met. Royalty and commercial milestone income is recognized as revenue when the subsequent product sales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no revenue from royalties or milestones has been recognized under the Teijin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VISEN Pharmaceuticals</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from collaboration partners and license agreements also includes license income, rendering of services and sale of clinical supply under three licenses agreements with VISEN Pharmaceuticals, which were entered into in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6—Segment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managed and operated as one business unit. Accordingly, no additional information on business segments or geographical areas is disclosed apart from revenue on geographical areas as disclosed in Note 5 “Revenue.” Revenue is specified on geographical areas according to the location of the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Payment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Costs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Share-based compensation costs are determined using the grant date fair value and are recognized over the vesting period as research and development costs, selling, general and administrative expenses, or cost of sales. For the three and six months ended June 30, 2024 and 2023, share-based compensation costs recognized in the unaudited condensed consolidated interim statement of profit or loss were €26.0 million and €43.3 million, respectively and €19.9 million and €33.6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Program</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RSUs are granted by the Board to members of senior management, certain other employees and certain members of the Board (the “RSU-holders”). In addition, RSUs may be granted to select consultants.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5" w:name="page16"/>
    <w:bookmarkEnd w:id="15"/>
    <w:p>
      <w:pPr>
        <w:ind w:right="340"/>
        <w:spacing w:after="0" w:line="266" w:lineRule="auto"/>
        <w:rPr>
          <w:sz w:val="20"/>
          <w:szCs w:val="20"/>
          <w:color w:val="auto"/>
        </w:rPr>
      </w:pPr>
      <w:r>
        <w:rPr>
          <w:rFonts w:ascii="Times New Roman" w:cs="Times New Roman" w:eastAsia="Times New Roman" w:hAnsi="Times New Roman"/>
          <w:sz w:val="18"/>
          <w:szCs w:val="18"/>
          <w:color w:val="auto"/>
        </w:rPr>
        <w:t>One RSU represents a right for the RSU-holder to receive one ADS representing ordinary shares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 Program</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PSUs are granted by the Board to certain members of senior management (the “PSU-holders”). In addition, PSUs may be granted to other employees, select consultants and members of the Board.</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PSU represents a right for the PSU-holder to receive one ADS representing ordinary shares of Ascendis Pharma A/S upon vesting. PSUs vest in a manner similar to the service conditions of the RSUs. For the March 2023 PSU grant, in addition to service conditions, vesting is also contingent upon achievement of performance-based targets as determined by the Board, provided that no more than 10% of each tranche may be directly attributable to accomplishment of financial results achieved in the financial year prior to the vesting date. For the March 2024 PSU grants,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RSUs and PSUs are expected to be settled at the time of vesting by treasury shares that are ADSs repurchased by the Company. The Company may at its sole discretion choose to make a cash settlement instead of delivering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of RSUs and PSUs granted and outstanding at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3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80" w:type="dxa"/>
            <w:vAlign w:val="bottom"/>
          </w:tcPr>
          <w:p>
            <w:pPr>
              <w:spacing w:after="0"/>
              <w:rPr>
                <w:sz w:val="16"/>
                <w:szCs w:val="16"/>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576,625</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105,023</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717,980</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92,655</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during the period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(176,317 )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(35,007 )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(211,324 )</w:t>
            </w: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(63,309 )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(4,830 )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(68,139 )</w:t>
            </w:r>
          </w:p>
        </w:tc>
        <w:tc>
          <w:tcPr>
            <w:tcW w:w="0" w:type="dxa"/>
            <w:vAlign w:val="bottom"/>
          </w:tcPr>
          <w:p>
            <w:pPr>
              <w:spacing w:after="0"/>
              <w:rPr>
                <w:sz w:val="1"/>
                <w:szCs w:val="1"/>
                <w:color w:val="auto"/>
              </w:rPr>
            </w:pPr>
          </w:p>
        </w:tc>
      </w:tr>
      <w:tr>
        <w:trPr>
          <w:trHeight w:val="239"/>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1,054,979</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157,841</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1,212,820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vesting year</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35,843</w:t>
            </w: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393,254</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63,478</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393,612</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232,270</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1,054,979</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157,841</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-1148080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warrant activity for the six months ended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8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(EUR)</w:t>
            </w: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6,523,784</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197,855</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(524,045 )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(89,719 )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6,107,875</w:t>
            </w:r>
          </w:p>
        </w:tc>
        <w:tc>
          <w:tcPr>
            <w:tcW w:w="22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June 30, 2024</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5,088,475</w:t>
            </w:r>
          </w:p>
        </w:tc>
        <w:tc>
          <w:tcPr>
            <w:tcW w:w="22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prices of outstanding warrants under the Company’s warrant programs range from €11.98 to €145.50 depending on the grant 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capital of Ascendis Pharma A/S consists of 58,231,484 fully paid shares at a nominal value of DKK 1, all in the same share class.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9—Treasury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the holding of treasury shares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Holding in</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06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5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7"/>
        </w:trPr>
        <w:tc>
          <w:tcPr>
            <w:tcW w:w="6580" w:type="dxa"/>
            <w:vAlign w:val="bottom"/>
          </w:tcPr>
          <w:p>
            <w:pPr>
              <w:spacing w:after="0"/>
              <w:rPr>
                <w:sz w:val="16"/>
                <w:szCs w:val="16"/>
                <w:color w:val="auto"/>
              </w:rPr>
            </w:pPr>
          </w:p>
        </w:tc>
        <w:tc>
          <w:tcPr>
            <w:tcW w:w="10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1060" w:type="dxa"/>
            <w:vAlign w:val="bottom"/>
            <w:tcBorders>
              <w:top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1,093,054</w:t>
            </w:r>
          </w:p>
        </w:tc>
        <w:tc>
          <w:tcPr>
            <w:tcW w:w="20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0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(211,324 )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881,730</w:t>
            </w:r>
          </w:p>
        </w:tc>
        <w:tc>
          <w:tcPr>
            <w:tcW w:w="20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76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F-13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-1028065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-1028065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1305"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10—Financial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financial assets and liabilities: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14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by category</w:t>
            </w: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(excluding income tax and indirect tax receivables)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258,696</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312,921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312,921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310,735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437,095</w:t>
            </w:r>
          </w:p>
        </w:tc>
        <w:tc>
          <w:tcPr>
            <w:tcW w:w="100" w:type="dxa"/>
            <w:vAlign w:val="bottom"/>
          </w:tcPr>
          <w:p>
            <w:pPr>
              <w:spacing w:after="0"/>
              <w:rPr>
                <w:sz w:val="20"/>
                <w:szCs w:val="20"/>
                <w:color w:val="auto"/>
              </w:rPr>
            </w:pPr>
          </w:p>
        </w:tc>
      </w:tr>
      <w:tr>
        <w:trPr>
          <w:trHeight w:val="27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312,921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53"/>
        </w:trPr>
        <w:tc>
          <w:tcPr>
            <w:tcW w:w="7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by category</w:t>
            </w: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432,190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144,547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income tax, indirect tax, and employee related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772,468</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738,831</w:t>
            </w:r>
          </w:p>
        </w:tc>
        <w:tc>
          <w:tcPr>
            <w:tcW w:w="100" w:type="dxa"/>
            <w:vAlign w:val="bottom"/>
            <w:tcBorders>
              <w:top w:val="single" w:sz="8" w:color="CFF0FC"/>
            </w:tcBorders>
          </w:tcPr>
          <w:p>
            <w:pPr>
              <w:spacing w:after="0"/>
              <w:rPr>
                <w:sz w:val="20"/>
                <w:szCs w:val="20"/>
                <w:color w:val="auto"/>
              </w:rPr>
            </w:pPr>
          </w:p>
        </w:tc>
      </w:tr>
      <w:tr>
        <w:trPr>
          <w:trHeight w:val="241"/>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159,059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159,059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931,527</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882,127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219,052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712,475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659,131</w:t>
            </w:r>
          </w:p>
        </w:tc>
        <w:tc>
          <w:tcPr>
            <w:tcW w:w="100" w:type="dxa"/>
            <w:vAlign w:val="bottom"/>
          </w:tcPr>
          <w:p>
            <w:pPr>
              <w:spacing w:after="0"/>
              <w:rPr>
                <w:sz w:val="20"/>
                <w:szCs w:val="20"/>
                <w:color w:val="auto"/>
              </w:rPr>
            </w:pPr>
          </w:p>
        </w:tc>
      </w:tr>
      <w:tr>
        <w:trPr>
          <w:trHeight w:val="27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931,527</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882,127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-3230880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-2579370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-1002665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-676910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p>
    <w:p>
      <w:pPr>
        <w:spacing w:after="0" w:line="1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30, 2024, the carrying amount of the convertible notes was €432.2 million, and the fair value was approximately €412.1 million. Fair value cannot be measured based on quoted prices in active markets or other observable input, and accordingly the fair value was measured by using an estimated market rate for an equivalent non-convertible instrument.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Funding Liabilities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 $150.0 million capped synthetic royalty funding agreement (the “Royalty Pharma Agreement”) with Royalty Pharma (the “Purchaser”). The net proceeds were $146.3 million (€136.3 million) after deducting offering expenses.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Royalty Pharma Agreement, the Company received an upfront payment of $150.0 million (the “Purchase Price”) in exchange for a 9.15% royalty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Royalty Pharma Agreement includes a buy-out option, which provides the Company with the right to settle all outstanding liabilities at any time by paying a buy-out amount equal to 1.925 times the Purchase Price minus the Revenue Interest Payments paid to the Purchaser as of the effective date of the buy-out notice. However, if the buy-out notice is provided on or prior to December 31, 2028, and the Company has paid the Purchaser Revenue Interest Payments equal to the Purchase Price as of the date of the buy-out notice, then the buy-out amount equal to 1.65 times the Purchase Price minus the Revenue Interest Payments paid to the Purchaser as of the effective date of the buy-out notice.</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June 30, 2024, the carrying amount of the royalty funding liabilities was €144.5 million, and the fair value was approximately €147.3 million. Fair value cannot be measured based on quoted prices in active markets or other observable input, and accordingly the fair value was measured by using an estimated market rate for an equivalent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(49.89% and 50.47% as of June 30, 2024 and December 31,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description of fair values, refer to the following section “Fair Value Measurement.”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30, 2024, all other inputs and assumptions held constant, a 10% relative increase in volatility, will increase the fair value of derivative liabilities by approximately €15.2 million and indicates a decrease in profit or loss and equity before tax. Similarly, a 10% relative decrease in volatility indicates the opposite impact.</w:t>
      </w:r>
    </w:p>
    <w:p>
      <w:pPr>
        <w:spacing w:after="0" w:line="17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Similarly, on June 30, 2024, all other inputs and assumptions held constant, a 10% increase in the share price, will increase the fair value of derivative liabilities by approximately €30.5 million and indicates a decrease in profit or loss and equity before tax. Similarly, a 10% decrease in the share price indicates the opposite impact.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Because of the short-term maturity for cash and cash equivalents, receivables and trade payables, their fair value approximate carrying amount. Fair value of lease liabilities are not disclosed. Fair value compared to carrying amount of marketable securities, convertible notes, royalty funding liabilities and derivative liabilities, and their level in the fair value hierarchy is summarized in the following table, where: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is quoted prices (unadjusted) in active markets for identical assets or liabilities that the entity can access at the measurement date;</w:t>
      </w:r>
    </w:p>
    <w:p>
      <w:pPr>
        <w:spacing w:after="0" w:line="11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is based on valuation techniques for which the lowest level input that is significant to the fair value measurement is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is based on valuation techniques for which the lowest level input that is significant to the fair value measurement is unobservable.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15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12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1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280" w:type="dxa"/>
            <w:vAlign w:val="bottom"/>
            <w:gridSpan w:val="2"/>
            <w:vMerge w:val="restart"/>
          </w:tcPr>
          <w:p>
            <w:pPr>
              <w:spacing w:after="0"/>
              <w:rPr>
                <w:sz w:val="11"/>
                <w:szCs w:val="11"/>
                <w:color w:val="auto"/>
              </w:rPr>
            </w:pPr>
          </w:p>
        </w:tc>
        <w:tc>
          <w:tcPr>
            <w:tcW w:w="84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1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w w:val="99"/>
              </w:rPr>
              <w:t>(EUR’000)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Borders>
              <w:bottom w:val="single" w:sz="8" w:color="auto"/>
            </w:tcBorders>
            <w:gridSpan w:val="2"/>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7,266</w:t>
            </w:r>
          </w:p>
        </w:tc>
        <w:tc>
          <w:tcPr>
            <w:tcW w:w="11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0"/>
                <w:szCs w:val="20"/>
                <w:color w:val="auto"/>
              </w:rPr>
            </w:pPr>
          </w:p>
        </w:tc>
        <w:tc>
          <w:tcPr>
            <w:tcW w:w="152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432,190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412,122</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385,410</w:t>
            </w:r>
          </w:p>
        </w:tc>
        <w:tc>
          <w:tcPr>
            <w:tcW w:w="11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144,547</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147,345</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143,975</w:t>
            </w:r>
          </w:p>
        </w:tc>
        <w:tc>
          <w:tcPr>
            <w:tcW w:w="11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576,737</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559,467</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545,472</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529,385</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159,059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159,059</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143,296</w:t>
            </w:r>
          </w:p>
        </w:tc>
        <w:tc>
          <w:tcPr>
            <w:tcW w:w="11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159,059</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159,059</w:t>
            </w: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143,296</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specifies movements in level 3 fair value measurements: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recognized in finance (income) or expense</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(71,565 )</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159,059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-2193925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-2193925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-2193925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-2193925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-1559560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-1559560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-1559560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-1559560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-1233805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-1233805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-1233805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-1233805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Analysis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summarizes maturity analysis (on an undiscounted basis) for non-derivative financial liabilities recognized in the unaudited condensed consolidated statements of financial position at June 30, 2024. Further details regarding classification of convertible notes as current liabilities in the consolidated statement of financial position are provided in Note 2, “Summary of Material Accounting Policies,” section “New and Amended Standards and Interpretations.”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40" w:type="dxa"/>
            <w:vAlign w:val="bottom"/>
          </w:tcPr>
          <w:p>
            <w:pPr>
              <w:spacing w:after="0"/>
              <w:rPr>
                <w:sz w:val="12"/>
                <w:szCs w:val="12"/>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20" w:type="dxa"/>
            <w:vAlign w:val="bottom"/>
          </w:tcPr>
          <w:p>
            <w:pPr>
              <w:spacing w:after="0"/>
              <w:rPr>
                <w:sz w:val="12"/>
                <w:szCs w:val="12"/>
                <w:color w:val="auto"/>
              </w:rPr>
            </w:pPr>
          </w:p>
        </w:tc>
        <w:tc>
          <w:tcPr>
            <w:tcW w:w="10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(excluding lease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759,073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816,675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99,829</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99,829</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810,705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83,012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1,027,250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772,468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5120" w:type="dxa"/>
            <w:vAlign w:val="bottom"/>
          </w:tcPr>
          <w:p>
            <w:pPr>
              <w:spacing w:after="0"/>
              <w:rPr>
                <w:sz w:val="24"/>
                <w:szCs w:val="24"/>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F-16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-1028065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-1028065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-1028065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-1028065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2024, the Company entered into a $150 million capped synthetic royalty funding agreement (the “Yorvipath Agreement”) with Royalty Pharma (the “Purchaser”). Under the terms of the Yorvipath Agreement, Purchaser has agreed to provide the Company an upfront payment of $150 million (the “Purchase Amount”) in exchange for a 3% royalty on net U.S. YORVIPATH revenue (the “Royalty Payments”). The Royalty Payments to the Purchaser will cease upon reaching a multiple of the Purchase Amount of 2.0x, or 1.65x if the Purchaser receives royalties in that amount by December 31, 2029. The Yorvipath Agreement includes certain buy-out options under various terms and conditions.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other events have occurred after the balance sheet date that would influence the evaluation of these unaudited condensed consolidated interim financial statements.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20-F for the year ended December 31, 2023–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8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 availability of our approved products, in the United States, European countries, and related patient support services;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 and product candidates, if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products and product candidates and associated devices;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developing our product candidates or any other future product candidates,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oncology as our second independent therapeutic area of focus and our development of a pipeline of product candidates related to oncology;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Eyconis, Inc.’s ability to develop, manufacture, and commercialize TransCon ophthalmology assets globally;</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if approved for commercial use;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using our products and product candidates in combination with each other and other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technologies and submit Investigational New Drug Applications (“INDs”) or similar for such product candidates;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 and submit INDs or similar for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products and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additional indications for TransCon hGH;</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our products and product candidates and technologies, including global commercialization strategies;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product candidates;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apply our technology platform and algorithm for product innovation to develop highly differentiated product candidates to address unmet medical needs;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technology platform to build a leading, fully integrated, global biopharma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TransCon technologies to create new and potentially best-in-class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for Vision 2030;</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needs for additional financing and ability to obtain additional capital;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hire qualified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market conditions, competitors and the industry;</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economic, political, legal, compliance, social and business factors, including inflation, geopolitical conflicts and energy shortages;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of pandemics and the ongoing conflicts in the region surrounding Ukraine and Russia and between Israel and Hamas.</w:t>
      </w:r>
    </w:p>
    <w:p>
      <w:pPr>
        <w:spacing w:after="0" w:line="22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2023</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announced in January 2024, Vision 2030 is our vision to achieve blockbuster status for multiple products and expand our engine for future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w:t>
      </w:r>
    </w:p>
    <w:p>
      <w:pPr>
        <w:spacing w:after="0" w:line="9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Leading Endocrinology Rare Disease Company</w:t>
      </w:r>
    </w:p>
    <w:p>
      <w:pPr>
        <w:spacing w:after="0" w:line="117" w:lineRule="exact"/>
        <w:rPr>
          <w:rFonts w:ascii="Times New Roman" w:cs="Times New Roman" w:eastAsia="Times New Roman" w:hAnsi="Times New Roman"/>
          <w:sz w:val="18"/>
          <w:szCs w:val="18"/>
          <w:color w:val="auto"/>
        </w:rPr>
      </w:pPr>
    </w:p>
    <w:p>
      <w:pPr>
        <w:ind w:left="1540" w:right="11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oAchieve blockbuster status (&gt;$1B) for each of TransCon PTH, TransCon hGH, and TransCon CNP through worldwide commercialization</w:t>
      </w:r>
    </w:p>
    <w:p>
      <w:pPr>
        <w:spacing w:after="0" w:line="53" w:lineRule="exact"/>
        <w:rPr>
          <w:rFonts w:ascii="Times New Roman" w:cs="Times New Roman" w:eastAsia="Times New Roman" w:hAnsi="Times New Roman"/>
          <w:sz w:val="18"/>
          <w:szCs w:val="18"/>
          <w:color w:val="auto"/>
        </w:rPr>
      </w:pPr>
    </w:p>
    <w:p>
      <w:pPr>
        <w:ind w:left="1540" w:right="5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 the leader in growth disorders and hypoparathyroidism, pursuing clinical conditions, innovative life cycle management, and complementary patient offerings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pipeline with Endocrinology Rare Disease blockbuster product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Value in Additional Therapeutic Areas through Innovative Business Models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oObtain accelerated approval in oncology with registrational trials ongoing</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3" w:name="page24"/>
    <w:bookmarkEnd w:id="23"/>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TransCon product opportunities in &gt;$5B indications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value creation of these product opportunities through collaboration with therapeutic area market leaders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with Ascendis Fundamentals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Outperform industry drug development benchmarks with Ascendis’ product innovation algorithm</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independent as a profitable biopharma through lean and flexible ways of working</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 our values Patients, Science, Passion drive our decisions to success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products and product candidates combine our TransCon technologies with clinically validated parent drugs or pathways, with the goal of optimizing safety, efficacy, tolerability and convenience.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apply these technologies using our algorithm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225425</wp:posOffset>
            </wp:positionV>
            <wp:extent cx="6172200" cy="1482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Summaries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currently have two marketed products and a diversified portfolio of four product candidates in clinical development in the areas of Endocrinology Rare Disease and Oncology, and we are working to apply our TransCon technology platform in additional therapeutic areas such as the glucagon-like peptide 1 (“GLP-1”) class, where we believe we have designed a potentially best-in-class, once-monthly program.</w:t>
      </w:r>
    </w:p>
    <w:p>
      <w:pPr>
        <w:spacing w:after="0" w:line="75" w:lineRule="exact"/>
        <w:rPr>
          <w:sz w:val="20"/>
          <w:szCs w:val="20"/>
          <w:color w:val="auto"/>
        </w:rPr>
      </w:pPr>
    </w:p>
    <w:p>
      <w:pPr>
        <w:ind w:left="1020" w:right="260" w:hanging="503"/>
        <w:spacing w:after="0" w:line="24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SKYTROFA </w:t>
      </w:r>
      <w:r>
        <w:rPr>
          <w:rFonts w:ascii="Times New Roman" w:cs="Times New Roman" w:eastAsia="Times New Roman" w:hAnsi="Times New Roman"/>
          <w:sz w:val="18"/>
          <w:szCs w:val="18"/>
          <w:color w:val="auto"/>
        </w:rPr>
        <w:t>– Our first marketed product was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(lonapegsomatropin-tcgd), developed as TransCon Growth Hormone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TransCon hGH has been commercially available for prescription in the United States under its brand name SKYTROFA (lonapegsomatropin-tcgd) since October 2021. In addition, TransCon hGH was granted marketing authorization in the European Union (“EU”), Norway, Iceland, Lichtenstein and Great Britain (covering England, Wales, Scotland) as SKYTROFA (lonapegsomatropin), a once-weekly subcutaneous injection for the treatment of children and adolescents ages 3 to 18 years with growth failure due to insufficient secretion of endogenous growth hormone. SKYTROFA has been commercially available for prescription in Germany since September 2023.</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4" w:name="page25"/>
    <w:bookmarkEnd w:id="24"/>
    <w:p>
      <w:pPr>
        <w:ind w:left="1020" w:right="2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YORVIPATH </w:t>
      </w:r>
      <w:r>
        <w:rPr>
          <w:rFonts w:ascii="Times New Roman" w:cs="Times New Roman" w:eastAsia="Times New Roman" w:hAnsi="Times New Roman"/>
          <w:sz w:val="18"/>
          <w:szCs w:val="18"/>
          <w:color w:val="auto"/>
        </w:rPr>
        <w:t>– Our second marketed product is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(palopegteriparatide), developed as TransCon PTH. In the EU, Norway,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Iceland, Lichtenstein and Great Britain (covering England, Wales, Scotland), YORVIPATH has been granted marketing authorization as a once-daily subcutaneous injection for the treatment of adults with chronic hypoparathyroidism. YORVIPATH has been commercially available for prescription in Germany and Austria since January 2024. In the U.S., TransCon PTH received regulatory approval from the U.S. Food and Drug Administration (“FDA”) for the treatment of hypoparathyroidism in adults in August 2024 under the brand name YORVIPATH. We are completing manufacturing of commercial product for the U.S. market and anticipate initial supply will be available in the first quarter of 2025. We are in dialogue with the FDA about commercialization of existing manufactured products, which if agreed, could be introduced in the U.S. in the fourth quarter of 2024.</w:t>
      </w:r>
    </w:p>
    <w:p>
      <w:pPr>
        <w:spacing w:after="0" w:line="86" w:lineRule="exact"/>
        <w:rPr>
          <w:rFonts w:ascii="Times New Roman" w:cs="Times New Roman" w:eastAsia="Times New Roman" w:hAnsi="Times New Roman"/>
          <w:sz w:val="18"/>
          <w:szCs w:val="18"/>
          <w:color w:val="auto"/>
        </w:rPr>
      </w:pPr>
    </w:p>
    <w:p>
      <w:pPr>
        <w:ind w:left="1020" w:right="20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Endocrinology Rare Disease Pipeline </w:t>
      </w:r>
      <w:r>
        <w:rPr>
          <w:rFonts w:ascii="Times New Roman" w:cs="Times New Roman" w:eastAsia="Times New Roman" w:hAnsi="Times New Roman"/>
          <w:sz w:val="18"/>
          <w:szCs w:val="18"/>
          <w:color w:val="auto"/>
        </w:rPr>
        <w:t>– We are further developing two product candidates in our Endocrinology Rare Disease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spanning multiple indications and geographies. These product candidates are TransCon hGH for adult GHD and Turner syndrome and TransCon CNP (navepegritide) for infants and children with achondroplasia. Through our strategic collaboration, Teijin Limited is developing and, if approved, plans to commercialize TransCon hGH, TransCon PTH, and TransCon CNP for endocrinology rare disease in Japan. In addition, through our strategic investment, VISEN Pharmaceuticals (“VISEN”) is developing and, if approved, plans to commercialize TransCon hGH, TransCon PTH, and TransCon CNP for endocrinology rare diseases in Greater China.</w:t>
      </w:r>
    </w:p>
    <w:p>
      <w:pPr>
        <w:spacing w:after="0" w:line="74"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Oncology Pipeline </w:t>
      </w:r>
      <w:r>
        <w:rPr>
          <w:rFonts w:ascii="Times New Roman" w:cs="Times New Roman" w:eastAsia="Times New Roman" w:hAnsi="Times New Roman"/>
          <w:sz w:val="18"/>
          <w:szCs w:val="18"/>
          <w:color w:val="auto"/>
        </w:rPr>
        <w:t>– In Oncology, we are leveraging our TransCon technologies with the goal of enhancing the anti-tumor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clinically-validated parent 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Toll-like receptors (“TLR”) 7 and 8 for intratumoral delivery, and TransCon IL-2 b/g (onvapegleukin alfa) for systemic delivery, which is designed for prolonged exposure to an IL-2 variant that selectively activates the IL-2 b/g, with minimal binding to IL-2Rα. Our clinical development program for these product candidates also includes evaluation of each of them as a potential combination therapy.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and Product Candidates Pipeline</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Other than the rights we have granted to VISEN, Teijin Limited, and Eyconis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or any of our other product candidates. The following chart lists our approved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57150</wp:posOffset>
            </wp:positionV>
            <wp:extent cx="6172200" cy="26231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20" w:right="440" w:hanging="503"/>
        <w:spacing w:after="0" w:line="284" w:lineRule="auto"/>
        <w:tabs>
          <w:tab w:leader="none" w:pos="10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U.S., SKYTROFA is indicated for the treatment of pediatric patients 1 year and older who weigh at least 11.5 kg and have growth failure due to inadequate secretion of endogenous growth hormone.</w:t>
      </w:r>
    </w:p>
    <w:p>
      <w:pPr>
        <w:spacing w:after="0" w:line="50" w:lineRule="exact"/>
        <w:rPr>
          <w:rFonts w:ascii="Times New Roman" w:cs="Times New Roman" w:eastAsia="Times New Roman" w:hAnsi="Times New Roman"/>
          <w:sz w:val="18"/>
          <w:szCs w:val="18"/>
          <w:i w:val="1"/>
          <w:iCs w:val="1"/>
          <w:color w:val="auto"/>
        </w:rPr>
      </w:pPr>
    </w:p>
    <w:p>
      <w:pPr>
        <w:ind w:left="1020" w:right="600" w:hanging="503"/>
        <w:spacing w:after="0" w:line="284" w:lineRule="auto"/>
        <w:tabs>
          <w:tab w:leader="none" w:pos="10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EU, SKYTROFA is indicated for growth failure in children and adolescents aged from 3 years up to 18 years due to insufficient endogenous growth hormone secretion.</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U.S., YORVIPATH is indicated for the treatment of hypoparathyroidism in adults.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5" w:name="page26"/>
    <w:bookmarkEnd w:id="25"/>
    <w:p>
      <w:pPr>
        <w:ind w:left="1020" w:right="240" w:hanging="503"/>
        <w:spacing w:after="0" w:line="284" w:lineRule="auto"/>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EU, the therapeutic indication for YORVIPATH is a parathyroid hormone replacement therapy indicated for the treatment of adults with chronic hypoparathyroidism.</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Pivotal ApproaCH Trial (NCT05598320).</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foresiGHt Trial (NCT05171855).</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InsiGHTS Trial (NCT05690386).</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reACHin Trial (NCT06079398).</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COACH Trial (NCT06433557).</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VISEN Pharmaceuticals’ Phase 3 trial.</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Japanese riGHt Trial.</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China.</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Japan.</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ACcomplisH China.</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transcendIT-101 Trial (NCT04799054).</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BelieveIT-201 Trial (NCT05980598).</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IL-Believe Trial (NCT05081609).</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an intellectual property portfolio comprising over 300 issued patents and over 550 patent applications as of December 31, 2023,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Other than the rights we have granted to VISEN, Teijin Limited, and Eyconis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or any of our other product candidates. While our TransCon prodrugs may incorporate already approved parent drugs, TransCon hGH, TransCon PTH and each of our other product candidates are new molecular entities and therefore eligible to be granted new intellectual property rights, including new composition of matter patents.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Commercialization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establishing a global presence to commercialize TransCon product and product candidates, if approved, to address patients' unmet medical needs.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U.S., we have established a multi-faceted organization to support the ongoing commercialization of SKYTROFA, which will also serve as the foundation for future Endocrinology Rare Disease product launches in the U.S., including YORVIPATH.</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Europe, we are expanding our presence by building integrated organizations in select countries, which we call Europe Direct, beginning with Germany, where we have launched SKYTROFA and YORVIPATH. We are establishing commercial infrastructure in other Europe Direct country clusters, including DACH (Germany, Austria, Switzerland), France &amp; BeNeLux (Belgium, the Netherlands, and Luxembourg), Iberia (Portugal and Spain), Italy, Nordics (Denmark, Norway, Sweden, Iceland, Finland), and the United Kingdom &amp; Ireland.</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Beyond the U.S. and Europe Direct, we are expanding global reach for our Endocrinology Rare Disease programs through exclusive distribution agreements with geographic market leaders, which we call International Markets. As of June 30, 2024, we have established five such regional agreements:</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Specialised Therapeutics Asia Pte Ltd. (Australia, New Zealand, Singapore, Malaysia, Brunei, Thailand, and Vietnam)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Er-Kim İlac Sanayi ve Ticaret A.S (Central &amp; Eastern Europe and Turkey)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Vector Pharma FZCO (Saudi Arabia, United Arab Emirates, Kuwait, Oman, Qatar, and Bahrain)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Neopharm (Israel) 1996 Ltd (Israel)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Pendopharm, a division of Pharmascience Inc. (Canada)</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Finally, we are making our products commercially available in select markets through exclusive license agreements with partners with local development and commercialization expertise and infrastructure. In China, VISEN has exclusive license rights to develop and commercialize TransCon hGH, TransCon PTH, and TransCon CNP. In Japan, Teijin Limited has exclusive license rights to develop and commercialize TransCon hGH, TransCon PTH, and TransCon CNP.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49240" cy="19888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Technology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Carriers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TransCon technologies incorporate two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0" w:lineRule="exact"/>
        <w:rPr>
          <w:sz w:val="20"/>
          <w:szCs w:val="20"/>
          <w:color w:val="auto"/>
        </w:rPr>
      </w:pPr>
    </w:p>
    <w:p>
      <w:pPr>
        <w:ind w:left="1020" w:right="240" w:hanging="503"/>
        <w:spacing w:after="0" w:line="257" w:lineRule="auto"/>
        <w:tabs>
          <w:tab w:leader="none" w:pos="102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Systemic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systemic carriers are used to provide systemic drug exposure and are based on soluble compounds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methoxypolyethylene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1768475</wp:posOffset>
            </wp:positionH>
            <wp:positionV relativeFrom="page">
              <wp:posOffset>706120</wp:posOffset>
            </wp:positionV>
            <wp:extent cx="3977640" cy="130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397764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localized carriers include TransCon hydrogels based on PEG, hyaluronic acid, or other biopolymers.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145415</wp:posOffset>
            </wp:positionV>
            <wp:extent cx="3840480" cy="13976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404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20" w:right="6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announced the development of a novel TransCon prolongation technology. This new TransCon technology may support expansion of TransCon technology into new therapeutic areas.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Linkers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Parent Drugs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 Endocrinology Rare Disease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for Recombinant Human Growth Hormone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Growth hormone deficiency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both therapy-compliant children and adults with GHD, daily subcutaneous injections of hGH result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growth hormone deficiency in a US pediatric population. </w:t>
      </w:r>
      <w:r>
        <w:rPr>
          <w:rFonts w:ascii="Times New Roman" w:cs="Times New Roman" w:eastAsia="Times New Roman" w:hAnsi="Times New Roman"/>
          <w:sz w:val="18"/>
          <w:szCs w:val="18"/>
          <w:i w:val="1"/>
          <w:iCs w:val="1"/>
          <w:color w:val="auto"/>
        </w:rPr>
        <w:t>J Manag Care Spec Pharm.</w:t>
      </w:r>
      <w:r>
        <w:rPr>
          <w:rFonts w:ascii="Times New Roman" w:cs="Times New Roman" w:eastAsia="Times New Roman" w:hAnsi="Times New Roman"/>
          <w:sz w:val="18"/>
          <w:szCs w:val="18"/>
          <w:color w:val="auto"/>
        </w:rPr>
        <w:t xml:space="preserve">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9" w:name="page30"/>
    <w:bookmarkEnd w:id="29"/>
    <w:p>
      <w:pPr>
        <w:ind w:right="180"/>
        <w:spacing w:after="0" w:line="261" w:lineRule="auto"/>
        <w:rPr>
          <w:sz w:val="20"/>
          <w:szCs w:val="20"/>
          <w:color w:val="auto"/>
        </w:rPr>
      </w:pPr>
      <w:r>
        <w:rPr>
          <w:rFonts w:ascii="Times New Roman" w:cs="Times New Roman" w:eastAsia="Times New Roman" w:hAnsi="Times New Roman"/>
          <w:sz w:val="18"/>
          <w:szCs w:val="18"/>
          <w:color w:val="auto"/>
        </w:rPr>
        <w:t>For adult patients with GHD, underdiagnosis and undertreatment are also a concern. Untreated adult GHD (“AGHD”) patients can experience reduced quality of life and increased risk of morbidity and mortality. A retrospective cohort study presented at ENDO 2023 analyzed an electronics health records database and selected adult patients with suspected AGHD. Of the 51,588 patients with suspected AGHD, fewer than 4% were treated with growth hormone.</w:t>
      </w:r>
    </w:p>
    <w:p>
      <w:pPr>
        <w:spacing w:after="0" w:line="180"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(Novo Nordisk A/S), Humatrope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(Eli Lilly and Company), Genotropin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(Pfizer Inc.), Zomacton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(Ferring Pharmaceuticals, Inc.) and Omnitrope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(Sandoz GmbH) – contain unmodified somatropin (hGH) and are administered by subcutaneous injections. The global market for daily hGH products is largely composed of products from Novo Nordisk, Pfizer, Eli Lilly, Sandoz, and Merck KGaA, which together account for most of the global market share.</w:t>
      </w:r>
    </w:p>
    <w:p>
      <w:pPr>
        <w:spacing w:after="0" w:line="19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current total hGH market, of which approximately half is for pediatric GHD.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Landscape for Long-Acting Growth Hormone Therapies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(hGH) and permanent modification of growth hormone:</w:t>
      </w:r>
    </w:p>
    <w:p>
      <w:pPr>
        <w:spacing w:after="0" w:line="68" w:lineRule="exact"/>
        <w:rPr>
          <w:sz w:val="20"/>
          <w:szCs w:val="20"/>
          <w:color w:val="auto"/>
        </w:rPr>
      </w:pPr>
    </w:p>
    <w:p>
      <w:pPr>
        <w:ind w:left="102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Unmodified somatropin (hGH): Two long-acting growth hormone products using encapsulation technologies previously received regulatory approval in the U.S. and Europe but were subsequently discontinued due to commercial challenges. These include Nutropin Depot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We believe that the lack of market acceptance was a result of the various safety and tolerability issues that tend to arise with encapsulation technologies.</w:t>
      </w:r>
    </w:p>
    <w:p>
      <w:pPr>
        <w:spacing w:after="0" w:line="87"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83" w:lineRule="exact"/>
        <w:rPr>
          <w:sz w:val="20"/>
          <w:szCs w:val="20"/>
          <w:color w:val="auto"/>
        </w:rPr>
      </w:pPr>
    </w:p>
    <w:p>
      <w:pPr>
        <w:ind w:right="1100"/>
        <w:spacing w:after="0" w:line="289" w:lineRule="auto"/>
        <w:rPr>
          <w:sz w:val="20"/>
          <w:szCs w:val="20"/>
          <w:color w:val="auto"/>
        </w:rPr>
      </w:pPr>
      <w:r>
        <w:rPr>
          <w:rFonts w:ascii="Times New Roman" w:cs="Times New Roman" w:eastAsia="Times New Roman" w:hAnsi="Times New Roman"/>
          <w:sz w:val="18"/>
          <w:szCs w:val="18"/>
          <w:color w:val="auto"/>
        </w:rPr>
        <w:t>Novo Nordisk received regulatory approval in various countries and regions including the U.S., Japan, and EU for once-weekly somapacitan (SOGROYA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replacement of endogenous growth hormone in adult patients with GHD and pediatric patients with GHD.</w:t>
      </w:r>
    </w:p>
    <w:p>
      <w:pPr>
        <w:spacing w:after="0" w:line="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Pfizer (in collaboration with OPKO Health Inc.) received regulatory approval of once-weekly somatrogon (NGENLA) in various countries and regions including the U.S., Japan, and EU for pediatric GHD.</w:t>
      </w:r>
    </w:p>
    <w:p>
      <w:pPr>
        <w:spacing w:after="0" w:line="169"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18"/>
          <w:szCs w:val="18"/>
          <w:color w:val="auto"/>
        </w:rPr>
        <w:t>A permanently PEGylated long-acting growth hormone developed by GeneScience Pharmaceuticals Co., Ltd. (Jintrolong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available in China and the Somatropin Biopartners product (LB03002) is available in Korea. Other experimental growth hormone therapies based on permanent modification are in different stages of clinical development by various companies, including Genexine Inc., I-MAB, and JCR Pharmaceuticals Co., Ltd.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hGH</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are the current standard of care.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pediatric GHD</w:t>
      </w:r>
    </w:p>
    <w:p>
      <w:pPr>
        <w:spacing w:after="0" w:line="15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TransCon hGH, marketed under the brand name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Lichtenstein and Great Britain (covering England, Wales, Scotland), we received marketing authorization for TransCon hGH – known by its brand name SKYTROFA (lonapegsomatropin) – as a once-weekly subcutaneous injection for the treatment of children and adolescents ages 3 to 18 years with growth failure due to insufficient secretion of endogenous growth hormone. SKYTROFA has been commercially available for prescription in Germany since September 2023.</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2023, we announced topline results from the completed enliGHten Trial, an open-label extension trial evaluating the long-term safety and efficacy of TransCon hGH as a once-weekly treatment for children and adolescents with growth hormone deficiency.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 of TransCon hGH in Japanese Pediatric GHD</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ongoing Phase 3 riGHt Trial, we are evaluating TransCon hGH as a treatment in Japanese children with GHD. The primary objective of the riGHt Trial is to evaluate and compare the annualized height velocity of approximately 40 Japanese prepubertal children with GHD treated with once-weekly TransCon hGH to that of children treated with a commercially available daily hGH formulation at 52 weeks. Enrollment in the riGHt trial was completed during the fourth quarter of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Auto-injector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SKYTROFA includes the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154940</wp:posOffset>
            </wp:positionV>
            <wp:extent cx="1757045" cy="2957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5704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Our state-of-the-art auto-injector is designed to improve treatment compliance for children with GHD.</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 Endocrinology Rare Diseases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Other Indications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in Adults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December 2023, we announced positive topline results from foresiGHt, a Phase 3 randomized, parallel-arm, placebo-controlled (double-blind) and active-controlled (open-label) trial to compare the efficacy and safety of TransCon hGH with placebo and daily hGH in adults with GHD. The trial aims to evaluate the metabolic benefits of TransCon hGH in adults, with the primary objective to evaluate change in trunk fat percentage.</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primary efficacy endpoint at Week 38:</w:t>
      </w:r>
    </w:p>
    <w:p>
      <w:pPr>
        <w:spacing w:after="0" w:line="117" w:lineRule="exact"/>
        <w:rPr>
          <w:rFonts w:ascii="Times New Roman" w:cs="Times New Roman" w:eastAsia="Times New Roman" w:hAnsi="Times New Roman"/>
          <w:sz w:val="18"/>
          <w:szCs w:val="18"/>
          <w:color w:val="auto"/>
        </w:rPr>
      </w:pPr>
    </w:p>
    <w:p>
      <w:pPr>
        <w:ind w:left="1540" w:right="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trunk percent fat as measured by dual x-ray absorptiometry (TransCon hGH -1.67% vs. placebo +0.37%, LS mean difference = -2.04%, p &lt; 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key secondary efficacy endpoints at Week 38:</w:t>
      </w:r>
    </w:p>
    <w:p>
      <w:pPr>
        <w:spacing w:after="0" w:line="117" w:lineRule="exact"/>
        <w:rPr>
          <w:rFonts w:ascii="Times New Roman" w:cs="Times New Roman" w:eastAsia="Times New Roman" w:hAnsi="Times New Roman"/>
          <w:sz w:val="18"/>
          <w:szCs w:val="18"/>
          <w:color w:val="auto"/>
        </w:rPr>
      </w:pPr>
    </w:p>
    <w:p>
      <w:pPr>
        <w:ind w:left="1540" w:right="5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total body lean mass (TransCon hGH +1.60 kg vs placebo -0.10 kg, LS mean difference = 1.70 kg, p &lt; 0.0001)</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fat mass (TransCon hGH -0.48 kg vs placebo +0.22 kg, LS mean difference = -0.70 kg, p = 0.0053)</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Exploratory post-hoc analysis at Week 38 demonstrated comparable treatment effect of TransCon hGH and daily hGH on target tissues. For patients with average IGF-1 SDS levels ≤ 1.75 at Week 38:</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percent fat (TransCon hGH -2.42% vs. daily hGH -2.59%)</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total body lean mass (TransCon hGH +1.70 kg vs daily hGH +1.37 kg)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fat mass (TransCon hGH -0.90 kg vs daily hGH -0.94 kg)</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was generally safe and well tolerated, with no discontinuations related to study drug and with comparable safety and tolerability to daily hGH.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submit a supplemental Biologics License Application (“BLA”) to the FDA for adult GHD in the third quarter of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2022, we initiated the Phase 2 New InsiGHTS Trial in the U.S. to evaluate TransCon hGH in Turner syndrome. In this trial, we are evaluating higher doses of TransCon hGH and daily hGH for Turner syndrome compared to doses for pediatric or adult GHD. Topline results from New InsiGHTS are expected in the fourth quarter of 2024. In addition, we are investigating other potential indications for TransCon hGH where we believe a long-acting hGH therapy may offer benefits to patients with rare growth disorders, including in combination with our TransCon CNP product candidate.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Hypoparathyroidism</w:t>
      </w:r>
    </w:p>
    <w:p>
      <w:pPr>
        <w:spacing w:after="0" w:line="11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Hypoparathyroidism is a rare endocrine disease characterized by insufficient levels of parathyroid hormone (“PTH”). Most patients with hypoparathyroidism develop the condition following damage to or accidental removal of the parathyroid glands during thyroid surgery. Post-surgical hypoparathyroidism accounts for the majority of cases (70-80%);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ind w:right="60"/>
        <w:spacing w:after="0" w:line="258" w:lineRule="auto"/>
        <w:rPr>
          <w:sz w:val="20"/>
          <w:szCs w:val="20"/>
          <w:color w:val="auto"/>
        </w:rPr>
      </w:pPr>
      <w:r>
        <w:rPr>
          <w:rFonts w:ascii="Times New Roman" w:cs="Times New Roman" w:eastAsia="Times New Roman" w:hAnsi="Times New Roman"/>
          <w:sz w:val="18"/>
          <w:szCs w:val="18"/>
          <w:color w:val="auto"/>
        </w:rPr>
        <w:t>Short-term symptoms include weakness, severe muscle cramps (tetany), abnormal sensations such as tingling, burning and numbness (paresthesia), memory loss, impaired judgment, and headache. Patients often experience decreased quality of life, and, over the long term, prolonged use of conventional therapy may increase risk of major complications, such as calcium deposits in the brain, blood vessels, eye, and other soft tissues. According to a recent systematic literature review, chronic hypoparathyroidism treated with conventional therapy is associated with higher rates of renal complications compared to the general population, such as nephrolithiasis (up to 36%), nephrocalcinosis (up to 38%), and chronic kidney disease (up to 41%).</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Hypoparathyroidism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hypoparathyroidism cases require hospitalizations and that patients with the disease have a four-fold increase in the risk of renal disease compared to healthy controls. Patients often experience decreased quality of life. We conducted a survey of 42 patients which found that 100% of patients reported negative psychological impacts, interference with daily life and impact on physical functioning from hypoparathyroidism, and that 76% were either no longer able to work or experienced interference with work productivity.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who are intolerant of large doses of calcium and active vitamin D may also benefit from PTH replacement therapy. Based on this current guideline, we believe PTH replacement therapy could be applicable to most patients with hypoparathyroidism.</w:t>
      </w:r>
    </w:p>
    <w:p>
      <w:pPr>
        <w:spacing w:after="0" w:line="19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In 2015, NATPARA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(parathyroid hormone) for injection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will discontinue manufacturing NATPARA/NATPAR globally by the end of 2024.</w:t>
      </w:r>
    </w:p>
    <w:p>
      <w:pPr>
        <w:spacing w:after="0" w:line="2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aware of several academic groups and companies working on making longer-acting agonists of the PTH receptor. In addition, other companies and groups are developing or commercializing therapies for hypoparathyroidism, including Calcilytix (a BridgeBio company), Entera Bio, Extend Biosciences, Massachusetts General Hospital, Amolyt Pharma (acquired by AstraZeneca), and MBX Biosciences.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sCa and urinary calcium, as well as normalization of bone turnover.</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PTH</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TransCon PTH (palopegteriparatide) is a prodrug of PTH (1-34) that is designed to be dosed once-daily to achieve and maintain a steady concentration of PTH in the bloodstream within the normal range. TransCon PTH is designed to provide PTH in the physiological range for 24 hours per day, thereby more fully addressing aspects of the disease, including normalizing serum and urinary calcium and serum phosphate levels.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By providing steady levels of PTH in the physiological range, we believe TransCon PTH can address the fundamental limitations of PTH therapies with short half-life molecules and become a highly differentiated therapy for hypoparathyroidism.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Parathyroid Hormone (PTH) for adults with hypoparathyroidism</w:t>
      </w:r>
    </w:p>
    <w:p>
      <w:pPr>
        <w:spacing w:after="0" w:line="23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November 2023, TransCon PTH received regulatory approval in the EU and European Economic Area and is marketed as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a parathyroid hormone replacement therapy indicated for the treatment of adults with chronic hypoparathyroidism. In April 2024, TransCon PTH received regulatory approval in Great Britain as a PTH replacement therapy indicated for the treatment of adults with chronic hypoparathyroidism. In August 2024, the U.S. FDA approved TransCon PTH for the treatment of hypoparathyroidism in adults. We are completing manufacturing of commercial product for the U.S. market and anticipate initial supply will be available in the first quarter of 2025. We are in dialogue with the FDA about commercialization of existing manufactured products, which if agreed, could be introduced in the U.S. in the fourth quarter of 2024.</w:t>
      </w:r>
    </w:p>
    <w:p>
      <w:pPr>
        <w:spacing w:after="0" w:line="19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January 2024, we announced that YORVIPATH is commercially available in Germany and Austria, and we began shipping to customers in February. In April 2024, we announced that the United Kingdom’s Medicines &amp; Healthcare products Regulatory Agency granted YORVIPATH orphan drug status.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PTH for Adult Hypoparathyroidism</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ongoing Phase 3 PaTHway Trial, Phase 3 PaTHway Japan Trial, and Phase 2 PaTH Forward Trial continue in the open-label extension portion to collect long-term data.</w:t>
      </w:r>
    </w:p>
    <w:p>
      <w:pPr>
        <w:spacing w:after="0" w:line="2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May 2024, we announced 2-year results from a post-hoc analysis of the our Phase 3 PaTHway Trial demonstrating significant and sustained improvements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PTH:placebo; both arms initially co-administered with conventional therapy of active vitamin D and oral calcium), with a 26-week blinded period followed by an ongoing 156-week open-label extension period. Across both treatment arms, TransCon PTH treatment resulted in a mean eGFR increase of 8.9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(p&lt;0.0001) from baseline at Week 52, sustained at Week 104 with a mean change from baseline of 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(p&lt;0.0001). Treatment was generally well-tolerated, with no new safety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6075680" cy="3575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75680" cy="35750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 Baseline by Study Arm</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660" w:type="dxa"/>
            <w:vAlign w:val="bottom"/>
            <w:tcBorders>
              <w:top w:val="single" w:sz="8" w:color="auto"/>
              <w:left w:val="single" w:sz="8" w:color="F2F2F2"/>
              <w:right w:val="single" w:sz="8" w:color="F2F2F2"/>
            </w:tcBorders>
            <w:shd w:val="clear" w:color="auto" w:fill="F2F2F2"/>
          </w:tcPr>
          <w:p>
            <w:pPr>
              <w:spacing w:after="0"/>
              <w:rPr>
                <w:sz w:val="19"/>
                <w:szCs w:val="19"/>
                <w:color w:val="auto"/>
              </w:rPr>
            </w:pPr>
          </w:p>
        </w:tc>
        <w:tc>
          <w:tcPr>
            <w:tcW w:w="1820" w:type="dxa"/>
            <w:vAlign w:val="bottom"/>
            <w:tcBorders>
              <w:top w:val="single" w:sz="8" w:color="auto"/>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Baseline</w:t>
            </w:r>
          </w:p>
        </w:tc>
        <w:tc>
          <w:tcPr>
            <w:tcW w:w="700" w:type="dxa"/>
            <w:vAlign w:val="bottom"/>
            <w:tcBorders>
              <w:top w:val="single" w:sz="8" w:color="auto"/>
              <w:right w:val="single" w:sz="8" w:color="F2F2F2"/>
            </w:tcBorders>
            <w:shd w:val="clear" w:color="auto" w:fill="F2F2F2"/>
          </w:tcPr>
          <w:p>
            <w:pPr>
              <w:spacing w:after="0"/>
              <w:rPr>
                <w:sz w:val="19"/>
                <w:szCs w:val="19"/>
                <w:color w:val="auto"/>
              </w:rPr>
            </w:pPr>
          </w:p>
        </w:tc>
        <w:tc>
          <w:tcPr>
            <w:tcW w:w="1360" w:type="dxa"/>
            <w:vAlign w:val="bottom"/>
            <w:tcBorders>
              <w:top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640" w:type="dxa"/>
            <w:vAlign w:val="bottom"/>
            <w:tcBorders>
              <w:top w:val="single" w:sz="8" w:color="auto"/>
              <w:right w:val="single" w:sz="8" w:color="F2F2F2"/>
            </w:tcBorders>
            <w:shd w:val="clear" w:color="auto" w:fill="F2F2F2"/>
          </w:tcPr>
          <w:p>
            <w:pPr>
              <w:spacing w:after="0"/>
              <w:rPr>
                <w:sz w:val="19"/>
                <w:szCs w:val="19"/>
                <w:color w:val="auto"/>
              </w:rPr>
            </w:pPr>
          </w:p>
        </w:tc>
        <w:tc>
          <w:tcPr>
            <w:tcW w:w="1360" w:type="dxa"/>
            <w:vAlign w:val="bottom"/>
            <w:tcBorders>
              <w:top w:val="single" w:sz="8" w:color="auto"/>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660" w:type="dxa"/>
            <w:vAlign w:val="bottom"/>
            <w:tcBorders>
              <w:top w:val="single" w:sz="8" w:color="auto"/>
              <w:right w:val="single" w:sz="8" w:color="F2F2F2"/>
            </w:tcBorders>
            <w:shd w:val="clear" w:color="auto" w:fill="F2F2F2"/>
          </w:tcPr>
          <w:p>
            <w:pPr>
              <w:spacing w:after="0"/>
              <w:rPr>
                <w:sz w:val="19"/>
                <w:szCs w:val="19"/>
                <w:color w:val="auto"/>
              </w:rPr>
            </w:pPr>
          </w:p>
        </w:tc>
        <w:tc>
          <w:tcPr>
            <w:tcW w:w="1360" w:type="dxa"/>
            <w:vAlign w:val="bottom"/>
            <w:tcBorders>
              <w:top w:val="single" w:sz="8" w:color="auto"/>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6"/>
                <w:szCs w:val="16"/>
                <w:b w:val="1"/>
                <w:bCs w:val="1"/>
                <w:color w:val="auto"/>
              </w:rPr>
              <w:t>Week 104</w:t>
            </w:r>
          </w:p>
        </w:tc>
      </w:tr>
      <w:tr>
        <w:trPr>
          <w:trHeight w:val="153"/>
        </w:trPr>
        <w:tc>
          <w:tcPr>
            <w:tcW w:w="1660" w:type="dxa"/>
            <w:vAlign w:val="bottom"/>
            <w:tcBorders>
              <w:top w:val="single" w:sz="8" w:color="EEECE1"/>
              <w:left w:val="single" w:sz="8" w:color="auto"/>
              <w:right w:val="single" w:sz="8" w:color="auto"/>
            </w:tcBorders>
            <w:shd w:val="clear" w:color="auto" w:fill="F2F2F2"/>
          </w:tcPr>
          <w:p>
            <w:pPr>
              <w:ind w:left="120"/>
              <w:spacing w:after="0" w:line="153" w:lineRule="exact"/>
              <w:rPr>
                <w:sz w:val="20"/>
                <w:szCs w:val="20"/>
                <w:color w:val="auto"/>
              </w:rPr>
            </w:pPr>
            <w:r>
              <w:rPr>
                <w:rFonts w:ascii="Times New Roman" w:cs="Times New Roman" w:eastAsia="Times New Roman" w:hAnsi="Times New Roman"/>
                <w:sz w:val="16"/>
                <w:szCs w:val="16"/>
                <w:b w:val="1"/>
                <w:bCs w:val="1"/>
                <w:color w:val="auto"/>
              </w:rPr>
              <w:t>Study Arm</w:t>
            </w:r>
          </w:p>
        </w:tc>
        <w:tc>
          <w:tcPr>
            <w:tcW w:w="1820" w:type="dxa"/>
            <w:vAlign w:val="bottom"/>
            <w:tcBorders>
              <w:top w:val="single" w:sz="8" w:color="EEECE1"/>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eGFR</w:t>
            </w:r>
          </w:p>
        </w:tc>
        <w:tc>
          <w:tcPr>
            <w:tcW w:w="700" w:type="dxa"/>
            <w:vAlign w:val="bottom"/>
            <w:tcBorders>
              <w:top w:val="single" w:sz="8" w:color="auto"/>
              <w:right w:val="single" w:sz="8" w:color="auto"/>
            </w:tcBorders>
            <w:shd w:val="clear" w:color="auto" w:fill="F2F2F2"/>
          </w:tcPr>
          <w:p>
            <w:pPr>
              <w:spacing w:after="0"/>
              <w:rPr>
                <w:sz w:val="13"/>
                <w:szCs w:val="13"/>
                <w:color w:val="auto"/>
              </w:rPr>
            </w:pPr>
          </w:p>
        </w:tc>
        <w:tc>
          <w:tcPr>
            <w:tcW w:w="136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c>
          <w:tcPr>
            <w:tcW w:w="640" w:type="dxa"/>
            <w:vAlign w:val="bottom"/>
            <w:tcBorders>
              <w:top w:val="single" w:sz="8" w:color="auto"/>
              <w:right w:val="single" w:sz="8" w:color="auto"/>
            </w:tcBorders>
            <w:shd w:val="clear" w:color="auto" w:fill="F2F2F2"/>
          </w:tcPr>
          <w:p>
            <w:pPr>
              <w:spacing w:after="0"/>
              <w:rPr>
                <w:sz w:val="13"/>
                <w:szCs w:val="13"/>
                <w:color w:val="auto"/>
              </w:rPr>
            </w:pPr>
          </w:p>
        </w:tc>
        <w:tc>
          <w:tcPr>
            <w:tcW w:w="136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c>
          <w:tcPr>
            <w:tcW w:w="660" w:type="dxa"/>
            <w:vAlign w:val="bottom"/>
            <w:tcBorders>
              <w:top w:val="single" w:sz="8" w:color="auto"/>
              <w:right w:val="single" w:sz="8" w:color="auto"/>
            </w:tcBorders>
            <w:shd w:val="clear" w:color="auto" w:fill="F2F2F2"/>
          </w:tcPr>
          <w:p>
            <w:pPr>
              <w:spacing w:after="0"/>
              <w:rPr>
                <w:sz w:val="13"/>
                <w:szCs w:val="13"/>
                <w:color w:val="auto"/>
              </w:rPr>
            </w:pPr>
          </w:p>
        </w:tc>
        <w:tc>
          <w:tcPr>
            <w:tcW w:w="136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r>
      <w:tr>
        <w:trPr>
          <w:trHeight w:val="246"/>
        </w:trPr>
        <w:tc>
          <w:tcPr>
            <w:tcW w:w="166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8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(mL/min/1.73m</w:t>
            </w:r>
            <w:r>
              <w:rPr>
                <w:rFonts w:ascii="Times New Roman" w:cs="Times New Roman" w:eastAsia="Times New Roman" w:hAnsi="Times New Roman"/>
                <w:sz w:val="21"/>
                <w:szCs w:val="21"/>
                <w:b w:val="1"/>
                <w:bCs w:val="1"/>
                <w:color w:val="auto"/>
                <w:w w:val="99"/>
                <w:vertAlign w:val="superscript"/>
              </w:rPr>
              <w:t>2</w:t>
            </w: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right w:val="single" w:sz="8" w:color="auto"/>
            </w:tcBorders>
            <w:shd w:val="clear" w:color="auto" w:fill="F2F2F2"/>
          </w:tcPr>
          <w:p>
            <w:pPr>
              <w:ind w:left="320"/>
              <w:spacing w:after="0"/>
              <w:rPr>
                <w:sz w:val="20"/>
                <w:szCs w:val="20"/>
                <w:color w:val="auto"/>
              </w:rPr>
            </w:pPr>
            <w:r>
              <w:rPr>
                <w:rFonts w:ascii="Times New Roman" w:cs="Times New Roman" w:eastAsia="Times New Roman" w:hAnsi="Times New Roman"/>
                <w:sz w:val="16"/>
                <w:szCs w:val="16"/>
                <w:b w:val="1"/>
                <w:bCs w:val="1"/>
                <w:color w:val="auto"/>
              </w:rPr>
              <w:t>N</w:t>
            </w:r>
          </w:p>
        </w:tc>
        <w:tc>
          <w:tcPr>
            <w:tcW w:w="1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 value)</w:t>
            </w:r>
          </w:p>
        </w:tc>
        <w:tc>
          <w:tcPr>
            <w:tcW w:w="640" w:type="dxa"/>
            <w:vAlign w:val="bottom"/>
            <w:tcBorders>
              <w:bottom w:val="single" w:sz="8" w:color="auto"/>
              <w:right w:val="single" w:sz="8" w:color="auto"/>
            </w:tcBorders>
            <w:shd w:val="clear" w:color="auto" w:fill="F2F2F2"/>
          </w:tcPr>
          <w:p>
            <w:pPr>
              <w:ind w:left="280"/>
              <w:spacing w:after="0"/>
              <w:rPr>
                <w:sz w:val="20"/>
                <w:szCs w:val="20"/>
                <w:color w:val="auto"/>
              </w:rPr>
            </w:pPr>
            <w:r>
              <w:rPr>
                <w:rFonts w:ascii="Times New Roman" w:cs="Times New Roman" w:eastAsia="Times New Roman" w:hAnsi="Times New Roman"/>
                <w:sz w:val="16"/>
                <w:szCs w:val="16"/>
                <w:b w:val="1"/>
                <w:bCs w:val="1"/>
                <w:color w:val="auto"/>
              </w:rPr>
              <w:t>N</w:t>
            </w:r>
          </w:p>
        </w:tc>
        <w:tc>
          <w:tcPr>
            <w:tcW w:w="1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 value)</w:t>
            </w:r>
          </w:p>
        </w:tc>
        <w:tc>
          <w:tcPr>
            <w:tcW w:w="660" w:type="dxa"/>
            <w:vAlign w:val="bottom"/>
            <w:tcBorders>
              <w:bottom w:val="single" w:sz="8" w:color="auto"/>
              <w:right w:val="single" w:sz="8" w:color="auto"/>
            </w:tcBorders>
            <w:shd w:val="clear" w:color="auto" w:fill="F2F2F2"/>
          </w:tcPr>
          <w:p>
            <w:pPr>
              <w:ind w:left="300"/>
              <w:spacing w:after="0"/>
              <w:rPr>
                <w:sz w:val="20"/>
                <w:szCs w:val="20"/>
                <w:color w:val="auto"/>
              </w:rPr>
            </w:pPr>
            <w:r>
              <w:rPr>
                <w:rFonts w:ascii="Times New Roman" w:cs="Times New Roman" w:eastAsia="Times New Roman" w:hAnsi="Times New Roman"/>
                <w:sz w:val="16"/>
                <w:szCs w:val="16"/>
                <w:b w:val="1"/>
                <w:bCs w:val="1"/>
                <w:color w:val="auto"/>
              </w:rPr>
              <w:t>N</w:t>
            </w:r>
          </w:p>
        </w:tc>
        <w:tc>
          <w:tcPr>
            <w:tcW w:w="13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 value)</w:t>
            </w:r>
          </w:p>
        </w:tc>
      </w:tr>
      <w:tr>
        <w:trPr>
          <w:trHeight w:val="182"/>
        </w:trPr>
        <w:tc>
          <w:tcPr>
            <w:tcW w:w="166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color w:val="auto"/>
              </w:rPr>
              <w:t>TransCon PTH /</w:t>
            </w:r>
          </w:p>
        </w:tc>
        <w:tc>
          <w:tcPr>
            <w:tcW w:w="182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eGFR &lt; 60</w:t>
            </w:r>
          </w:p>
        </w:tc>
        <w:tc>
          <w:tcPr>
            <w:tcW w:w="7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19</w:t>
            </w:r>
          </w:p>
        </w:tc>
        <w:tc>
          <w:tcPr>
            <w:tcW w:w="13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+11.4</w:t>
            </w:r>
          </w:p>
        </w:tc>
        <w:tc>
          <w:tcPr>
            <w:tcW w:w="6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19</w:t>
            </w:r>
          </w:p>
        </w:tc>
        <w:tc>
          <w:tcPr>
            <w:tcW w:w="13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+11.5</w:t>
            </w:r>
          </w:p>
        </w:tc>
        <w:tc>
          <w:tcPr>
            <w:tcW w:w="6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18</w:t>
            </w:r>
          </w:p>
        </w:tc>
        <w:tc>
          <w:tcPr>
            <w:tcW w:w="13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+13.4</w:t>
            </w:r>
          </w:p>
        </w:tc>
      </w:tr>
      <w:tr>
        <w:trPr>
          <w:trHeight w:val="213"/>
        </w:trPr>
        <w:tc>
          <w:tcPr>
            <w:tcW w:w="1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TransCon PTH</w:t>
            </w: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(p=0.0002)</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(p=0.0003)</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66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 60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+8.6</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+6.9</w:t>
            </w:r>
          </w:p>
        </w:tc>
      </w:tr>
      <w:tr>
        <w:trPr>
          <w:trHeight w:val="213"/>
        </w:trPr>
        <w:tc>
          <w:tcPr>
            <w:tcW w:w="1660" w:type="dxa"/>
            <w:vAlign w:val="bottom"/>
            <w:tcBorders>
              <w:left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(p=0.0002)</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66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+7.9</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+9.3</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+8.9</w:t>
            </w:r>
          </w:p>
        </w:tc>
      </w:tr>
      <w:tr>
        <w:trPr>
          <w:trHeight w:val="213"/>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Placebo</w:t>
            </w: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&lt; 60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+11.7</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+15.6</w:t>
            </w:r>
          </w:p>
        </w:tc>
      </w:tr>
      <w:tr>
        <w:trPr>
          <w:trHeight w:val="210"/>
        </w:trPr>
        <w:tc>
          <w:tcPr>
            <w:tcW w:w="1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(first 26 weeks) /</w:t>
            </w: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(p=0.9877)</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(p=0.0018)</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(p=0.0067)</w:t>
            </w:r>
          </w:p>
        </w:tc>
      </w:tr>
      <w:tr>
        <w:trPr>
          <w:trHeight w:val="188"/>
        </w:trPr>
        <w:tc>
          <w:tcPr>
            <w:tcW w:w="1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TransCon PTH**</w:t>
            </w: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 60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+7.6</w:t>
            </w:r>
          </w:p>
        </w:tc>
      </w:tr>
      <w:tr>
        <w:trPr>
          <w:trHeight w:val="213"/>
        </w:trPr>
        <w:tc>
          <w:tcPr>
            <w:tcW w:w="1660" w:type="dxa"/>
            <w:vAlign w:val="bottom"/>
            <w:tcBorders>
              <w:left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(p=0.3280)</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(p=0.0199)</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(p=0.0121)</w:t>
            </w:r>
          </w:p>
        </w:tc>
      </w:tr>
      <w:tr>
        <w:trPr>
          <w:trHeight w:val="185"/>
        </w:trPr>
        <w:tc>
          <w:tcPr>
            <w:tcW w:w="166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+9.4</w:t>
            </w:r>
          </w:p>
        </w:tc>
      </w:tr>
      <w:tr>
        <w:trPr>
          <w:trHeight w:val="213"/>
        </w:trPr>
        <w:tc>
          <w:tcPr>
            <w:tcW w:w="166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(p=0.3468)</w:t>
            </w:r>
          </w:p>
        </w:tc>
        <w:tc>
          <w:tcPr>
            <w:tcW w:w="6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(p=0.0014)</w:t>
            </w:r>
          </w:p>
        </w:tc>
        <w:tc>
          <w:tcPr>
            <w:tcW w:w="6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(p=0.0006)</w:t>
            </w:r>
          </w:p>
        </w:tc>
      </w:tr>
    </w:tbl>
    <w:p>
      <w:pPr>
        <w:spacing w:after="0" w:line="8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8"/>
          <w:szCs w:val="18"/>
          <w:i w:val="1"/>
          <w:iCs w:val="1"/>
          <w:color w:val="auto"/>
        </w:rPr>
        <w:t>*eGFR (an assessment of kidney filtering capacity) was calculated by the trial’s central lab using the Modification of Diet in Renal Disease Study Group (MDRD) equation (Levey, Ann Intern Med 2006). An eGFR level &lt;60 mL/min/1.73m</w:t>
      </w: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8"/>
          <w:szCs w:val="18"/>
          <w:i w:val="1"/>
          <w:iCs w:val="1"/>
          <w:color w:val="auto"/>
        </w:rPr>
        <w:t xml:space="preserve"> is considered the threshold for impaired kidney function.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in the placebo arm switched to TransCon PTH following the Week 26 visit.</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TransCon PTH treatment was associated with clinically meaningful increases (≥ 5 mL/min/1.73 m2) in eGFR within 26 weeks that were sustained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Week 104 of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6133465" cy="3638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33465" cy="363855"/>
                    </a:xfrm>
                    <a:prstGeom prst="rect">
                      <a:avLst/>
                    </a:prstGeom>
                    <a:noFill/>
                  </pic:spPr>
                </pic:pic>
              </a:graphicData>
            </a:graphic>
          </wp:anchor>
        </w:drawing>
      </w:r>
    </w:p>
    <w:p>
      <w:pPr>
        <w:spacing w:after="0" w:line="189" w:lineRule="exact"/>
        <w:rPr>
          <w:sz w:val="20"/>
          <w:szCs w:val="20"/>
          <w:color w:val="auto"/>
        </w:rPr>
      </w:pPr>
    </w:p>
    <w:p>
      <w:pPr>
        <w:ind w:left="120" w:right="5280"/>
        <w:spacing w:after="0" w:line="260" w:lineRule="auto"/>
        <w:rPr>
          <w:sz w:val="20"/>
          <w:szCs w:val="20"/>
          <w:color w:val="auto"/>
        </w:rPr>
      </w:pPr>
      <w:r>
        <w:rPr>
          <w:rFonts w:ascii="Times New Roman" w:cs="Times New Roman" w:eastAsia="Times New Roman" w:hAnsi="Times New Roman"/>
          <w:sz w:val="16"/>
          <w:szCs w:val="16"/>
          <w:b w:val="1"/>
          <w:bCs w:val="1"/>
          <w:color w:val="auto"/>
        </w:rPr>
        <w:t>Proportion of Participants (%) with ≥ 5 and ≥ 10 mL/min/1.73 m</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 xml:space="preserve"> Increases in eGFR from Baseline through Week 104*</w:t>
      </w:r>
    </w:p>
    <w:tbl>
      <w:tblPr>
        <w:tblLayout w:type="fixed"/>
        <w:tblInd w:w="10" w:type="dxa"/>
        <w:tblCellMar>
          <w:top w:w="0" w:type="dxa"/>
          <w:left w:w="0" w:type="dxa"/>
          <w:bottom w:w="0" w:type="dxa"/>
          <w:right w:w="0" w:type="dxa"/>
        </w:tblCellMar>
      </w:tblPr>
      <w:tr>
        <w:trPr>
          <w:trHeight w:val="325"/>
        </w:trPr>
        <w:tc>
          <w:tcPr>
            <w:tcW w:w="2000" w:type="dxa"/>
            <w:vAlign w:val="bottom"/>
            <w:tcBorders>
              <w:top w:val="single" w:sz="8" w:color="auto"/>
              <w:left w:val="single" w:sz="8" w:color="auto"/>
              <w:bottom w:val="single" w:sz="8" w:color="F2F2F2"/>
              <w:right w:val="single" w:sz="8" w:color="auto"/>
            </w:tcBorders>
            <w:shd w:val="clear" w:color="auto" w:fill="F2F2F2"/>
          </w:tcPr>
          <w:p>
            <w:pPr>
              <w:spacing w:after="0"/>
              <w:rPr>
                <w:sz w:val="24"/>
                <w:szCs w:val="24"/>
                <w:color w:val="auto"/>
              </w:rPr>
            </w:pPr>
          </w:p>
        </w:tc>
        <w:tc>
          <w:tcPr>
            <w:tcW w:w="110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12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240" w:type="dxa"/>
            <w:vAlign w:val="bottom"/>
            <w:tcBorders>
              <w:top w:val="single" w:sz="8" w:color="auto"/>
              <w:bottom w:val="single" w:sz="8" w:color="auto"/>
              <w:right w:val="single" w:sz="8" w:color="F2F2F2"/>
            </w:tcBorders>
            <w:shd w:val="clear" w:color="auto" w:fill="F2F2F2"/>
          </w:tcPr>
          <w:p>
            <w:pPr>
              <w:spacing w:after="0"/>
              <w:rPr>
                <w:sz w:val="20"/>
                <w:szCs w:val="20"/>
                <w:color w:val="auto"/>
              </w:rPr>
            </w:pPr>
            <w:r>
              <w:rPr>
                <w:rFonts w:ascii="Times New Roman" w:cs="Times New Roman" w:eastAsia="Times New Roman" w:hAnsi="Times New Roman"/>
                <w:sz w:val="16"/>
                <w:szCs w:val="16"/>
                <w:b w:val="1"/>
                <w:bCs w:val="1"/>
                <w:color w:val="auto"/>
              </w:rPr>
              <w:t>All Participants</w:t>
            </w:r>
          </w:p>
        </w:tc>
        <w:tc>
          <w:tcPr>
            <w:tcW w:w="150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620" w:type="dxa"/>
            <w:vAlign w:val="bottom"/>
            <w:tcBorders>
              <w:top w:val="single" w:sz="8" w:color="auto"/>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00" w:type="dxa"/>
            <w:vAlign w:val="bottom"/>
            <w:tcBorders>
              <w:left w:val="single" w:sz="8" w:color="auto"/>
              <w:right w:val="single" w:sz="8" w:color="auto"/>
            </w:tcBorders>
            <w:shd w:val="clear" w:color="auto" w:fill="F2F2F2"/>
          </w:tcPr>
          <w:p>
            <w:pPr>
              <w:spacing w:after="0"/>
              <w:rPr>
                <w:sz w:val="24"/>
                <w:szCs w:val="24"/>
                <w:color w:val="auto"/>
              </w:rPr>
            </w:pPr>
          </w:p>
        </w:tc>
        <w:tc>
          <w:tcPr>
            <w:tcW w:w="3300" w:type="dxa"/>
            <w:vAlign w:val="bottom"/>
            <w:tcBorders>
              <w:right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TransCon PTH / TransCon PTH</w:t>
            </w:r>
          </w:p>
        </w:tc>
        <w:tc>
          <w:tcPr>
            <w:tcW w:w="4360" w:type="dxa"/>
            <w:vAlign w:val="bottom"/>
            <w:tcBorders>
              <w:right w:val="single" w:sz="8" w:color="auto"/>
            </w:tcBorders>
            <w:gridSpan w:val="3"/>
            <w:shd w:val="clear" w:color="auto" w:fill="F2F2F2"/>
          </w:tcPr>
          <w:p>
            <w:pPr>
              <w:ind w:left="700"/>
              <w:spacing w:after="0"/>
              <w:rPr>
                <w:sz w:val="20"/>
                <w:szCs w:val="20"/>
                <w:color w:val="auto"/>
              </w:rPr>
            </w:pPr>
            <w:r>
              <w:rPr>
                <w:rFonts w:ascii="Times New Roman" w:cs="Times New Roman" w:eastAsia="Times New Roman" w:hAnsi="Times New Roman"/>
                <w:sz w:val="16"/>
                <w:szCs w:val="16"/>
                <w:b w:val="1"/>
                <w:bCs w:val="1"/>
                <w:color w:val="auto"/>
              </w:rPr>
              <w:t>Placebo (first 26 weeks) / TransCon PTH**</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bottom w:val="single" w:sz="8" w:color="F2F2F2"/>
              <w:right w:val="single" w:sz="8" w:color="auto"/>
            </w:tcBorders>
            <w:shd w:val="clear" w:color="auto" w:fill="F2F2F2"/>
          </w:tcPr>
          <w:p>
            <w:pPr>
              <w:spacing w:after="0"/>
              <w:rPr>
                <w:sz w:val="19"/>
                <w:szCs w:val="19"/>
                <w:color w:val="auto"/>
              </w:rPr>
            </w:pPr>
          </w:p>
        </w:tc>
        <w:tc>
          <w:tcPr>
            <w:tcW w:w="1100" w:type="dxa"/>
            <w:vAlign w:val="bottom"/>
            <w:tcBorders>
              <w:bottom w:val="single" w:sz="8" w:color="auto"/>
              <w:right w:val="single" w:sz="8" w:color="F2F2F2"/>
            </w:tcBorders>
            <w:shd w:val="clear" w:color="auto" w:fill="F2F2F2"/>
          </w:tcPr>
          <w:p>
            <w:pPr>
              <w:spacing w:after="0"/>
              <w:rPr>
                <w:sz w:val="19"/>
                <w:szCs w:val="19"/>
                <w:color w:val="auto"/>
              </w:rPr>
            </w:pPr>
          </w:p>
        </w:tc>
        <w:tc>
          <w:tcPr>
            <w:tcW w:w="112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(n=61)</w:t>
            </w:r>
          </w:p>
        </w:tc>
        <w:tc>
          <w:tcPr>
            <w:tcW w:w="1080" w:type="dxa"/>
            <w:vAlign w:val="bottom"/>
            <w:tcBorders>
              <w:bottom w:val="single" w:sz="8" w:color="auto"/>
              <w:right w:val="single" w:sz="8" w:color="auto"/>
            </w:tcBorders>
            <w:shd w:val="clear" w:color="auto" w:fill="F2F2F2"/>
          </w:tcPr>
          <w:p>
            <w:pPr>
              <w:spacing w:after="0"/>
              <w:rPr>
                <w:sz w:val="19"/>
                <w:szCs w:val="19"/>
                <w:color w:val="auto"/>
              </w:rPr>
            </w:pPr>
          </w:p>
        </w:tc>
        <w:tc>
          <w:tcPr>
            <w:tcW w:w="1240" w:type="dxa"/>
            <w:vAlign w:val="bottom"/>
            <w:tcBorders>
              <w:bottom w:val="single" w:sz="8" w:color="auto"/>
              <w:right w:val="single" w:sz="8" w:color="F2F2F2"/>
            </w:tcBorders>
            <w:shd w:val="clear" w:color="auto" w:fill="F2F2F2"/>
          </w:tcPr>
          <w:p>
            <w:pPr>
              <w:spacing w:after="0"/>
              <w:rPr>
                <w:sz w:val="19"/>
                <w:szCs w:val="19"/>
                <w:color w:val="auto"/>
              </w:rPr>
            </w:pPr>
          </w:p>
        </w:tc>
        <w:tc>
          <w:tcPr>
            <w:tcW w:w="1500" w:type="dxa"/>
            <w:vAlign w:val="bottom"/>
            <w:tcBorders>
              <w:bottom w:val="single" w:sz="8" w:color="auto"/>
              <w:right w:val="single" w:sz="8" w:color="F2F2F2"/>
            </w:tcBorders>
            <w:shd w:val="clear" w:color="auto" w:fill="F2F2F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(n=21)</w:t>
            </w:r>
          </w:p>
        </w:tc>
        <w:tc>
          <w:tcPr>
            <w:tcW w:w="1620" w:type="dxa"/>
            <w:vAlign w:val="bottom"/>
            <w:tcBorders>
              <w:bottom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00" w:type="dxa"/>
            <w:vAlign w:val="bottom"/>
            <w:tcBorders>
              <w:left w:val="single" w:sz="8" w:color="auto"/>
              <w:bottom w:val="single" w:sz="8" w:color="F2F2F2"/>
              <w:right w:val="single" w:sz="8" w:color="auto"/>
            </w:tcBorders>
            <w:vMerge w:val="restart"/>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w:t>
            </w:r>
          </w:p>
        </w:tc>
        <w:tc>
          <w:tcPr>
            <w:tcW w:w="1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26</w:t>
            </w:r>
          </w:p>
        </w:tc>
        <w:tc>
          <w:tcPr>
            <w:tcW w:w="11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52</w:t>
            </w:r>
          </w:p>
        </w:tc>
        <w:tc>
          <w:tcPr>
            <w:tcW w:w="10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1240" w:type="dxa"/>
            <w:vAlign w:val="bottom"/>
            <w:tcBorders>
              <w:bottom w:val="single" w:sz="8" w:color="auto"/>
              <w:right w:val="single" w:sz="8" w:color="auto"/>
            </w:tcBorders>
            <w:shd w:val="clear" w:color="auto" w:fill="F2F2F2"/>
          </w:tcPr>
          <w:p>
            <w:pPr>
              <w:ind w:left="340"/>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52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0" w:type="dxa"/>
            <w:vAlign w:val="bottom"/>
          </w:tcPr>
          <w:p>
            <w:pPr>
              <w:spacing w:after="0"/>
              <w:rPr>
                <w:sz w:val="1"/>
                <w:szCs w:val="1"/>
                <w:color w:val="auto"/>
              </w:rPr>
            </w:pPr>
          </w:p>
        </w:tc>
      </w:tr>
      <w:tr>
        <w:trPr>
          <w:trHeight w:val="106"/>
        </w:trPr>
        <w:tc>
          <w:tcPr>
            <w:tcW w:w="200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100" w:type="dxa"/>
            <w:vAlign w:val="bottom"/>
            <w:tcBorders>
              <w:right w:val="single" w:sz="8" w:color="auto"/>
            </w:tcBorders>
            <w:shd w:val="clear" w:color="auto" w:fill="F2F2F2"/>
          </w:tcPr>
          <w:p>
            <w:pPr>
              <w:spacing w:after="0"/>
              <w:rPr>
                <w:sz w:val="9"/>
                <w:szCs w:val="9"/>
                <w:color w:val="auto"/>
              </w:rPr>
            </w:pPr>
          </w:p>
        </w:tc>
        <w:tc>
          <w:tcPr>
            <w:tcW w:w="1120" w:type="dxa"/>
            <w:vAlign w:val="bottom"/>
            <w:tcBorders>
              <w:right w:val="single" w:sz="8" w:color="auto"/>
            </w:tcBorders>
            <w:shd w:val="clear" w:color="auto" w:fill="F2F2F2"/>
          </w:tcPr>
          <w:p>
            <w:pPr>
              <w:spacing w:after="0"/>
              <w:rPr>
                <w:sz w:val="9"/>
                <w:szCs w:val="9"/>
                <w:color w:val="auto"/>
              </w:rPr>
            </w:pPr>
          </w:p>
        </w:tc>
        <w:tc>
          <w:tcPr>
            <w:tcW w:w="1080" w:type="dxa"/>
            <w:vAlign w:val="bottom"/>
            <w:tcBorders>
              <w:right w:val="single" w:sz="8" w:color="auto"/>
            </w:tcBorders>
            <w:shd w:val="clear" w:color="auto" w:fill="F2F2F2"/>
          </w:tcPr>
          <w:p>
            <w:pPr>
              <w:spacing w:after="0"/>
              <w:rPr>
                <w:sz w:val="9"/>
                <w:szCs w:val="9"/>
                <w:color w:val="auto"/>
              </w:rPr>
            </w:pPr>
          </w:p>
        </w:tc>
        <w:tc>
          <w:tcPr>
            <w:tcW w:w="1240" w:type="dxa"/>
            <w:vAlign w:val="bottom"/>
            <w:tcBorders>
              <w:right w:val="single" w:sz="8" w:color="auto"/>
            </w:tcBorders>
            <w:shd w:val="clear" w:color="auto" w:fill="F2F2F2"/>
          </w:tcPr>
          <w:p>
            <w:pPr>
              <w:spacing w:after="0"/>
              <w:rPr>
                <w:sz w:val="9"/>
                <w:szCs w:val="9"/>
                <w:color w:val="auto"/>
              </w:rPr>
            </w:pPr>
          </w:p>
        </w:tc>
        <w:tc>
          <w:tcPr>
            <w:tcW w:w="1500" w:type="dxa"/>
            <w:vAlign w:val="bottom"/>
            <w:tcBorders>
              <w:right w:val="single" w:sz="8" w:color="auto"/>
            </w:tcBorders>
            <w:shd w:val="clear" w:color="auto" w:fill="F2F2F2"/>
          </w:tcPr>
          <w:p>
            <w:pPr>
              <w:spacing w:after="0"/>
              <w:rPr>
                <w:sz w:val="9"/>
                <w:szCs w:val="9"/>
                <w:color w:val="auto"/>
              </w:rPr>
            </w:pPr>
          </w:p>
        </w:tc>
        <w:tc>
          <w:tcPr>
            <w:tcW w:w="162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Baseline</w:t>
            </w:r>
          </w:p>
        </w:tc>
        <w:tc>
          <w:tcPr>
            <w:tcW w:w="1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1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0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PTH</w:t>
            </w:r>
          </w:p>
        </w:tc>
        <w:tc>
          <w:tcPr>
            <w:tcW w:w="1240" w:type="dxa"/>
            <w:vAlign w:val="bottom"/>
            <w:tcBorders>
              <w:bottom w:val="single" w:sz="8" w:color="auto"/>
              <w:right w:val="single" w:sz="8" w:color="auto"/>
            </w:tcBorders>
            <w:shd w:val="clear" w:color="auto" w:fill="F2F2F2"/>
          </w:tcPr>
          <w:p>
            <w:pPr>
              <w:ind w:left="380"/>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0" w:type="dxa"/>
            <w:vAlign w:val="bottom"/>
          </w:tcPr>
          <w:p>
            <w:pPr>
              <w:spacing w:after="0"/>
              <w:rPr>
                <w:sz w:val="1"/>
                <w:szCs w:val="1"/>
                <w:color w:val="auto"/>
              </w:rPr>
            </w:pPr>
          </w:p>
        </w:tc>
      </w:tr>
      <w:tr>
        <w:trPr>
          <w:trHeight w:val="338"/>
        </w:trPr>
        <w:tc>
          <w:tcPr>
            <w:tcW w:w="2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 mL/min/1.73 m</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24%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1"/>
        </w:trPr>
        <w:tc>
          <w:tcPr>
            <w:tcW w:w="2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 mL/min/1.73 m</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46%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66"/>
        </w:trPr>
        <w:tc>
          <w:tcPr>
            <w:tcW w:w="2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00" w:type="dxa"/>
            <w:vAlign w:val="bottom"/>
            <w:tcBorders>
              <w:top w:val="single" w:sz="8" w:color="auto"/>
              <w:left w:val="single" w:sz="8" w:color="auto"/>
              <w:bottom w:val="single" w:sz="8" w:color="F2F2F2"/>
              <w:right w:val="single" w:sz="8" w:color="auto"/>
            </w:tcBorders>
            <w:shd w:val="clear" w:color="auto" w:fill="F2F2F2"/>
          </w:tcPr>
          <w:p>
            <w:pPr>
              <w:spacing w:after="0"/>
              <w:rPr>
                <w:sz w:val="24"/>
                <w:szCs w:val="24"/>
                <w:color w:val="auto"/>
              </w:rPr>
            </w:pPr>
          </w:p>
        </w:tc>
        <w:tc>
          <w:tcPr>
            <w:tcW w:w="1100" w:type="dxa"/>
            <w:vAlign w:val="bottom"/>
            <w:tcBorders>
              <w:top w:val="single" w:sz="8" w:color="F2F2F2"/>
              <w:bottom w:val="single" w:sz="8" w:color="auto"/>
              <w:right w:val="single" w:sz="8" w:color="F2F2F2"/>
            </w:tcBorders>
            <w:shd w:val="clear" w:color="auto" w:fill="F2F2F2"/>
          </w:tcPr>
          <w:p>
            <w:pPr>
              <w:spacing w:after="0"/>
              <w:rPr>
                <w:sz w:val="24"/>
                <w:szCs w:val="24"/>
                <w:color w:val="auto"/>
              </w:rPr>
            </w:pPr>
          </w:p>
        </w:tc>
        <w:tc>
          <w:tcPr>
            <w:tcW w:w="4940" w:type="dxa"/>
            <w:vAlign w:val="bottom"/>
            <w:tcBorders>
              <w:top w:val="single" w:sz="8" w:color="F2F2F2"/>
              <w:bottom w:val="single" w:sz="8" w:color="auto"/>
              <w:right w:val="single" w:sz="8" w:color="F2F2F2"/>
            </w:tcBorders>
            <w:gridSpan w:val="4"/>
            <w:shd w:val="clear" w:color="auto" w:fill="F2F2F2"/>
          </w:tcPr>
          <w:p>
            <w:pPr>
              <w:ind w:left="860"/>
              <w:spacing w:after="0"/>
              <w:rPr>
                <w:sz w:val="20"/>
                <w:szCs w:val="20"/>
                <w:color w:val="auto"/>
              </w:rPr>
            </w:pPr>
            <w:r>
              <w:rPr>
                <w:rFonts w:ascii="Times New Roman" w:cs="Times New Roman" w:eastAsia="Times New Roman" w:hAnsi="Times New Roman"/>
                <w:sz w:val="16"/>
                <w:szCs w:val="16"/>
                <w:b w:val="1"/>
                <w:bCs w:val="1"/>
                <w:color w:val="auto"/>
              </w:rPr>
              <w:t>Participants with Baseline eGFR &lt; 60 mL/min/1.73 m</w:t>
            </w:r>
            <w:r>
              <w:rPr>
                <w:rFonts w:ascii="Times New Roman" w:cs="Times New Roman" w:eastAsia="Times New Roman" w:hAnsi="Times New Roman"/>
                <w:sz w:val="21"/>
                <w:szCs w:val="21"/>
                <w:b w:val="1"/>
                <w:bCs w:val="1"/>
                <w:color w:val="auto"/>
                <w:vertAlign w:val="superscript"/>
              </w:rPr>
              <w:t>2</w:t>
            </w:r>
          </w:p>
        </w:tc>
        <w:tc>
          <w:tcPr>
            <w:tcW w:w="1620" w:type="dxa"/>
            <w:vAlign w:val="bottom"/>
            <w:tcBorders>
              <w:top w:val="single" w:sz="8" w:color="F2F2F2"/>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00" w:type="dxa"/>
            <w:vAlign w:val="bottom"/>
            <w:tcBorders>
              <w:left w:val="single" w:sz="8" w:color="auto"/>
              <w:right w:val="single" w:sz="8" w:color="auto"/>
            </w:tcBorders>
            <w:shd w:val="clear" w:color="auto" w:fill="F2F2F2"/>
          </w:tcPr>
          <w:p>
            <w:pPr>
              <w:spacing w:after="0"/>
              <w:rPr>
                <w:sz w:val="24"/>
                <w:szCs w:val="24"/>
                <w:color w:val="auto"/>
              </w:rPr>
            </w:pPr>
          </w:p>
        </w:tc>
        <w:tc>
          <w:tcPr>
            <w:tcW w:w="3300" w:type="dxa"/>
            <w:vAlign w:val="bottom"/>
            <w:tcBorders>
              <w:right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TransCon PTH / TransCon PTH</w:t>
            </w:r>
          </w:p>
        </w:tc>
        <w:tc>
          <w:tcPr>
            <w:tcW w:w="4360" w:type="dxa"/>
            <w:vAlign w:val="bottom"/>
            <w:tcBorders>
              <w:right w:val="single" w:sz="8" w:color="auto"/>
            </w:tcBorders>
            <w:gridSpan w:val="3"/>
            <w:shd w:val="clear" w:color="auto" w:fill="F2F2F2"/>
          </w:tcPr>
          <w:p>
            <w:pPr>
              <w:ind w:left="700"/>
              <w:spacing w:after="0"/>
              <w:rPr>
                <w:sz w:val="20"/>
                <w:szCs w:val="20"/>
                <w:color w:val="auto"/>
              </w:rPr>
            </w:pPr>
            <w:r>
              <w:rPr>
                <w:rFonts w:ascii="Times New Roman" w:cs="Times New Roman" w:eastAsia="Times New Roman" w:hAnsi="Times New Roman"/>
                <w:sz w:val="16"/>
                <w:szCs w:val="16"/>
                <w:b w:val="1"/>
                <w:bCs w:val="1"/>
                <w:color w:val="auto"/>
              </w:rPr>
              <w:t>Placebo (first 26 weeks) / TransCon PTH**</w:t>
            </w:r>
          </w:p>
        </w:tc>
        <w:tc>
          <w:tcPr>
            <w:tcW w:w="0" w:type="dxa"/>
            <w:vAlign w:val="bottom"/>
          </w:tcPr>
          <w:p>
            <w:pPr>
              <w:spacing w:after="0"/>
              <w:rPr>
                <w:sz w:val="1"/>
                <w:szCs w:val="1"/>
                <w:color w:val="auto"/>
              </w:rPr>
            </w:pPr>
          </w:p>
        </w:tc>
      </w:tr>
      <w:tr>
        <w:trPr>
          <w:trHeight w:val="225"/>
        </w:trPr>
        <w:tc>
          <w:tcPr>
            <w:tcW w:w="2000" w:type="dxa"/>
            <w:vAlign w:val="bottom"/>
            <w:tcBorders>
              <w:left w:val="single" w:sz="8" w:color="auto"/>
              <w:bottom w:val="single" w:sz="8" w:color="F2F2F2"/>
              <w:right w:val="single" w:sz="8" w:color="auto"/>
            </w:tcBorders>
            <w:shd w:val="clear" w:color="auto" w:fill="F2F2F2"/>
          </w:tcPr>
          <w:p>
            <w:pPr>
              <w:spacing w:after="0"/>
              <w:rPr>
                <w:sz w:val="19"/>
                <w:szCs w:val="19"/>
                <w:color w:val="auto"/>
              </w:rPr>
            </w:pPr>
          </w:p>
        </w:tc>
        <w:tc>
          <w:tcPr>
            <w:tcW w:w="1100" w:type="dxa"/>
            <w:vAlign w:val="bottom"/>
            <w:tcBorders>
              <w:bottom w:val="single" w:sz="8" w:color="auto"/>
              <w:right w:val="single" w:sz="8" w:color="F2F2F2"/>
            </w:tcBorders>
            <w:shd w:val="clear" w:color="auto" w:fill="F2F2F2"/>
          </w:tcPr>
          <w:p>
            <w:pPr>
              <w:spacing w:after="0"/>
              <w:rPr>
                <w:sz w:val="19"/>
                <w:szCs w:val="19"/>
                <w:color w:val="auto"/>
              </w:rPr>
            </w:pPr>
          </w:p>
        </w:tc>
        <w:tc>
          <w:tcPr>
            <w:tcW w:w="112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(n=19)</w:t>
            </w:r>
          </w:p>
        </w:tc>
        <w:tc>
          <w:tcPr>
            <w:tcW w:w="1080" w:type="dxa"/>
            <w:vAlign w:val="bottom"/>
            <w:tcBorders>
              <w:bottom w:val="single" w:sz="8" w:color="auto"/>
              <w:right w:val="single" w:sz="8" w:color="auto"/>
            </w:tcBorders>
            <w:shd w:val="clear" w:color="auto" w:fill="F2F2F2"/>
          </w:tcPr>
          <w:p>
            <w:pPr>
              <w:spacing w:after="0"/>
              <w:rPr>
                <w:sz w:val="19"/>
                <w:szCs w:val="19"/>
                <w:color w:val="auto"/>
              </w:rPr>
            </w:pPr>
          </w:p>
        </w:tc>
        <w:tc>
          <w:tcPr>
            <w:tcW w:w="1240" w:type="dxa"/>
            <w:vAlign w:val="bottom"/>
            <w:tcBorders>
              <w:bottom w:val="single" w:sz="8" w:color="auto"/>
              <w:right w:val="single" w:sz="8" w:color="F2F2F2"/>
            </w:tcBorders>
            <w:shd w:val="clear" w:color="auto" w:fill="F2F2F2"/>
          </w:tcPr>
          <w:p>
            <w:pPr>
              <w:spacing w:after="0"/>
              <w:rPr>
                <w:sz w:val="19"/>
                <w:szCs w:val="19"/>
                <w:color w:val="auto"/>
              </w:rPr>
            </w:pPr>
          </w:p>
        </w:tc>
        <w:tc>
          <w:tcPr>
            <w:tcW w:w="1500" w:type="dxa"/>
            <w:vAlign w:val="bottom"/>
            <w:tcBorders>
              <w:bottom w:val="single" w:sz="8" w:color="auto"/>
              <w:right w:val="single" w:sz="8" w:color="F2F2F2"/>
            </w:tcBorders>
            <w:shd w:val="clear" w:color="auto" w:fill="F2F2F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(n=4)</w:t>
            </w:r>
          </w:p>
        </w:tc>
        <w:tc>
          <w:tcPr>
            <w:tcW w:w="1620" w:type="dxa"/>
            <w:vAlign w:val="bottom"/>
            <w:tcBorders>
              <w:bottom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00" w:type="dxa"/>
            <w:vAlign w:val="bottom"/>
            <w:tcBorders>
              <w:left w:val="single" w:sz="8" w:color="auto"/>
              <w:bottom w:val="single" w:sz="8" w:color="F2F2F2"/>
              <w:right w:val="single" w:sz="8" w:color="auto"/>
            </w:tcBorders>
            <w:vMerge w:val="restart"/>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w:t>
            </w:r>
          </w:p>
        </w:tc>
        <w:tc>
          <w:tcPr>
            <w:tcW w:w="1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26</w:t>
            </w:r>
          </w:p>
        </w:tc>
        <w:tc>
          <w:tcPr>
            <w:tcW w:w="11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52</w:t>
            </w:r>
          </w:p>
        </w:tc>
        <w:tc>
          <w:tcPr>
            <w:tcW w:w="10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1240" w:type="dxa"/>
            <w:vAlign w:val="bottom"/>
            <w:tcBorders>
              <w:bottom w:val="single" w:sz="8" w:color="auto"/>
              <w:right w:val="single" w:sz="8" w:color="auto"/>
            </w:tcBorders>
            <w:shd w:val="clear" w:color="auto" w:fill="F2F2F2"/>
          </w:tcPr>
          <w:p>
            <w:pPr>
              <w:ind w:left="340"/>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Week 52</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0" w:type="dxa"/>
            <w:vAlign w:val="bottom"/>
          </w:tcPr>
          <w:p>
            <w:pPr>
              <w:spacing w:after="0"/>
              <w:rPr>
                <w:sz w:val="1"/>
                <w:szCs w:val="1"/>
                <w:color w:val="auto"/>
              </w:rPr>
            </w:pPr>
          </w:p>
        </w:tc>
      </w:tr>
      <w:tr>
        <w:trPr>
          <w:trHeight w:val="106"/>
        </w:trPr>
        <w:tc>
          <w:tcPr>
            <w:tcW w:w="200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100" w:type="dxa"/>
            <w:vAlign w:val="bottom"/>
            <w:tcBorders>
              <w:right w:val="single" w:sz="8" w:color="auto"/>
            </w:tcBorders>
            <w:shd w:val="clear" w:color="auto" w:fill="F2F2F2"/>
          </w:tcPr>
          <w:p>
            <w:pPr>
              <w:spacing w:after="0"/>
              <w:rPr>
                <w:sz w:val="9"/>
                <w:szCs w:val="9"/>
                <w:color w:val="auto"/>
              </w:rPr>
            </w:pPr>
          </w:p>
        </w:tc>
        <w:tc>
          <w:tcPr>
            <w:tcW w:w="1120" w:type="dxa"/>
            <w:vAlign w:val="bottom"/>
            <w:tcBorders>
              <w:right w:val="single" w:sz="8" w:color="auto"/>
            </w:tcBorders>
            <w:shd w:val="clear" w:color="auto" w:fill="F2F2F2"/>
          </w:tcPr>
          <w:p>
            <w:pPr>
              <w:spacing w:after="0"/>
              <w:rPr>
                <w:sz w:val="9"/>
                <w:szCs w:val="9"/>
                <w:color w:val="auto"/>
              </w:rPr>
            </w:pPr>
          </w:p>
        </w:tc>
        <w:tc>
          <w:tcPr>
            <w:tcW w:w="1080" w:type="dxa"/>
            <w:vAlign w:val="bottom"/>
            <w:tcBorders>
              <w:right w:val="single" w:sz="8" w:color="auto"/>
            </w:tcBorders>
            <w:shd w:val="clear" w:color="auto" w:fill="F2F2F2"/>
          </w:tcPr>
          <w:p>
            <w:pPr>
              <w:spacing w:after="0"/>
              <w:rPr>
                <w:sz w:val="9"/>
                <w:szCs w:val="9"/>
                <w:color w:val="auto"/>
              </w:rPr>
            </w:pPr>
          </w:p>
        </w:tc>
        <w:tc>
          <w:tcPr>
            <w:tcW w:w="1240" w:type="dxa"/>
            <w:vAlign w:val="bottom"/>
            <w:tcBorders>
              <w:right w:val="single" w:sz="8" w:color="auto"/>
            </w:tcBorders>
            <w:shd w:val="clear" w:color="auto" w:fill="F2F2F2"/>
          </w:tcPr>
          <w:p>
            <w:pPr>
              <w:spacing w:after="0"/>
              <w:rPr>
                <w:sz w:val="9"/>
                <w:szCs w:val="9"/>
                <w:color w:val="auto"/>
              </w:rPr>
            </w:pPr>
          </w:p>
        </w:tc>
        <w:tc>
          <w:tcPr>
            <w:tcW w:w="1500" w:type="dxa"/>
            <w:vAlign w:val="bottom"/>
            <w:tcBorders>
              <w:right w:val="single" w:sz="8" w:color="auto"/>
            </w:tcBorders>
            <w:shd w:val="clear" w:color="auto" w:fill="F2F2F2"/>
          </w:tcPr>
          <w:p>
            <w:pPr>
              <w:spacing w:after="0"/>
              <w:rPr>
                <w:sz w:val="9"/>
                <w:szCs w:val="9"/>
                <w:color w:val="auto"/>
              </w:rPr>
            </w:pPr>
          </w:p>
        </w:tc>
        <w:tc>
          <w:tcPr>
            <w:tcW w:w="162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00" w:type="dxa"/>
            <w:vAlign w:val="bottom"/>
            <w:tcBorders>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Baseline</w:t>
            </w:r>
          </w:p>
        </w:tc>
        <w:tc>
          <w:tcPr>
            <w:tcW w:w="11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1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0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PTH</w:t>
            </w:r>
          </w:p>
        </w:tc>
        <w:tc>
          <w:tcPr>
            <w:tcW w:w="1240" w:type="dxa"/>
            <w:vAlign w:val="bottom"/>
            <w:tcBorders>
              <w:bottom w:val="single" w:sz="8" w:color="auto"/>
              <w:right w:val="single" w:sz="8" w:color="auto"/>
            </w:tcBorders>
            <w:shd w:val="clear" w:color="auto" w:fill="F2F2F2"/>
          </w:tcPr>
          <w:p>
            <w:pPr>
              <w:ind w:left="380"/>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5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0" w:type="dxa"/>
            <w:vAlign w:val="bottom"/>
          </w:tcPr>
          <w:p>
            <w:pPr>
              <w:spacing w:after="0"/>
              <w:rPr>
                <w:sz w:val="1"/>
                <w:szCs w:val="1"/>
                <w:color w:val="auto"/>
              </w:rPr>
            </w:pPr>
          </w:p>
        </w:tc>
      </w:tr>
      <w:tr>
        <w:trPr>
          <w:trHeight w:val="334"/>
        </w:trPr>
        <w:tc>
          <w:tcPr>
            <w:tcW w:w="2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 mL/min/1.73 m</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74%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25%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31"/>
        </w:trPr>
        <w:tc>
          <w:tcPr>
            <w:tcW w:w="2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 mL/min/1.73 m</w:t>
            </w:r>
            <w:r>
              <w:rPr>
                <w:rFonts w:ascii="Times New Roman" w:cs="Times New Roman" w:eastAsia="Times New Roman" w:hAnsi="Times New Roman"/>
                <w:sz w:val="21"/>
                <w:szCs w:val="21"/>
                <w:color w:val="auto"/>
                <w:vertAlign w:val="superscript"/>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53%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*Percentages were calculated based on all participants. Patients who did not have an eGFR assessment at the visit were still included in the denominator.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in the placebo arm switched to TransCon PTH following the Week 26 visit.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2023, we announced one-year (Week 52) data from the open-label extension (“OLE”) portion of the Phase 3 PaTHway Trial of TransCon PTH in adults with hypoparathyroidism. PaTHway is a Phase 3 trial of TransCon PTH with a placebo-controlled 26-week blinded portion and a 156-week OLE portion, designed to evaluate the long-term efficacy and safety of TransCon PTH as a potential hormone therapy for adult patients diagnosed with hypoparathyroidism. Of the 82 study participants dosed, 79 completed blinded treatment and entered the OLE, and 78 (59 TransCon PTH/TransCon PTH, 19 placebo/TransCon PTH) completed Week 52. The data showed that treatment with TransCon PTH resulted in sustained improvements through Week 52, as well as safety and tolerability similar to that reported for the initial 26-week blinded portion of the trial. As of June 30, 2024, 74 out of 79 patients continue in the OLE and have exceeded two years of follow-up in the PaTHway Trial.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As of March 31, 2024, 12 patients continue in the ongoing 3-year extension portion of the PaTHway Japan Trial.</w:t>
      </w:r>
    </w:p>
    <w:p>
      <w:pPr>
        <w:spacing w:after="0" w:line="18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In December 2022, the FDA allowed us to initiate a U.S. expanded access program (“EAP”) for TransCon PTH for eligible adult patients with hypoparathyroidism with prior PTH treatment experience. This EAP program is ongoing.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2022, we announced new Week 110 data from the Phase 2 PaTH Forward Trial showing that long-term therapy with TransCon PTH provided a durable response in adult patients with hypoparathyroidism, as evidenced by maintenance of normal mean serum calcium levels and 93% of patients achieving independence from conventional therapy (no active vitamin D and ≤600 mg/day of calcium). Fifty-seven subjects exceeded three years of follow-up in the PaTH Forward Trial. As of June 30, 2024, 56 out of the 59 patients originally enrolled in the trial continued in the OLE portion and have exceeded four years of follow-up. Three patients withdrew from the trial for reasons unrelated to safety or efficacy of the study drug.</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June 2018, we were granted Orphan Drug Designation (“ODD”) by the FDA, for TransCon PTH for the treatment of hypoparathyroidism. In October 2020, we were granted Orphan designation (“OD”) by the European Commission (“EC”) for TransCon PTH for the treatment of hypoparathyroidism. In July 2021, the Ministry of Health, Labour and Welfare in Japan granted ODD to TransCon PTH for the treatment of hypoparathyroidism.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Achondroplasia</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Achondroplasia is the most common genetic form of skeletal dysplasia leading to disproportionate short stature and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Achondroplasia is primarily caused by gain-of-function variants of the FGFR3 gene resulting in constitutive activation of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 and dysfunction in the skeletal muscle. Preclinical and clinical data show that the CNP pathway helps to counteract the effects of the FGFR3 mutation downstream.</w:t>
      </w:r>
    </w:p>
    <w:p>
      <w:pPr>
        <w:spacing w:after="0" w:line="19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 November 2021, BioMarin Pharmaceutical Inc.’s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(vosoritide) was approved by the FDA and is indicated to increase linear growth in pediatric patients with achondroplasia with open epiphyses. Other companies that are developing therapies for achondroplasia include QED Therapeutics (a BridgeBio company), Sanofi, Ribomic, Tyra Biosciences, and ProLynx.</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Changing the Treatment Paradigm of Achondroplasia</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54610</wp:posOffset>
            </wp:positionV>
            <wp:extent cx="5349240" cy="18942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ACH-AE: Increased incidence of Achondroplasia-related Adverse Events.</w:t>
      </w:r>
    </w:p>
    <w:p>
      <w:pPr>
        <w:spacing w:after="0" w:line="22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HRQoL: Reduced Health-Related Quality of Life; Height; Reduced height. Muscle Strength/Stamina; Reduced muscular functionality, including reduced strength and stamina.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CNP</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Cmax levels that may cause adverse cardiovascular events. We believe the therapeutically sustained release of TransCon CNP offers advantages that may mitigate this issue, leading to more constant CNP exposure at lower Cmax to correlate with better therapeutic outcomes.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CNP for Achondroplasia</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ongoing pivotal ApproaCH Trial, ACcomplisH Trial, our long-term extension trial AttaCH and COACH, are evaluating the safety and efficacy of TransCon CNP in children with achondroplasia. The ongoing reACHin Trial is evaluating the safety, tolerability, and efficacy of TransCon CNP in infants with achondroplasia (aged 0 to &lt; 2 years at the time of randomization).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January 2024, we announced our plan to submit an Investigational New Drug (“IND”) application or similar in the fourth quarter of 2024 to initiate a trial to evaluate TransCon CNP in adults with achondroplasia.</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2023, we announced new analyses demonstrating benefits beyond linear growth from the blinded and ongoing OLE portions of ACcomplisH, a Phase 2 randomized, double-blind, placebo-controlled, dose-escalation trial of TransCon CNP in children ages 2-10 years with achondroplasia. In the trial, all 57 patients have now completed one year of treatment with TransCon CNP at 100 µg/kg/week, the dose agreed with regulatory agencies for the active arm in our pivotal ApproaCH Trial.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analyzed available data for patients who only received TransCon CNP at the 100 µg/kg/week dose in either blinded or OLE part and were treated for one year (n=19), compared to those administered placebo for one year (n=15). Results showed that these TransCon CNP-treated patients (data available for 9-16 patients) showed significant improvements in health-related quality of life and disease impacts compared to those receiving placebo (data available for 5-13 patients).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7" w:name="page38"/>
    <w:bookmarkEnd w:id="37"/>
    <w:p>
      <w:pPr>
        <w:ind w:right="80"/>
        <w:spacing w:after="0" w:line="261" w:lineRule="auto"/>
        <w:rPr>
          <w:sz w:val="20"/>
          <w:szCs w:val="20"/>
          <w:color w:val="auto"/>
        </w:rPr>
      </w:pPr>
      <w:r>
        <w:rPr>
          <w:rFonts w:ascii="Times New Roman" w:cs="Times New Roman" w:eastAsia="Times New Roman" w:hAnsi="Times New Roman"/>
          <w:sz w:val="18"/>
          <w:szCs w:val="18"/>
          <w:color w:val="auto"/>
        </w:rPr>
        <w:t>Assessments were performed with the SF-10 (a 10-item non-disease specific survey of a child’s functional health and well-being that is validated in children ages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SF-10 Physical Summary (p=0.002, ages 5 years and older)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Daily Living Function (p=0.047)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Emotional Well-being (p=0.045)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171450</wp:posOffset>
            </wp:positionV>
            <wp:extent cx="5349240" cy="2263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While the CNP pathway may restore normal growth and skeletal muscle function,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use of TransCon hGH and TransCon CNP together once per week could enable catch up growth beyond normal growth while maintaining benefits on skeletal muscle of continuous CNP exposure. During the fourth quarter of 2023, we filed a Clinical Trial Application for COACH, a Phase 2 open-label single-arm trial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plans to enroll approximately 18 patients (treatment naïve, n=12; prior treatment with TransCon CNP (100 µg/kg/week) for at least 1 year, n=6). Week 26 topline data from the COACH Trial are expected in the second quarter of 2025.</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2023, we announced completion of enrollment in ApproaCH with a total of 84 subjects randomized. U.S. and EU regulatory agencies have endorsed ApproaCH, a global randomized, double-blind, placebo-controlled trial in children ages 2–11 years with achondroplasia, as a pivotal Phase 3 trial. The primary endpoint of the trial is annualized growth velocity at 52 weeks with additional endpoints analyzing achondroplasia-related co-morbidities and quality of life. Topline results from the ApproaCH trial are expected in the third quarter of 2024. In addition, we intend to use the results from ApproaCH in connection with a planned NDA submission to the FDA for TransCon CNP for children with achondroplasia (age 2-11 years) in the first quarter of 2025.</w:t>
      </w:r>
    </w:p>
    <w:p>
      <w:pPr>
        <w:spacing w:after="0" w:line="183"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In November 2022, we announced topline results from ACcomplisH, a Phase 2 randomized, double-blind, placebo-controlled, dose-escalation trial evaluating the safety and efficacy of once-weekly TransCon CNP compared to placebo in children with achondroplasia aged two to ten years old.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annualized growth velocity (“AGV”) at 52 weeks (p=0.0218). All 57 randomized children completed the blinded portion of ACcomplisH and continued in the OLE portion of ACcomplisH at the 100 µg/kg/week dose. As of June 30, 2024, the first 41 patients completed the OLE portion of the ACcomplisH Trial and transitioned into the Phase 2 AttaCH Trial, a multicenter, long-term, open label extension and 40 continue treatment; 14 patients continue in OLE portion of ACcomplisH.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highlights: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demonstrated a consistent dose-dependent increase in AGV across the four dose groups.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improvements in AGV for TransCon CNP-treated patients were consistent across age groups &lt;5 years and &gt;5 years, with dose response established.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at 100 µg/kg/week improved change in achondroplasia-specific height SDS compared to placebo (p=0.0283).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was generally well tolerated, with no discontinuations.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(“SAEs”) related to treatment were reported; two unrelated SAEs were reported.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Injections were generally well tolerated with low frequency of injection site reactions (“ISRs”):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 mild ISRs (in 8 patients) out of &gt;2,000 injections.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Investigator-assessed achondroplasia-related AEs were less frequently reported among participants receiving TransCon CNP (31%; 13/42) compared with placebo (60%; 9/15).</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2019, we initiated the ACHieve Study, a five-year, multi-center natural history study designed to gain insight into the experiences of pediatric patients with achondroplasia. ACHieve is designed to evaluate growth velocity, body proportionality, and comorbidities over time in children with achondroplasia up to eight years old. No study medication was administered in the ACHieve Study. The study ended in the first quarter of 2024.</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February 2019, we were granted ODD by the FDA for TransCon CNP for the treatment of achondroplasia. In July 2020, we received OD from the EC for TransCon CNP for the treatment of achondroplasia.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Candidates—Oncology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Oncology</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Another approach is to target the drug activity into tumors via intratumoral injection using our sustained localized release TransCon hydrogel technology, aiming for high activity in the tumor microenvironment while limiting systemic adverse events. While one intratumoral treatment has been approved for the local treatment of recurrent melanoma, the overall success of intratumoral treatments has been limited to date. This is likely partly due to lack of prolonged intratumoral exposure of active drug levels, resulting in the potential need for more frequent dosing.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Our Solution: TransCon Technologies for Oncology</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currently investigating two clinical-stage product candidates designed to activate the patient’s own immune system to eradicate malignant cells. We believe our approach, if successfully developed, has the potential to improve the efficacy of systemically administered, clinically validated therapies while limiting adverse effects.</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Similarly, with the potential to achieve sustained local release at predictable levels, we believe TransCon hydrogel product candidates may allow for improved efficacy and reduced dosing frequency of intratumorally administered therapies, potentially enabling treatments of multiple tumor types, including those that cannot be easily accessed for frequent injection.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TransCon Product Candidates in Oncology</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TransCon product candidates in oncology are designed to provide sustained systemic or intratumoral administration, which we believe could provide potent and durable anti-tumor efficacy. Our nonclinical studies have shown sustained activation of cytotoxic immune cells that resulted in robust anti-tumor responses by TransCon product candidates using infrequent administration.</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Two of our oncology product candidates, TransCon TLR7/8 Agonist and TransCon IL-2 b/g, are now in clinical development. In addition, we believe that a combination of TransCon TLR7/8 Agonist and TransCon IL-2 b/g may have the potential to produce greater anti-tumor activity than either candidate alone.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TLR7/8 Agonist for sustained localized release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TransCon TLR7/8 Agonist is an investigational long-acting prodrug, designed for sustained intratumoral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has completed dose escalation and is enrolling patients in four indication-specific cohorts where increased TLR7/8 activity has potential to improve innate and adaptive immune activation and host defense against cancers: head and neck squamous cell carcinoma (HNSCC), HPV-associated cancers, melanoma, and cutaneous squamous cell carcinoma (cSCC). Initial data from these cohorts are expected by the end of 2024.</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2023, we announced additional follow-up from the transcendIT-101 Trial indicating further clinical activity in patients receiving TransCon TLR7/8 Agonist as monotherapy or in combination with pembrolizumab. Enrollment continues in the Phase 2 portion of transcendIT-101 at the recommended Phase 2 dose (“RP2D”). Updated clinical data indicate intratumoral TransCon TLR7/8 Agonist was generally well tolerated as monotherapy or when used in combination with pembrolizumab. In addition, monotherapy confirmed response in injected and non-injected tumors was observed, indicating abscopal effect and ability to induce systemic immune effects.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2022, we announced new data (cutoff date of September 21, 2022)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RP2D was declared at 0.5 mg/lesion for up to two lesions, which is being evaluated in four indication specific cohorts.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b/g for sustained systemic release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TransCon IL-2 b/g (onvapegleukin alfa) is an investigational long-acting prodrug designed to improve cancer immunotherapy through sustained release of an IL-2 variant that selectively activates IL-2 b/g, with minimal binding to IL-2Rα. The IL-Believe Trial, a Phase 1/2 clinical trial to evaluate the safety and efficacy of TransCon IL-2 b/g in locally advanced or metastatic solid tumors, alone or in combination with pembrolizumab or standard of care chemotherapy, has completed dose escalation and is enrolling patients in multiple indication-specific dose expansion cohorts, including platinum-resistant ovarian cancer (PROC), cervical cancer, melanoma, non-small cell lung cancer (NSCLC), and small cell lung cancer (SCLC) at the RP2D. Initial data from these cohorts are expected by the end of 2024.</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June 2024, we reported interim results from our ongoing Phase 1/2 IL-Believe Trial of TransCon IL-2 b/g. Data included the first presentation of Phase 2 dose expansion Cohort 4 (TransCon IL-2 β⁄γ in combination with TransCon TLR7/8 Agonist) in post anti-PD-1 melanoma and new analyses of patients from dose escalation cohorts with prior disease progression on checkpoint inhibitors, along with biomarker studies correlating cytotoxic immune cell expansion and clinical benefit. As of the April 16, 2024, data cutoff, confirmed clinical responses were observed in 40% (two out of five) of efficacy-evaluable patients from Cohort 4, suggesting potential synergy of our two novel immunotherapy agents in patients who did not derive sufficient benefit from checkpoint inhibitors. Of efficacy-evaluable patients with prior disease progression on checkpoint inhibitors to date in the IL-Believe Trial, confirmed clinical responses (per RECIST v1.1) were observed in 45% (five out of eleven) administered TransCon IL-2 β/γ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β⁄γ alone or in combination with pembrolizumab or TransCon TLR7/8 Agonist was generally well tolerated with no new safety signals.</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first patient was dosed with the combination of TransCon IL-2 b/g and TransCon TLR7/8 Agonist in the post PD-1 melanoma dose expansion cohort in the IL-Believe Trial.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2023, we announced new and updated data from the ongoing IL-Believe Trial. Forty-six patients were enrolled into dose escalation cohorts: 25 to monotherapy and 21 to combination therapy. As of the August 15, 2023, data cutoff, anti-tumor clinical responses were observed with TransCon IL-2 b/g monotherapy (colorectal cancer with PR) or in combination with pembrolizumab (small cell lung cancer, one with confirmed PR and one ongoing with unconfirmed complete response) in heavily pre-treated patients who previously progressed on checkpoint inhibitors. TransCon IL-2 b/g every three weeks was generally well-tolerated, with no meaningful effect on Tregs and eosinophils.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September 2023, we announced completion of Phase 1 dose escalation in combination with pembrolizumab of the IL-Believe Trial with a total of 21 patients enrolled and RP2D determined at 120 µg/kg IV every three weeks. Twenty-one patients were enrolled.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further evaluate safety and anti-tumor efficacy of TransCon TLR7/8 Agonist and TransCon IL-2 b/g, we are also evaluating these product candidates as neoadjuvant therapy in the ongoing randomized Phase 2 BelieveIT-201 trial in resectable locally advanced head and neck squamous cell carcinoma.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w:t>
      </w:r>
    </w:p>
    <w:p>
      <w:pPr>
        <w:spacing w:after="0" w:line="1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November 2023, we announced that we entered into an exclusive license agreement with Teijin Limited for the further development and commercialization of TransCon hGH, TransCon PTH, and TransCon CNP for endocrinology rare disease in Japan. Under the terms of the agreement with Teijin Limited, we received an upfront payment of $70 million, with additional development and regulatory milestones of up to $175 million, transfer pricing and commercial milestones. In addition, we are eligible to receive royalties on net sales in Japan, of up to mid-20’s percent, varying by product.</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Strategic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43.93% of VISEN’s issued and outstanding shares.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2024, VISEN announced topline data from the 26-week randomized, double-blind, placebo-controlled portion of the Phase 3 PaTHway China Trial of Palopegteriparatide (TransCon PTH) in adults with chronic hypoparathyroidism. A statistically significantly higher proportion of patients treated with palopegteriparatide achieved the primary multi-component endpoint compared to placebo (p-value &lt;0.0001). Palopegteriparatide was generally safe and well-tolerated, with no discontinuations related to study drug. Results were consistent with those announced by Ascendis Pharma for its palopegteriparatide Phase 3 trial.</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March 2024, VISEN announced that the BLA for lonapegsomatropin (TransCon hGH) was accepted by the China National Medical Products Administration. Lonapegsomatropin is the first once-weekly administrated growth hormone approved by both the FDA and EMA for the treatment of pediatric GHD.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November 2023, VISEN announced topline results from the Phase 2 ACcomplisH China Trial in children with achondroplasia aged 2 to 10 years. The trial met its primary objectives, demonstrating that TransCon CNP at 100 µg/kg/week was superior to placebo on the primary efficacy endpoint of AGV at 52 weeks (p=0.018).</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2022, VISEN announced data from its pivotal Phase 3 study of TransCon hGH in children with GHD in China. The trial achieved its primary endpoint; patients treated with TransCon hGH demonstrated greater annualized height velocity at 52-weeks (p=0.0010) compared to patients treated with daily growth hormone with comparable safety and tolerability to daily growth hormone.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2022, VISEN announced it had completed enrollment of the Phase 3 PaTHway China Trial of TransCon PTH.</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China</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Agreements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Shareholders Agreement</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Jan Møller Mikkelsen and Michael Wolff Jensen.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granted Eyconis exclusive rights to develop and commercialize TransCon ophthalmology products globally and received an equity position in the newly formed company. In addition, we will be eligible to receive development, regulatory, and sales milestone payments, plus single digit royalties on global net sales of commercialized products, if any. Eyconis will initially be based in Redwood City, California, and certain employees of Ascendis have joined the newly formed company.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314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6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63,431</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157,790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175,302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295,260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347,954</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profit/(loss)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(133,257 )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(140,838 )</w:t>
            </w: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(182,402 )</w:t>
            </w:r>
          </w:p>
        </w:tc>
        <w:tc>
          <w:tcPr>
            <w:tcW w:w="3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(284,523 )</w:t>
            </w: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profit/(loss) for the period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(109,380 )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(121,433 )</w:t>
            </w: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(240,415 )</w:t>
            </w: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(232,346 )</w:t>
            </w: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(61,307 )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(153,128 )</w:t>
            </w: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(162,890 )</w:t>
            </w:r>
          </w:p>
        </w:tc>
        <w:tc>
          <w:tcPr>
            <w:tcW w:w="3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(300,172 )</w:t>
            </w:r>
          </w:p>
        </w:tc>
      </w:tr>
    </w:tbl>
    <w:p>
      <w:pPr>
        <w:spacing w:after="0" w:line="103"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comprise research and development costs and selling, general and administrative expenses.</w:t>
      </w:r>
    </w:p>
    <w:p>
      <w:pPr>
        <w:spacing w:after="0" w:line="230"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Compared to the three and six months ended June 30, 2023, revenue for the three and six months ended June 30, 2024, primarily benefited from continued demand growth for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in the U.S., non-cash license revenue related to our exclusive license agreement with Eyconis in January 2024, and launch of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in Europe, partly offset by a negative adjustment to prior periods estimates and assumptions for sales deductions related to sale of SKYTROFA.</w:t>
      </w:r>
    </w:p>
    <w:p>
      <w:pPr>
        <w:spacing w:after="0" w:line="20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loss for the three and six months ended June 30, 2024, represented a decrease of €7.6 million and €102.1 million, compared to the same period last year, primarily attributable to lower operating expenses. In addition, the six months ended June 30, 2024 was positively impacted by higher revenue from commercial sales and from non-cash license revenue of €25.6 million related to our exclusive license agreement with Eyconis in January 2024.</w:t>
      </w:r>
    </w:p>
    <w:p>
      <w:pPr>
        <w:spacing w:after="0" w:line="17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We had a net loss of €240.4 million for the six months ended June 30, 2024, compared to a net loss of €232.3 million for the same period last year. Total equity presented a negative balance of €321.1 million as of June 30, 2024, compared to a negative balance of €145.7 million as of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about our results of operations and cash flows are described in the following sections.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for the three and six months ended June 30, 2024, were €36.0 million and €131.9 million, representing a decrease of €11.4 million and an increase of €50.9 million, compared to the same period last year.</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€50.9 million increase for the six months ended June 30, 2024 was primarily attributable to sales of SKYTROFA, recognition of non-cash license revenue of €25.6 million related to our exclusive license agreement with Eyconis in January 2024, and the launch of YORVIPATH, which we began shipping to customers in Europe in the first quarter of 2024. Revenue for the six months ended June 30, 2024, was negatively impacted by an adjustment to estimates and assumptions for sales deductions of €7.6 million, which were attributable to periods prior to January 1, 2024. The adjustment was primarily attributable to a different payer and rebate mix than anticipated, and which provisions for prior periods were based upon.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€11.4 million decrease for the three months ended June 30, 2024, was primarily driven by a negative adjustment to prior periods estimates and assumptions for sales deductions of €27.1 million, where €19.5 million and €7.6 million were attributable to the three months ended March 31, 2024 and periods prior to January 1, 2024, respectively, partly offset by increased sales of SKYTROFA and the launch of YORVIPATH. In addition, the three months ended June 30, 2024 was negatively impacted by lower revenue of €6.9 million, associated with delivering of services under our license and collaboration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quarterly revenue from sale of commercial products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69"/>
        </w:trPr>
        <w:tc>
          <w:tcPr>
            <w:tcW w:w="3440" w:type="dxa"/>
            <w:vAlign w:val="bottom"/>
          </w:tcPr>
          <w:p>
            <w:pPr>
              <w:spacing w:after="0"/>
              <w:rPr>
                <w:sz w:val="14"/>
                <w:szCs w:val="14"/>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4"/>
                <w:szCs w:val="14"/>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69"/>
        </w:trPr>
        <w:tc>
          <w:tcPr>
            <w:tcW w:w="34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23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 of commercial products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35,895</w:t>
            </w:r>
          </w:p>
        </w:tc>
        <w:tc>
          <w:tcPr>
            <w:tcW w:w="1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46,968</w:t>
            </w:r>
          </w:p>
        </w:tc>
        <w:tc>
          <w:tcPr>
            <w:tcW w:w="1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64,249</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31,389</w:t>
            </w:r>
          </w:p>
        </w:tc>
      </w:tr>
      <w:tr>
        <w:trPr>
          <w:trHeight w:val="533"/>
        </w:trPr>
        <w:tc>
          <w:tcPr>
            <w:tcW w:w="3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-1023620</wp:posOffset>
            </wp:positionV>
            <wp:extent cx="128270" cy="196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-1023620</wp:posOffset>
            </wp:positionV>
            <wp:extent cx="128270"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-1023620</wp:posOffset>
            </wp:positionV>
            <wp:extent cx="119380" cy="196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-1023620</wp:posOffset>
            </wp:positionV>
            <wp:extent cx="120015" cy="196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Cost of sales for the three and six months ended June 30, 2024, was €11.5 million and €19.0 million, representing a decrease of €1.5 million and an of increase €1.5 million, compared to the same period last year. This development was primarily attributable to higher volume of commercial sales for the three and six months ended June 30, 2024, offset by lower costs associated with delivering of services under our license and collaboration agreements compared to the same period last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external project costs on the development pipeline and other research and development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820" w:type="dxa"/>
            <w:vAlign w:val="bottom"/>
          </w:tcPr>
          <w:p>
            <w:pPr>
              <w:spacing w:after="0"/>
              <w:rPr>
                <w:sz w:val="14"/>
                <w:szCs w:val="14"/>
                <w:color w:val="auto"/>
              </w:rPr>
            </w:pPr>
          </w:p>
        </w:tc>
        <w:tc>
          <w:tcPr>
            <w:tcW w:w="1760" w:type="dxa"/>
            <w:vAlign w:val="bottom"/>
            <w:gridSpan w:val="3"/>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30,888</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22,614</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ß/γ</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19,728</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TLR7/8 Agonist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Ophthalmology</w:t>
            </w:r>
          </w:p>
        </w:tc>
        <w:tc>
          <w:tcPr>
            <w:tcW w:w="17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40" w:type="dxa"/>
            <w:vAlign w:val="bottom"/>
            <w:shd w:val="clear" w:color="auto" w:fill="CFF0FC"/>
          </w:tcPr>
          <w:p>
            <w:pPr>
              <w:spacing w:after="0"/>
              <w:rPr>
                <w:sz w:val="21"/>
                <w:szCs w:val="21"/>
                <w:color w:val="auto"/>
              </w:rPr>
            </w:pPr>
          </w:p>
        </w:tc>
        <w:tc>
          <w:tcPr>
            <w:tcW w:w="17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43"/>
        </w:trPr>
        <w:tc>
          <w:tcPr>
            <w:tcW w:w="5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project costs </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external project costs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44,881</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60,142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77,220</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123,525</w:t>
            </w: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research and development costs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64,779</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68,583</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research and development costs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38,597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44,879</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76,945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87,609</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83,478</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105,021</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154,165</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-350520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left="520" w:right="200" w:hanging="512"/>
        <w:spacing w:after="0" w:line="298" w:lineRule="auto"/>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2023, other project costs of €3.8 million and €6.6 million were reclassified to Ophthalmology and TransCon IL-2 b/g, with €3.0 million and €4.8 million respectively and €0.8 million and €1.8 million, respectively.</w:t>
      </w:r>
    </w:p>
    <w:p>
      <w:pPr>
        <w:spacing w:after="0" w:line="1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R&amp;D costs for the three and six months ended June 30, 2024, were €83.5 million and €154.2 million, representing a decrease of €21.5 million and €57.0 million, compared to the same period last year. This decrease was primarily due to:</w:t>
      </w:r>
    </w:p>
    <w:p>
      <w:pPr>
        <w:spacing w:after="0" w:line="54" w:lineRule="exact"/>
        <w:rPr>
          <w:sz w:val="20"/>
          <w:szCs w:val="20"/>
          <w:color w:val="auto"/>
        </w:rPr>
      </w:pPr>
    </w:p>
    <w:p>
      <w:pPr>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our endocrinology rare disease pipeline, especially regarding TransCon hGH and TransCon PTH. In addition, the six months ended June 30, 2024 includes reversal (income) of prior period write-downs of pre-launch inventories for TransCon PTH of €10.6 million due to the launch of YORVIPATH in the EU in the first quarter of 2024;</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development activities on our TransCon TLR7/8 Agonist and TransCon IL-2 b/g programs, partly offset by increased clinical trial activities;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Ceassation of ophthalmology expenses, including employee costs, due to the grant of exclusive rights to develop and commercialize TransCon ophthalmology to Eyconis in January 2024; partly offset by higher costs for TransCon CNP, including write-downs on pre-launch inventories.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quarterly external project costs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4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8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(6,319 )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b/g</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TLR7/8 Agonist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Ophthalmology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project costs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external project costs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60,142</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73,913</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48,958</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32,339</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6"/>
        </w:trPr>
        <w:tc>
          <w:tcPr>
            <w:tcW w:w="438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-847725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-847725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-847725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-847725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366"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selling, general and administrative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6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1740" w:type="dxa"/>
            <w:vAlign w:val="bottom"/>
            <w:gridSpan w:val="3"/>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68,951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20"/>
                <w:szCs w:val="20"/>
                <w:color w:val="auto"/>
              </w:rPr>
            </w:pPr>
          </w:p>
        </w:tc>
      </w:tr>
      <w:tr>
        <w:trPr>
          <w:trHeight w:val="278"/>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74,312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70,281</w:t>
            </w: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141,096</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and six months ended June 30, 2024, were €74.3 million and €141.1 million, representing an increase of €4.0 million and €4.3 million, compared to the same period last year. This increase was primarily due to higher employee costs, including the impact from commercial expansion. Other costs decreased primarily due to lower pre-launch and other administrative costs, partly offset by higher costs related to the European launch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quarterly SG&amp;A expenses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4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80" w:type="dxa"/>
            <w:vAlign w:val="bottom"/>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70,281</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63,614</w:t>
            </w:r>
          </w:p>
        </w:tc>
        <w:tc>
          <w:tcPr>
            <w:tcW w:w="2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63,975</w:t>
            </w: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66,783</w:t>
            </w:r>
          </w:p>
        </w:tc>
        <w:tc>
          <w:tcPr>
            <w:tcW w:w="2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74,312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438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-864870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-848360</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-864870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-848360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-864870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-848360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-848360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result of net finance income and expenses, further disaggregated into cash and non-cash items: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14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income/(expenses)</w:t>
            </w: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80,374</w:t>
            </w:r>
          </w:p>
        </w:tc>
        <w:tc>
          <w:tcPr>
            <w:tcW w:w="100" w:type="dxa"/>
            <w:vAlign w:val="bottom"/>
          </w:tcPr>
          <w:p>
            <w:pPr>
              <w:spacing w:after="0"/>
              <w:rPr>
                <w:sz w:val="20"/>
                <w:szCs w:val="20"/>
                <w:color w:val="auto"/>
              </w:rPr>
            </w:pPr>
          </w:p>
        </w:tc>
      </w:tr>
      <w:tr>
        <w:trPr>
          <w:trHeight w:val="243"/>
        </w:trPr>
        <w:tc>
          <w:tcPr>
            <w:tcW w:w="5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(19,624 )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(9,334 )</w:t>
            </w: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(58,553 )</w:t>
            </w:r>
          </w:p>
        </w:tc>
        <w:tc>
          <w:tcPr>
            <w:tcW w:w="3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(18,652 )</w:t>
            </w:r>
          </w:p>
        </w:tc>
      </w:tr>
      <w:tr>
        <w:trPr>
          <w:trHeight w:val="20"/>
        </w:trPr>
        <w:tc>
          <w:tcPr>
            <w:tcW w:w="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29,428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26,427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(44,158 )</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61,722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5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in cash and non-cash items</w:t>
            </w:r>
          </w:p>
        </w:tc>
        <w:tc>
          <w:tcPr>
            <w:tcW w:w="1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89"/>
        </w:trPr>
        <w:tc>
          <w:tcPr>
            <w:tcW w:w="57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items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1"/>
        </w:trPr>
        <w:tc>
          <w:tcPr>
            <w:tcW w:w="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received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expenses paid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(6,837 )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(6,841 )</w:t>
            </w: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(7,714 )</w:t>
            </w:r>
          </w:p>
        </w:tc>
        <w:tc>
          <w:tcPr>
            <w:tcW w:w="3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(7,746 )</w:t>
            </w:r>
          </w:p>
        </w:tc>
      </w:tr>
      <w:tr>
        <w:trPr>
          <w:trHeight w:val="193"/>
        </w:trPr>
        <w:tc>
          <w:tcPr>
            <w:tcW w:w="20" w:type="dxa"/>
            <w:vAlign w:val="bottom"/>
            <w:shd w:val="clear" w:color="auto" w:fill="CFF0FC"/>
          </w:tcPr>
          <w:p>
            <w:pPr>
              <w:spacing w:after="0"/>
              <w:rPr>
                <w:sz w:val="16"/>
                <w:szCs w:val="16"/>
                <w:color w:val="auto"/>
              </w:rPr>
            </w:pPr>
          </w:p>
        </w:tc>
        <w:tc>
          <w:tcPr>
            <w:tcW w:w="5740" w:type="dxa"/>
            <w:vAlign w:val="bottom"/>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Non-cash items</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auto"/>
            </w:tcBorders>
            <w:shd w:val="clear" w:color="auto" w:fill="CFF0FC"/>
          </w:tcPr>
          <w:p>
            <w:pPr>
              <w:spacing w:after="0"/>
              <w:rPr>
                <w:sz w:val="2"/>
                <w:szCs w:val="2"/>
                <w:color w:val="auto"/>
              </w:rPr>
            </w:pPr>
          </w:p>
        </w:tc>
        <w:tc>
          <w:tcPr>
            <w:tcW w:w="320" w:type="dxa"/>
            <w:vAlign w:val="bottom"/>
            <w:tcBorders>
              <w:top w:val="single" w:sz="8" w:color="auto"/>
            </w:tcBorders>
            <w:shd w:val="clear" w:color="auto" w:fill="CFF0FC"/>
          </w:tcPr>
          <w:p>
            <w:pPr>
              <w:spacing w:after="0"/>
              <w:rPr>
                <w:sz w:val="2"/>
                <w:szCs w:val="2"/>
                <w:color w:val="auto"/>
              </w:rPr>
            </w:pPr>
          </w:p>
        </w:tc>
        <w:tc>
          <w:tcPr>
            <w:tcW w:w="462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Remeasurement gain/(loss) of financial 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(7,620 )</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71,565</w:t>
            </w:r>
          </w:p>
        </w:tc>
        <w:tc>
          <w:tcPr>
            <w:tcW w:w="100" w:type="dxa"/>
            <w:vAlign w:val="bottom"/>
          </w:tcPr>
          <w:p>
            <w:pPr>
              <w:spacing w:after="0"/>
              <w:rPr>
                <w:sz w:val="20"/>
                <w:szCs w:val="20"/>
                <w:color w:val="auto"/>
              </w:rPr>
            </w:pPr>
          </w:p>
        </w:tc>
      </w:tr>
      <w:tr>
        <w:trPr>
          <w:trHeight w:val="247"/>
        </w:trPr>
        <w:tc>
          <w:tcPr>
            <w:tcW w:w="5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gain/(loss)</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(4,791 )</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(13,411 )</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 charges, accruals and other items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(7,996 )</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(2,725 )</w:t>
            </w: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(21,678 )</w:t>
            </w:r>
          </w:p>
        </w:tc>
        <w:tc>
          <w:tcPr>
            <w:tcW w:w="3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(11,063 )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5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29,428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26,427</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(44,158 )</w:t>
            </w:r>
          </w:p>
        </w:tc>
        <w:tc>
          <w:tcPr>
            <w:tcW w:w="3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61,722</w:t>
            </w:r>
          </w:p>
        </w:tc>
        <w:tc>
          <w:tcPr>
            <w:tcW w:w="100" w:type="dxa"/>
            <w:vAlign w:val="bottom"/>
            <w:shd w:val="clear" w:color="auto" w:fill="CFF0FC"/>
          </w:tcPr>
          <w:p>
            <w:pPr>
              <w:spacing w:after="0"/>
              <w:rPr>
                <w:sz w:val="22"/>
                <w:szCs w:val="22"/>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-1645285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-1645285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-1645285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development in non-cash items was primarily due to remeasurement of financial liabilities, which influenced especially the six months ended June 30, 2024. The increase in amortization charges, accruals and other items primarily relates to amortization charges and interests on royalty funding liabilities, which we entered into in September 2023. In addition, the development in currency gain/(loss) was primarily driven by conversion of U.S. dollar denominated monetary positions into Euro, primarily cash and cash equivalents, convertible notes and royalty funding liabilities.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and capital resources comprise cash and cash equivalents, which as of June 30, 2024, amounted to €258.7 million.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expenditures primarily relate to continued development of our endocrinology rare disease and oncology therapeutic areas, the commercialization of SKYTROFA and YORVIPATH, and expenses made in anticipation of potential future product launches. We manage our liquidity risk by maintaining adequate cash reserves and banking facilities in line with our cash-forecasts. We monitor the risk of a shortage of funds through liquidity planning tools, to ensure sufficient funds are available to settle liabilities as they become due.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June 30, 2024, the unaudited condensed consolidated interim statements of financial position presented a negative balance of equity of €321.1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capital resources as of June 30, 2024, will be sufficient to meet our projected cash requirements for at least twelve months from the date of this report. However, our operating plan may change as a result of many factors currently unknown to us, and we may need to seek additional funds sooner than planned.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issuance of preference shares, ordinary shares (including public offerings and exercise of warrants), convertible debt securities, payments to us made under collaboration agreements, and our royalty funding agreement. Including our initial public offering, since February 2015, we have completed public offerings of American Depositary Shares (“ADSs”) with net proceeds of $2,256.6 million (or €1,968.4 million at the time of the offerings).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2022, we issued an aggregate principal amount of $575.0 million of fixed rate 2.25% convertible notes. The coupon interest is payable semi-annually. Unless earlier converted or redeemed, the convertible notes will mature on April 1, 2028. We used $116.7 million (€105.3 million) of the net proceeds from the offering in March 2022 to repurchase 1,000,000 ADSs representing our ordinary shares. The holding of treasury shares is disclosed in Note 9, “Treasury Shares.”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$150.0 million capped synthetic royalty funding agreement (the “Royalty Pharma Agreement”) with Royalty Pharma (the “Purchaser”). Under the terms of the Royalty Pharma Agreement, in exchange for the Purchaser’s payment of a cash purchase price of $150.0 million at closing (the “Purchase Price”), we have agreed to sell to the Purchaser its right to receive payment in full of 9.15% on net U.S. SKYTROFA revenue, beginning on January 1, 2025 (the “Revenue Interest Payments”). The Revenue Interest Payments to the Purchaser will cease upon reaching a multiple of the Purchase Price of 1.925x, or 1.65x if the Purchaser receives Revenue Interest Payments in that amount by December 31, 2031. The Royalty Pharma Agreement includes a buy-out option under various terms and conditions.</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September 2024, we entered into a $150.0 million capped synthetic royalty funding agreement (the “Yorvipath Agreement”) with the Purchaser. Under the terms of the Yorvipath Agreement, in exchange for the Purchaser’s payment of a cash purchase price of $150.0 million at closing (the “Purchase Amount”), we have agreed to sell to the Purchaser its right to receive payment in full of 3% on net U.S. YORVIPATH revenue (the “Revenue Payments”). The Revenue Payments to the Purchaser will cease upon reaching a multiple of the Purchase Amount of 2.0x, or 1.65x if the Purchaser receives Revenue Payments in that amount by December 31, 2029. The Yorvipath Agreement includes a buy-out option under various terms and conditions.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regarding our borrowings are provided in Note 10, “Financial Assets and Liabilities.”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additional description of our cash requirements, public offerings, expense structure and commitments, refer to “Item 5B. Liquidity and Capital Resources,” set forth in our Annual Report on Form 20-F filed with the Securities and Exchange Commission on February 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generate product revenue from sales of our products;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TransCon hGH, TransCon PTH, and any future products;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manufacturing of our products and product candidates, including the timing of when we incur such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technologies;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including with respect to TransCon PTH, and our ability to obtain market acceptance of our products and product candidates, if approved;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purchase ADSs prior to settlement for such shares under our equity incentive plans.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from/(used in)</w:t>
            </w:r>
          </w:p>
        </w:tc>
        <w:tc>
          <w:tcPr>
            <w:tcW w:w="18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(162,890 )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(300,172 )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137,282</w:t>
            </w:r>
          </w:p>
        </w:tc>
        <w:tc>
          <w:tcPr>
            <w:tcW w:w="100" w:type="dxa"/>
            <w:vAlign w:val="bottom"/>
          </w:tcPr>
          <w:p>
            <w:pPr>
              <w:spacing w:after="0"/>
              <w:rPr>
                <w:sz w:val="20"/>
                <w:szCs w:val="20"/>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257,603</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(249,840 )</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24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(3,011 )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182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(139,159 )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(45,580 )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(93,579 )</w:t>
            </w:r>
          </w:p>
        </w:tc>
      </w:tr>
      <w:tr>
        <w:trPr>
          <w:trHeight w:val="523"/>
        </w:trPr>
        <w:tc>
          <w:tcPr>
            <w:tcW w:w="4760" w:type="dxa"/>
            <w:vAlign w:val="bottom"/>
            <w:tcBorders>
              <w:top w:val="single" w:sz="8" w:color="CFF0FC"/>
            </w:tcBorders>
          </w:tcPr>
          <w:p>
            <w:pPr>
              <w:spacing w:after="0"/>
              <w:rPr>
                <w:sz w:val="24"/>
                <w:szCs w:val="24"/>
                <w:color w:val="auto"/>
              </w:rPr>
            </w:pPr>
          </w:p>
        </w:tc>
        <w:tc>
          <w:tcPr>
            <w:tcW w:w="1820" w:type="dxa"/>
            <w:vAlign w:val="bottom"/>
            <w:tcBorders>
              <w:top w:val="single" w:sz="8" w:color="CFF0FC"/>
            </w:tcBorders>
          </w:tcPr>
          <w:p>
            <w:pPr>
              <w:jc w:val="right"/>
              <w:ind w:right="77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-865505</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-847725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-865505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-847725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 (used in) Operating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for the six months ended June 30, 2024, were €162.9 million, representing a decrease of €137.3 million compared to the same period last year. This improvement is primarily related to higher commercial revenue and reduced operating expenditures, and to further adjustment for changes to non-operating financial income and expenses, taxes and non-cash items of total €82.6 million. In addition, the change in cash flows from operations was positively impacted by working capital balances with €54.6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 (used in) Investing Activities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for the six months ended June 30, 2024, were €7.8 million, representing a decrease of €249.8 million compared to the same period last year. This decrease was primarily attributable to €251.8 million higher net settlements of marketable securities in 2023 in line with our liquidity management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 (used in) Financing Activities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for the six months ended June 30, 2024 were €16.0 million, representing an increase of €19.0 million compared to the same period last year. This increase was primarily attributable to increased warrant exercise activity of €19.5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Disclosures about Market Risk</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10, “Financial Assets and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 We seek to minimize our exchange rate risk by maintaining cash positions in the currencies in which we expect to incur the majority of our future expenses and we make payments from those positions.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Accordingly, since the fair value is exposed from the development in interest rates, the profit or loss is exposed to volatility from such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Inflation affects us as our vendors may pass on any increased costs to us and accordingly increase our R&amp;D costs, SG&amp;A expenses and cost of manufacturing. We do not believe that inflation had a material impact on our results of operation for the three and six months ended June 30, 2024.</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June 30, 2024, we do not hold marketable securities.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from the development in our share price, when remeasuring derivative liabilities at fair value.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our share price. Sensitivity analysis over derivative liabilities is disclosed in Note 10, “Financial Assets and Liabilities.”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emdash "/>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o"/>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2024-09-03T17:05:09Z</dcterms:created>
  <dcterms:modified xsi:type="dcterms:W3CDTF">2024-09-03T17:05:09Z</dcterms:modified>
</cp:coreProperties>
</file>