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nd-20250930.htm"/>
      <w:bookmarkStart w:id="1" w:name="ksasnd2025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November, 2025</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001-36815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Ascendis Pharma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Tuborg Boulevard 12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DK-2900 Hellerup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Denmark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101(b)(1):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if the registrant is submitting the Form 6-K in paper as permitted by Regulation S-T Rule 101(b)(7):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on Form 6-K shall be deemed to be incorporated by reference into the registration statements on Form S-8 (Registration Numbers 333-228576, 333-203040, 333-210810, 333-211512, 333-213412, 333-214843, 333-216883, 333-254101, 333-261550, 333-270088, 333-277519, 333-281916, and 333-285322)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the Company’s Unaudited Condensed Consolidated Interim Financial Statements as of and for the period ended September 30, 2025, including Management’s Discussion and Analysis of Financial Condition and Results of Operations for the period presented therein.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562" w:type="dxa"/>
        <w:jc w:val="left"/>
        <w:tblInd w:w="0" w:type="dxa"/>
        <w:tblLayout w:type="fixed"/>
        <w:tblCellMar>
          <w:top w:w="28" w:type="dxa"/>
          <w:left w:w="28" w:type="dxa"/>
          <w:bottom w:w="28" w:type="dxa"/>
          <w:right w:w="28" w:type="dxa"/>
        </w:tblCellMar>
      </w:tblPr>
      <w:tblGrid>
        <w:gridCol w:w="2206"/>
        <w:gridCol w:w="109"/>
        <w:gridCol w:w="406"/>
        <w:gridCol w:w="384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Ascendis Pharma A/S</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Wolff Jensen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Wolff Jensen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8778" w:type="dxa"/>
        <w:jc w:val="left"/>
        <w:tblInd w:w="0" w:type="dxa"/>
        <w:tblLayout w:type="fixed"/>
        <w:tblCellMar>
          <w:top w:w="28" w:type="dxa"/>
          <w:left w:w="28" w:type="dxa"/>
          <w:bottom w:w="28" w:type="dxa"/>
          <w:right w:w="28" w:type="dxa"/>
        </w:tblCellMar>
      </w:tblPr>
      <w:tblGrid>
        <w:gridCol w:w="511"/>
        <w:gridCol w:w="7606"/>
        <w:gridCol w:w="661"/>
      </w:tblGrid>
      <w:tr>
        <w:trPr/>
        <w:tc>
          <w:tcPr>
            <w:tcW w:w="51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_nterim_financia">
              <w:r>
                <w:rPr>
                  <w:rStyle w:val="InternetLink"/>
                  <w:rFonts w:ascii="Times New Roman" w:hAnsi="Times New Roman"/>
                  <w:color w:val="0000FF"/>
                  <w:sz w:val="20"/>
                  <w:u w:val="single"/>
                </w:rPr>
                <w:t>Unaudited Condensed Consolidated Interim Financial Statements – September 30, 2025</w:t>
              </w:r>
            </w:hyperlink>
            <w:hyperlink w:anchor="condensed_consolidate_nterim_financia">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F-1</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40"/>
        <w:jc w:val="center"/>
        <w:rPr>
          <w:rFonts w:ascii="Times New Roman" w:hAnsi="Times New Roman"/>
          <w:sz w:val="20"/>
        </w:rPr>
      </w:pPr>
      <w:bookmarkStart w:id="3" w:name="tx355617_1"/>
      <w:bookmarkStart w:id="4" w:name="index"/>
      <w:bookmarkStart w:id="5" w:name="condensed_consolidate_nterim_financia"/>
      <w:bookmarkEnd w:id="3"/>
      <w:bookmarkEnd w:id="4"/>
      <w:bookmarkEnd w:id="5"/>
      <w:r>
        <w:rPr>
          <w:rFonts w:ascii="Times New Roman" w:hAnsi="Times New Roman"/>
          <w:b/>
          <w:color w:val="000000"/>
          <w:sz w:val="20"/>
        </w:rPr>
        <w:t>INDEX TO UNAUDITED CONDENSED CONSOLIDATED INTERIM FINANCIAL STATEMENTS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428"/>
        <w:gridCol w:w="777"/>
      </w:tblGrid>
      <w:tr>
        <w:trPr/>
        <w:tc>
          <w:tcPr>
            <w:tcW w:w="942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9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nd_consol_interim__of_profit">
              <w:r>
                <w:rPr>
                  <w:rStyle w:val="InternetLink"/>
                  <w:rFonts w:ascii="Times New Roman" w:hAnsi="Times New Roman"/>
                  <w:color w:val="0000FF"/>
                  <w:sz w:val="20"/>
                  <w:u w:val="single"/>
                </w:rPr>
                <w:t>Unaudited Condensed Consolidated Interim Statements of Profit or (Loss) and Other Comprehensive Income or (Loss) for the Three and Nine Months Ended September 30, 2025 and 2024</w:t>
              </w:r>
            </w:hyperlink>
          </w:p>
        </w:tc>
        <w:tc>
          <w:tcPr>
            <w:tcW w:w="777"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F-2</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_cond_co_int_st_of_financial_position">
              <w:r>
                <w:rPr>
                  <w:rStyle w:val="InternetLink"/>
                  <w:rFonts w:ascii="Times New Roman" w:hAnsi="Times New Roman"/>
                  <w:color w:val="0000FF"/>
                  <w:sz w:val="20"/>
                  <w:u w:val="single"/>
                </w:rPr>
                <w:t>Unaudited Condensed Consolidated Interim Statements of Financial Position as of September 30, 2025 and December 31, 2024</w:t>
              </w:r>
            </w:hyperlink>
          </w:p>
        </w:tc>
        <w:tc>
          <w:tcPr>
            <w:tcW w:w="777"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F-3</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_cons_inter_state_of_chan_in_equity">
              <w:r>
                <w:rPr>
                  <w:rStyle w:val="InternetLink"/>
                  <w:rFonts w:ascii="Times New Roman" w:hAnsi="Times New Roman"/>
                  <w:color w:val="0000FF"/>
                  <w:sz w:val="20"/>
                  <w:u w:val="single"/>
                </w:rPr>
                <w:t>Unaudited Condensed Consolidated Interim Statements of Changes in Equity as of September 30, 2025 and 2024</w:t>
              </w:r>
            </w:hyperlink>
          </w:p>
        </w:tc>
        <w:tc>
          <w:tcPr>
            <w:tcW w:w="777"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F-4</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unaudited_co_consolid_interim_cash_flow">
              <w:r>
                <w:rPr>
                  <w:rStyle w:val="InternetLink"/>
                  <w:rFonts w:ascii="Times New Roman" w:hAnsi="Times New Roman"/>
                  <w:color w:val="0000FF"/>
                  <w:sz w:val="20"/>
                  <w:u w:val="single"/>
                </w:rPr>
                <w:t>Unaudited Condensed Consolidated Interim Statements of Cash Flow for the Nine Months Ended September 30, 2025 and 2024</w:t>
              </w:r>
            </w:hyperlink>
          </w:p>
        </w:tc>
        <w:tc>
          <w:tcPr>
            <w:tcW w:w="777"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 </w:t>
            </w:r>
            <w:r>
              <w:rPr>
                <w:rFonts w:ascii="Times New Roman" w:hAnsi="Times New Roman"/>
                <w:color w:val="000000"/>
                <w:sz w:val="20"/>
              </w:rPr>
              <w:t>F-5</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
              <w:r>
                <w:rPr>
                  <w:rStyle w:val="InternetLink"/>
                  <w:rFonts w:ascii="Times New Roman" w:hAnsi="Times New Roman"/>
                  <w:color w:val="0000FF"/>
                  <w:sz w:val="20"/>
                  <w:u w:val="single"/>
                </w:rPr>
                <w:t>Notes to the Unaudited Condensed Consolidated Interim Financial Statements</w:t>
              </w:r>
            </w:hyperlink>
          </w:p>
        </w:tc>
        <w:tc>
          <w:tcPr>
            <w:tcW w:w="777"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 </w:t>
            </w:r>
            <w:r>
              <w:rPr>
                <w:rFonts w:ascii="Times New Roman" w:hAnsi="Times New Roman"/>
                <w:color w:val="000000"/>
                <w:sz w:val="20"/>
              </w:rPr>
              <w:t>F-6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6" w:name="unaudited_cond_consol_interim__of_profit"/>
      <w:bookmarkEnd w:id="6"/>
      <w:r>
        <w:rPr>
          <w:rFonts w:ascii="Times New Roman" w:hAnsi="Times New Roman"/>
          <w:b/>
          <w:color w:val="000000"/>
          <w:sz w:val="20"/>
        </w:rPr>
        <w:t>Unaudited Condensed Consolidated Interim Statements of Profit or (Loss)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and Other Comprehensive Income or (Loss)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4412"/>
        <w:gridCol w:w="146"/>
        <w:gridCol w:w="511"/>
        <w:gridCol w:w="146"/>
        <w:gridCol w:w="146"/>
        <w:gridCol w:w="841"/>
        <w:gridCol w:w="166"/>
        <w:gridCol w:w="146"/>
        <w:gridCol w:w="146"/>
        <w:gridCol w:w="736"/>
        <w:gridCol w:w="166"/>
        <w:gridCol w:w="146"/>
        <w:gridCol w:w="146"/>
        <w:gridCol w:w="841"/>
        <w:gridCol w:w="166"/>
        <w:gridCol w:w="146"/>
        <w:gridCol w:w="146"/>
        <w:gridCol w:w="841"/>
        <w:gridCol w:w="211"/>
      </w:tblGrid>
      <w:tr>
        <w:trPr/>
        <w:tc>
          <w:tcPr>
            <w:tcW w:w="4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Comprehensive Income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Items that may be reclassified subsequently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on translating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 for the period,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income/(loss) for the period,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(339,383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owners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7" w:name="tx355617_4"/>
      <w:bookmarkEnd w:id="7"/>
      <w:r>
        <w:rPr>
          <w:rFonts w:ascii="Times New Roman" w:hAnsi="Times New Roman"/>
          <w:b/>
          <w:color w:val="000000"/>
          <w:sz w:val="20"/>
        </w:rPr>
        <w:t>Unaudited Condensed Consol</w:t>
      </w:r>
      <w:bookmarkStart w:id="8" w:name="un_cond_co_int_st_of_financial_position"/>
      <w:bookmarkEnd w:id="8"/>
      <w:r>
        <w:rPr>
          <w:rFonts w:ascii="Times New Roman" w:hAnsi="Times New Roman"/>
          <w:b/>
          <w:color w:val="000000"/>
          <w:sz w:val="20"/>
        </w:rPr>
        <w:t>idated Interim Statements of Financial Position as of September 30, 2025 and December 31, 2024</w:t>
      </w:r>
    </w:p>
    <w:tbl>
      <w:tblPr>
        <w:tblW w:w="7042" w:type="dxa"/>
        <w:jc w:val="left"/>
        <w:tblInd w:w="0" w:type="dxa"/>
        <w:tblLayout w:type="fixed"/>
        <w:tblCellMar>
          <w:top w:w="28" w:type="dxa"/>
          <w:left w:w="28" w:type="dxa"/>
          <w:bottom w:w="28" w:type="dxa"/>
          <w:right w:w="28" w:type="dxa"/>
        </w:tblCellMar>
      </w:tblPr>
      <w:tblGrid>
        <w:gridCol w:w="3481"/>
        <w:gridCol w:w="146"/>
        <w:gridCol w:w="511"/>
        <w:gridCol w:w="146"/>
        <w:gridCol w:w="154"/>
        <w:gridCol w:w="986"/>
        <w:gridCol w:w="166"/>
        <w:gridCol w:w="146"/>
        <w:gridCol w:w="148"/>
        <w:gridCol w:w="947"/>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136,969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118,634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1,060,861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1,154,750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Distributable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(105,706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377,338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Convertible notes, matures in 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298,986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986,484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907,863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1,328,825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1,285,201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1,154,750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1,179,495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9" w:name="tx355617_5"/>
      <w:bookmarkEnd w:id="9"/>
      <w:r>
        <w:rPr>
          <w:rFonts w:ascii="Times New Roman" w:hAnsi="Times New Roman"/>
          <w:b/>
          <w:color w:val="000000"/>
          <w:sz w:val="20"/>
        </w:rPr>
        <w:t xml:space="preserve">Unaudited </w:t>
      </w:r>
      <w:bookmarkStart w:id="10" w:name="una_cons_inter_state_of_chan_in_equity"/>
      <w:bookmarkEnd w:id="10"/>
      <w:r>
        <w:rPr>
          <w:rFonts w:ascii="Times New Roman" w:hAnsi="Times New Roman"/>
          <w:b/>
          <w:color w:val="000000"/>
          <w:sz w:val="20"/>
        </w:rPr>
        <w:t>Condensed Consolidated Interim Statements of Changes in Equity as of September 30, 2025 and 2024</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46"/>
        <w:gridCol w:w="146"/>
        <w:gridCol w:w="192"/>
        <w:gridCol w:w="574"/>
        <w:gridCol w:w="166"/>
        <w:gridCol w:w="146"/>
        <w:gridCol w:w="192"/>
        <w:gridCol w:w="754"/>
        <w:gridCol w:w="16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2,444,175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(2,559,700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(105,706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(197,520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treasury shares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settlement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8,284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2,515,767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(2,696,781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(174,075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146"/>
        <w:gridCol w:w="511"/>
        <w:gridCol w:w="146"/>
        <w:gridCol w:w="146"/>
        <w:gridCol w:w="146"/>
        <w:gridCol w:w="826"/>
        <w:gridCol w:w="166"/>
        <w:gridCol w:w="146"/>
        <w:gridCol w:w="192"/>
        <w:gridCol w:w="574"/>
        <w:gridCol w:w="166"/>
        <w:gridCol w:w="146"/>
        <w:gridCol w:w="264"/>
        <w:gridCol w:w="682"/>
        <w:gridCol w:w="146"/>
        <w:gridCol w:w="146"/>
        <w:gridCol w:w="148"/>
        <w:gridCol w:w="903"/>
        <w:gridCol w:w="166"/>
        <w:gridCol w:w="146"/>
        <w:gridCol w:w="146"/>
        <w:gridCol w:w="751"/>
        <w:gridCol w:w="211"/>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Transactions with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69,291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capital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2,441,149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(2,547,447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(97,320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bookmarkStart w:id="11" w:name="tx355617_6"/>
      <w:bookmarkEnd w:id="11"/>
      <w:r>
        <w:rPr>
          <w:rFonts w:ascii="Times New Roman" w:hAnsi="Times New Roman"/>
          <w:b/>
          <w:color w:val="000000"/>
          <w:sz w:val="20"/>
        </w:rPr>
        <w:t xml:space="preserve">Unaudited Condensed </w:t>
      </w:r>
      <w:bookmarkStart w:id="12" w:name="unaudited_co_consolid_interim_cash_flow"/>
      <w:bookmarkEnd w:id="12"/>
      <w:r>
        <w:rPr>
          <w:rFonts w:ascii="Times New Roman" w:hAnsi="Times New Roman"/>
          <w:b/>
          <w:color w:val="000000"/>
          <w:sz w:val="20"/>
        </w:rPr>
        <w:t>Consolidated Interim Statements of Cash Flow for the Nine Months Ended September 30, 2025 and 2024</w:t>
      </w:r>
      <w:r>
        <w:rPr>
          <w:rFonts w:ascii="Times New Roman" w:hAnsi="Times New Roman"/>
          <w:color w:val="000000"/>
          <w:sz w:val="20"/>
        </w:rPr>
        <w:t xml:space="preserve"> </w:t>
      </w:r>
    </w:p>
    <w:tbl>
      <w:tblPr>
        <w:tblW w:w="8649" w:type="dxa"/>
        <w:jc w:val="left"/>
        <w:tblInd w:w="0" w:type="dxa"/>
        <w:tblLayout w:type="fixed"/>
        <w:tblCellMar>
          <w:top w:w="28" w:type="dxa"/>
          <w:left w:w="28" w:type="dxa"/>
          <w:bottom w:w="28" w:type="dxa"/>
          <w:right w:w="28" w:type="dxa"/>
        </w:tblCellMar>
      </w:tblPr>
      <w:tblGrid>
        <w:gridCol w:w="5806"/>
        <w:gridCol w:w="146"/>
        <w:gridCol w:w="146"/>
        <w:gridCol w:w="841"/>
        <w:gridCol w:w="166"/>
        <w:gridCol w:w="146"/>
        <w:gridCol w:w="146"/>
        <w:gridCol w:w="841"/>
        <w:gridCol w:w="4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profit/(loss)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(339,615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finance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(gain)/loss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relating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of (profit)/loss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generated from/(used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received/(paid)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(219,021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 and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follow-on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shares,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under stock incentive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443,842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held in foreign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625,515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Notes to the Unaudited Condensed Consolidated Interim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3" w:name="notes"/>
      <w:bookmarkEnd w:id="13"/>
      <w:r>
        <w:rPr>
          <w:rFonts w:ascii="Times New Roman" w:hAnsi="Times New Roman"/>
          <w:b/>
          <w:color w:val="000000"/>
          <w:sz w:val="20"/>
        </w:rPr>
        <w:t>Note 1—General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Ascendis Pharma A/S, together with its subsidiaries, is a global biopharmaceutical company focused on applying its innovative TransCon technology platform to make a meaningful difference for patients. Ascendis Pharma A/S was incorporated in 2006 and is headquartered in Hellerup, Denmark. Unless the context otherwise requires, references to the “Company,” “we,” “us,” and “our” refer to Ascendis Pharma A/S and its subsidiaries.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the Company’s registered office is Tuborg Boulevard 12, DK-2900, Hellerup, Denmark. The Company’s registration number in Denmark is 29918791.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2, 2015, the Company completed an initial public offering which resulted in the listing of American Depositary Shares (“ADSs”), representing the Company’s ordinary shares, under the symbol “ASND” in the United States on the Nasdaq Global Select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Board of Directors (the “Board”) approved these unaudited condensed consolidated interim financial statements on November 12,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2—Summary of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Preparation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December 31, 2024 and accompanying notes, which have been prepared in accordance with IFRS as issued by the International Accounting Standards Board (the “IASB”) and as adopted by the European Union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applied are consistent with those of the previous financial year. A description of the accounting policies is provided in the Accounting Policies section of the audited consolidated financial statements as of and for the year ended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and Amended IFRS Accounting Standards and Interpretations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IASB amended IAS 21, “The Effects of Changes in Foreign Exchange Rates: Lack of Exchangeability,” to help entities determine whether a currency is exchangeable into another currency and which spot exchange rate to use when it is not. These new requirements apply for annual reporting periods beginning on or after January 1, 2025. The Company does not expect these amendments to have a material impact on its operations or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New IFRS Accounting Standards Not Yet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IASB has issued a number of new or amended standards, which have not yet become effective or have not yet been adopted by the EU. Therefore, these new standards have not been incorporated in these unaudited condensed consolidated interim financial statements.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IFRS 18, “Presentation and Disclosure in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IASB issued IFRS 18, “Presentation and Disclosure in Financial Statements” (“IFRS 18”), which replaces IAS 1, “Presentation in Financial Statements.” IFRS 18 introduces new categories and subtotals in the statement of profit or loss, into: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Discontinued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IFRS 18 includes new requirements for the location, aggregation and disaggregation of financial information, and disclosure of management-defined performance measures, as defined, if any. IFRS 18 does not include any measurement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by the EU, the amendments will be effective for annual reporting periods beginning on or after January 1, 2027, and must be applied retrospectively, with early adoption permitted. While IFRS 18 will change the structure and subtotal in the statement of profit or loss, the full impact from implementing IFRS 18 is currently being analyzed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are not expected to be affected by other new or amended standards. </w:t>
      </w:r>
    </w:p>
    <w:p>
      <w:pPr>
        <w:pStyle w:val="TextBody"/>
        <w:bidi w:val="0"/>
        <w:spacing w:before="360" w:after="283"/>
        <w:jc w:val="left"/>
        <w:rPr>
          <w:rFonts w:ascii="Times New Roman" w:hAnsi="Times New Roman"/>
          <w:sz w:val="20"/>
        </w:rPr>
      </w:pPr>
      <w:r>
        <w:rPr>
          <w:rFonts w:ascii="Times New Roman" w:hAnsi="Times New Roman"/>
          <w:b/>
          <w:color w:val="000000"/>
          <w:sz w:val="20"/>
        </w:rPr>
        <w:t>Note 3—Significant Accounting Judgements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interim financial statements do not include all disclosures for significant accounting judgements, estimates and assumptions, that are required in the annual consolidated financial statements, and therefore should be read in conjunction with the Company’s audited consolidated financial statements as of and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and underlying assumptions are reviewed on an ongoing basis. Revisions to accounting estimates are recognized prospectively. The three and nine months ended September 30, 2025 and 2024 includes adjustments to prior periods estimates and assumptions for sales deductions.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application of critical accounting estimates is subject to material estimation uncertainties, management’s ongoing revisions of critical accounting estimates and underlying assumptions have not revealed any other material impact to any of the periods presented in the unaudited condensed consolidated interim financial statements compared to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4—Significant Events in the Reporting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VISEN Pharmaceuticals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20, 2025, VISEN Pharmaceuticals (“VISEN”) announced the pricing of its initial public offering (“IPO”) on the Hong Kong Stock Exchange. The IPO closed on March 21, 2025, and VISEN’s shares began trading under the stock code 2561.HK.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in VISEN is accounted for using the equity method in the consolidated financial statements as the Company has determined that it has significant influence over the investment. Following the IPO, the Company owned 39.2% in VISEN. As a result, a non-cash gain of €35.7 million was recognized in the consolidated statement of profit or loss as part of share of profit/(loss) of associates. The IPO did not change the accounting treatment of VISEN. As of September 30, 2025, VISEN’s share price was HK$42.5, reflecting a total market value of the Company’s equity position of approximately €191.0 million. As of September 30, 2025, the carrying amount of VISEN using the equity method was €22.9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and existing shareholders of VISEN, including Ascendis Pharma, have entered into customary lock-up agreements restricting the sale of VISEN shares for six months following the IPO; additionally, certain significant shareholders of VISEN, including the Company,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VISEN pursuant to applicable listing rules.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12, 2025, the Company announced that the Board has authorized the Company to repurchase up to $18.25 million of the Company’s ADSs, each of which represents one ordinary share of Ascendis Pharma A/S (the “Share Repurchase Program”). On March 4, 2025, the Share Repurchase Program was fully executed in compliance with Rules 10b-18 and 10b5-1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Board has authorized to repurchase up to 1,726,015 of the Company’s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holding of treasury shares is disclosed in Note 10, “Treasury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on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nine months ended September 30, 2025 included an impairment charge of €7.5 million, related to change in activities at one of our sites in the U.S. and is included as part of research and development expenses, and selling general and administrative expenses. In June 2025, a sublease for the site was incepted with an expected commencement date as of January 1, 2026.</w:t>
      </w:r>
    </w:p>
    <w:p>
      <w:pPr>
        <w:pStyle w:val="TextBody"/>
        <w:bidi w:val="0"/>
        <w:spacing w:before="240" w:after="283"/>
        <w:jc w:val="left"/>
        <w:rPr>
          <w:rFonts w:ascii="Times New Roman" w:hAnsi="Times New Roman"/>
          <w:sz w:val="20"/>
        </w:rPr>
      </w:pPr>
      <w:r>
        <w:rPr>
          <w:rFonts w:ascii="Times New Roman" w:hAnsi="Times New Roman"/>
          <w:i/>
          <w:color w:val="000000"/>
          <w:sz w:val="20"/>
        </w:rPr>
        <w:t>Right-of-use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2025, the Company’s headquarters were extended, with further modified lease terms in July 2025. The extension and modification resulted in an increased lease liability of approximately €21.4 million and a corresponding addition to the right-of-use assets presented as part of property, plant and equipment.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the unaudited condensed consolidated interim statements of financial position presented a negative balance of equity of €174.1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current operating plan, the Company believes that the existing capital resources as of September 30, 2025, will be sufficient to meet projected cash requirements for at least twelve months from the date of this report. However, the Company’s operating plan may change as a result of many factors that are currently unknown, and the Company may need to seek additional funds. Further details regarding borrowings including maturity analysis are provided in Note 11, “Financial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has been recognized in the unaudited condensed consolidated interim statements of profit or loss with the following amounts: </w:t>
      </w:r>
    </w:p>
    <w:tbl>
      <w:tblPr>
        <w:tblW w:w="8297" w:type="dxa"/>
        <w:jc w:val="left"/>
        <w:tblInd w:w="0" w:type="dxa"/>
        <w:tblLayout w:type="fixed"/>
        <w:tblCellMar>
          <w:top w:w="28" w:type="dxa"/>
          <w:left w:w="28" w:type="dxa"/>
          <w:bottom w:w="28" w:type="dxa"/>
          <w:right w:w="28" w:type="dxa"/>
        </w:tblCellMar>
      </w:tblPr>
      <w:tblGrid>
        <w:gridCol w:w="3481"/>
        <w:gridCol w:w="146"/>
        <w:gridCol w:w="146"/>
        <w:gridCol w:w="781"/>
        <w:gridCol w:w="146"/>
        <w:gridCol w:w="146"/>
        <w:gridCol w:w="146"/>
        <w:gridCol w:w="676"/>
        <w:gridCol w:w="146"/>
        <w:gridCol w:w="146"/>
        <w:gridCol w:w="146"/>
        <w:gridCol w:w="781"/>
        <w:gridCol w:w="146"/>
        <w:gridCol w:w="146"/>
        <w:gridCol w:w="146"/>
        <w:gridCol w:w="78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per geographical area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2025, Denmark, the country of domicile, contributed with €4.1 million and €9.1 million, respectively, of revenue. For the three and nine months ended September 30, 2024, no revenue was attributable to Denmark.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Commercial Products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8432" w:type="dxa"/>
        <w:jc w:val="left"/>
        <w:tblInd w:w="0" w:type="dxa"/>
        <w:tblLayout w:type="fixed"/>
        <w:tblCellMar>
          <w:top w:w="28" w:type="dxa"/>
          <w:left w:w="28" w:type="dxa"/>
          <w:bottom w:w="28" w:type="dxa"/>
          <w:right w:w="28" w:type="dxa"/>
        </w:tblCellMar>
      </w:tblPr>
      <w:tblGrid>
        <w:gridCol w:w="3616"/>
        <w:gridCol w:w="146"/>
        <w:gridCol w:w="146"/>
        <w:gridCol w:w="781"/>
        <w:gridCol w:w="146"/>
        <w:gridCol w:w="146"/>
        <w:gridCol w:w="146"/>
        <w:gridCol w:w="676"/>
        <w:gridCol w:w="146"/>
        <w:gridCol w:w="146"/>
        <w:gridCol w:w="146"/>
        <w:gridCol w:w="781"/>
        <w:gridCol w:w="146"/>
        <w:gridCol w:w="146"/>
        <w:gridCol w:w="146"/>
        <w:gridCol w:w="781"/>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In the U.S., the Company have established an integrated organization to commercialize the Company’s approved Endocrinology Rare Disease products, SKYTROFA</w:t>
      </w:r>
      <w:r>
        <w:rPr>
          <w:rFonts w:ascii="Times New Roman" w:hAnsi="Times New Roman"/>
          <w:color w:val="000000"/>
          <w:sz w:val="13"/>
        </w:rPr>
        <w:t>®</w:t>
      </w:r>
      <w:r>
        <w:rPr>
          <w:rFonts w:ascii="Times New Roman" w:hAnsi="Times New Roman"/>
          <w:color w:val="000000"/>
          <w:sz w:val="20"/>
        </w:rPr>
        <w:t xml:space="preserve"> and YORVIPATH</w:t>
      </w:r>
      <w:r>
        <w:rPr>
          <w:rFonts w:ascii="Times New Roman" w:hAnsi="Times New Roman"/>
          <w:color w:val="000000"/>
          <w:sz w:val="13"/>
        </w:rPr>
        <w:t>®</w:t>
      </w:r>
      <w:r>
        <w:rPr>
          <w:rFonts w:ascii="Times New Roman" w:hAnsi="Times New Roman"/>
          <w:color w:val="000000"/>
          <w:sz w:val="20"/>
        </w:rPr>
        <w:t>. In Europe, the Company have established its presence by building integrated organizations in select countries (“Europe Direct”), where the Company has launched SKYTROFA and YORVIPATH. Beyond the U.S. and Europe Direct, SKYTROFA and YORVIPATH may also be sold through exclusive sales and distribution agreements with geographic market leaders (“International Markets”) and under exclusive license agreements (“Strategic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YORVIPATH and SKYTROFA is approved by the U.S. Food and Drug Administration (“FDA”) and authorized by the European Commission (“EC”) and other regulatory agencies. The Company began selling YORVIPATH in Europe in the first quarter of 2024 and in the U.S. in December 2024. The Company began selling SKYTROFA in the U.S. in the fourth quarter of 2021 and in Europe in the third quarter of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revenue is attributable to collaborations and license agreements, and relates to Novo Nordisk A/S (“Novo Nordisk”), Eyconis, Inc. (“Eyconis”), Teijin Limited (“Teijin”) and VISEN, and includes revenue from licenses, milestones, rendering of services and clinical supply.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6—Earnings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reflects the earnings and share data used in the basic and diluted earnings per share calculations:</w:t>
      </w:r>
    </w:p>
    <w:tbl>
      <w:tblPr>
        <w:tblW w:w="10205" w:type="dxa"/>
        <w:jc w:val="left"/>
        <w:tblInd w:w="0" w:type="dxa"/>
        <w:tblLayout w:type="fixed"/>
        <w:tblCellMar>
          <w:top w:w="28" w:type="dxa"/>
          <w:left w:w="28" w:type="dxa"/>
          <w:bottom w:w="28" w:type="dxa"/>
          <w:right w:w="28" w:type="dxa"/>
        </w:tblCellMar>
      </w:tblPr>
      <w:tblGrid>
        <w:gridCol w:w="3864"/>
        <w:gridCol w:w="146"/>
        <w:gridCol w:w="226"/>
        <w:gridCol w:w="1036"/>
        <w:gridCol w:w="166"/>
        <w:gridCol w:w="146"/>
        <w:gridCol w:w="226"/>
        <w:gridCol w:w="1036"/>
        <w:gridCol w:w="166"/>
        <w:gridCol w:w="146"/>
        <w:gridCol w:w="226"/>
        <w:gridCol w:w="1036"/>
        <w:gridCol w:w="166"/>
        <w:gridCol w:w="146"/>
        <w:gridCol w:w="226"/>
        <w:gridCol w:w="1036"/>
        <w:gridCol w:w="211"/>
      </w:tblGrid>
      <w:tr>
        <w:trPr/>
        <w:tc>
          <w:tcPr>
            <w:tcW w:w="3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attributable to ordinary equity holders of the parent for the purposes of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for the purposes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57,535,349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57,255,764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Diluted earnings per share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sans-serif" w:hAnsi="sans-serif"/>
          <w:sz w:val="22"/>
        </w:rPr>
      </w:pPr>
      <w:r>
        <w:rPr>
          <w:rFonts w:ascii="Times New Roman" w:hAnsi="Times New Roman"/>
          <w:color w:val="000000"/>
          <w:sz w:val="16"/>
        </w:rPr>
        <w:t>For the three and nine months ended September 30, 2025 and 2024 outstanding warrants, restricted stock units and performance stock units can potentially dilute earnings per share in the future but have not been included in the calculation of diluted earnings per share because they are out-of the money and/or antidilutive for the periods presented. Similarly, for the three and nine months ended September 30, 2025 and 2024, 575,000</w:t>
      </w:r>
      <w:r>
        <w:rPr>
          <w:rFonts w:ascii="sans-serif" w:hAnsi="sans-serif"/>
          <w:color w:val="000000"/>
          <w:sz w:val="22"/>
        </w:rPr>
        <w:t xml:space="preserve"> </w:t>
      </w:r>
      <w:r>
        <w:rPr>
          <w:rFonts w:ascii="Times New Roman" w:hAnsi="Times New Roman"/>
          <w:color w:val="000000"/>
          <w:sz w:val="16"/>
        </w:rPr>
        <w:t>convertible senior notes which can potentially be converted into 3,456,785</w:t>
      </w:r>
      <w:r>
        <w:rPr>
          <w:rFonts w:ascii="sans-serif" w:hAnsi="sans-serif"/>
          <w:color w:val="000000"/>
          <w:sz w:val="22"/>
        </w:rPr>
        <w:t xml:space="preserve"> </w:t>
      </w:r>
      <w:r>
        <w:rPr>
          <w:rFonts w:ascii="Times New Roman" w:hAnsi="Times New Roman"/>
          <w:color w:val="000000"/>
          <w:sz w:val="16"/>
        </w:rPr>
        <w:t xml:space="preserve">ordinary shares, can potentially dilute earnings per share in the future but have not been included in the calculation of diluted earnings per share because they are antidilutive for the periods presented. Refer to Note 8 “Share-based Payment” and Note 11, </w:t>
      </w:r>
      <w:r>
        <w:rPr>
          <w:rFonts w:ascii="sans-serif" w:hAnsi="sans-serif"/>
          <w:color w:val="000000"/>
          <w:sz w:val="22"/>
        </w:rPr>
        <w:t>“</w:t>
      </w:r>
      <w:r>
        <w:rPr>
          <w:rFonts w:ascii="Times New Roman" w:hAnsi="Times New Roman"/>
          <w:color w:val="000000"/>
          <w:sz w:val="16"/>
        </w:rPr>
        <w:t>Financial Assets and Liabilities,” for further information about the share-based incentive programs and convertible notes,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7—Segment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managed and operated as one business unit. Accordingly, no additional information on business segments or geographical areas is disclosed apart from revenue on geographical areas as disclosed in Note 5 “Revenue.” Revenue is specified on geographical areas according to the location of the customer.</w:t>
      </w:r>
    </w:p>
    <w:p>
      <w:pPr>
        <w:pStyle w:val="TextBody"/>
        <w:bidi w:val="0"/>
        <w:spacing w:before="360" w:after="283"/>
        <w:jc w:val="left"/>
        <w:rPr>
          <w:rFonts w:ascii="Times New Roman" w:hAnsi="Times New Roman"/>
          <w:sz w:val="20"/>
        </w:rPr>
      </w:pPr>
      <w:r>
        <w:rPr>
          <w:rFonts w:ascii="Times New Roman" w:hAnsi="Times New Roman"/>
          <w:b/>
          <w:color w:val="000000"/>
          <w:sz w:val="20"/>
        </w:rPr>
        <w:t>Note 8—Share-based Payment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an incentive to the senior management, other employees, members of the Board and select consultants, Ascendis Pharma A/S has established warrant programs, a Restricted Stock Unit (“RSU”) program adopted in December 2021, and a Performance Stock Unit (“PSU”) program adopted in February 2023, which are all classified as equity-settled share-based payment transactions. </w:t>
      </w:r>
    </w:p>
    <w:p>
      <w:pPr>
        <w:pStyle w:val="TextBody"/>
        <w:bidi w:val="0"/>
        <w:spacing w:before="240" w:after="283"/>
        <w:jc w:val="left"/>
        <w:rPr>
          <w:rFonts w:ascii="Times New Roman" w:hAnsi="Times New Roman"/>
          <w:sz w:val="20"/>
        </w:rPr>
      </w:pPr>
      <w:r>
        <w:rPr>
          <w:rFonts w:ascii="Times New Roman" w:hAnsi="Times New Roman"/>
          <w:b/>
          <w:color w:val="000000"/>
          <w:sz w:val="20"/>
        </w:rPr>
        <w:t>Share-based Compensation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costs are determined using the grant date fair value and are recognized over the vesting period as research and development expenses, selling, general and administrative expenses, or cost of sales. For the three and nine months ended September 30, 2025 and 2024, share-based compensation costs recognized in the unaudited condensed consolidated interim statement of profit or loss were €30.6 million and €86.2 million, respectively, and €26.0 million and €69.3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granted by the Board to members of senior management, other employees and members of the Board (the “RSU-holders”), as stipulated in the program. In addition, RSUs may be granted to select consultants.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RSU represents a right for the RSU-holder to receive one ADS representing ordinary shares of Ascendis Pharma A/S upon vesting, if the vesting conditions are met. RSUs granted vest over three years with 1/3 of the RSUs vesting on each anniversary date from the date of grant, and require RSU-holders to be employed, appointed as member of the Board, or retained as a consultant (the “service conditions”). </w:t>
      </w:r>
    </w:p>
    <w:p>
      <w:pPr>
        <w:pStyle w:val="TextBody"/>
        <w:bidi w:val="0"/>
        <w:spacing w:before="240" w:after="283"/>
        <w:jc w:val="left"/>
        <w:rPr>
          <w:rFonts w:ascii="Times New Roman" w:hAnsi="Times New Roman"/>
          <w:sz w:val="20"/>
        </w:rPr>
      </w:pPr>
      <w:r>
        <w:rPr>
          <w:rFonts w:ascii="Times New Roman" w:hAnsi="Times New Roman"/>
          <w:b/>
          <w:color w:val="000000"/>
          <w:sz w:val="20"/>
        </w:rPr>
        <w:t>Performance Stock Unit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PSUs are granted by the Board to certain members of senior management (the “PSU-holders”), as stipulated in the program. In addition, PSUs may be granted to other employees, select consultants and members of the Board.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PSU represents a right for the PSU-holder to receive one ADS representing ordinary shares of Ascendis Pharma A/S upon vesting. PSUs vest in a manner similar to the service conditions of the RSUs. In addition to service conditions, vesting is also contingent upon achievement of long-term strategic goals as evaluated by the Board no later than two weeks prior to each vesting date. Exceeding performance targets will not result in vesting of more PSUs than 100%, nor will it result in additional grants. </w:t>
      </w:r>
    </w:p>
    <w:p>
      <w:pPr>
        <w:pStyle w:val="TextBody"/>
        <w:bidi w:val="0"/>
        <w:spacing w:before="240" w:after="283"/>
        <w:jc w:val="left"/>
        <w:rPr>
          <w:rFonts w:ascii="Times New Roman" w:hAnsi="Times New Roman"/>
          <w:sz w:val="20"/>
        </w:rPr>
      </w:pPr>
      <w:r>
        <w:rPr>
          <w:rFonts w:ascii="Times New Roman" w:hAnsi="Times New Roman"/>
          <w:b/>
          <w:i/>
          <w:color w:val="000000"/>
          <w:sz w:val="20"/>
        </w:rPr>
        <w:t>RSU and PSU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of outstanding RSUs and PSUs:</w:t>
      </w:r>
    </w:p>
    <w:tbl>
      <w:tblPr>
        <w:tblW w:w="8179" w:type="dxa"/>
        <w:jc w:val="left"/>
        <w:tblInd w:w="0" w:type="dxa"/>
        <w:tblLayout w:type="fixed"/>
        <w:tblCellMar>
          <w:top w:w="28" w:type="dxa"/>
          <w:left w:w="28" w:type="dxa"/>
          <w:bottom w:w="28" w:type="dxa"/>
          <w:right w:w="28" w:type="dxa"/>
        </w:tblCellMar>
      </w:tblPr>
      <w:tblGrid>
        <w:gridCol w:w="2491"/>
        <w:gridCol w:w="146"/>
        <w:gridCol w:w="231"/>
        <w:gridCol w:w="1479"/>
        <w:gridCol w:w="166"/>
        <w:gridCol w:w="146"/>
        <w:gridCol w:w="301"/>
        <w:gridCol w:w="1619"/>
        <w:gridCol w:w="166"/>
        <w:gridCol w:w="146"/>
        <w:gridCol w:w="146"/>
        <w:gridCol w:w="93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1"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by vesting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1,358,275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Warrant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Warrants are granted by the Board in accordance with authorizations given to it by the shareholders of Ascendis Pharma A/S to all employees, members of the Board and select consultants. Each warrant carries the right to subscribe for one ordinary share of a nominal value of DKK 1. The exercise price is fixed at the fair market value of the Company’s ordinary shares at the time of grant as determined by the Board.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number and weighted average exercise prices of, and movements in, warrants:</w:t>
      </w:r>
    </w:p>
    <w:tbl>
      <w:tblPr>
        <w:tblW w:w="5507" w:type="dxa"/>
        <w:jc w:val="left"/>
        <w:tblInd w:w="0" w:type="dxa"/>
        <w:tblLayout w:type="fixed"/>
        <w:tblCellMar>
          <w:top w:w="28" w:type="dxa"/>
          <w:left w:w="28" w:type="dxa"/>
          <w:bottom w:w="28" w:type="dxa"/>
          <w:right w:w="28" w:type="dxa"/>
        </w:tblCellMar>
      </w:tblPr>
      <w:tblGrid>
        <w:gridCol w:w="2596"/>
        <w:gridCol w:w="146"/>
        <w:gridCol w:w="146"/>
        <w:gridCol w:w="991"/>
        <w:gridCol w:w="166"/>
        <w:gridCol w:w="146"/>
        <w:gridCol w:w="199"/>
        <w:gridCol w:w="92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5,421,670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4,580,386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prices of outstanding warrants under the Company’s warrant programs range from €11.98 to €172.77 depending on the grant dates.</w:t>
      </w:r>
    </w:p>
    <w:p>
      <w:pPr>
        <w:pStyle w:val="TextBody"/>
        <w:bidi w:val="0"/>
        <w:spacing w:before="360" w:after="283"/>
        <w:jc w:val="left"/>
        <w:rPr>
          <w:rFonts w:ascii="Times New Roman" w:hAnsi="Times New Roman"/>
          <w:sz w:val="20"/>
        </w:rPr>
      </w:pPr>
      <w:r>
        <w:rPr>
          <w:rFonts w:ascii="Times New Roman" w:hAnsi="Times New Roman"/>
          <w:b/>
          <w:color w:val="000000"/>
          <w:sz w:val="20"/>
        </w:rPr>
        <w:t>Note 9—Share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 capital of Ascendis Pharma A/S consists of 61,695,211 fully paid shares at a nominal value of DKK 1, all in the same share class, and which includes 597,055 ordinary shares represented by ADSs held by Ascendis Pharma A/S. For the nine months ended September 30, 2025, the share capital was increased with 1,005,724 number of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10—Treasury Shares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development in the holding of treasury shares was as follows:</w:t>
      </w:r>
    </w:p>
    <w:tbl>
      <w:tblPr>
        <w:tblW w:w="7595" w:type="dxa"/>
        <w:jc w:val="left"/>
        <w:tblInd w:w="0" w:type="dxa"/>
        <w:tblLayout w:type="fixed"/>
        <w:tblCellMar>
          <w:top w:w="28" w:type="dxa"/>
          <w:left w:w="28" w:type="dxa"/>
          <w:bottom w:w="28" w:type="dxa"/>
          <w:right w:w="28" w:type="dxa"/>
        </w:tblCellMar>
      </w:tblPr>
      <w:tblGrid>
        <w:gridCol w:w="3631"/>
        <w:gridCol w:w="146"/>
        <w:gridCol w:w="231"/>
        <w:gridCol w:w="669"/>
        <w:gridCol w:w="166"/>
        <w:gridCol w:w="146"/>
        <w:gridCol w:w="146"/>
        <w:gridCol w:w="841"/>
        <w:gridCol w:w="166"/>
        <w:gridCol w:w="146"/>
        <w:gridCol w:w="276"/>
        <w:gridCol w:w="685"/>
        <w:gridCol w:w="346"/>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Nominal</w:t>
              <w:br/>
              <w:t>values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Holding in</w:t>
              <w:br/>
              <w:t>% of total</w:t>
              <w:br/>
              <w:t>outstanding</w:t>
              <w:b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from third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Transferred under stock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11—Financial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financial assets and liabilities comprise the following:</w:t>
      </w:r>
    </w:p>
    <w:tbl>
      <w:tblPr>
        <w:tblW w:w="9020" w:type="dxa"/>
        <w:jc w:val="left"/>
        <w:tblInd w:w="0" w:type="dxa"/>
        <w:tblLayout w:type="fixed"/>
        <w:tblCellMar>
          <w:top w:w="28" w:type="dxa"/>
          <w:left w:w="28" w:type="dxa"/>
          <w:bottom w:w="28" w:type="dxa"/>
          <w:right w:w="28" w:type="dxa"/>
        </w:tblCellMar>
      </w:tblPr>
      <w:tblGrid>
        <w:gridCol w:w="5956"/>
        <w:gridCol w:w="146"/>
        <w:gridCol w:w="154"/>
        <w:gridCol w:w="986"/>
        <w:gridCol w:w="146"/>
        <w:gridCol w:w="146"/>
        <w:gridCol w:w="148"/>
        <w:gridCol w:w="947"/>
        <w:gridCol w:w="3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by category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indirect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by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indirect tax, and employee related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953,321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1,127,060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Classified in the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1,127,060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1,103,991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 issued an aggregate principal amount of $575.0 million of fixed rate 2.25% convertible notes. The net proceeds from the offering of the convertible notes were $557.9 million (€503.3 million) after deducting the initial purchasers’ discounts and commissions and offering expenses. The convertible notes rank equally in right of payment with all future senior unsecured indebtedness. Unless earlier converted or redeemed, the convertible notes will mature on April 1, 2028.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convertible notes accrue interest at a rate of 2.25% per annum, payable semi-annually in arrears on April 1 and October 1 of each year.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(i) each of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carrying amount of the convertible notes was €426.2 million, and the fair value was €415.6 million. Fair value cannot be measured based on quoted prices in active markets or other observable input, and accordingly the fair value was measured by using an estimated market rate for an equivalent non-convertible instrument.</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Funding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capped synthetic royalty funding agreements with Royalty Pharma (the “Purchaser”), which is presented as part of borrowings, and represents the Company’s contractual obligations to pay a predetermined percentage of future commercial revenue until reaching a predetermined multiple of proceeds received, according to the detailed provisions of the synthetic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carrying amount of the royalty funding liabilities was €287.8 million, and the fair value was €295.0 million. Fair value cannot be measured based on quoted prices in active markets or other observable input, and accordingly the fair value was measured by using an estimated market rate for an equivalent instrument.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YORVIPATH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$150.0 million capped synthetic royalty funding agreement (the “Royalty Pharma Yorvipath Agreement”) with the Purchaser. The net proceeds were $148.2 million (€134.2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Yorvipath Agreement, the Company received an upfront payment of $150.0 million (the “Yorvipath Purchase Price”) in exchange for a 3% royalty on net revenue from sales of YORVIPATH in the U.S. (the “Yorvipath Revenue Payments”). The Yorvipath Revenue Payments to the Purchaser will cease upon reaching a multiple of the Yorvipath Purchase Price of 2.0 times, or 1.65 times if the Purchaser receives Yorvipath Revenue Payments in that amount by December 31,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Yorvipath Agreement includes a buy-out option, which provides the Company with the right to settle all outstanding liabilities at any time by paying a buy-out amount equal to 2.0 times the Yorvipath Purchase Price minus the Yorvipath Revenue Payments paid to the Purchaser as of the effective date of the buy-out notice. However, if the buy-out notice is provided on or prior to September 30, 2028, and the Company has paid the Purchaser, Yorvipath Revenue Payments equal to the Yorvipath Purchase Price as of the date of the buy-out notice, then the buy-out amount is equal to 1.65 times the Yorvipath Purchase Price minus the Yorvipath Revenue Payments paid to the Purchaser as of the effective date of the buy-out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SKYTROFA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entered into a $150.0 million capped synthetic royalty funding agreement (the “Royalty Pharma Skytrofa Agreement”) with the Purchaser. The net proceeds were $146.3 million (€136.3 million) after deducting offering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Royalty Pharma Skytrofa Agreement, the Company received an upfront payment of $150.0 million (the “Skytrofa Purchase Price”) in exchange for a 9.15% royalty on net revenue from sales of SKYTROFA in the U.S., beginning on January 1, 2025 (the “Skytrofa Revenue Payments”). The Skytrofa Revenue Payments to the Purchaser will cease upon reaching a multiple of the Skytrofa Purchase Price of 1.925 times, or 1.65 times if the Purchaser receives Skytrofa Revenue Payments in that amount by December 31, 2031.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Royalty Pharma Skytrofa Agreement includes a buy-out option, which provides the Company with the right to settle all outstanding liabilities at any time by paying a buy-out amount equal to 1.925 times the Skytrofa Purchase Price minus the Skytrofa Revenue Payments paid to the Purchaser as of the effective date of the buy-out notice. However, if the buy-out notice is provided on or prior to December 31, 2028, and the Company has paid the Purchaser, Skytrofa Revenue Payments equal to the Skytrofa Purchase Price as of the date of the buy-out notice, then the buy-out amount is equal to 1.65 times the Skytrofa Purchase Price minus the Skytrofa Revenue Payments paid to the Purchaser as of the effective date of the buy-out notice.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cannot be measured based on quoted prices in active markets or other observable inputs, and accordingly, derivative liabilities are measured by using the Black-Scholes option pricing model. Fair value of the option is calculated, applying the following assumptions: (1) conversion price; (2) the Company’s share price; (3) maturity of the option; (4) a risk-free interest rate equaling the effective interest rate on a U.S. government bond with the same lifetime as the maturity of the option; (5) no payment of dividends; and (6) an expected volatility using the Company’s share price (49.1% and 49.6% as of September 30, 2025 and December 31,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description of fair values, refer to the following section “Fair Value Measurement.”</w:t>
      </w:r>
    </w:p>
    <w:p>
      <w:pPr>
        <w:pStyle w:val="TextBody"/>
        <w:bidi w:val="0"/>
        <w:spacing w:before="240" w:after="283"/>
        <w:jc w:val="left"/>
        <w:rPr>
          <w:rFonts w:ascii="Times New Roman" w:hAnsi="Times New Roman"/>
          <w:sz w:val="20"/>
        </w:rPr>
      </w:pPr>
      <w:r>
        <w:rPr>
          <w:rFonts w:ascii="Times New Roman" w:hAnsi="Times New Roman"/>
          <w:i/>
          <w:color w:val="000000"/>
          <w:sz w:val="20"/>
        </w:rPr>
        <w:t>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2025, all other inputs and assumptions held constant, a 10% relative increase in volatility, will increase the fair value of derivative liabilities by €13.8 million and indicates a decrease in profit or loss and equity before tax. Similarly, a 10% relative decrease in volatility indicates the opposite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on September 30, 2025, all other inputs and assumptions held constant, a 10% increase in the share price, will increase the fair value of derivative liabilities by €46.1 million and indicates a decrease in profit or loss and equity before tax. Similarly, a 10% decrease in the share price indicates the opposite impact.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short-term maturity for cash and cash equivalents, receivables and trade payables, their fair value approximate carrying amount. Fair value of lease liabilities are not disclosed. Fair value compared to carrying amount of convertible notes, royalty funding liabilities and derivative liabilities, and their level in the fair value hierarchy is summarized in the following table, where: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inputs are quoted prices (unadjusted) in active markets for identical assets or liabilities that the entity can access at the measurement date;</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inputs are inputs other than quoted prices included within Level 1 that are observable for the asset or liability, either directly or indirectly; and</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inputs are unobservable inputs for the asset or liability.</w:t>
      </w:r>
    </w:p>
    <w:tbl>
      <w:tblPr>
        <w:tblW w:w="10205" w:type="dxa"/>
        <w:jc w:val="left"/>
        <w:tblInd w:w="0" w:type="dxa"/>
        <w:tblLayout w:type="fixed"/>
        <w:tblCellMar>
          <w:top w:w="28" w:type="dxa"/>
          <w:left w:w="28" w:type="dxa"/>
          <w:bottom w:w="28" w:type="dxa"/>
          <w:right w:w="28" w:type="dxa"/>
        </w:tblCellMar>
      </w:tblPr>
      <w:tblGrid>
        <w:gridCol w:w="4016"/>
        <w:gridCol w:w="146"/>
        <w:gridCol w:w="146"/>
        <w:gridCol w:w="781"/>
        <w:gridCol w:w="146"/>
        <w:gridCol w:w="146"/>
        <w:gridCol w:w="146"/>
        <w:gridCol w:w="781"/>
        <w:gridCol w:w="146"/>
        <w:gridCol w:w="146"/>
        <w:gridCol w:w="146"/>
        <w:gridCol w:w="781"/>
        <w:gridCol w:w="146"/>
        <w:gridCol w:w="146"/>
        <w:gridCol w:w="146"/>
        <w:gridCol w:w="781"/>
        <w:gridCol w:w="146"/>
        <w:gridCol w:w="146"/>
        <w:gridCol w:w="397"/>
        <w:gridCol w:w="578"/>
        <w:gridCol w:w="192"/>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level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710,680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743,961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 measured at fair value through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specifies movements in level 3 fair value measurements:</w:t>
      </w:r>
    </w:p>
    <w:tbl>
      <w:tblPr>
        <w:tblW w:w="7374" w:type="dxa"/>
        <w:jc w:val="left"/>
        <w:tblInd w:w="0" w:type="dxa"/>
        <w:tblLayout w:type="fixed"/>
        <w:tblCellMar>
          <w:top w:w="28" w:type="dxa"/>
          <w:left w:w="28" w:type="dxa"/>
          <w:bottom w:w="28" w:type="dxa"/>
          <w:right w:w="28" w:type="dxa"/>
        </w:tblCellMar>
      </w:tblPr>
      <w:tblGrid>
        <w:gridCol w:w="4891"/>
        <w:gridCol w:w="146"/>
        <w:gridCol w:w="146"/>
        <w:gridCol w:w="781"/>
        <w:gridCol w:w="146"/>
        <w:gridCol w:w="146"/>
        <w:gridCol w:w="146"/>
        <w:gridCol w:w="781"/>
        <w:gridCol w:w="1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recognized in finance (income) or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168,346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Maturity Analysis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maturity analysis (on an undiscounted basis) for non-derivative financial liabilities recognized in the unaudited condensed consolidated interim statements of financial position.</w:t>
      </w:r>
    </w:p>
    <w:tbl>
      <w:tblPr>
        <w:tblW w:w="10205" w:type="dxa"/>
        <w:jc w:val="left"/>
        <w:tblInd w:w="0" w:type="dxa"/>
        <w:tblLayout w:type="fixed"/>
        <w:tblCellMar>
          <w:top w:w="28" w:type="dxa"/>
          <w:left w:w="28" w:type="dxa"/>
          <w:bottom w:w="28" w:type="dxa"/>
          <w:right w:w="28" w:type="dxa"/>
        </w:tblCellMar>
      </w:tblPr>
      <w:tblGrid>
        <w:gridCol w:w="4020"/>
        <w:gridCol w:w="146"/>
        <w:gridCol w:w="146"/>
        <w:gridCol w:w="781"/>
        <w:gridCol w:w="146"/>
        <w:gridCol w:w="146"/>
        <w:gridCol w:w="146"/>
        <w:gridCol w:w="781"/>
        <w:gridCol w:w="146"/>
        <w:gridCol w:w="146"/>
        <w:gridCol w:w="146"/>
        <w:gridCol w:w="676"/>
        <w:gridCol w:w="146"/>
        <w:gridCol w:w="146"/>
        <w:gridCol w:w="146"/>
        <w:gridCol w:w="931"/>
        <w:gridCol w:w="146"/>
        <w:gridCol w:w="146"/>
        <w:gridCol w:w="146"/>
        <w:gridCol w:w="781"/>
        <w:gridCol w:w="191"/>
      </w:tblGrid>
      <w:tr>
        <w:trPr/>
        <w:tc>
          <w:tcPr>
            <w:tcW w:w="4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&lt;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contractual</w:t>
              <w:br/>
              <w:t>cash-flows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(excluding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942,405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893,299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color w:val="000000"/>
        </w:rPr>
      </w:pPr>
      <w:r>
        <w:rPr>
          <w:color w:val="000000"/>
        </w:rPr>
        <w:t>“</w:t>
      </w:r>
      <w:r>
        <w:rPr>
          <w:rFonts w:ascii="Times New Roman" w:hAnsi="Times New Roman"/>
          <w:color w:val="000000"/>
          <w:sz w:val="20"/>
        </w:rPr>
        <w:t>Borrowings (excluding lease liabilities)” comprise convertible notes and royalty funding liabilities. Expected maturity for royalty funding liabilities is based on anticipated amount and timing of future revenue from sale of commercial products. Further details regarding the payment structure of the royalty funding agreements are provided above.</w:t>
      </w:r>
    </w:p>
    <w:p>
      <w:pPr>
        <w:pStyle w:val="TextBody"/>
        <w:bidi w:val="0"/>
        <w:spacing w:before="240" w:after="120"/>
        <w:jc w:val="left"/>
        <w:rPr>
          <w:rFonts w:ascii="Times New Roman" w:hAnsi="Times New Roman"/>
          <w:sz w:val="20"/>
        </w:rPr>
      </w:pPr>
      <w:r>
        <w:rPr>
          <w:rFonts w:ascii="Times New Roman" w:hAnsi="Times New Roman"/>
          <w:b/>
          <w:color w:val="000000"/>
          <w:sz w:val="20"/>
        </w:rPr>
        <w:t>Note 12—Subsequent Events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February 2022, the Company entered into a facility lease in Germany with an enforceable lease term of 15 years. The lease commenced on November 1, 2025 and an initial lease liability and corresponding right-of-use asset of €54.4 million were recognized as part of borrowings, and property, plant &amp; equipment,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other events have occurred after the balance sheet date that would influence the evaluation of these unaudited condensed consolidated interim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ASCENDIS PHARMA A/S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4" w:name="managements_discussion"/>
      <w:bookmarkEnd w:id="14"/>
      <w:r>
        <w:rPr>
          <w:rFonts w:ascii="Times New Roman" w:hAnsi="Times New Roman"/>
          <w:b/>
          <w:color w:val="000000"/>
          <w:sz w:val="20"/>
        </w:rPr>
        <w:t>MANAGEMENT’S DISCUSSION AND ANALYSIS OF FINANCIAL CONDITION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2024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(“IFRS”) have been condensed or omitted. IFRS as issued by the International Accounting Standards Board, and as adopted by the European Union, might differ in material respects from generally accepted accounting principles in other jurisdictions.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for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commercial availability of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commercialization of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of our products and product candidates and associated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developing our product candidates or any other future product candidates, and the timing, conduct, and results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oncology as an independent therapeutic area of focus and our development of product candidates related to oncology;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Eyconis’ ability to develop, manufacture, and commercialize TransCon ophthalmology assets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opportunities and patient populations for our products and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collaborations and license agreements and our ability to enter into new collaborations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benefits of using our products and product candidates in combination with each other and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the ability to develop additional product candidates using our TransCon technologies and submit Investigational New Drug Applications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benefit from established data of clinically validated parent drugs or pathways to which we apply our TransCon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with regard to our current and future collaboration partners to pursue the development of our product candidates and submit INDs or similar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plans with respect to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pursuit of additional indications for TransCon hGH;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our products and product candidates and technologies, including global commercialization strategies;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apply our technology platform and algorithm for product innovation to develop highly differentiated product candidates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apply our TransCon technology platform to develop new therapies that demonstrate best-in-class potential to address unmet medical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application of our TransCon technology platform to make a meaningful difference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goals for Vision 2030;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needs for additional financing and ability to obtain additional capital;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hire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market conditions, competitors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with respect to ongoing and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international economic, political, legal, compliance, social and business factors, including inflation, tariffs, geopolitical conflicts and energy shortages;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on our business of pandemics and the ongoing conflicts in the region surrounding Ukraine and Russia and the Middle East.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2024 — “Item 3.D.—Key Information—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information included herein or elsewhere (such as our website) is informed by various stakeholder expectations or third-party frameworks, and therefore should not necessarily be interpreted as rising to the level of materiality as defined under U.S. federal securities laws and regulations, even if we use the language “material” or “materiality.” Particularly in the ESG context, materiality is subject to varying definitions that are often different (and more expansive) than the concept for U.S. federal securities laws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biopharmaceutical company focused on applying our innovative TransCon technology platform to make a meaningful difference for patients. Guided by our core values of Patients, Science, and Passion, and following our algorithm for product innovation, we develop TransCon-based therapies that demonstrate best-in-class potential to address unmet medical needs. Our portfolio of Endocrinology Rare Disease approved products and product candidates addresses hypoparathyroidism and growth disorders. To create additional value, we have established partnerships to develop and bring to market TransCon-based products in large therapeutic areas, including Metabolic and Cardiovascular diseases and Ophthalmology.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announced in January 2024, Vision 2030 is our vision to achieve blockbuster status for multiple products and expand our engine for future innovation,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Leading Endocrinology Rare Disease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blockbuster status (&gt;$1B) for each of TransCon PTH, TransCon hGH, and TransCon CNP through worldwide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leader in growth disorders and hypoparathyroidism, pursuing clinical conditions, innovative life cycle management, and complementary patient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pipeline with Endocrinology Rare Disease blockbuster product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Value in Additional Therapeutic Areas through Innovative Business 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accelerated approval in oncology with registrational trials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TransCon product opportunities in &gt;$5B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Maximize value creation of these product opportunities through collaboration with therapeutic area market leaders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Differentiate with Ascendis Fundamentals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Outperform industry drug development benchmarks with Ascendis’ product innovation algorithm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 independent as a profitable biopharma through lean and flexible ways of working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 our values Patients, Science, Passion drive our decisions to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and product candidates leverage clinically validated parent drugs or pathways, with the goal of optimizing safety, efficacy, tolerability, and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apply these technologies using our algorithm for product innovation with the goal of creating product candidates with the potential to be best-in-class. Using this approach, we plan to expand our pipeline with Endocrinology Rare Disease product opportunities in large addressable markets. In addition, our vision is to pursue TransCon product opportunities in &gt;$5B indications in other therapeutic areas and maximize value creation of these product opportunities through collaboration with therapeutic area market leaders. We believe our approach to product innovation may reduce the risks associated with traditional drug development.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Ascendis Algorithm for Product Innovation</w:t>
      </w:r>
      <w:r>
        <w:rPr>
          <w:rFonts w:ascii="Times New Roman" w:hAnsi="Times New Roman"/>
          <w:color w:val="000000"/>
          <w:sz w:val="20"/>
        </w:rPr>
        <w:t xml:space="preserve"> </w:t>
      </w:r>
    </w:p>
    <w:p>
      <w:pPr>
        <w:pStyle w:val="TextBody"/>
        <w:bidi w:val="0"/>
        <w:jc w:val="center"/>
        <w:rPr/>
      </w:pPr>
      <w:r>
        <w:rPr/>
        <w:drawing>
          <wp:inline distT="0" distB="0" distL="0" distR="0">
            <wp:extent cx="6858000" cy="1619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161925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apply our TransCon technologies to clinically validated parent drugs or pathways, we may benefit from established clinical safety and efficacy data, which we believe increases the probability of success compared to traditional drug development. As illustrated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Program Summaries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have two marketed products and a diversified portfolio consisting of four product candidates in clinical development in the areas of Endocrinology Rare Disease and Oncology. One of the four product candidates, TransCon CNP (navepegritide), is currently under review in the United States and European Union for the treatment of children with achondroplasia. Additionally, we are working to apply our TransCon technology platform in additional therapeutic areas such as metabolic diseases, where we believe we have designed a potentially best-in-class, once-monthly glucagon-like peptide 1 (“GLP-1”) product.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YORVIPATH® (palopegteriparatide), was developed as TransCon PTH and was approved by the U.S. Food &amp; Drug Administration (“FDA”), and authorized by the European Commission (“EC”) and other regulatory agencies for the treatment of adults with hypoparathyroidism. In the European Union (“EU”), YORVIPATH is commercially available for prescription in Germany, Austria, and Spain and is also available in other countries through named patient programs. In the United States, YORVIPATH has been commercially available for prescription since December 2024. In Japan, YORVIPATH has been commercially available for prescription since November 6, 2025, through our partner Teijin Limited (“Teijin”). YORVIPATH has also been authorized by other regulatory authorities globally. Through September 30, 2025, more than 4,250 unique patients have been prescribed YORVIPATH by more than 2,000 prescribers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SKYTROFA® (lonapegsomatropin-tcgd), was developed as TransCon hGH and was approved by the FDA for the treatment of pediatric patients one year and older who weigh at least 11.5 kg and have growth failure due to inadequate secretion of endogenous growth hormone, also known as growth hormone deficiency (“GHD”) and for the replacement of endogenous growth hormone in adults with growth hormone deficiency. SKYTROFA has been commercially available for prescription in the United States since October 2021. In addition, the EC has authorized SKYTROFA (lonapegsomatropin) in the EU for the treatment of children and adolescents (3 – 18 years) with growth failure due to GHD. In the EU, SKYTROFA has been commercially available for prescription in Germany since September 2023. SKYTROFA has also been authorized by other regulatory authorities globally.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Endocrinology Rare Disease Pipeline </w:t>
      </w:r>
      <w:r>
        <w:rPr>
          <w:color w:val="000000"/>
        </w:rPr>
        <w:t xml:space="preserve">– </w:t>
      </w:r>
      <w:r>
        <w:rPr>
          <w:rFonts w:ascii="Times New Roman" w:hAnsi="Times New Roman"/>
          <w:color w:val="000000"/>
          <w:sz w:val="20"/>
        </w:rPr>
        <w:t>Two product candidates in our Endocrinology Rare Disease portfolio are currently in development for additional indications and geographies. These product candidates are TransCon hGH (lonapegsomatropin) for children with Turner syndrome and TransCon CNP (navepegritide) for infants, children, and adolescents with achondroplasia. We are also investigating the combination of TransCon CNP and TransCon hGH in children with achondroplasia and other indications. In addition, we plan to investigate TransCon hGH in other established daily growth hormone indications. Through our strategic collaboration, Teijin Limited (“Teijin”) is developing and, if approved, plans to commercialize TransCon hGH, and TransCon CNP for endocrinology rare diseases in Japan. In addition, through our strategic collaboration, VISEN Pharmaceuticals (“VISEN”) is developing and, if approved, plans to commercialize TransCon hGH, TransCon PTH, and TransCon CNP for endocrinology rare diseases in the People’s Republic of China, Hong Kong, Macau, and Taiwan (“Greater China”).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Oncology Pipeline</w:t>
      </w:r>
      <w:r>
        <w:rPr>
          <w:color w:val="000000"/>
        </w:rPr>
        <w:t xml:space="preserve"> – </w:t>
      </w:r>
      <w:r>
        <w:rPr>
          <w:rFonts w:ascii="Times New Roman" w:hAnsi="Times New Roman"/>
          <w:color w:val="000000"/>
          <w:sz w:val="20"/>
        </w:rPr>
        <w:t xml:space="preserve">In Oncology, we are leveraging our TransCon technologies with the goal of enhancing the anti-tumor effects of clinically-validated parent drugs and pathways and to provide sustained modulation of tumor microenvironments and activate cytotoxic immune cells. We initiated clinical development of two programs: TransCon TLR7/8 Agonist, an investigational, long-acting prodrug of resiquimod, a small molecule agonist of Toll-like receptors (“TLR”) 7 and 8, for intratumoral delivery, and TransCon IL-2 </w:t>
      </w:r>
      <w:r>
        <w:rPr>
          <w:rFonts w:ascii="Symbol;serif" w:hAnsi="Symbol;serif"/>
          <w:color w:val="000000"/>
          <w:sz w:val="20"/>
        </w:rPr>
        <w:t xml:space="preserve">b/g </w:t>
      </w:r>
      <w:r>
        <w:rPr>
          <w:rFonts w:ascii="Times New Roman" w:hAnsi="Times New Roman"/>
          <w:color w:val="000000"/>
          <w:sz w:val="20"/>
        </w:rPr>
        <w:t xml:space="preserve">(onvapegleukin alfa) for systemic delivery, which is designed for prolonged exposure to an IL-2 variant that selectively activates IL-2 </w:t>
      </w:r>
      <w:r>
        <w:rPr>
          <w:rFonts w:ascii="Symbol;serif" w:hAnsi="Symbol;serif"/>
          <w:color w:val="000000"/>
          <w:sz w:val="20"/>
        </w:rPr>
        <w:t>b/g</w:t>
      </w:r>
      <w:r>
        <w:rPr>
          <w:color w:val="000000"/>
        </w:rPr>
        <w:t xml:space="preserve"> </w:t>
      </w:r>
      <w:r>
        <w:rPr>
          <w:rFonts w:ascii="Times New Roman" w:hAnsi="Times New Roman"/>
          <w:color w:val="000000"/>
          <w:sz w:val="20"/>
        </w:rPr>
        <w:t xml:space="preserve">with minimal binding to IL-2Rα. During the fourth quarter of 2024, we closed enrollment in our BelieveIT-201 clinical trial and to dose expansion cohorts involving TransCon TLR7/8 Agonist in the transcendIT-101 and IL-Believe trials to prioritize our efforts on TransCon IL-2 </w:t>
      </w:r>
      <w:r>
        <w:rPr>
          <w:rFonts w:ascii="Symbol;serif" w:hAnsi="Symbol;serif"/>
          <w:color w:val="000000"/>
          <w:sz w:val="20"/>
        </w:rPr>
        <w:t>b/g.</w:t>
      </w:r>
    </w:p>
    <w:p>
      <w:pPr>
        <w:pStyle w:val="TextBody"/>
        <w:bidi w:val="0"/>
        <w:spacing w:before="360" w:after="120"/>
        <w:jc w:val="left"/>
        <w:rPr>
          <w:rFonts w:ascii="Times New Roman" w:hAnsi="Times New Roman"/>
          <w:sz w:val="20"/>
        </w:rPr>
      </w:pPr>
      <w:r>
        <w:rPr>
          <w:rFonts w:ascii="Times New Roman" w:hAnsi="Times New Roman"/>
          <w:b/>
          <w:color w:val="000000"/>
          <w:sz w:val="20"/>
        </w:rPr>
        <w:t>TransCon Product Candidates Pipeline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the rights we have granted to Eyconis Inc. (“Eyconis”), Novo Nordisk A/S (“Novo Nordisk”), Teijin, and VISEN as noted in this report, we hold worldwide rights to our TransCon technologies and, other than our royalty financing arrangements with Royalty Pharma as noted in this report, we owe no third-party royalty or milestone payment obligations with respect to our TransCon technologies, TransCon hGH, TransCon PTH, TransCon CNP or any of our other product candidates.</w:t>
      </w:r>
    </w:p>
    <w:p>
      <w:pPr>
        <w:pStyle w:val="TextBody"/>
        <w:bidi w:val="0"/>
        <w:jc w:val="center"/>
        <w:rPr/>
      </w:pPr>
      <w:r>
        <w:rPr/>
        <w:drawing>
          <wp:inline distT="0" distB="0" distL="0" distR="0">
            <wp:extent cx="6858000" cy="3390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390900"/>
                    </a:xfrm>
                    <a:prstGeom prst="rect">
                      <a:avLst/>
                    </a:prstGeom>
                  </pic:spPr>
                </pic:pic>
              </a:graphicData>
            </a:graphic>
          </wp:inline>
        </w:drawing>
      </w:r>
    </w:p>
    <w:p>
      <w:pPr>
        <w:pStyle w:val="TextBody"/>
        <w:bidi w:val="0"/>
        <w:spacing w:before="120" w:after="283"/>
        <w:jc w:val="left"/>
        <w:rPr>
          <w:rFonts w:ascii="Times New Roman" w:hAnsi="Times New Roman"/>
          <w:i/>
          <w:color w:val="000000"/>
          <w:sz w:val="15"/>
        </w:rPr>
      </w:pPr>
      <w:r>
        <w:rPr>
          <w:rFonts w:ascii="Times New Roman" w:hAnsi="Times New Roman"/>
          <w:i/>
          <w:color w:val="000000"/>
          <w:sz w:val="15"/>
        </w:rPr>
        <w:t>Note: The above chart lists our current clinical interventional trials related to the disclosed indication. Other ongoing clinical or observational studies not expected to directly support regulatory submissions are not disclosed.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pPr>
      <w:r>
        <w:rPr>
          <w:rFonts w:ascii="Times New Roman" w:hAnsi="Times New Roman"/>
          <w:i/>
          <w:color w:val="000000"/>
          <w:sz w:val="20"/>
        </w:rPr>
        <w:t>ApproaCH Trial (NCT05598320). Priority Review granted by U.S. FDA, PDUFA goal date November 30</w:t>
      </w:r>
      <w:r>
        <w:rPr>
          <w:rFonts w:ascii="Times New Roman" w:hAnsi="Times New Roman"/>
          <w:i/>
          <w:color w:val="000000"/>
          <w:sz w:val="13"/>
        </w:rPr>
        <w:t xml:space="preserve">th </w:t>
      </w:r>
      <w:r>
        <w:rPr>
          <w:rFonts w:ascii="Times New Roman" w:hAnsi="Times New Roman"/>
          <w:i/>
          <w:color w:val="000000"/>
          <w:sz w:val="20"/>
        </w:rPr>
        <w:t xml:space="preserve">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AttaCH Trial (NCT05929807). Includes patients from ACcomplisH and ApproaCH.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InsiGHTS Trial (NCT05690386).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HighLiGHts Trial (NCT07221851).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PaTHway60 Trial (NCT04701203).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Adolescent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reACHin Trial (NCT06079398).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teACH Trial (NCT06732895).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9.</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COACH Trial (NCT06433557).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VISEN Pharmaceuticals’ Phase 3 Trial.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11.</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riGHt Trial.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PaTHway China Trial (NCT05387070).</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ACcomplisH China Trial (NCT05246033).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Japanese ApproaCH Trial.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IL-Believe Trial (NCT05081609).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an intellectual property portfolio comprising over 425 issued patents and over 525 patent applications as of December 31, 2024, which includes patents and patent applications applicable to our products and product candidates with claims directed to composition of matter, process, formulation and/or methods-of-use for our products and product candidates, including a product-specific device and core TransCon technologies. While our TransCon prodrugs may incorporate already approved parent drugs or product candidates, TransCon hGH, TransCon PTH, TransCon CNP, and each of our other product candidates are new molecular entities and therefore eligible to be granted new intellectual property rights, including new composition of matter patents.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Global Commercialization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establishing a global presence to commercialize TransCon products, where approved, to address patients’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we have established an integrated organization to commercialize our approved Endocrinology Rare Disease products, SKYTROFA and YORVIPATH. Our U.S. organization includes various departments, including sales, market access, patient support, and medical affairs teams. The sales team engages with HCPs to present products, usage and safety guidelines in accordance with the label. Our market access team engages with health authorities, insurance companies, and payers to support patients in need of gaining access to our products. Our patient support team facilitates reimbursement support, and out of pocket assistance, and provides educational resources and product training. Our medical affairs team engages in scientific exchange with the physician and medical community. We have also established a network of specialty pharmacies to support product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we have established our presence by building integrated organizations to commercialize approved Endocrinology Rare Disease products in select countries, which we call “Europe Direct”, beginning with Germany, where we have launched SKYTROFA and YORVIPATH. Our other Europe Direct country clusters include DACH (Germany, Austria, and Switzerland), France &amp; BeNeLux (Belgium, the Netherlands, and Luxembourg), Iberia (Portugal and Spain), Italy, Nordics (Denmark, Norway, Sweden, Iceland, and Finland), and the United Kingdom &amp; Ireland.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Beyond the U.S. and Europe Direct, we are expanding global reach for our Endocrinology Rare Disease products through exclusive sales and distribution agreements with geographic market leaders, which we call “International Markets”. As of September 30, 2025, we have agreements covering over 75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we are making our Endocrinology Rare Disease products commercially available in select markets under exclusive license agreements with partners with local development and commercialization expertise and infrastructure, which we call strategic collaborations. In Japan, Teijin has exclusive license rights to develop and commercialize TransCon hGH, TransCon PTH, and TransCon CNP. In Greater China, VISEN has exclusive license rights to develop and commercialize TransCon hGH, TransCon PTH, and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2025, an executive order was issued in the United States implementing “Reciprocal Tariffs” on most U.S. trading partners, with a 10% baseline tariff on imports from most trading partners and an additional individualized reciprocal tariff on countries with larger trade deficits. After a series of pauses in implementation, on August 7, 2025, these tariffs went into effect. Some goods will not initially be subject to the Reciprocal Tariffs, including pharmaceuticals. While there can be no assurance that pharmaceuticals will remain free from Reciprocal Tariffs or other trade barriers in the future, we currently believe the impact of the Reciprocal Tariffs on our operations will be immaterial. As the Reciprocal Tariffs remain subject to ongoing scrutiny, including review by the Supreme Court of the United States in November 2025, we continue to monitor and assess the possible impacts of existing and potential tariffs on our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safety and efficacy, increase the likelihood of clinical development success, and provide intellectual property benefits.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TransCon molecules can have up to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Depending upon the type of TransCon carrier we employ, we can design our TransCon prodrugs for sustained localized or systemic delivery.</w:t>
      </w:r>
    </w:p>
    <w:p>
      <w:pPr>
        <w:pStyle w:val="TextBody"/>
        <w:bidi w:val="0"/>
        <w:jc w:val="center"/>
        <w:rPr/>
      </w:pPr>
      <w:r>
        <w:rPr/>
        <w:drawing>
          <wp:inline distT="0" distB="0" distL="0" distR="0">
            <wp:extent cx="6343650" cy="2362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43650" cy="236220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Technology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TransCon Carriers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TransCon technologies incorporate three carrier platforms that can be used to provide sustained localized or systemic drug exposure. These biocompatible carrier platforms include our TransCon systemic carriers and TransCon localized carriers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Systemic</w:t>
      </w:r>
      <w:r>
        <w:rPr>
          <w:color w:val="000000"/>
        </w:rPr>
        <w:t xml:space="preserve"> – </w:t>
      </w:r>
      <w:r>
        <w:rPr>
          <w:rFonts w:ascii="Times New Roman" w:hAnsi="Times New Roman"/>
          <w:color w:val="000000"/>
          <w:sz w:val="20"/>
        </w:rPr>
        <w:t>Our TransCon systemic carriers are used to provide systemic drug exposure and are based on soluble compounds such as methoxypolyethylene glycol (“mPEG”) or other natural or synthetic polymers, as well as our albumin avidity approach, where 2 or more albumin binding moieties are incorporated into the drug molecule to facilitate sustained exposure.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4857750" cy="1857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57750" cy="1857375"/>
                    </a:xfrm>
                    <a:prstGeom prst="rect">
                      <a:avLst/>
                    </a:prstGeom>
                  </pic:spPr>
                </pic:pic>
              </a:graphicData>
            </a:graphic>
          </wp:inline>
        </w:drawing>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i/>
          <w:color w:val="000000"/>
          <w:sz w:val="20"/>
          <w:u w:val="single"/>
        </w:rPr>
        <w:t>Localized</w:t>
      </w:r>
      <w:r>
        <w:rPr>
          <w:color w:val="000000"/>
        </w:rPr>
        <w:t xml:space="preserve"> – </w:t>
      </w:r>
      <w:r>
        <w:rPr>
          <w:rFonts w:ascii="Times New Roman" w:hAnsi="Times New Roman"/>
          <w:color w:val="000000"/>
          <w:sz w:val="20"/>
        </w:rPr>
        <w:t>Our TransCon localized carriers include TransCon hydrogels based on PEG, hyaluronic acid, or other biopolymers. TransCon hydrogel is designed to self-eliminate to soluble, biocompatible molecules after the drug payload has been released. When applied for localized delivery, the TransCon hydrogel enables the release of a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pStyle w:val="TextBody"/>
        <w:bidi w:val="0"/>
        <w:jc w:val="center"/>
        <w:rPr/>
      </w:pPr>
      <w:r>
        <w:rPr/>
        <w:drawing>
          <wp:inline distT="0" distB="0" distL="0" distR="0">
            <wp:extent cx="4762500" cy="2028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762500" cy="202882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i/>
          <w:color w:val="000000"/>
          <w:sz w:val="20"/>
        </w:rPr>
        <w:t>TransCon Linkers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to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Parent Drugs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TransCon technologies are applicable across a broad range of therapeutic classes and are currently used to create long-acting product candidates with best-in-class potential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for our TransCon prodrugs. This strategy is designed to reduce risk and increase productivity.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approach has enabled us to develop two approved products and generate a pipeline of product candidates designed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compared to development of drug compounds without established biology.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TransCon Products and Product Candidates - Endocrinology Rare Disease</w:t>
      </w:r>
    </w:p>
    <w:p>
      <w:pPr>
        <w:pStyle w:val="TextBody"/>
        <w:bidi w:val="0"/>
        <w:spacing w:before="120" w:after="283"/>
        <w:jc w:val="left"/>
        <w:rPr>
          <w:rFonts w:ascii="Times New Roman" w:hAnsi="Times New Roman"/>
          <w:sz w:val="20"/>
        </w:rPr>
      </w:pPr>
      <w:r>
        <w:rPr>
          <w:rFonts w:ascii="Times New Roman" w:hAnsi="Times New Roman"/>
          <w:b/>
          <w:color w:val="000000"/>
          <w:sz w:val="20"/>
        </w:rPr>
        <w:t>Hypoparathyroidism</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 of Hypoparathyroidism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Hypoparathyroidism is a rare endocrine disease caused by insufficient levels of parathyroid hormone (“PTH”). As reported in a 2016 paper by Clarke BL, et al. (J Clin Endocrinol Metab. 2016 Jun;101(6):2284-99), most patients with hypoparathyroidism (70-80% of cases) develop the disease following damage to or accidental removal of the parathyroid glands during thyroid surgery. Other etiologies include autoimmune disorders, genetic disorders such as autosomal dominant hypocalcemia type 1, and idiopathic causes. Conventional therapy with oral calcium and active vitamin D (also called calcitriol) does not effectively address the short-term symptoms, long-term complications, or quality-of-life impacts of hypoparathyroidism.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Individuals with hypoparathyroidism may experience a range of severe and potentially life-threatening short-term and long-term complications. Short-term symptoms of hypoparathyroidism include weakness; severe muscle cramps (tetany); abnormal sensations such as tingling, burning, and numbness (paresthesia); memory loss; impaired judgment; and headache. A survey published by Hadker et al. (Endocrine Pr. 20(7), 671–679),in 2014 of 374 individuals with hypoparathyroidism showed that 72% experienced more than ten symptoms in the preceding twelve months, with symptoms experienced for a mean of 13 ± 9 hours a day. Prolonged use of conventional therapy may increase the risk of major complications, such as calcium deposits in the brain, blood vessels, eyes, and soft tissues. According to a systematic review by Gosmanova et al. published in 2021, chronic hypoparathyroidism treated with conventional therapy is associated with higher rates of renal complications compared to the general population, including nephrolithiasis (up to 36%), nephrocalcinosis (up to 38%), and chronic kidney disease (up to 41%). Studies have found that the burden of hypoparathyroidism negatively impacts health-related quality of life (“QoL”), physical functioning, and psychological well-being. Compared with an age-matched general population sample, individuals with hypoparathyroidism have reported markedly lower health-related QoL, irrespective of serum calcium level, as measured by the physical (P&lt;0.001) and mental (P&lt;0.001) component scores of the 36-Item Short Form Health Survey (SF-36) as well as the EuroQol-5 Dimensions Visual Analogue Scale. As reported in a 2021 paper by Brod et al. (Qual of Life Res. 2021 Jan; 30(1):277-291), in interviews conducted on 42 individuals with hypoparathyroidism, 98% reported reduced functioning and well-being, including anxiety (81%), feeling sad or depressed (62%), and feeling irritable or short-tempered (43%) despite management with conventional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Hypoparathyroidism also imposes a substantial burden on the healthcare system despite the use of conventional therapy. For example, individuals with hypoparathyroidism may require hospitalizations or emergency department visits due to acute severe hypocalcemia (calcium crashes) and those with post-surgical hypoparathyroidism have an increased risk of hospitalization due to infection than age- and sex-matched controls from the general population. Individuals with hypoparathyroidism also have an increased risk of hospitalization due to renal complications, such as chronic kidney disease and renal failure, compared to age- and sex-matched controls. A retrospective review published in 2019 of clinical burden and healthcare resource utilization showed that 90.7% of individuals had ≥1 hypoparathyroidism-related healthcare utilization event during a 12-month period, including 87.8% with ≥1 outpatient visit, 41% with ≥1 emergency department visit, and 19.5% with ≥1 hospitalization. The management of hypoparathyroidism is also associated with substantial economic burdens and consequences of hypoparathyroidism may negatively impact employment status and work productivity.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2022 Guidelines from the Second International Workshop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indicates that individuals with poor compliance, malabsorption, or intolerant of large doses of calcium and active vitamin D may also benefit from PTH replacement therapy. Based on this current guideline, we believe PTH replacement therapy could be applicable to most patients with hypoparathyroidism.</w:t>
      </w:r>
    </w:p>
    <w:p>
      <w:pPr>
        <w:pStyle w:val="TextBody"/>
        <w:bidi w:val="0"/>
        <w:spacing w:before="240" w:after="283"/>
        <w:jc w:val="left"/>
        <w:rPr>
          <w:rFonts w:ascii="Times New Roman" w:hAnsi="Times New Roman"/>
          <w:sz w:val="20"/>
        </w:rPr>
      </w:pPr>
      <w:r>
        <w:rPr>
          <w:rFonts w:ascii="Times New Roman" w:hAnsi="Times New Roman"/>
          <w:color w:val="000000"/>
          <w:sz w:val="20"/>
        </w:rPr>
        <w:t>In 2015, Takeda’s NATPARA</w:t>
      </w:r>
      <w:r>
        <w:rPr>
          <w:rFonts w:ascii="Times New Roman" w:hAnsi="Times New Roman"/>
          <w:color w:val="000000"/>
          <w:sz w:val="13"/>
        </w:rPr>
        <w:t xml:space="preserve">® </w:t>
      </w:r>
      <w:r>
        <w:rPr>
          <w:rFonts w:ascii="Times New Roman" w:hAnsi="Times New Roman"/>
          <w:color w:val="000000"/>
          <w:sz w:val="20"/>
        </w:rPr>
        <w:t>(parathyroid hormone) was approved in the U.S.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In October 2022, Takeda announced that it would discontinue manufacturing NATPARA/NATPAR globally by the end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aware of several academic groups and companies working on making therapies for hypoparathyroidism. In addition, other companies and groups are developing therapies for hypoparathyroidism at the clinical stage, including Calcilytix (a BridgeBio company), Entera Bio, Extend Biosciences, AstraZeneca, MBX Biosciences, and Septerna.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Forteo® (teriparatide, PTH [1-34]), approved since 2002 for the treatment of osteoporosis, has sometimes been used for treatment of hypoparathyroidism using multiple daily injections, despite not being approved for this indication. Clinical research conducted by the U.S. National Institutes of Health in subjects receiving continuous exposure to PTH (1-34), administered by an infusion pump demonstrated simultaneous normalization of serum calcium and urinary calcium, as well as normalization of bone turnover.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hypoparathyroidism affects more than 250,000 patients in the U.S. and Europe. In the U.S., we estimate hypoparathyroidism affects approximately 70,000 to 90,000 patients, including 4,000 to 5,000 patients who we estimate have previously been treated with PTH therapy. In Germany, we estimate hypoparathyroidism affects approximately 70,000 patients. Outside of Germany, we estimate hypoparathyroidism affects more than 100,000 patients in the rest of Europe. </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PTH (palopegteriparatide) is a prodrug of PTH (1-34) that is administered once-daily to achieve and maintain a steady concentration of PTH in the bloodstream within the physiological range. TransCon PTH is designed to provide PTH in the physiological range for 24 hours per day, thereby more fully addressing aspects of the disease, including maintaining normal serum calcium and phosphate levels and normalizing urinary calcium.</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PTH for the Treatment of Hypoparathyroidism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Teijin announced that YORVIPATH is commercially available for prescription.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FDA approved YORVIPATH (palopegteriparatide; developed as TransCon PTH) for the treatment of hypoparathyroidism in adults. In September 2024, the FDA granted Orphan Drug exclusivity to YORVIPATH, providing seven years of market exclusivity for YORVIPATH in the United States for the treatment of hypoparathyroidism in adults. YORVIPATH has been commercially available for prescription since late December 2024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TransCon PTH received regulatory approval in Great Britain as a PTH replacement therapy indicated for the treatment of adults with chronic hypoparathyroidism. In addition, in April 2024, we announced that the United Kingdom’s Medicines &amp; Healthcare products Regulatory Agency granted YORVIPATH Orphan Drug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we announced commercial availability of YORVIPATH in Germany and Austria, and we began shipping to customers in February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TransCon PTH received regulatory approval in the EU and European Economic Area and is marketed as YORVIPATH (palopegteriparatide), a parathyroid hormone replacement therapy indicated for the treatment of adults with chronic hypoparathyroidism. In addition, YORVIPATH was granted Orphan status in the EU in November 2023 and in Great Britain in April 2024 and provides ten years of market exclusivity.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2021, the Ministry of Health, Labour and Welfare in Japan granted Orphan Drug Designation (“ODD”) to TransCon PTH for the treatment of hypoparathyroidism.</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Clinical Development of TransCon PTH for Treatment of Hypoparathyroidism in Adults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TransCon PTH was evaluated for the treatment of hypoparathyroidism in adults in the Phase 3 PaTHway Trial, Phase 3 PaTHway Japan Trial (open label extension ongoing), and the Phase 2 PaTH Forward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we presented a new pooled analysis showing sustained and clinically meaningful improvements in renal function in adults with hypoparathyroidism treated with TransCon PTH (palopegteriparatide) through Year 3 of our Phase 2 PaTH Forward and Phase 3 PaTHway trials.</w:t>
      </w:r>
    </w:p>
    <w:p>
      <w:pPr>
        <w:pStyle w:val="TextBody"/>
        <w:bidi w:val="0"/>
        <w:spacing w:before="120" w:after="283"/>
        <w:jc w:val="left"/>
        <w:rPr/>
      </w:pPr>
      <w:r>
        <w:rPr/>
        <w:drawing>
          <wp:inline distT="0" distB="0" distL="0" distR="0">
            <wp:extent cx="6858000" cy="2809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8098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trials included a combined 141 adults with hypoparathyroidism, 139 of whom (mean age 49 years) are represented in the pooled analysis. The PaTH Forward and PaTHway trials comprised randomized, double-blind, placebo-controlled periods through Weeks 4 and 26 and open-label extension periods through Weeks 266 and 182, respectively. An eGFR ≥30 mL/min/1.73 m2 was required for trial eligibility. The three-year data were analyzed post-hoc and included evaluation of the long-term impact of TransCon PTH on renal function as assessed by eGFR. Mean (SD) baseline eGFR in the trials was 69 (17) mL/min/1.73 m2. The pooled analysis included 41 patients with a mean baseline eGFR &lt;60 mL/min/1.73 m2 and 98 patients with a mean baseline &gt;60 mL/min/1.73 m2. Safety assessments included 24-hour urine calcium excretion and treatment-emergent adverse events (TEAEs).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Year 3, ≥91% of patients receiving palopegteriparatide in both trials were independent from conventional therapy (defined as taking no active vitamin D and ≤600 mg/day of calcium) and ≥84% patients had normocalcemia (8.3-10.6 mg/dL). Sustained and clinically meaningful improvements in eGFR (≥ 5 mL/ min / 1.73 m2) were observed in 70.3%, with numerically greater improvements observed in those with lower baseline eGFR. The greatest increases in eGFR were observed in the first 6 months of treatment with TransCon PTH, with a continued upward trend thereafter. Mean (SD) eGFR increased from baseline to Year 3 by 9.8 (10.9) mL/min/1.73 m2 in PaTH Forward and by 8.8 (11.9) mL/min/1.73 m2 in PaTHway.</w:t>
      </w:r>
    </w:p>
    <w:p>
      <w:pPr>
        <w:pStyle w:val="TextBody"/>
        <w:bidi w:val="0"/>
        <w:spacing w:before="240" w:after="283"/>
        <w:jc w:val="left"/>
        <w:rPr>
          <w:rFonts w:ascii="Times New Roman" w:hAnsi="Times New Roman"/>
          <w:sz w:val="20"/>
        </w:rPr>
      </w:pPr>
      <w:r>
        <w:rPr>
          <w:rFonts w:ascii="Times New Roman" w:hAnsi="Times New Roman"/>
          <w:color w:val="000000"/>
          <w:sz w:val="20"/>
        </w:rPr>
        <w:t>In July 2025, we announced new data from Week 156 of our Phase 3 PaTHway Trial, confirming that long-term treatment with TransCon PTH (palopegteriparatide) continued to provide a durable response in adults with hypoparathyroidism regardless of its cause (post-surgical, autoimmune, genetic, or idiopathic), including improvements in biochemistries, kidney function, and quality of life. At Week 156, 64 patients (88%) had normal albumin-adjusted serum calcium levels and 70 patients (96%) were independent from conventional therapy (defined as taking &lt; 600 mg/day of calcium and not taking active vitamin D). Reflecting clinically meaningful improvements in kidney function, improvements in eGFR from baseline were sustained through Week 156: mean eGFR increased by 8.76 mL/min/1.73 m</w:t>
      </w:r>
      <w:r>
        <w:rPr>
          <w:rFonts w:ascii="Times New Roman" w:hAnsi="Times New Roman"/>
          <w:color w:val="000000"/>
          <w:sz w:val="13"/>
        </w:rPr>
        <w:t xml:space="preserve">2 </w:t>
      </w:r>
      <w:r>
        <w:rPr>
          <w:rFonts w:ascii="Times New Roman" w:hAnsi="Times New Roman"/>
          <w:color w:val="000000"/>
          <w:sz w:val="20"/>
        </w:rPr>
        <w:t>across all participants and by 13.98 mL/min/1.73 m</w:t>
      </w:r>
      <w:r>
        <w:rPr>
          <w:rFonts w:ascii="Times New Roman" w:hAnsi="Times New Roman"/>
          <w:color w:val="000000"/>
          <w:sz w:val="13"/>
        </w:rPr>
        <w:t>2</w:t>
      </w:r>
      <w:r>
        <w:rPr>
          <w:rFonts w:ascii="Times New Roman" w:hAnsi="Times New Roman"/>
          <w:color w:val="000000"/>
          <w:sz w:val="20"/>
        </w:rPr>
        <w:t xml:space="preserve"> in participants with baseline eGFR &lt; 60. Patients in the trial reported continued improvements from baseline in their hypoparathyroidism-related symptoms and health-related quality of life and showed continued normalization of 24-hour urine calcium excretion through Week 156. In the trial, TransCon PTH treatment was generally well-tolerated, with no new safety signals identified. TEAEs were mostly mild or moderate and no serious TEAEs or discontinuations were related to study drug.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May 2025, we announced four-year (Week 214) results from our Phase 2 PaTH Forward Trial showing that long-term treatment with TransCon PTH (palopegteriparatide) continued to provide a durable response in adults with hypoparathyroidism.</w:t>
      </w:r>
      <w:r>
        <w:rPr>
          <w:rFonts w:ascii="Times New Roman" w:hAnsi="Times New Roman"/>
          <w:color w:val="58595B"/>
          <w:sz w:val="20"/>
        </w:rPr>
        <w:t xml:space="preserve"> </w:t>
      </w:r>
      <w:r>
        <w:rPr>
          <w:rFonts w:ascii="Times New Roman" w:hAnsi="Times New Roman"/>
          <w:color w:val="000000"/>
          <w:sz w:val="20"/>
        </w:rPr>
        <w:t>At Week 214, nearly all patients (98%) continued to have normal albumin-adjusted serum calcium levels and 93% remained independent from conventional therapy (defined as taking &lt; 600 mg/day of calcium and not taking active vitamin D). Bone turnover markers CTx and P1NP increased from the low end of normal at baseline, peaked by Week 26, then declined and remained stable above baseline levels through Week 214. The data also showed continued improvement in skeletal dynamics, with BMD remaining within age- and sex-matched norms. In addition, at Week 214, most participants (67.8%) had a clinically meaningful (≥ 5 mL/min/1.73 m</w:t>
      </w:r>
      <w:r>
        <w:rPr>
          <w:rFonts w:ascii="Times New Roman" w:hAnsi="Times New Roman"/>
          <w:color w:val="000000"/>
          <w:sz w:val="13"/>
        </w:rPr>
        <w:t>2</w:t>
      </w:r>
      <w:r>
        <w:rPr>
          <w:rFonts w:ascii="Times New Roman" w:hAnsi="Times New Roman"/>
          <w:color w:val="000000"/>
          <w:sz w:val="20"/>
        </w:rPr>
        <w:t>) increase in eGFR from baseline, with changes in eGFR evident at Week 4. In the trial, TransCon PTH treatment was generally well-tolerated, with no new safety signals identified. TEAEs were mostly mild or moderate and no serious TEAEs or discontinuations were related to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results from the Phase 2 PaTH Forward Trial of adults with hypoparathyroidism showing that long-term treatment with TransCon PTH (palopegteriparatide; marketed as YORVIPATH) through Week 162 drove bone remodeling into the normal range. Deficiency of PTH is associated with low rates of bone remodeling, accumulation of overly mature bone, and higher-than-average bone mineral density that may correspond with poorer overall bone quality compared to that seen in the general population. In contrast, these results suggest that long-term palopegteriparatide treatment promotes attainment of skeletal health parameters in line with those expected with states of parathyroid sufficiency. The PaTH Forward Trial recently completed with 56 patients out of 59 patients originally enrolled and dosed completing the five-year trial. Three patients withdrew from the trial for reasons unrelated to safety or efficacy of the study drug.</w:t>
      </w:r>
    </w:p>
    <w:p>
      <w:pPr>
        <w:pStyle w:val="TextBody"/>
        <w:bidi w:val="0"/>
        <w:spacing w:before="240" w:after="120"/>
        <w:jc w:val="left"/>
        <w:rPr>
          <w:rFonts w:ascii="Times New Roman" w:hAnsi="Times New Roman"/>
          <w:sz w:val="20"/>
        </w:rPr>
      </w:pPr>
      <w:r>
        <w:rPr>
          <w:rFonts w:ascii="Times New Roman" w:hAnsi="Times New Roman"/>
          <w:color w:val="000000"/>
          <w:sz w:val="20"/>
        </w:rPr>
        <w:t>In May 2024, we announced two-year (Week 104) results from a post-hoc analysis of the Phase 3 PaTHway Trial demonstrating sustained improvements (nominal p-value &lt;0.05) in renal function in adults with chronic hypoparathyroidism treated with TransCon PTH. The post-hoc analysis examined the impact of treatment with TransCon PTH on renal function using estimated glomerular filtration rate (“eGFR”) through Week 104 (n=76) of PaTHway, a Phase 3, double-blind, placebo-controlled trial of 82 dosed adults with chronic hypoparathyroidism randomized 3:1 (TransCon PTH: placebo; both arms initially co-administered with conventional therapy of active vitamin D and calcium), with a 26-week blinded period followed by an ongoing 156-week open-label extension period. Across both treatment arms, TransCon PTH treatment resulted in a mean eGFR increase of 8.9 mL/min/1.73m</w:t>
      </w:r>
      <w:r>
        <w:rPr>
          <w:rFonts w:ascii="Times New Roman" w:hAnsi="Times New Roman"/>
          <w:color w:val="000000"/>
          <w:sz w:val="13"/>
        </w:rPr>
        <w:t xml:space="preserve">2 </w:t>
      </w:r>
      <w:r>
        <w:rPr>
          <w:rFonts w:ascii="Times New Roman" w:hAnsi="Times New Roman"/>
          <w:color w:val="000000"/>
          <w:sz w:val="20"/>
        </w:rPr>
        <w:t>(p&lt;0.0001) from baseline at Week 52, sustained at Week 104 with a mean change from baseline of 9.0 mL/min/1.73m</w:t>
      </w:r>
      <w:r>
        <w:rPr>
          <w:rFonts w:ascii="Times New Roman" w:hAnsi="Times New Roman"/>
          <w:color w:val="000000"/>
          <w:sz w:val="13"/>
        </w:rPr>
        <w:t>2</w:t>
      </w:r>
      <w:r>
        <w:rPr>
          <w:rFonts w:ascii="Times New Roman" w:hAnsi="Times New Roman"/>
          <w:color w:val="000000"/>
          <w:sz w:val="20"/>
        </w:rPr>
        <w:t xml:space="preserve"> (p&lt;0.0001). Treatment was generally well-tolerated, with no new safety signals.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PaTHway Trial recently completed with 73 of 82 patients originally enrolled and dosed completing the 3.5 year trial. Nine patients withdrew from the trial for reasons unrelated to safety.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2023, we announced top-line data from PaTHway Japan, a single-arm Phase 3 trial to evaluate the safety, tolerability, and efficacy of TransCon PTH in adults with hypoparathyroidism. The study achieved its primary objective, with top-line results consistent with our trials in North America and the EU. Twelve out of thirteen patients met the primary multi-component endpoint, which was defined as serum calcium levels in the normal range (8.3–10.6 mg/dL) and independence from conventional therapy (no active vitamin D and ≤600 mg/day of calcium). In this trial, TransCon PTH was generally well-tolerated, with no discontinuations related to study drug. The open-label extension (“OLE”) of this trial has been extended, and all patients have transitioned into the Investigational Medical Product supply period designed to ensure continuous treatment through the launch of YORVIPATH in Japan. In November 2025, Teijin announced that YORVIPATH is commercially available for prescription.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announced that top-line data from the randomized, double-blind, placebo-controlled portion of the Phase 3 PaTHway Trial of TransCon PTH in adults with hypoparathyroidism demonstrated statistically significant higher proportion of participants treated with TransCon PTH achieved the primary multi-component endpoint compared to placebo. The primary endpoint, defined as serum calcium levels in the normal range (8.3–10.6 mg/dL) and independence from conventional therapy (no active vitamin D and ≤600 mg/day of calcium)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Disorders</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for Recombinant Human Growth Hormone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Growth hormone deficiency (“GHD”)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In childhood and adolescence, growth hormone plays an essential role in normal longitudinal growth, muscle and bone strength, and distribution of body fat. In adults, growth hormone contributes to body composition, cardiovascular function, and bone health. The current standard of care for GHD has been daily subcutaneous injections of somatropin, a recombinant human growth hormone (“hGH”). These daily hGH therapies have been shown to be safe and well-tolerated.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both therapy-compliant children and adults with GHD, daily subcutaneous injections of hGH have resulted in improved body composition parameters, bone density, cardiovascular outcomes, and quality of life. Growth hormone-deficient children who are fully adherent to their daily hGH treatment regimen may achieve a height in adulthood that is comparable to that of their family members and national norms.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Despite the demonstrated benefits of daily hGH therapy, many GHD patients are not adequately treated, and adherence continues to be a challenge, as reported in a 2021 paper published by Kaplowitz et al. (Kaplowitz P, Manjelievskaia J, Lopez-Gonzalez L, et al. Economic burden of GHD in a U.S. pediatric population. </w:t>
      </w:r>
      <w:r>
        <w:rPr>
          <w:rFonts w:ascii="Times New Roman" w:hAnsi="Times New Roman"/>
          <w:i/>
          <w:color w:val="000000"/>
          <w:sz w:val="20"/>
        </w:rPr>
        <w:t>J Manag Care Spec Pharm.</w:t>
      </w:r>
      <w:r>
        <w:rPr>
          <w:rFonts w:ascii="Times New Roman" w:hAnsi="Times New Roman"/>
          <w:color w:val="000000"/>
          <w:sz w:val="20"/>
        </w:rPr>
        <w:t xml:space="preserve"> 2021; 27(8):1118-1128). The observational retrospective cohort analysis utilized administrative claims data from two databases on more than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 </w:t>
      </w:r>
    </w:p>
    <w:p>
      <w:pPr>
        <w:pStyle w:val="TextBody"/>
        <w:bidi w:val="0"/>
        <w:spacing w:before="240" w:after="283"/>
        <w:jc w:val="left"/>
        <w:rPr>
          <w:rFonts w:ascii="Times New Roman" w:hAnsi="Times New Roman"/>
          <w:sz w:val="20"/>
        </w:rPr>
      </w:pPr>
      <w:r>
        <w:rPr>
          <w:rFonts w:ascii="Times New Roman" w:hAnsi="Times New Roman"/>
          <w:color w:val="000000"/>
          <w:sz w:val="20"/>
        </w:rPr>
        <w:t>For adult patients with GHD, underdiagnosis and undertreatment are also a concern. Untreated adult GHD patients can experience reduced quality of life and increased risk of morbidity and mortality. In a retrospective observational study by Hoffman et al. (</w:t>
      </w:r>
      <w:r>
        <w:rPr>
          <w:rFonts w:ascii="Times New Roman" w:hAnsi="Times New Roman"/>
          <w:i/>
          <w:color w:val="000000"/>
          <w:sz w:val="20"/>
        </w:rPr>
        <w:t xml:space="preserve">Advances in Therapy, 2025; </w:t>
      </w:r>
      <w:r>
        <w:rPr>
          <w:rFonts w:ascii="Times New Roman" w:hAnsi="Times New Roman"/>
          <w:color w:val="000000"/>
          <w:sz w:val="20"/>
        </w:rPr>
        <w:t>42(6):2853–2873) which analyzed electronic health records in the U.S. to identify patients with a high likelihood of adult GHD, 54,310 patients were identified as at risk for adult GHD, of which, only 3.1% were treated with growth hormone.</w:t>
      </w:r>
    </w:p>
    <w:p>
      <w:pPr>
        <w:pStyle w:val="TextBody"/>
        <w:bidi w:val="0"/>
        <w:spacing w:before="240" w:after="283"/>
        <w:jc w:val="left"/>
        <w:rPr>
          <w:rFonts w:ascii="Times New Roman" w:hAnsi="Times New Roman"/>
          <w:sz w:val="20"/>
        </w:rPr>
      </w:pPr>
      <w:r>
        <w:rPr>
          <w:rFonts w:ascii="Times New Roman" w:hAnsi="Times New Roman"/>
          <w:color w:val="000000"/>
          <w:sz w:val="20"/>
        </w:rPr>
        <w:t>Since the introduction of hGH in 1981, a number of the world’s largest pharmaceutical companies have developed and marketed daily-administered hGH products. All currently marketed daily hGH products in the United States – Norditropin</w:t>
      </w:r>
      <w:r>
        <w:rPr>
          <w:rFonts w:ascii="Times New Roman" w:hAnsi="Times New Roman"/>
          <w:color w:val="000000"/>
          <w:sz w:val="13"/>
        </w:rPr>
        <w:t>®</w:t>
      </w:r>
      <w:r>
        <w:rPr>
          <w:rFonts w:ascii="Times New Roman" w:hAnsi="Times New Roman"/>
          <w:color w:val="000000"/>
          <w:sz w:val="20"/>
        </w:rPr>
        <w:t xml:space="preserve"> (Novo Nordisk A/S), Humatrope</w:t>
      </w:r>
      <w:r>
        <w:rPr>
          <w:rFonts w:ascii="Times New Roman" w:hAnsi="Times New Roman"/>
          <w:color w:val="000000"/>
          <w:sz w:val="13"/>
        </w:rPr>
        <w:t xml:space="preserve">® </w:t>
      </w:r>
      <w:r>
        <w:rPr>
          <w:rFonts w:ascii="Times New Roman" w:hAnsi="Times New Roman"/>
          <w:color w:val="000000"/>
          <w:sz w:val="20"/>
        </w:rPr>
        <w:t>(Eli Lilly and Company), Genotropin</w:t>
      </w:r>
      <w:r>
        <w:rPr>
          <w:rFonts w:ascii="Times New Roman" w:hAnsi="Times New Roman"/>
          <w:color w:val="000000"/>
          <w:sz w:val="13"/>
        </w:rPr>
        <w:t xml:space="preserve">® </w:t>
      </w:r>
      <w:r>
        <w:rPr>
          <w:rFonts w:ascii="Times New Roman" w:hAnsi="Times New Roman"/>
          <w:color w:val="000000"/>
          <w:sz w:val="20"/>
        </w:rPr>
        <w:t>(Pfizer Inc.), Zomacton</w:t>
      </w:r>
      <w:r>
        <w:rPr>
          <w:rFonts w:ascii="Times New Roman" w:hAnsi="Times New Roman"/>
          <w:color w:val="000000"/>
          <w:sz w:val="13"/>
        </w:rPr>
        <w:t xml:space="preserve">® </w:t>
      </w:r>
      <w:r>
        <w:rPr>
          <w:rFonts w:ascii="Times New Roman" w:hAnsi="Times New Roman"/>
          <w:color w:val="000000"/>
          <w:sz w:val="20"/>
        </w:rPr>
        <w:t>(Ferring Pharmaceuticals, Inc.) and Omnitrope</w:t>
      </w:r>
      <w:r>
        <w:rPr>
          <w:rFonts w:ascii="Times New Roman" w:hAnsi="Times New Roman"/>
          <w:color w:val="000000"/>
          <w:sz w:val="13"/>
        </w:rPr>
        <w:t>®</w:t>
      </w:r>
      <w:r>
        <w:rPr>
          <w:rFonts w:ascii="Times New Roman" w:hAnsi="Times New Roman"/>
          <w:color w:val="000000"/>
          <w:sz w:val="20"/>
        </w:rPr>
        <w:t xml:space="preserve">(Sandoz GmbH) – contain unmodified somatropin and are administered by subcutaneous injections. The global market for daily hGH products is largely composed of products from Novo Nordisk, Pfizer, Eli Lilly, Sandoz, and Merck KGaA, which together account for most of the global market share. However, according to the FDA drug shortage website, Humatrope has been discontinued due to a business decision which might impact the hGH global market share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pediatric GHD.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1990s, the pharmaceutical industry has employed various approaches to develop long-acting growth hormone products to reduce the burden of daily injections on patients and increase patient compliance with the dosing regimen. These approaches generally fall into two categories: unmodified somatropin and permanent modification of growth hormone: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Unmodified somatropin</w:t>
      </w:r>
      <w:r>
        <w:rPr>
          <w:rFonts w:ascii="Times New Roman" w:hAnsi="Times New Roman"/>
          <w:color w:val="000000"/>
          <w:sz w:val="20"/>
        </w:rPr>
        <w:t>: Two long-acting growth hormone products using encapsulation technologies previously received regulatory approval in the U.S. and Europe, but were subsequently discontinued due to commercial challenges. These include Nutropin Depot</w:t>
      </w:r>
      <w:r>
        <w:rPr>
          <w:rFonts w:ascii="Times New Roman" w:hAnsi="Times New Roman"/>
          <w:color w:val="000000"/>
          <w:sz w:val="13"/>
        </w:rPr>
        <w:t>®</w:t>
      </w:r>
      <w:r>
        <w:rPr>
          <w:rFonts w:ascii="Times New Roman" w:hAnsi="Times New Roman"/>
          <w:color w:val="000000"/>
          <w:sz w:val="20"/>
        </w:rPr>
        <w:t>, formerly marketed by Genentech, and Somatropin Biopartners, developed by LG Life Sciences and Biopartners GmbH. Nutropin Depot was approved by the FDA in 1999 and later withdrawn; Somatropin Biopartners (LB03002) was authorized by the EC in 2013, and later withdrawn. We believe that the lack of market acceptance was a result of the various safety and tolerability issues that tend to arise with encapsulation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Permanent modification of growth hormone</w:t>
      </w:r>
      <w:r>
        <w:rPr>
          <w:rFonts w:ascii="Times New Roman" w:hAnsi="Times New Roman"/>
          <w:color w:val="000000"/>
          <w:sz w:val="20"/>
        </w:rPr>
        <w:t xml:space="preserv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and may also negatively impact the drug’s safety. </w:t>
      </w:r>
    </w:p>
    <w:p>
      <w:pPr>
        <w:pStyle w:val="TextBody"/>
        <w:bidi w:val="0"/>
        <w:spacing w:before="240" w:after="283"/>
        <w:jc w:val="left"/>
        <w:rPr>
          <w:rFonts w:ascii="Times New Roman" w:hAnsi="Times New Roman"/>
          <w:sz w:val="20"/>
        </w:rPr>
      </w:pPr>
      <w:r>
        <w:rPr>
          <w:rFonts w:ascii="Times New Roman" w:hAnsi="Times New Roman"/>
          <w:color w:val="000000"/>
          <w:sz w:val="20"/>
        </w:rPr>
        <w:t>Novo Nordisk received regulatory approval in various countries and regions including the U.S., Japan, and EU for once-weekly somapacitan (SOGROYA</w:t>
      </w:r>
      <w:r>
        <w:rPr>
          <w:rFonts w:ascii="Times New Roman" w:hAnsi="Times New Roman"/>
          <w:color w:val="000000"/>
          <w:sz w:val="13"/>
        </w:rPr>
        <w:t>®</w:t>
      </w:r>
      <w:r>
        <w:rPr>
          <w:rFonts w:ascii="Times New Roman" w:hAnsi="Times New Roman"/>
          <w:color w:val="000000"/>
          <w:sz w:val="20"/>
        </w:rPr>
        <w:t xml:space="preserve">) in adult and pediatric patients with GHD.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Pfizer (in collaboration with OPKO Health Inc.) received regulatory approval of once-weekly somatrogon (NGENLA) in various countries and regions including the U.S., Japan, and EU for pediatric GHD. </w:t>
      </w:r>
    </w:p>
    <w:p>
      <w:pPr>
        <w:pStyle w:val="TextBody"/>
        <w:bidi w:val="0"/>
        <w:spacing w:before="240" w:after="283"/>
        <w:jc w:val="left"/>
        <w:rPr>
          <w:rFonts w:ascii="Times New Roman" w:hAnsi="Times New Roman"/>
          <w:sz w:val="20"/>
        </w:rPr>
      </w:pPr>
      <w:r>
        <w:rPr>
          <w:rFonts w:ascii="Times New Roman" w:hAnsi="Times New Roman"/>
          <w:color w:val="000000"/>
          <w:sz w:val="20"/>
        </w:rPr>
        <w:t>A permanently PEGylated long-acting growth hormone developed by GeneScience Pharmaceuticals Co., Ltd. (Jintrolong</w:t>
      </w:r>
      <w:r>
        <w:rPr>
          <w:rFonts w:ascii="Times New Roman" w:hAnsi="Times New Roman"/>
          <w:color w:val="000000"/>
          <w:sz w:val="13"/>
        </w:rPr>
        <w:t>®</w:t>
      </w:r>
      <w:r>
        <w:rPr>
          <w:rFonts w:ascii="Times New Roman" w:hAnsi="Times New Roman"/>
          <w:color w:val="000000"/>
          <w:sz w:val="20"/>
        </w:rPr>
        <w:t>) is available in China for pediatric GHD, Turner syndrome and idiopathic short stature and the Somatropin Biopartners product (LB03002) is available in Korea. Other experimental growth hormone therapies based on permanent modification are in different stages of clinical development by various companies, including Genexine Inc., I-MAB, Amoytop, UnionGene, Anhui Anke Biotechnology, Alteogen, JCR Pharmaceuticals Co., Ltd., Kexing Biopharm, Qianhon Biopharma (Zonhon) and Evive Biotech (Yifan).</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is a prodrug composed of somatropin that is transiently bound to a carrier by a proprietary linker. TransCon hGH is administered once weekly and is designed to maintain the same mode of action as daily therapies by providing sustained release of active, unmodified somatropin, the same recombinant growth hormone molecule used in the daily hGH therapies that have historically been the standard of care.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Growth Hormone (hGH) for Pediatric and Adult GHD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hGH, marketed under the brand name SKYTROFA (lonapegsomatropin-tcgd), received regulatory approval in the U.S. for the treatment of pediatric patients one year and older who weigh at least 11.5 kg and have growth failure due to inadequate secretion of endogenous growth hormone, also known as GHD. SKYTROFA has been commercially available for prescription in the United States since October 2021. In the EU, Norway, Iceland, Liechtenstein, and Great Britain (covering England, Wales, Scotland), we received marketing authorization for TransCon hGH – known by its brand name SKYTROFA (lonapegsomatropin) – as a once-weekly subcutaneous injection for the treatment of children and adolescents aged 3 to 18 years with growth failure due to insufficient secretion of endogenous growth hormone. SKYTROFA has been commercially available for prescription in Germany since September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announced that the FDA had approved SKYTROFA (lonapegsomatropin-tcgd; developed as TransCon hGH) for the replacement of endogenous growth hormone in adults with growth hormone deficiency (GHD), a rare disorder resulting from decreased or total loss of growth hormone production. Further, on October 22, 2025, we announced commercial availability of SKYTROFA (TransCon hGH) in broader dosing ranges in the United States for the replacement of endogenous growth hormone in adults with growth hormone deficiency.</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Clinical Trial of TransCon hGH in Japanese Pediatric GHD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ongoing Phase 3 riGHt Trial, we are evaluating TransCon hGH (N=15) compared to somatropin (N=16) as a treatment in Japanese children with GHD. The trial achieved its primary objective with Week 52 top-line results consistent with our pivotal heiGHt Trial and VISEN’s Phase 3 trial. In the riGHt Trial, TransCon hGH was generally well tolerated with a safety profile that was similar to that of somatropin’s. Trial subjects continue in the extension period.</w:t>
      </w:r>
    </w:p>
    <w:p>
      <w:pPr>
        <w:pStyle w:val="TextBody"/>
        <w:bidi w:val="0"/>
        <w:spacing w:before="240" w:after="283"/>
        <w:jc w:val="left"/>
        <w:rPr>
          <w:rFonts w:ascii="Times New Roman" w:hAnsi="Times New Roman"/>
          <w:sz w:val="20"/>
        </w:rPr>
      </w:pPr>
      <w:r>
        <w:rPr>
          <w:rFonts w:ascii="Times New Roman" w:hAnsi="Times New Roman"/>
          <w:i/>
          <w:color w:val="000000"/>
          <w:sz w:val="20"/>
        </w:rPr>
        <w:t>Proprietary Auto-Injector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SKYTROFA includes the SKYTROFA Auto-Injector and cartridges. The auto-injector provides for room temperature storage, includes an empty-all design, and is expected to last for at least four years. The device enables a single, low-volume injection of less than 0.6 mL for the majority of patients with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2638425" cy="3629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38425" cy="36290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Figure: Our state-of-the-art auto-injector is designed to address important patient needs.</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Growth Hormone (hGH) for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announced positive top-line results from the Phase 2 New InsiGHTS Trial. New InsiGHTS randomized and dosed 49 children with Turner syndrome aged 1 to 10 years old into one of four treatment groups 1:1:1:1 – one of three starting doses of TransCon hGH (0.24, 0.30, or 0.36 mg/kg/week) or an active comparator of daily somatropin with a starting dose of 0.35 mg/kg/week. Doses were individualized based on IGF-1. On the primary endpoint of annualized height velocity (“AHV”) and secondary endpoint of change from baseline in height SDS, children treated with TransCon hGH demonstrated improved growth similar to daily somatropin at Week 26, independent of starting dose. As of September 30, 2025, 45 out of the 49 children are ongoing in the trial. TransCon hGH was generally safe and well tolerated, and with comparable safety and tolerability to daily somatropin, with four discontinuations from the trial for reasons unrelated to safety or efficacy of the study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2025, we submitted the protocol for a basket trial evaluating additional growth disorder indications (planned for small for gestational age without catch-up growth; idiopathic short stature; SHOX deficiency (including Turner syndrome). In addition, we are investigating potential combinations of TransCon hGH and TransCon CNP. For more information see the section entitled “Combination Therapy (TransCon CNP + TransCon hGH).”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Achondroplasia</w:t>
      </w:r>
    </w:p>
    <w:p>
      <w:pPr>
        <w:pStyle w:val="TextBody"/>
        <w:bidi w:val="0"/>
        <w:spacing w:before="120" w:after="283"/>
        <w:jc w:val="left"/>
        <w:rPr>
          <w:rFonts w:ascii="Times New Roman" w:hAnsi="Times New Roman"/>
          <w:sz w:val="20"/>
        </w:rPr>
      </w:pPr>
      <w:r>
        <w:rPr>
          <w:rFonts w:ascii="Times New Roman" w:hAnsi="Times New Roman"/>
          <w:i/>
          <w:color w:val="000000"/>
          <w:sz w:val="20"/>
        </w:rPr>
        <w:t>Overview of Achondroplasia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Achondroplasia is a rare genetic condition arising from a systemic fibroblast growth factor 3 (“FGFR3”) variant, which causes serious muscular, neurological, and cardiorespiratory complications in addition to the well-characterized skeletal dysplasia that leads to disproportionate short stature. Achondroplasia is associated with a well-delineated range of clinical complications and manifestations, occurring in about one in 10,000 to 30,000 newborns or more than 250,000 worldwide. Achondroplasia results in severe skeletal complications and comorbidities including spinal stenosis due to premature fusion of the foramen magnum, sleep apnea, chronic ear infections, and muscular complications. Patients often face multiple surgeries to alleviate its many complications. There is significant unmet need for treatments that ameliorate complications and improve quality of life in achondroplasia.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Achondroplasia is primarily caused by gain-of-function variants of the FGFR3 gene resulting in constitutive activation of FGFR3 that leads to an imbalance in the effects of the FGFR3 and C-type natriuretic peptide (“CNP”) signaling pathways. In achondroplasia, FGFR3 is constitutively activated, suppressing the proliferation and differentiation of chondrocytes resulting in improper cartilage to bone conversion in the growth plate, and dysfunction in the skeletal muscle. Preclinical and clinical data show that the CNP pathway helps to counteract the constitutively activated FGFR3 downstream.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2021, BioMarin Pharmaceutical Inc.’s (“BioMarin”) daily VOXZOGO</w:t>
      </w:r>
      <w:r>
        <w:rPr>
          <w:rFonts w:ascii="Times New Roman" w:hAnsi="Times New Roman"/>
          <w:color w:val="000000"/>
          <w:sz w:val="13"/>
        </w:rPr>
        <w:t xml:space="preserve">® </w:t>
      </w:r>
      <w:r>
        <w:rPr>
          <w:rFonts w:ascii="Times New Roman" w:hAnsi="Times New Roman"/>
          <w:color w:val="000000"/>
          <w:sz w:val="20"/>
        </w:rPr>
        <w:t>(vosoritide) was approved by the FDA to increase linear growth in pediatric patients with achondroplasia with open epiphyses. Additionally, BioMarin is developing a long-acting CNP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certain patent litigation with BioMarin, including a case filed by BioMarin before the Unified Patent Court in Munich and a complaint filed by BioMarin with the U.S. International Trade Commission. In both the European and U.S. cases we take the view that we do not infringe the patents in question and that they are invalid, in any event. In response we have initiated legal action before the Danish Maritime and Commercial High Court as well as the District Court in the U.S. Northern District of California. Litigation in Europe relates to alleged infringement of EP3175863, and the U.S. litigation relates to alleged infringement of U.S. Reissue Patent No. 48,267. In September 2022, opposition proceedings against EP3175863 were initiated before the European Patent Office (“EPO”) and on October 16, 2025, the EPO Technical Boards of Appeal revoked the patent in its entirety. As a consequence of the revocation, the Unified Patent Court has stayed further proceedings, pending our application to have the infringement action dismissed. In addition, we have instituted proceedings before the Danish Maritime and Commercial High Court, claiming entitlement to European patent applications EP21211450.8, EP25151367.7 and EP25175852.0, all of which are divisional applications of EP3175863. The EPO has granted a stay of proceedings with respect to these proceedings. On June 12, 2025, BioMarin also submitted a Citizen Petition to the FDA under Section 505(q) of the Federal Food, Drug and Cosmetic Act requesting that FDA refrain from approving any analog of human CNP as a treatment for achondroplasia until orphan-drug exclusivities applicable to VOXZOGO expire. We submitted a response to the FDA in September 2025 and do not believe that our pending NDA for TransCon CNP (navepegritide) should be impacted by the Citizen Petition. Also, on October 21, 2025, we filed a petition before the Korean Intellectual Property Trial and Appeal Board (“IPTAB”) for the invalidation of BioMarin’s Korean patent KR2033680.</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Changing the Treatment Paradigm of Achondroplasia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manifestations of achondroplasia are associated with significant, potentially life-threatening complications and reduced quality of life. While achondroplasia has historically been considered a growth disorder, secondary manifestations beyond linear growth, including reduced muscle strength and stamina, suggest that achondroplasia is also a muscle disorder.</w:t>
      </w:r>
    </w:p>
    <w:p>
      <w:pPr>
        <w:pStyle w:val="TextBody"/>
        <w:bidi w:val="0"/>
        <w:jc w:val="center"/>
        <w:rPr/>
      </w:pPr>
      <w:r>
        <w:rPr/>
        <w:drawing>
          <wp:inline distT="0" distB="0" distL="0" distR="0">
            <wp:extent cx="6858000" cy="238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2381250"/>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ACH-AE: Increased incidence of Achondroplasia-related Adverse Events.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HRQoL: Reduced Health-Related Quality of Life; Height; Reduced height. Muscle Strength/Stamina; Reduced muscular functionality, including reduced strength and stamina.</w:t>
      </w:r>
    </w:p>
    <w:p>
      <w:pPr>
        <w:pStyle w:val="TextBody"/>
        <w:bidi w:val="0"/>
        <w:spacing w:before="240" w:after="283"/>
        <w:jc w:val="left"/>
        <w:rPr>
          <w:rFonts w:ascii="Times New Roman" w:hAnsi="Times New Roman"/>
          <w:sz w:val="20"/>
        </w:rPr>
      </w:pPr>
      <w:r>
        <w:rPr>
          <w:rFonts w:ascii="Times New Roman" w:hAnsi="Times New Roman"/>
          <w:b/>
          <w:i/>
          <w:color w:val="000000"/>
          <w:sz w:val="20"/>
        </w:rPr>
        <w:t>TransCon CNP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TransCon CNP (navepegritide) is an investigational prodrug of CNP administered once weekly and designed to provide sustained release of active CNP supporting continuous exposure for the treatment of achondroplasia. TransCon CNP is designed to provide effective shielding of CNP from neutral endopeptidase degradation in subcutaneous tissue and the blood compartment, minimize binding of CNP to the NPR-C receptor to decrease clearance, and release unmodified CNP (89-126), which is small enough in size to allow effective penetration into growth plates. Shorter-acting CNP and CNP analogs in development have resulted in high maximum serum concentration (“C</w:t>
      </w:r>
      <w:r>
        <w:rPr>
          <w:rFonts w:ascii="Times New Roman" w:hAnsi="Times New Roman"/>
          <w:color w:val="000000"/>
          <w:sz w:val="13"/>
        </w:rPr>
        <w:t>max</w:t>
      </w:r>
      <w:r>
        <w:rPr>
          <w:rFonts w:ascii="Times New Roman" w:hAnsi="Times New Roman"/>
          <w:color w:val="000000"/>
          <w:sz w:val="20"/>
        </w:rPr>
        <w:t>”) levels that may cause adverse hypotensive events. We believe the therapeutically sustained release of TransCon CNP offers advantages that may mitigate this issue, leading to continuous CNP exposure while avoiding a high C</w:t>
      </w:r>
      <w:r>
        <w:rPr>
          <w:rFonts w:ascii="Times New Roman" w:hAnsi="Times New Roman"/>
          <w:color w:val="000000"/>
          <w:sz w:val="13"/>
        </w:rPr>
        <w:t xml:space="preserve">max </w:t>
      </w:r>
      <w:r>
        <w:rPr>
          <w:rFonts w:ascii="Times New Roman" w:hAnsi="Times New Roman"/>
          <w:color w:val="000000"/>
          <w:sz w:val="20"/>
        </w:rPr>
        <w:t>to correlate with better therapeutic outcomes.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TransCon CNP for the Treatment of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submitted a New Drug Application (“NDA”) for the treatment of children with achondroplasia on March 31, 2025 and the FDA has accepted for priority review our NDA for TransCon CNP (navepegritide) and has set a Prescription Drug User Fee Act (“PDUFA”) goal date of November 30, 2025 to complete its review. In addition, we submitted a Marketing Authorisation Application (“MAA”) to the European Medicines Agency (“EMA”) for the treatment of children with achondroplasia on October 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2019, we were granted ODD by the FDA for TransCon CNP for the treatment of achondroplasia. In July 2020, we received OD from the EC for TransCon CNP for the treatment of achondroplasia.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Clinical Development of TransCon CNP for Achondroplasia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pivotal ApproaCH Trial, our long-term extension trial AttaCH, and COACH, are evaluating the safety and efficacy of TransCon CNP in children with achondroplasia. The reACHin Trial is evaluating the safety, tolerability, and efficacy of TransCon CNP in infants with achondroplasia (aged 0 to &lt; 2 years at the time of randomization). The teACH Trial is evaluating the safety, tolerability, and efficacy of TransCon CNP in adolescents with achondroplasia (aged 12 to 18).</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September 2025, we announced new analyses from the pivotal ApproaCH Trial were presented at the American Society for Bone and Mineral Research (ASBMR) Annual Meeting. The new analyses showed that children treated with TransCon CNP had improvements in the Physical Functioning domain of the Achondroplasia Child Experience Measure (ACEM-PF), with greatest benefits in younger children who had more severe genu varum (≥5°) at baseline, supporting benefits beyond linear growth. Further analyses showed correlations between improvements in physical functioning and improvements in lower limb alignment in these children, supporting the potential for TransCon CNP to provide benefits beyond linear growth.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2025, we announced data demonstrating improvements in growth and bone morphometry from Week 52 of our pivotal ApproaCH Trial of TransCon CNP (navepegritide) in children with achondroplasia. TransCon CNP demonstrated superiority over placebo in annualized growth velocity (AGV), with a safety and tolerability profile comparable to placebo that included a low rate of injection site reactions, no treatment-related serious adverse events (SAEs), no cases of symptomatic hypotension, no fractures, and no acceleration of bone age versus chronological age. Analyses also showed that TransCon CNP improved aspects of bone morphometry at Week 52. This included improvement in lower limb alignment and proportional growth, as well as increases in spinal canal dimensions, versus placebo.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January 2025, we announced data demonstrating improvements in leg bowing, a common complication in achondroplasia, observed with TransCon CNP compared to worsening observed with placebo in the pivotal ApproaCH Trial.</w:t>
      </w:r>
    </w:p>
    <w:p>
      <w:pPr>
        <w:pStyle w:val="TextBody"/>
        <w:bidi w:val="0"/>
        <w:jc w:val="left"/>
        <w:rPr/>
      </w:pPr>
      <w:r>
        <w:rPr/>
        <w:drawing>
          <wp:inline distT="0" distB="0" distL="0" distR="0">
            <wp:extent cx="6858000" cy="2324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23241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announced top-line data from ApproaCH, a pivotal, multicenter, randomized, double-blind, placebo-controlled trial of once-weekly TransCon CNP versus placebo in 84 children (aged 2 to 11 years) with achondroplasia. Participants were randomized 2:1 to receive TransCon CNP 100 µg/kg/week or placebo for 52 weeks in the double-blind period, after which all participants could choose to receive TransCon CNP at the 100 µg/kg/week dose in an ongoing open-label extension. In the trial, children treated with once-weekly TransCon CNP demonstrated annualized growth velocity (“AGV”) superior to those treated with placebo. TransCon CNP also demonstrated statistically significant improvements in other growth parameters, including height Z-score and change from baseline AGV.</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Highlights of the ApproaCH Trial Top-line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Endpoint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primary endpoint of AGV at Week 52, children treated with TransCon CNP (n=57) demonstrated an LS mean AGV of 5.89 cm/year compared to 4.41 cm/year in the placebo arm (n=27), an LS mean difference of 1.49 cm/year (p&lt;0.0001).</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Sub-group analyses: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Children aged 2 to &lt;5 years treated with TransCon CNP (n=21) demonstrated an LS mean AGV at Week 52 of 6.07 cm/year compared to 5.06 cm/year in the placebo arm (n=10), an LS mean difference of 1.02 cm/year (p=0.0084).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Children aged 5-11 years treated with TransCon CNP (n=36) demonstrated an LS mean AGV at Week 52 of 5.79 cm/year compared to 4.02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AGV Change from Baseline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Children aged 2 to &lt;5 years, treated with TransCon CNP (n=19) demonstrated a change from baseline AGV at Week 52 of 1.57 cm/year compared to 0.43 cm/year in the placebo arm (n=10), an LS mean difference of 1.15 cm/year (p=0.0047).</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Children aged 5-11 years, treated with TransCon CNP (n=35) demonstrated a change from baseline AGV at Week 52 of 2.29 cm/year compared to 0.52 cm/year in the placebo arm (n=17), an LS mean difference of 1.78 cm/year (p&lt;0.0001).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Secondary Endpoints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secondary endpoint of change in ACH Height Z-score, children treated with TransCon CNP (n=57) demonstrated an LS mean change from baseline ACH Height Z-score of 0.30 compared to 0.01 in the placebo arm (n=27), an LS mean difference of 0.28 (p&lt;0.0001).</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the secondary endpoint of change in CDC Height Z-score, children treated with TransCon CNP (n=55) demonstrated an LS mean change from baseline CDC Height Z-score of 0.15 compared to -0.15 in the placebo arm (n=27), an LS mean difference of 0.30 (p=0.0003).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Results Summary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TransCon CNP was generally well-tolerated and demonstrated safety profile was similar to that observed in the placebo arm, with generally mild treatment emergent adverse events (“TEAEs”), no evidence of hypotensive effect, and a low frequency of injection site reactions (0.41 events per patient year), all mild.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No adverse events (“AEs”) led to discontinuation of TransCon CNP or withdrawal from the trial and no serious adverse events (“SAEs”) were assessed as related to TransCon CNP.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announced new analyses demonstrating benefits beyond linear growth from the blinded and ongoing OLE periods of ACcomplisH, a Phase 2 randomized, double-blind, placebo-controlled, dose-escalation trial of TransCon CNP in children aged 2 to 10 years with achondroplasia. In the trial, all 57 patients have now completed one year of treatment with TransCon CNP at 100 µg/kg/week, the dose agreed with regulatory agencies for the active arm in our pivotal ApproaCH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analyzed available data for patients who only received TransCon CNP at the 100 µg/kg/week dose in either the blinded or OLE period and were treated for one year (n=19), compared to those administered placebo for one year (n=15). Results showed that these TransCon CNP-treated patients (data available for 9-16 patients) showed improvements (nominal p-value &lt;0.05) in health-related QoL and disease impacts compared to those receiving placebo (data available for 5-13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Assessments were performed with the SF-10 (a 10-item non-disease specific survey of a child’s functional health and well-being that has been validated to assess children aged 5 years and older) and the Achondroplasia Child Experience Measure (“ACEM”) a condition-specific clinical outcome measure that assesses the impact of achondroplasia on a child’s health-related quality of life, with statistically significant improved outcome in TransCon CNP-treatment versus placebo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SF-10 Physical Summary (p=0.002, aged 5 years and 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ACEM Daily Living Function (p=0.047)</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ACEM Emotional Well-being (p=0.045)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pPr>
      <w:r>
        <w:rPr/>
        <w:drawing>
          <wp:inline distT="0" distB="0" distL="0" distR="0">
            <wp:extent cx="5943600" cy="2514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2514600"/>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46 children switching from placebo or a lower dose of TransCon CNP to the 100 µg/kg/week dose in the OLE demonstrated improved growth after one year of treatment, similar to the growth benefits seen in the 11 children treated with 100 µg/kg/week in the one-year randomized, double-blind period of ACcomplisH.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third quarter of 2023, we filed an IND amendment with the FDA to initiate reACHin, a Phase 2, multicenter, double-blind, randomized, placebo-controlled trial, designed to evaluate the safety, tolerability, and efficacy of 100 μg/kg of TransCon CNP once-weekly for 52 weeks in infants with achondroplasia, aged 0 to &lt; 2 years at the time of randomization.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we announced top-line results from ACcomplisH, a Phase 2 randomized, double-blind, placebo-controlled, dose-escalation trial evaluating the safety and efficacy of once-weekly TransCon CNP compared to placebo in children with achondroplasia aged 2 to 10 years 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evaluated 57 children with achondroplasia aged 2 to 10 years old, randomized in a 3:1 ratio to receive either sequential ascending doses of once-weekly TransCon CNP (6 µg/kg/week, 20 µg/kg/week, 50 µg/kg/week, 100 µg/kg/week) or placebo for 52 weeks. The trial met its primary objectives, demonstrating that TransCon CNP at 100 µg/kg/week (n=11) was superior to placebo (n=15) on the primary efficacy endpoint of AGV at 52 weeks (p=0.0218).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ACcomplisH Trial completed in October 2024, with 55 of the original 57 children transitioning into AttaCH (n=53) a multicenter, long-term, open-label extension trial to continue treatment with TransCon CNP 100 µg/kg/week, and into COACH (n=2), a TransCon CNP/TransCon hGH combination trial. For more information, see section entitled, “Combination Therapy TransCon CNP + TransCon hGH.” As of September 30, 2025, 50 patients continue in AttaCH, and 7 patients continue in COACH.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we initiated the ACHieve Study, a five-year, multi-center natural history study designed to gain insight into the experiences of pediatric patients with achondroplasia. ACHieve was designed to evaluate growth velocity, body proportionality, and comorbidities over time in children with achondroplasia up to eight years old. No study medication was administered in the ACHieve Study. The study ended in the first quarter of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Combination Therapy (TransCon CNP + TransCon hGH)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CNP pathway may restore normal growth and skeletal muscle function, we believe delayed initiation of therapy could lead to a permanent height deficit. Clinical use of daily growth hormone injection has consistently demonstrated growth improvements in children with achondroplasia, including catch up growth; however, without reports of benefits beyond linear growth. We believe the combination of TransCon CNP and TransCon hGH, taken together once per week, by combining two independent mechanisms of action, may improve health outcomes compared to monotherapy.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COACH, a Phase 2 open-label single-arm trial is the first clinical trial to evaluate combination treatment with once-weekly investigational TransCon CNP (navepegritide) and once-weekly TransCon hGH (lonapegsomatropin) in children with achondroplasia (age 2 to 11 years). The primary objective is to evaluate the treatment effect on linear growth and safety. Secondary objectives are to evaluate treatment effect on quality of life, radiological endpoints, physical functioning, and body composition. The trial enrolled 21 patients (treatment naïve, n=12; prior treatment with TransCon CNP (100 µg/kg/week) for at least 1 year, n=9).</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2025, we announced Week 26 interim analysis results from our ongoing COACH Trial. Results demonstrated that TransCon hGH boosted treatment benefits of TransCon CNP, resulting in significant growth and proportionality improvements in children with achondroplasia after 26 weeks of combination treatment, with a safety and tolerability profile consistent with those observed for TransCon hGH and TransCon CNP monotherapies.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mean AGV with TransCon CNP and TransCon hGH combination treatment exceeded the 97th percentile of average-stature children.</w:t>
      </w:r>
    </w:p>
    <w:p>
      <w:pPr>
        <w:pStyle w:val="TextBody"/>
        <w:bidi w:val="0"/>
        <w:jc w:val="left"/>
        <w:rPr/>
      </w:pPr>
      <w:r>
        <w:rPr/>
        <w:drawing>
          <wp:inline distT="0" distB="0" distL="0" distR="0">
            <wp:extent cx="6858000" cy="3181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181350"/>
                    </a:xfrm>
                    <a:prstGeom prst="rect">
                      <a:avLst/>
                    </a:prstGeom>
                  </pic:spPr>
                </pic:pic>
              </a:graphicData>
            </a:graphic>
          </wp:inline>
        </w:drawing>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TransCon hGH + TransCon CNP treatment demonstrated accelerated improvement in body proportionality, aligning with the increase in linear growth.</w:t>
      </w:r>
    </w:p>
    <w:p>
      <w:pPr>
        <w:pStyle w:val="TextBody"/>
        <w:bidi w:val="0"/>
        <w:jc w:val="left"/>
        <w:rPr/>
      </w:pPr>
      <w:r>
        <w:rPr/>
        <w:drawing>
          <wp:inline distT="0" distB="0" distL="0" distR="0">
            <wp:extent cx="6858000" cy="2571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2571750"/>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TransCon Product Candidates—Oncology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Market Opportunity in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Cancer continues to be one of the leading causes of mortality.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recent advances, a high need for new treatment options remains for patients who do not respond to, or who respond inadequately to, current therapies. In addition to insufficient efficacy, many current treatments are limited by toxicities that result in dose reductions, treatment discontinuations, or long-term health risks to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one approach to potentially improve efficacy while limiting adverse events is to create long-acting product candidates using our sustained systemic release TransCon technology, allowing for more consistent circulating drug levels and potentially avoiding high peak concentrations that are often associated with toxicity.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currently developing TransCon technology in oncology for a variety of solid tumors, with encouraging early data in HER2+ breast cancer, platinum resistant ovarian cancer and melanoma. Aside from Proleukin being the only approved IL-2, TransCon IL-2 </w:t>
      </w:r>
      <w:r>
        <w:rPr>
          <w:rFonts w:ascii="Symbol;serif" w:hAnsi="Symbol;serif"/>
          <w:color w:val="000000"/>
          <w:sz w:val="20"/>
        </w:rPr>
        <w:t xml:space="preserve">b/g </w:t>
      </w:r>
      <w:r>
        <w:rPr>
          <w:rFonts w:ascii="Times New Roman" w:hAnsi="Times New Roman"/>
          <w:color w:val="000000"/>
          <w:sz w:val="20"/>
        </w:rPr>
        <w:t xml:space="preserve">may face competition from other IL-2 type drug candidates in development, including those being developed by Anaveon, Medicenna, Roche, Werewolf, Innovent, Synthekine, Dragonfly, Aulos, Hanmi Pharmaceutical, GI Innovation, and Asher Bio. In addition, TransCon IL-2 </w:t>
      </w:r>
      <w:r>
        <w:rPr>
          <w:rFonts w:ascii="Symbol;serif" w:hAnsi="Symbol;serif"/>
          <w:color w:val="000000"/>
          <w:sz w:val="20"/>
        </w:rPr>
        <w:t xml:space="preserve">b/g </w:t>
      </w:r>
      <w:r>
        <w:rPr>
          <w:rFonts w:ascii="Times New Roman" w:hAnsi="Times New Roman"/>
          <w:color w:val="000000"/>
          <w:sz w:val="20"/>
        </w:rPr>
        <w:t xml:space="preserve">may face competition from drug candidates in development for platinum resistant ovarian cancer, including Merck, Corcept, Genelux, Daiichi Sankyo,Genmab, and Eli Lilly. In melanoma, TransCon IL-2 </w:t>
      </w:r>
      <w:r>
        <w:rPr>
          <w:rFonts w:ascii="Symbol;serif" w:hAnsi="Symbol;serif"/>
          <w:color w:val="000000"/>
          <w:sz w:val="20"/>
        </w:rPr>
        <w:t xml:space="preserve">b/g </w:t>
      </w:r>
      <w:r>
        <w:rPr>
          <w:rFonts w:ascii="Times New Roman" w:hAnsi="Times New Roman"/>
          <w:color w:val="000000"/>
          <w:sz w:val="20"/>
        </w:rPr>
        <w:t>may face competition from drug candidates in development including from Replimune, Immatics, Immunocore, Regeneron, Innovent, and Philogen.</w:t>
      </w:r>
    </w:p>
    <w:p>
      <w:pPr>
        <w:pStyle w:val="TextBody"/>
        <w:bidi w:val="0"/>
        <w:spacing w:before="240" w:after="283"/>
        <w:jc w:val="left"/>
        <w:rPr>
          <w:rFonts w:ascii="Times New Roman" w:hAnsi="Times New Roman"/>
          <w:sz w:val="20"/>
        </w:rPr>
      </w:pPr>
      <w:r>
        <w:rPr>
          <w:rFonts w:ascii="Times New Roman" w:hAnsi="Times New Roman"/>
          <w:i/>
          <w:color w:val="000000"/>
          <w:sz w:val="20"/>
        </w:rPr>
        <w:t>TransCon Technologies for Oncology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TransCon technologies may have the potential to increase the efficacy of small molecules, peptides and proteins without increasing toxicity, which could offer the potential to treat more patients with new combinations and multi-agent regimens that would not otherwise be feasible.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investigating one clinical-stage product candidate designed to activate the patient’s own immune system to eradicate malignant cells. We believe our approach, if successfully developed, has the potential to improve the efficacy of systemically administered, clinically validated therapies while limiting adverse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early clinical and nonclinical studies have shown sustained activation of cytotoxic immune cells that resulted in robust anti-tumor responses by TransCon product candidates using infrequent administration.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TransCon IL-2 </w:t>
      </w:r>
      <w:r>
        <w:rPr>
          <w:rFonts w:ascii="Symbol;serif" w:hAnsi="Symbol;serif"/>
          <w:b/>
          <w:i/>
          <w:color w:val="000000"/>
          <w:sz w:val="20"/>
        </w:rPr>
        <w:t xml:space="preserve">b/g </w:t>
      </w:r>
      <w:r>
        <w:rPr>
          <w:rFonts w:ascii="Times New Roman" w:hAnsi="Times New Roman"/>
          <w:b/>
          <w:i/>
          <w:color w:val="000000"/>
          <w:sz w:val="20"/>
        </w:rPr>
        <w:t>for Sustained Systemic Release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 xml:space="preserve">b/g </w:t>
      </w:r>
      <w:r>
        <w:rPr>
          <w:rFonts w:ascii="Times New Roman" w:hAnsi="Times New Roman"/>
          <w:color w:val="000000"/>
          <w:sz w:val="20"/>
        </w:rPr>
        <w:t xml:space="preserve">(onvapegleukin alfa) is an investigational long-acting prodrug designed to improve cancer immunotherapy through sustained release of an IL-2 variant that selectively activates IL-2 </w:t>
      </w:r>
      <w:r>
        <w:rPr>
          <w:rFonts w:ascii="Symbol;serif" w:hAnsi="Symbol;serif"/>
          <w:color w:val="000000"/>
          <w:sz w:val="20"/>
        </w:rPr>
        <w:t>b/g</w:t>
      </w:r>
      <w:r>
        <w:rPr>
          <w:rFonts w:ascii="Times New Roman" w:hAnsi="Times New Roman"/>
          <w:color w:val="000000"/>
          <w:sz w:val="20"/>
        </w:rPr>
        <w:t xml:space="preserve">, with minimal binding to IL-2Rα. The IL-Believe Trial, a Phase 1/2 clinical trial to evaluate the safety and efficacy of TransCon IL-2 </w:t>
      </w:r>
      <w:r>
        <w:rPr>
          <w:rFonts w:ascii="Symbol;serif" w:hAnsi="Symbol;serif"/>
          <w:color w:val="000000"/>
          <w:sz w:val="20"/>
        </w:rPr>
        <w:t>b/g</w:t>
      </w:r>
      <w:r>
        <w:rPr>
          <w:rFonts w:ascii="Times New Roman" w:hAnsi="Times New Roman"/>
          <w:color w:val="000000"/>
          <w:sz w:val="20"/>
        </w:rPr>
        <w:t xml:space="preserve"> in locally advanced or metastatic solid tumors, alone or in combination with pembrolizumab or other anti-cancer therapies, has completed dose escalation and is enrolling patients in multiple indication-specific dose expansion cohorts, including platinum-resistant ovarian cancer (“PROC”), melanoma, and HER2+ breast cancer.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2025, we reported updated results at the European Society for Medical Oncology (“ESMO”) that further indicate clinical activity in late-line patients with PROC treated with TransCon IL-2 </w:t>
      </w:r>
      <w:r>
        <w:rPr>
          <w:rFonts w:ascii="Symbol;serif" w:hAnsi="Symbol;serif"/>
          <w:color w:val="000000"/>
          <w:sz w:val="20"/>
        </w:rPr>
        <w:t>b/g</w:t>
      </w:r>
      <w:r>
        <w:rPr>
          <w:rFonts w:ascii="Times New Roman" w:hAnsi="Times New Roman"/>
          <w:color w:val="000000"/>
          <w:sz w:val="20"/>
        </w:rPr>
        <w:t xml:space="preserve"> with weekly paclitaxel (Cohort 3, 3SK, and 14 in the IL-Believe Trial). As of data cutoff date of September 2, 2025, 70 patients (median 4 prior lines of therapy; 67% previously treated with at least 2 lines of taxane-containing therapy) were enrolled and 53 were efficacy-evaluable to-date, with 7 pending first post-baseline scan. Clinical responses were observed in 25% (13/53) of patients who had received two to ten prior lines of therapy (three confirmed and ten unconfirmed responses, with six of the unconfirmed continuing on study treatment). Data continued to suggest that TransCon IL-2 </w:t>
      </w:r>
      <w:r>
        <w:rPr>
          <w:rFonts w:ascii="Symbol;serif" w:hAnsi="Symbol;serif"/>
          <w:color w:val="000000"/>
          <w:sz w:val="20"/>
        </w:rPr>
        <w:t>b/g</w:t>
      </w:r>
      <w:r>
        <w:rPr>
          <w:rFonts w:ascii="Times New Roman" w:hAnsi="Times New Roman"/>
          <w:color w:val="000000"/>
          <w:sz w:val="20"/>
        </w:rPr>
        <w:t xml:space="preserve"> in combination with weekly paclitaxel is generally well-tolerated with the majority of TransCon IL-2 </w:t>
      </w:r>
      <w:r>
        <w:rPr>
          <w:rFonts w:ascii="Symbol;serif" w:hAnsi="Symbol;serif"/>
          <w:color w:val="000000"/>
          <w:sz w:val="20"/>
        </w:rPr>
        <w:t>b/g</w:t>
      </w:r>
      <w:r>
        <w:rPr>
          <w:rFonts w:ascii="Times New Roman" w:hAnsi="Times New Roman"/>
          <w:color w:val="000000"/>
          <w:sz w:val="20"/>
        </w:rPr>
        <w:t xml:space="preserve">-related TEAEs being grade 1 or 2 in severity.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TransCon IL-2 </w:t>
      </w:r>
      <w:r>
        <w:rPr>
          <w:rFonts w:ascii="Symbol;serif" w:hAnsi="Symbol;serif"/>
          <w:color w:val="000000"/>
          <w:sz w:val="20"/>
        </w:rPr>
        <w:t>b/g</w:t>
      </w:r>
      <w:r>
        <w:rPr>
          <w:rFonts w:ascii="Times New Roman" w:hAnsi="Times New Roman"/>
          <w:color w:val="000000"/>
          <w:sz w:val="20"/>
        </w:rPr>
        <w:t xml:space="preserve"> induced significant peripheral expansion of cytotoxic CD8+ T cells and NK cells with minimal expansion of regulatory T cells, despite concurrent chemotherapy. Proliferating antigen-experienced PD-1+CD8+ T cells expanded significantly at 1 week post dose. Expanded PD-1+CD8+ T cells predominantly exhibited stem-like or transitory states, with limited progression to terminally differentiated or exhausted phenotypes. In addition, clinical responses significantly correlated with peripheral CD8+ T cell expansion in PROC. Furthermore, significant increase in CD8+ T cells was observed in the tumor of paired on-treatment biopsies from all available paired pre-treatment and on-treatment tumor samples from IL Believe Trial as of September 2, 2025, dosed at 80 (n=2) or 120 μg/kg (n=11).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provide median overall survival (“OS”) data for this cohort of 70 patients in the first quarter of next year as the dataset continues to mature.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2024, we announced initial data showing signs of clinical activity in heavily pre-treated patients with PROC treated (cohort 3) with TransCon IL-2 </w:t>
      </w:r>
      <w:r>
        <w:rPr>
          <w:rFonts w:ascii="Symbol;serif" w:hAnsi="Symbol;serif"/>
          <w:color w:val="000000"/>
          <w:sz w:val="20"/>
        </w:rPr>
        <w:t>b/g</w:t>
      </w:r>
      <w:r>
        <w:rPr>
          <w:rFonts w:ascii="Times New Roman" w:hAnsi="Times New Roman"/>
          <w:color w:val="000000"/>
          <w:sz w:val="20"/>
        </w:rPr>
        <w:t xml:space="preserve"> in combination with chemotherapy in the ongoing Phase 1/2 IL-Believe Trial of TransCon IL-2 </w:t>
      </w:r>
      <w:r>
        <w:rPr>
          <w:rFonts w:ascii="Symbol;serif" w:hAnsi="Symbol;serif"/>
          <w:color w:val="000000"/>
          <w:sz w:val="20"/>
        </w:rPr>
        <w:t>b/g</w:t>
      </w:r>
      <w:r>
        <w:rPr>
          <w:rFonts w:ascii="Times New Roman" w:hAnsi="Times New Roman"/>
          <w:color w:val="000000"/>
          <w:sz w:val="20"/>
        </w:rPr>
        <w:t xml:space="preserve">. As of a cutoff date of July 29, 2024, of the 18 patients (median age 64 years) included in the initial assessment, 14 were efficacy evaluable patients who had one or more post-baseline tumor assessment(s), plus an additional four who discontinued treatment before the first post-baseline tumor assessment due to disease progression or death.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the data cutoff, clinical responses were observed in 29% (4/14) of the efficacy evaluable patients (two confirmed and two unconfirmed partial responses in patients who had received three to seven prior lines of treatment – including patients whose disease had previously progressed on mirvetuximab soravtansine-gynx), suggesting the potential for clinical activity in heavily pre-treated patients. The data suggest that TransCon IL-2 </w:t>
      </w:r>
      <w:r>
        <w:rPr>
          <w:rFonts w:ascii="Symbol;serif" w:hAnsi="Symbol;serif"/>
          <w:color w:val="000000"/>
          <w:sz w:val="20"/>
        </w:rPr>
        <w:t>b/g</w:t>
      </w:r>
      <w:r>
        <w:rPr>
          <w:rFonts w:ascii="Times New Roman" w:hAnsi="Times New Roman"/>
          <w:color w:val="000000"/>
          <w:sz w:val="20"/>
        </w:rPr>
        <w:t xml:space="preserve"> was generally well-tolerated: the most common TEAEs related to combination therapy with TransCon IL-2 </w:t>
      </w:r>
      <w:r>
        <w:rPr>
          <w:rFonts w:ascii="Symbol;serif" w:hAnsi="Symbol;serif"/>
          <w:color w:val="000000"/>
          <w:sz w:val="20"/>
        </w:rPr>
        <w:t>b/g</w:t>
      </w:r>
      <w:r>
        <w:rPr>
          <w:rFonts w:ascii="Times New Roman" w:hAnsi="Times New Roman"/>
          <w:color w:val="000000"/>
          <w:sz w:val="20"/>
        </w:rPr>
        <w:t xml:space="preserve"> plus chemotherapy were fatigue, thrombocytopenia, neutropenia, and anemia. Most TransCon IL-2 β/γ-related TEAEs were grade 1 or 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reported updated results from our ongoing Phase 1/2 IL-Believe Trial of TransCon IL-2 </w:t>
      </w:r>
      <w:r>
        <w:rPr>
          <w:rFonts w:ascii="Symbol;serif" w:hAnsi="Symbol;serif"/>
          <w:color w:val="000000"/>
          <w:sz w:val="20"/>
        </w:rPr>
        <w:t>b/g.</w:t>
      </w:r>
      <w:r>
        <w:rPr>
          <w:rFonts w:ascii="Times New Roman" w:hAnsi="Times New Roman"/>
          <w:color w:val="58595B"/>
          <w:sz w:val="20"/>
        </w:rPr>
        <w:t xml:space="preserve"> </w:t>
      </w:r>
      <w:r>
        <w:rPr>
          <w:rFonts w:ascii="Times New Roman" w:hAnsi="Times New Roman"/>
          <w:color w:val="000000"/>
          <w:sz w:val="20"/>
        </w:rPr>
        <w:t xml:space="preserve">Data included the first presentation of Phase 2 dose expansion Cohort 4 (TransCon IL-2 </w:t>
      </w:r>
      <w:r>
        <w:rPr>
          <w:rFonts w:ascii="Symbol;serif" w:hAnsi="Symbol;serif"/>
          <w:color w:val="000000"/>
          <w:sz w:val="20"/>
        </w:rPr>
        <w:t>b/g</w:t>
      </w:r>
      <w:r>
        <w:rPr>
          <w:rFonts w:ascii="Times New Roman" w:hAnsi="Times New Roman"/>
          <w:color w:val="000000"/>
          <w:sz w:val="20"/>
        </w:rPr>
        <w:t xml:space="preserve"> in combination with TransCon TLR7/8 Agonist) in post anti-PD-1 melanoma and new analyses of patients from dose escalation cohorts with prior disease progression on checkpoint inhibitors, along with biomarker studies correlating cytotoxic immune cell expansion and observed clinical benefit. As of the April 16, 2024 data cutoff, confirmed clinical partial responses were observed in 40% (two out of five) of efficacy-evaluable patients from Cohort 4, suggesting potential synergy of our two novel immunotherapy candidates in patients who did not derive sufficient benefit from checkpoint inhibitors. Of efficacy-evaluable patients with prior disease progression on checkpoint inhibitors to date (from Phase 1 dose escalation cohorts) in the IL-Believe Trial, confirmed clinical responses (per RECIST v1.1) were observed in 45% (five out of eleven) administered TransCon IL-2 </w:t>
      </w:r>
      <w:r>
        <w:rPr>
          <w:rFonts w:ascii="Symbol;serif" w:hAnsi="Symbol;serif"/>
          <w:color w:val="000000"/>
          <w:sz w:val="20"/>
        </w:rPr>
        <w:t>b/g</w:t>
      </w:r>
      <w:r>
        <w:rPr>
          <w:rFonts w:ascii="Times New Roman" w:hAnsi="Times New Roman"/>
          <w:color w:val="000000"/>
          <w:sz w:val="20"/>
        </w:rPr>
        <w:t xml:space="preserve"> doses ≥80 μg/kg every 3 weeks, suggesting clinical benefit in treatment-resistant settings (monotherapy (n=4): 1 confirmed partial response (“PR”) in colorectal cancer; combination with pembrolizumab (n=2): 1 confirmed complete response and 1 confirmed PR in small-cell lung cancer; combination with TransCon TLR7/8 Agonist (n=5): 2 confirmed PRs in melanoma). In this trial, TransCon IL-2 </w:t>
      </w:r>
      <w:r>
        <w:rPr>
          <w:rFonts w:ascii="Symbol;serif" w:hAnsi="Symbol;serif"/>
          <w:color w:val="000000"/>
          <w:sz w:val="20"/>
        </w:rPr>
        <w:t>b/g</w:t>
      </w:r>
      <w:r>
        <w:rPr>
          <w:rFonts w:ascii="Times New Roman" w:hAnsi="Times New Roman"/>
          <w:color w:val="000000"/>
          <w:sz w:val="20"/>
        </w:rPr>
        <w:t xml:space="preserve"> alone or in combination with pembrolizumab or TransCon TLR7/8 Agonist was generally well tolerated with no new safety signals.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2023, we announced updated data from the ongoing Phase 1 dose escalation cohort from IL-Believe Trial. Forty-six patients were enrolled into dose escalation cohorts: 25 to monotherapy and 21 to combination therapy. As of the August 15, 2023, data cutoff, anti-tumor clinical responses were observed with TransCon IL-2 </w:t>
      </w:r>
      <w:r>
        <w:rPr>
          <w:rFonts w:ascii="Symbol;serif" w:hAnsi="Symbol;serif"/>
          <w:color w:val="000000"/>
          <w:sz w:val="20"/>
        </w:rPr>
        <w:t xml:space="preserve">b/g </w:t>
      </w:r>
      <w:r>
        <w:rPr>
          <w:rFonts w:ascii="Times New Roman" w:hAnsi="Times New Roman"/>
          <w:color w:val="000000"/>
          <w:sz w:val="20"/>
        </w:rPr>
        <w:t xml:space="preserve">monotherapy (colorectal cancer with PR) or in combination with pembrolizumab (small cell lung cancer, one with confirmed PR and one ongoing with unconfirmed complete response) in heavily pre-treated patients who previously progressed on checkpoint inhibitors. TransCon IL-2 </w:t>
      </w:r>
      <w:r>
        <w:rPr>
          <w:rFonts w:ascii="Symbol;serif" w:hAnsi="Symbol;serif"/>
          <w:color w:val="000000"/>
          <w:sz w:val="20"/>
        </w:rPr>
        <w:t>b/g</w:t>
      </w:r>
      <w:r>
        <w:rPr>
          <w:rFonts w:ascii="Times New Roman" w:hAnsi="Times New Roman"/>
          <w:color w:val="000000"/>
          <w:sz w:val="20"/>
        </w:rPr>
        <w:t xml:space="preserve"> every three weeks was generally well-tolerated, with no meaningful effect on Tregs and eosinophils.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completion of Phase 1 dose escalation in combination with pembrolizumab of the IL-Believe Trial with a total of 21 patients enrolled and RP2D determined at 120 µg/kg IV every three weeks. Twenty-one patients were enrolled.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we announced completion of the Phase 1 monotherapy dose escalation of the IL-Believe Trial with RP2D determined at 120 µg/kg IV every three weeks with 25 heavily pre-treated patients enrolled and a median of four prior lines of systemic therapies.</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 and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engage in strategic collaborations to further leverage our TransCon technologies in certain geographies and therapeutic areas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 In addition, we may choose to pursue a collaboration to develop and market our internal, wholly owned product candidates in geographic markets outside our core focus areas of the United States and Europe.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Novo Nordisk 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research and development collaboration and license agreement with Novo Nordisk pursuant to which we granted Novo Nordisk an exclusive worldwide license to the TransCon technology platform to develop, manufacture and commercialize Novo Nordisk proprietary products (including Semaglutide) in metabolic diseases (including obesity and type 2 diabetes) and a product-by-product exclusive license in cardiovascular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includes provisions requiring at least one TransCon Semaglutide product and at least one other TransCon technology-based product to be identified, developed and commercialized in metabolic diseases to maintain certain exclusivities in the field, with additional provisions for cardiovascular diseases. Under the terms of the agreement, Novo Nordisk also receives exclusive rights to expand any resulting metabolic disease products into other therapeutic areas. The lead program in the collaboration is a once-monthly TransCon Semaglutide product candidate that will initially target obesity and type 2 diabetes.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the potential to receive total payments of up to $285 million in upfront, development and regulatory milestone payments for the lead program. In addition, we have the potential to receive sales-based milestone payments and tiered royalties on global net sales. The $285 million includes an upfront fee of $100 million for the exclusive license that was paid to us in January 2025. For each additional metabolic or cardiovascular disease product candidate, we are eligible to receive payments of up to $77.5 million in development and regulatory milestone payments. In addition, we have the potential to receive sales-based milestone payments and tiered royalties on global net sales. Novo Nordisk agreed to pay royalties for each potential licensed product developed under the agreement that are an escalating tiered, mid-single digit percentage of the annual net sales of such licensed product and are subject to reduction due to patent valid claim expiration, biosimilar product market share, payment made under certain licenses for third party intellectual property and Inflation Reduction Act price negotiations.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we have agreed to conduct certain pre-agreed early research and development of TransCon product candidates under the collaboration and we are eligible to receive cost reimbursement from Novo Nordisk for its performance of such research and development activities under the agreement with respect to such TransCon product candidates. Novo Nordisk is responsible for any other non-clinical and clinical development, regulatory, commercial manufacturing, and commercialization of such TransCon product candidates, and all costs associated with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the terms of the agreement, we granted Novo Nordisk an exclusive, worldwide, royalty-bearing license, with the right to grant sublicenses, to use its proprietary TransCon technology platform to develop, manufacture and commercialize Novo Nordisk proprietary products in metabolic diseases (including obesity and type 2 diabetes) and a product-by-product exclusive license in cardiovascular diseases. Additionally, we granted Novo Nordisk an exclusive, worldwide, royalty-bearing license, with the right to grant sublicenses, to use its proprietary TransCon technology platform to develop, manufacture and commercialize GLP-1 receptor products using the TransCon technology for all indications, except for (i) certain pre-agreed rare endocrine indications, (ii) all indications in respect of the eye and adnexa and (iii) all indications in respect of oncology.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expiry of the last royalty term and for one-year thereafter, we are not permitted to research, develop, manufacture, commercialize, or otherwise exploit outside of the collaboration, any GLP-1 receptor product or any other licensed products that have been subject to the collaboration. We are also not permitted to undertake any research, development, manufacture, commercialization, or other exploitation of products outside of the collaboration in the metabolic field until expiry of the last royalty term of any licensed products that have been subject to the collaboration in metabolic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earlier terminated, the agreement has a royalty term that continues, on a per licensed product and per country basis, until the later of (i) the expiration of the last valid patent claim for any of our patents, joint improvement patents, licensed product patents as well as any improvements made by Novo Nordisk covering the licensed product’s dosage regimen or target product profile, or (ii) 11 years after the first commercial sale of such licensed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Novo Nordisk has the right to terminate the agreement without cause in its entirety or on a per licensed product basis. We have the right to terminate the agreement in its entirety in case Novo Nordisk brings patent challenges with respect to our patents. The agreement may also be terminated by either party based on an uncured material breach by the other party or the bankruptcy of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agreement due to Novo Nordisk’s default, some or all of the licenses granted by us to Novo Nordisk to develop, manufacture and commercialize any of the licensed products will automatically terminate.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agreement due to certain defaults by us, Novo Nordisk may choose to either (i) have the license granted by us to Novo Nordisk to develop, manufacture and commercialize licensed products terminate in its entirety or on a product-by-product basis; or (ii) continue with respect to the affected licensed product at a reduced payment 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Teijin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announced that we entered into an exclusive license agreement with Teijin for the further development and commercialization of TransCon hGH, TransCon PTH, and TransCon CNP for endocrinology rare disease in Japan. Under the terms of the agreement with Teijin, we received an upfront payment of $70 million, with additional development and regulatory milestones of up to $175 million, transfer pricing and commercial milestones. In addition, we are eligible to receive royalties on net sales in Japan, of up to a mid-20’s percentage, varying by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Teijin announced that YORVIPATH is commercially available for prescription.</w:t>
      </w:r>
    </w:p>
    <w:p>
      <w:pPr>
        <w:pStyle w:val="TextBody"/>
        <w:bidi w:val="0"/>
        <w:spacing w:before="240" w:after="283"/>
        <w:jc w:val="left"/>
        <w:rPr>
          <w:rFonts w:ascii="Times New Roman" w:hAnsi="Times New Roman"/>
          <w:sz w:val="20"/>
        </w:rPr>
      </w:pPr>
      <w:r>
        <w:rPr>
          <w:rFonts w:ascii="Times New Roman" w:hAnsi="Times New Roman"/>
          <w:i/>
          <w:color w:val="000000"/>
          <w:sz w:val="20"/>
        </w:rPr>
        <w:t>VISEN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2018, we announced the formation of VISEN, a company established to develop and commercialize our endocrinology rare disease therapies in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50.0% ownership in the outstanding shares of VISEN and concurrently with the rights we granted to VISEN, entities affiliated with Vivo Capital and Sofinnova Ventures purchased shares in VISEN for an aggregate purchase price of $40 million in cash. In January 2021, we invested an additional $12.5 million in VISEN as part of VISEN’s $150 million Series B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20, 2025, VISEN announced the pricing of its initial public offering (“IPO”) on the Hong Kong Stock Exchange. The shares offered in the IPO were priced at HKD 68.80 per share and expected to result in gross proceeds of HKD 783,288,000 (approximately USD 100 million) plus a potential greenshoe of up to HKD 117,489,760 (approximately USD 15 million). This amount was calculated before deducting underwriting discounts, commissions, and other offering expenses. The IPO closed on March 21, 2025, and VISEN’s shares began trading under the stock code 2561.HK. Ascendis Pharma holds 41,136,364 shares in VISEN. Following the IPO, the Company owned 39.2% in VISEN. The management and existing shareholders of VISEN, including Ascendis Pharma, have entered into customary lock-up agreements restricting the sale of VISEN shares for six months following the IPO; additionally, certain significant shareholders of VISEN, including Ascendis Pharma, are subject to an additional lock-up obligation during the period commencing on the date that is six months after the IPO and ending on the date that is 12 months after the IPO during which such shareholders may not sell shares of VISEN to an extent that would cause such shareholder to cease being a controlling shareholder of the VISEN pursuant to applicable listing rules. As of September 30, 2025, VISEN’s share price was HK$42.5, reflecting a total market value of our equity position of approximately €191.0 million, and our carrying amount of VISEN using the equity method was €22.9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VISEN announced that palopegteriparatide (TransCon PTH) was approved by the Hainan Medical Products Administration for clinical use in the Boao Lecheng Pilot Zone for the treatment of adults with chronic hypoparathyroidism. According to VISEN, palopegteriparatide is the first and currently only approved parathyroid hormone (PTH) replacement therapy for hypoparathyroidism globally, and its availability in Boao enables patients in China to access this therapy without traveling abroad. VISEN noted that conventional therapy in China relies on high-dose oral calcium and active vitamin D, which does not address the underlying PTH deficiency, whereas palopegteriparatide is designed using TransCon technology to provide sustained physiologic levels of PTH over 24 hours each day. VISEN also highlighted long-term data up to four years generated globally with palopegteriparatide, including sustained normalization of skeletal dynamics and improvements in kidney function, and stated that the initial launch in Boao is expected to increase product awareness among clinicians and patients in advance of potential NDA approval in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VISEN announced top-line data from the 26-week randomized, double-blind, placebo-controlled portion of the Phase 3 PaTHway China Trial of Palopegteriparatide (TransCon PTH) in adults with chronic hypoparathyroidism. VISEN reported a statistically significant higher proportion of patients treated with palopegteriparatide achieved the primary multi-component endpoint compared to placebo. The primary multi-component endpoint was achieved by 77.6% of palopegteriparatide-treated patients (45 of 58), compared to 0.0% of patients (0 of 22) in the placebo group (p-value &lt;0.0001). Results were consistent with those announced by us for its palopegteriparatide Phase 3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VISEN announced that the BLA for lonapegsomatropin (TransCon hGH) was accepted by the China National Medical Products Administration.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VISEN announced top-line results from the Phase 2 ACcomplisH China Trial in children with achondroplasia aged 2 to 10 years. VISEN reported that patients dosed with TransCon CNP at the 100 μg CNP/kg/week showed significantly higher AGV than placebo at Week 52.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VISEN announced data from its pivotal Phase 3 study of TransCon hGH in children with GHD in China. VISEN reported that patients dosed with TransCon hGH demonstrated an AHV of 10.66 cm/year compared to 9.75 cm/year for the daily hGH at 52 weeks (treatment difference at 0.91 cm/year with a 95 percent confidence interval: 0.37 – 1.45 cm/year, p=0.0010), reaching its primary objective, demonstrating that TransCon hGH is non-inferior to the daily hGH.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Market Opportunity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Rights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three exclusive license agreements, each effective November 7, 2018, and as amended January 4, 2021, between the Company and VISEN (collectively,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clinical supply agreement with VISEN in 2018 to provide product supply for use in conducting clinical trials in Greater China. Additionally, during 2023, we entered into a commercial supply agreement governing commercial supply of licensed product (TransCon hGH) to VISEN on the terms and conditions set forth in the Rights Agreements. Further, in June 2025, we entered into a Commercial Supply Framework Agreement with VISEN regarding the supply of additional batches of licensed product (TransCon hGH) to VISEN.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our endocrinology products in Greater China.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Eyconis,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announced the formation and launch with Frazier Life Sciences of Eyconis, a separate company created to develop, manufacture, and commercialize TransCon ophthalmology assets globally, together with a $150 million commitment from an investor syndicate that included Frazier, RA Capital Management, venBio, and HealthQuest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granted Eyconis exclusive rights to develop and commercialize TransCon ophthalmology products globally and received an equity position in the newly formed company. In addition, we are eligible to receive development, regulatory, and sales milestone payments, plus single digit royalties on global net sales of commercialized products, if any. As of September 30, 2025, our ownership in Eyconis was 40.6%.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Financial Highlights (unaudited)</w:t>
      </w:r>
    </w:p>
    <w:tbl>
      <w:tblPr>
        <w:tblW w:w="10205" w:type="dxa"/>
        <w:jc w:val="left"/>
        <w:tblInd w:w="0" w:type="dxa"/>
        <w:tblLayout w:type="fixed"/>
        <w:tblCellMar>
          <w:top w:w="28" w:type="dxa"/>
          <w:left w:w="28" w:type="dxa"/>
          <w:bottom w:w="28" w:type="dxa"/>
          <w:right w:w="28" w:type="dxa"/>
        </w:tblCellMar>
      </w:tblPr>
      <w:tblGrid>
        <w:gridCol w:w="2646"/>
        <w:gridCol w:w="146"/>
        <w:gridCol w:w="146"/>
        <w:gridCol w:w="781"/>
        <w:gridCol w:w="166"/>
        <w:gridCol w:w="146"/>
        <w:gridCol w:w="146"/>
        <w:gridCol w:w="781"/>
        <w:gridCol w:w="166"/>
        <w:gridCol w:w="146"/>
        <w:gridCol w:w="146"/>
        <w:gridCol w:w="781"/>
        <w:gridCol w:w="146"/>
        <w:gridCol w:w="146"/>
        <w:gridCol w:w="146"/>
        <w:gridCol w:w="841"/>
        <w:gridCol w:w="166"/>
        <w:gridCol w:w="146"/>
        <w:gridCol w:w="146"/>
        <w:gridCol w:w="841"/>
        <w:gridCol w:w="166"/>
        <w:gridCol w:w="146"/>
        <w:gridCol w:w="146"/>
        <w:gridCol w:w="781"/>
        <w:gridCol w:w="19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profit/(loss)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Operating expenses comprise research and development expenses and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for the three and nine months ended September 30, 2025 represented an increase of €155.8 million and €282.9 million, respectively, compared to the same period last year, primarily due to the launch of YORVIPATH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profit/(loss) for the three and nine months ended September 30, 2025, represented an improvement of €107.7 million and €133.0 million, respectively, compared to the same period last year, primarily attributable to higher revenue from the launch of YORVIPATH in the U.S., partly offset by higher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net loss of €194.5 million for the nine months ended September 30, 2025, compared to a net loss of €339.6 million for the same period last year. In addition to the positive development in operating profit/(loss), this development was also attributable to higher net financial expenses of €13.5 million, compared to the same period last year, primarily related to non-cash items. In addition, net loss was positively impacted by share of profit/(loss) of associates, which includes a non-cash gain of €35.7 million related to the Initial Public Offering of VISEN in March 2025. Refer to Note 4, “Significant Events in the Reporting Period” for further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from/(used in) operating activities for the three and nine months ended September 30, 2025, represented an improvement of €58.3 million and €199.5 million, respectively, compared to the same period last year, attributable to improved operating performance. We had positive cash flows from operating activities for the first time for the three months ended September 30, 2025. Refer to section “Liquidity and Capital Resources” for further information.</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Foreign currency translation reduced reported revenue for the three and nine months ended September 30, 2025 by approximately €11.5 million and €15.0 million, compared to the same period last year. Similarly, operating expenses decreased due to currency translation by approximately €5.0 million and €6.0 million, compared to the same period last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Total equity presented a negative balance of €174.1 million as of September 30, 2025, compared to a negative balance of €105.7 million as of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details about our results of operations and cash flows are described in the following sections.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Comparison of the Three and Nine Months Ended September 30, 2025 and 2024 (unaudited)</w:t>
      </w:r>
    </w:p>
    <w:p>
      <w:pPr>
        <w:pStyle w:val="TextBody"/>
        <w:bidi w:val="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our revenue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2911"/>
        <w:gridCol w:w="146"/>
        <w:gridCol w:w="146"/>
        <w:gridCol w:w="781"/>
        <w:gridCol w:w="146"/>
        <w:gridCol w:w="146"/>
        <w:gridCol w:w="146"/>
        <w:gridCol w:w="676"/>
        <w:gridCol w:w="146"/>
        <w:gridCol w:w="146"/>
        <w:gridCol w:w="146"/>
        <w:gridCol w:w="781"/>
        <w:gridCol w:w="166"/>
        <w:gridCol w:w="146"/>
        <w:gridCol w:w="146"/>
        <w:gridCol w:w="781"/>
        <w:gridCol w:w="146"/>
        <w:gridCol w:w="146"/>
        <w:gridCol w:w="146"/>
        <w:gridCol w:w="781"/>
        <w:gridCol w:w="146"/>
        <w:gridCol w:w="146"/>
        <w:gridCol w:w="146"/>
        <w:gridCol w:w="78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Rendering of services and clinical supply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282,907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Revenue from sale of commercial products were as follows:</w:t>
      </w:r>
    </w:p>
    <w:tbl>
      <w:tblPr>
        <w:tblW w:w="10205" w:type="dxa"/>
        <w:jc w:val="left"/>
        <w:tblInd w:w="0" w:type="dxa"/>
        <w:tblLayout w:type="fixed"/>
        <w:tblCellMar>
          <w:top w:w="28" w:type="dxa"/>
          <w:left w:w="28" w:type="dxa"/>
          <w:bottom w:w="28" w:type="dxa"/>
          <w:right w:w="28" w:type="dxa"/>
        </w:tblCellMar>
      </w:tblPr>
      <w:tblGrid>
        <w:gridCol w:w="2951"/>
        <w:gridCol w:w="146"/>
        <w:gridCol w:w="146"/>
        <w:gridCol w:w="781"/>
        <w:gridCol w:w="146"/>
        <w:gridCol w:w="146"/>
        <w:gridCol w:w="146"/>
        <w:gridCol w:w="676"/>
        <w:gridCol w:w="146"/>
        <w:gridCol w:w="146"/>
        <w:gridCol w:w="146"/>
        <w:gridCol w:w="781"/>
        <w:gridCol w:w="146"/>
        <w:gridCol w:w="146"/>
        <w:gridCol w:w="146"/>
        <w:gridCol w:w="781"/>
        <w:gridCol w:w="146"/>
        <w:gridCol w:w="146"/>
        <w:gridCol w:w="146"/>
        <w:gridCol w:w="781"/>
        <w:gridCol w:w="146"/>
        <w:gridCol w:w="146"/>
        <w:gridCol w:w="146"/>
        <w:gridCol w:w="781"/>
        <w:gridCol w:w="191"/>
      </w:tblGrid>
      <w:tr>
        <w:trPr/>
        <w:tc>
          <w:tcPr>
            <w:tcW w:w="2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commercial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SKYTROFA®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YORVIPATH®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from commercial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from sale of commercial products for the three and nine months ended September 30, 2025 represented an increase of €138.1 million and €289.9 million, respectively, compared to the same period last year, primarily due to the launch of YORVIPATH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licenses for the nine months ended September 30, 2025 was lower due to non-cash license revenue related to our exclusive license agreement with Eyconis in January 2024. Further, other revenue was impacted by a milestone payment related to one of our license and collaboration agreements.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and nine months ended September 30, 2025 was €22.4 million and €71.3 million, representing an increase of €11.2 million and €41.1 million, respectively, compared to the same period last year. This increase was primarily attributable to higher volume of commercial sales, and costs attributable to our collaboration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external project costs on the development pipeline and other research and development (“R&amp;D”) expenses.</w:t>
      </w:r>
    </w:p>
    <w:tbl>
      <w:tblPr>
        <w:tblW w:w="10205" w:type="dxa"/>
        <w:jc w:val="left"/>
        <w:tblInd w:w="0" w:type="dxa"/>
        <w:tblLayout w:type="fixed"/>
        <w:tblCellMar>
          <w:top w:w="28" w:type="dxa"/>
          <w:left w:w="28" w:type="dxa"/>
          <w:bottom w:w="28" w:type="dxa"/>
          <w:right w:w="28" w:type="dxa"/>
        </w:tblCellMar>
      </w:tblPr>
      <w:tblGrid>
        <w:gridCol w:w="3191"/>
        <w:gridCol w:w="146"/>
        <w:gridCol w:w="146"/>
        <w:gridCol w:w="676"/>
        <w:gridCol w:w="146"/>
        <w:gridCol w:w="146"/>
        <w:gridCol w:w="146"/>
        <w:gridCol w:w="676"/>
        <w:gridCol w:w="166"/>
        <w:gridCol w:w="146"/>
        <w:gridCol w:w="146"/>
        <w:gridCol w:w="631"/>
        <w:gridCol w:w="166"/>
        <w:gridCol w:w="146"/>
        <w:gridCol w:w="146"/>
        <w:gridCol w:w="781"/>
        <w:gridCol w:w="146"/>
        <w:gridCol w:w="146"/>
        <w:gridCol w:w="146"/>
        <w:gridCol w:w="781"/>
        <w:gridCol w:w="146"/>
        <w:gridCol w:w="146"/>
        <w:gridCol w:w="146"/>
        <w:gridCol w:w="736"/>
        <w:gridCol w:w="21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Hypoparathyroidism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Disorders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Oncology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external project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R&amp;D expenses for the three and nine months ended September 30, 2025 were €66.9 million and €225.5 million, representing a decrease of €6.7 million and €2.2 million, respectively, compared to the same period last year. This decrease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certain clinical trials and development activities within our Endocrinology Rare Disease pipeline, including reversal (income) of prior period write-downs related to pre-launch inventories for Hypoparathyroidism for the nine months ended September 30, 2024 of €12.6 million due to the launch of YORVIPATH, partly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employee costs to support future growth;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 relating to property, plant and equipment due to change in activities at one of our sites in the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selling, general and administrative expenses:</w:t>
      </w:r>
    </w:p>
    <w:tbl>
      <w:tblPr>
        <w:tblW w:w="10205" w:type="dxa"/>
        <w:jc w:val="left"/>
        <w:tblInd w:w="0" w:type="dxa"/>
        <w:tblLayout w:type="fixed"/>
        <w:tblCellMar>
          <w:top w:w="28" w:type="dxa"/>
          <w:left w:w="28" w:type="dxa"/>
          <w:bottom w:w="28" w:type="dxa"/>
          <w:right w:w="28" w:type="dxa"/>
        </w:tblCellMar>
      </w:tblPr>
      <w:tblGrid>
        <w:gridCol w:w="3056"/>
        <w:gridCol w:w="146"/>
        <w:gridCol w:w="146"/>
        <w:gridCol w:w="781"/>
        <w:gridCol w:w="146"/>
        <w:gridCol w:w="146"/>
        <w:gridCol w:w="146"/>
        <w:gridCol w:w="676"/>
        <w:gridCol w:w="146"/>
        <w:gridCol w:w="146"/>
        <w:gridCol w:w="146"/>
        <w:gridCol w:w="676"/>
        <w:gridCol w:w="146"/>
        <w:gridCol w:w="146"/>
        <w:gridCol w:w="146"/>
        <w:gridCol w:w="781"/>
        <w:gridCol w:w="146"/>
        <w:gridCol w:w="146"/>
        <w:gridCol w:w="146"/>
        <w:gridCol w:w="781"/>
        <w:gridCol w:w="146"/>
        <w:gridCol w:w="146"/>
        <w:gridCol w:w="146"/>
        <w:gridCol w:w="781"/>
        <w:gridCol w:w="1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for the three and nine months ended September 30, 2025 were €113.4 million and €322.0 million, representing an increase of €43.6 million and €111.1 million, respectively, compared to the same period last year. This increase was primarily due to the continued impact from global commercial expansion, including global launch activities for YORVIPATH. Impairment charge relates to property, plant and equipment due to change in activities at one of our sites in the U.S.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Finance Income and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specifies the result of finance income and expenses, further disaggregated into cash and non-cash items:</w:t>
      </w:r>
    </w:p>
    <w:tbl>
      <w:tblPr>
        <w:tblW w:w="10205" w:type="dxa"/>
        <w:jc w:val="left"/>
        <w:tblInd w:w="0" w:type="dxa"/>
        <w:tblLayout w:type="fixed"/>
        <w:tblCellMar>
          <w:top w:w="28" w:type="dxa"/>
          <w:left w:w="28" w:type="dxa"/>
          <w:bottom w:w="28" w:type="dxa"/>
          <w:right w:w="28" w:type="dxa"/>
        </w:tblCellMar>
      </w:tblPr>
      <w:tblGrid>
        <w:gridCol w:w="2891"/>
        <w:gridCol w:w="146"/>
        <w:gridCol w:w="146"/>
        <w:gridCol w:w="736"/>
        <w:gridCol w:w="166"/>
        <w:gridCol w:w="146"/>
        <w:gridCol w:w="146"/>
        <w:gridCol w:w="736"/>
        <w:gridCol w:w="166"/>
        <w:gridCol w:w="146"/>
        <w:gridCol w:w="146"/>
        <w:gridCol w:w="736"/>
        <w:gridCol w:w="166"/>
        <w:gridCol w:w="146"/>
        <w:gridCol w:w="146"/>
        <w:gridCol w:w="841"/>
        <w:gridCol w:w="166"/>
        <w:gridCol w:w="146"/>
        <w:gridCol w:w="146"/>
        <w:gridCol w:w="736"/>
        <w:gridCol w:w="166"/>
        <w:gridCol w:w="146"/>
        <w:gridCol w:w="146"/>
        <w:gridCol w:w="736"/>
        <w:gridCol w:w="21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Specified in cash and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gain/(loss) of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charges, accruals, and other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finance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expenses related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funding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in non-cash items was primarily due to higher remeasurement loss of financial liabilities, and net currency gains, primarily driven by conversion of U.S. dollar denominated monetary positions into Euro, primarily cash and cash equivalents, convertible notes and royalty funding liabilities. The increase in amortization charges, accruals, and other items primarily relates to amortization charges on our royalty funding agreement related to YORVIPATH, which we entered into in September 2024. Refer to Note 11, “Financial Assets and Liabilities” for further information about our royalty funding agreements.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comprise cash and cash equivalents, which as of September 30, 2025, amounted to €539.1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expenditures primarily relate to R&amp;D and SG&amp;A activities to support our business, including our continued development of product and product candidates within our Endocrinology Rare Disease and Oncology portfolios, the commercialization of SKYTROFA and YORVIPATH, and expenses made in anticipation of potential future product launches. We manage our liquidity risk by maintaining adequate cash reserves and banking facilities. We monitor the risk of a shortage of funds through a liquidity planning tool to ensure sufficient funds are available to settle liabilities as they become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unaudited condensed consolidated interim statements of financial position presented a negative balance of equity of €174.1 million. Under Danish corporate law, as Ascendis Pharma A/S, the parent company of the Company, holds a positive balance of equity, the Company is currently not subject to legal or regulatory requirements to re-establish the balance of equity. There is no direct impact from the negative balance of equity to the liquidity and capital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capital resources as of September 30, 2025 will be sufficient to meet our projected cash requirements for at least twelve months from the date of this report. However, our operating plan may change as a result of many factors currently unknown to us, and we may need to seek additional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we have funded our operations primarily through the issuance of preference shares, ordinary shares (including public offerings and exercise of warrants), convertible debt securities, payments to us made under collaboration agreements, and our royalty funding agreements. Including our initial public offering, since February 2015, we have completed public offerings of American Depositary Shares (“ADSs”), most recently in September 2024, with total net proceeds of $2,580.2 million (or €2.259.0 million at the time of the offerings). Refer to Note 11, “Financial Assets and Liabilities” for further information about our convertible notes and royalty funding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description of our cash requirements, public offerings, expense structure and commitments, refer to “Item 5B. Liquidity and Capital Resources,” set forth in our Annual Report on Form 20-F filed with the Securities and Exchange Commission on February 12,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product revenue from sales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selling and marketing costs associated with our products and product candidates, if approved, including the cost and timing of the continued build out of our sales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royalties on, approved products and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sales price and the availability of adequate third-party coverage and reimbursement for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related to manufacturing of our products and product candidates, including the timing of when we incur such costs and the potential impact of any tariffs or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partnerships, licensing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collect payments which are due to us from customers and collaboration partners (if any), which in turn is impacted by the financial standing of any such customers and collaboration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scope, results and costs of our preclinical studies and clinical trials and manufacturing activities for our products and product candidates, including the ability to enroll patients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obtain regulatory approvals for our products and product candidates and the costs of post-marketing studies that could be required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cash requirements of any future acquisitions or discovery of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discovery programs that we decide to pursue or initiate;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acquisition and in-licensing of other technologies, products or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 necessary to respond to technological and market developments, including further development of our TransCon platform;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development, regulatory and commercial milestones resulting in the payment to us from collaboration partners of contractual milestone payments and the timing of receipt of such payments,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the successful commercialization and co-promotion of our products and product candidates, if approved, and our efforts to develop and commercialize our other existing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opportunities and patient populations for our products and product candidates, if approved, and our ability to obtain market acceptance of our products and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purchase ADSs prior to granting rights or awards for such shares under our equity incentive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funds may not be available if we need them or on terms that are acceptable to us, or at all. If adequate funds are not available to us on a timely basis, we may be required to delay, limit, scale back or cease our research and development and commercialization activities.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nine months ended September 30, 2025 and 2024: </w:t>
      </w:r>
    </w:p>
    <w:tbl>
      <w:tblPr>
        <w:tblW w:w="8323" w:type="dxa"/>
        <w:jc w:val="left"/>
        <w:tblInd w:w="0" w:type="dxa"/>
        <w:tblLayout w:type="fixed"/>
        <w:tblCellMar>
          <w:top w:w="28" w:type="dxa"/>
          <w:left w:w="28" w:type="dxa"/>
          <w:bottom w:w="28" w:type="dxa"/>
          <w:right w:w="28" w:type="dxa"/>
        </w:tblCellMar>
      </w:tblPr>
      <w:tblGrid>
        <w:gridCol w:w="4486"/>
        <w:gridCol w:w="146"/>
        <w:gridCol w:w="146"/>
        <w:gridCol w:w="736"/>
        <w:gridCol w:w="166"/>
        <w:gridCol w:w="146"/>
        <w:gridCol w:w="146"/>
        <w:gridCol w:w="841"/>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(228,865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operating activities for the nine months ended September 30, 2025, were €19.5 million, representing an improvement of €199.5 million compared to the same period last year, of which €175.6 million related to improved operating performance, primarily driven by commercial revenue growth, and €23.9 million related to working capital improvements, which include settlement of the upfront payment from our exclusive license agreement with Novo Nordisk of $100 million plus related indirect taxes.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in investing activities for the nine months ended September 30, 2025, were €5.1 million, representing an increase of €12.4 million compared to the same period last year. This increase was primarily attributable to €7.3 million settlements of marketable securities in 2024 and from leasehold improvements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from/(used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from financing activities for the nine months ended September 30, 2025 were €27.8 million, representing a decrease of €416.0 million compared to the same period last year. This decrease was primarily attributable to the follow-on public offering of ADSs completed in September 2024 with net proceeds of €290.6 million, the $150.0 million capped synthetic royalty funding agreement with Royalty Pharma, with net proceeds of €134.2 million, partly offset by increased warrant exercise activity for the nine months ended September 30, 2025 of €44.2 million. In addition, the nine months ended September 30, 2025 was negatively impacted by acquisition of treasury shares of €17.4 million and payment of withholding taxes under stock incentive programs of €11.4 million.</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or any holdings in variable interest entities.</w:t>
      </w:r>
    </w:p>
    <w:p>
      <w:pPr>
        <w:pStyle w:val="TextBody"/>
        <w:bidi w:val="0"/>
        <w:spacing w:before="360" w:after="283"/>
        <w:jc w:val="left"/>
        <w:rPr>
          <w:rFonts w:ascii="Times New Roman" w:hAnsi="Times New Roman"/>
          <w:sz w:val="20"/>
        </w:rPr>
      </w:pPr>
      <w:r>
        <w:rPr>
          <w:rFonts w:ascii="Times New Roman" w:hAnsi="Times New Roman"/>
          <w:b/>
          <w:color w:val="000000"/>
          <w:sz w:val="20"/>
        </w:rPr>
        <w:t>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activities expose us to financial risks of changes in foreign currency exchange rates, inflation rates and interest rates. We do not enter into derivative financial instruments to manage our exposure to such risks. Further, we are exposed to credit risk, equity risk and liquidity risk. For a description of our exposure to liquidity risks, including risks associated with the royalty funding liabilities and processes for managing these risks, please refer to “Liquidity and Capital Resources,” set forth above, and maturity analysis for non-derivative financial liabilities provided in Note 11, “Financial Assets and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exchange risk arising from various currency exposures, primarily with respect to the U.S. Dollar. While we generate revenue in Euro, a significant portion of our revenue is denominated in U.S. Dollars. Similarly, a significant portion of our operating expenses are denominated in U.S. Dollars. In addition, our outstanding convertible notes and royalty funding liabilities are denominated in U.S. Dollars. We seek to minimize our exchange rate risk by maintaining cash positions in the currencies in which we expect to incur the majority of our future expenses and we make payments from those positions.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convertible notes comprise a 2.25% coupon fixed rate structure. In addition, the interest rate on lease liabilities is fixed at the lease commencement date. Future indebtedness, including those related to lease arrangements, if any, may be subject to higher interest rates. In addition, future interest income from interest-bearing bank deposits may fall short of expectations due to changes in interest rates.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are measured at fair value through profit or loss. Accordingly, since the fair value is exposed from the development in interest rates, the profit or loss is exposed to volatility from such development.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cash equivalents and marketable securities, as well as rating and concentration limits for marketable securities held. All material counterparties are considered creditworthy. While the concentration of credit risk may be significant, the credit risk for each individual counterpart is considered to be low. Our exposure to credit risk primarily relates to cash and cash equivalents. The credit risk on our bank deposits is limited because the counterparties holding significant deposits are banks with high credit-ratings (minimum A3/A-) assigned by international credit-rating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The banks are reviewed on a regular basis and deposits may be transferred during the year to mitigate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mitigate the concentration of credit risks on bank deposits and to preserve capital, a portion of the bank deposits may be placed into marketable securities. Our investment policy, approved by the Board, only allows investment in marketable securities having investment grade credit-ratings, assigned by international credit-rating agencies. As of September 30, 2025, we do not hold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each reporting date, we consider the risk of expected credit loss on bank deposits and marketable securities, if any, including the hypothetical impact arising from the probability of default, which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from the development in our share price, when remeasuring derivative liabilities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liabilities relate to the foreign currency conversion option embedded in the convertible notes and are measured at fair value through profit or loss. Fair value cannot be measured based on quoted prices in active markets or other observable inputs, and accordingly, derivative liabilities are measured by using the Black-Scholes option pricing model, where the pricing is exposed from changes in our share price. Sensitivity analysis over derivative liabilities is disclosed in Note 11, “Financial Assets and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24459</Words>
  <Characters>141839</Characters>
  <CharactersWithSpaces>167654</CharactersWithSpaces>
  <Paragraphs>5380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