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55" w:right="1440" w:bottom="1440" w:gutter="0" w:footer="0" w:header="0"/>
        </w:sectPr>
      </w:pPr>
    </w:p>
    <w:bookmarkStart w:id="1" w:name="page2"/>
    <w:bookmarkEnd w:id="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INCORPORATION BY REFERENCE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statements on Form S-8 (Registration Numbers 333-203040, 333-210810, 333-211512, 333-213412, 333-214843, 333-216883, 333-228576 and 333-254101)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Furnished as exhibits to this Report on Form 6-K is information regarding the Company’s financial results for the fiscal quarter ended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8"/>
              </w:rPr>
              <w:t>Exhibit No.</w:t>
            </w:r>
          </w:p>
        </w:tc>
        <w:tc>
          <w:tcPr>
            <w:tcW w:w="320" w:type="dxa"/>
            <w:vAlign w:val="bottom"/>
          </w:tcPr>
          <w:p>
            <w:pPr>
              <w:spacing w:after="0"/>
              <w:rPr>
                <w:sz w:val="15"/>
                <w:szCs w:val="15"/>
                <w:color w:val="auto"/>
              </w:rPr>
            </w:pPr>
          </w:p>
        </w:tc>
        <w:tc>
          <w:tcPr>
            <w:tcW w:w="6500" w:type="dxa"/>
            <w:vAlign w:val="bottom"/>
            <w:gridSpan w:val="4"/>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1"/>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1"/>
                <w:szCs w:val="21"/>
                <w:color w:val="auto"/>
              </w:rPr>
            </w:pPr>
          </w:p>
        </w:tc>
        <w:tc>
          <w:tcPr>
            <w:tcW w:w="65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Interim Financial Statements.</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65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101.IAB</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720"/>
          </w:cols>
          <w:pgMar w:left="440" w:top="297" w:right="7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Wolff Jensen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ectPr>
          <w:pgSz w:w="11900" w:h="16838" w:orient="portrait"/>
          <w:cols w:equalWidth="0" w:num="1">
            <w:col w:w="10940"/>
          </w:cols>
          <w:pgMar w:left="440" w:top="297"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648"/>
        </w:trPr>
        <w:tc>
          <w:tcPr>
            <w:tcW w:w="100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ASCENDIS PHARMA A/S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60" w:type="dxa"/>
            <w:vAlign w:val="bottom"/>
          </w:tcPr>
          <w:p>
            <w:pPr>
              <w:jc w:val="center"/>
              <w:ind w:left="85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60" w:type="dxa"/>
            <w:vAlign w:val="bottom"/>
            <w:vMerge w:val="restart"/>
          </w:tcPr>
          <w:p>
            <w:pPr>
              <w:spacing w:after="0"/>
              <w:rPr>
                <w:sz w:val="20"/>
                <w:szCs w:val="20"/>
                <w:color w:val="auto"/>
              </w:rPr>
            </w:pPr>
            <w:r>
              <w:rPr>
                <w:rFonts w:ascii="Arial" w:cs="Arial" w:eastAsia="Arial" w:hAnsi="Arial"/>
                <w:sz w:val="18"/>
                <w:szCs w:val="18"/>
                <w:color w:val="auto"/>
                <w:w w:val="90"/>
              </w:rPr>
              <w:t>Unaudited Condensed Consolidated Interim Statements of Profit or Loss and Other Comprehensive Income / (Loss) for the Three and Nine</w:t>
            </w:r>
          </w:p>
        </w:tc>
        <w:tc>
          <w:tcPr>
            <w:tcW w:w="60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0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60" w:type="dxa"/>
            <w:vAlign w:val="bottom"/>
          </w:tcPr>
          <w:p>
            <w:pPr>
              <w:ind w:left="180"/>
              <w:spacing w:after="0"/>
              <w:rPr>
                <w:sz w:val="20"/>
                <w:szCs w:val="20"/>
                <w:color w:val="auto"/>
              </w:rPr>
            </w:pPr>
            <w:r>
              <w:rPr>
                <w:rFonts w:ascii="Arial" w:cs="Arial" w:eastAsia="Arial" w:hAnsi="Arial"/>
                <w:sz w:val="18"/>
                <w:szCs w:val="18"/>
                <w:color w:val="auto"/>
              </w:rPr>
              <w:t>Months Ended September 30, 2021 and 2020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w w:val="98"/>
              </w:rPr>
              <w:t>Unaudited Condensed Consolidated Interim Statements of Financial Position as of September 30, 2021 and December 31, 2020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Changes in Equity at September 30, 2021 and 2020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Unaudited Condensed Consolidated Interim Cash Flow Statements for the Nine Months Ended September 30, 2021 and 2020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Notes to the Unaudited Condensed Consolidated Interim Financial Statements</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64"/>
        </w:trPr>
        <w:tc>
          <w:tcPr>
            <w:tcW w:w="10060" w:type="dxa"/>
            <w:vAlign w:val="bottom"/>
          </w:tcPr>
          <w:p>
            <w:pPr>
              <w:jc w:val="center"/>
              <w:ind w:left="850"/>
              <w:spacing w:after="0"/>
              <w:rPr>
                <w:sz w:val="20"/>
                <w:szCs w:val="20"/>
                <w:color w:val="auto"/>
              </w:rPr>
            </w:pPr>
            <w:r>
              <w:rPr>
                <w:rFonts w:ascii="Arial" w:cs="Arial" w:eastAsia="Arial" w:hAnsi="Arial"/>
                <w:sz w:val="18"/>
                <w:szCs w:val="18"/>
                <w:color w:val="auto"/>
                <w:w w:val="79"/>
              </w:rPr>
              <w:t>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Comprehensive Income / (Loss) for the Three and Nine Months Ended September 30</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12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2"/>
              </w:rPr>
              <w:t>Notes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121"/>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34"/>
        </w:trPr>
        <w:tc>
          <w:tcPr>
            <w:tcW w:w="5900" w:type="dxa"/>
            <w:vAlign w:val="bottom"/>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14"/>
              <w:spacing w:after="0" w:line="115" w:lineRule="exact"/>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11"/>
              <w:spacing w:after="0" w:line="115"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94"/>
              <w:spacing w:after="0" w:line="11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11"/>
              <w:spacing w:after="0" w:line="115"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9"/>
              </w:rPr>
              <w:t>(EUR’000)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Interim Statement of Profit or Loss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79"/>
              </w:rPr>
              <w:t>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(58,761)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(230,216)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(185,152)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79"/>
              </w:rPr>
              <w:t>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(39,284)</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(17,523)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(111,876)</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(56,243)</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(96,932)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(78,825)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(339,211)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(234,977)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Finance expenses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(39,970)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(40,391)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(80,343)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(277,768)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(280,192)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(80,348)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(277,515)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(279,990)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(277,515)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(1.47)  €</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(5.13)  €</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Number of shares used for calculation (basic and diluted) (1)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54,639,597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52,715,204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54,085,793</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49,647,471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9"/>
              </w:rPr>
              <w:t>(EUR’000)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5"/>
          </w:tcPr>
          <w:p>
            <w:pPr>
              <w:jc w:val="center"/>
              <w:ind w:right="121"/>
              <w:spacing w:after="0"/>
              <w:rPr>
                <w:sz w:val="20"/>
                <w:szCs w:val="20"/>
                <w:color w:val="auto"/>
              </w:rPr>
            </w:pPr>
            <w:r>
              <w:rPr>
                <w:rFonts w:ascii="Arial" w:cs="Arial" w:eastAsia="Arial" w:hAnsi="Arial"/>
                <w:sz w:val="14"/>
                <w:szCs w:val="14"/>
                <w:b w:val="1"/>
                <w:bCs w:val="1"/>
                <w:color w:val="auto"/>
              </w:rPr>
              <w:t>(EUR’000)</w:t>
            </w:r>
          </w:p>
        </w:tc>
        <w:tc>
          <w:tcPr>
            <w:tcW w:w="0" w:type="dxa"/>
            <w:vAlign w:val="bottom"/>
          </w:tcPr>
          <w:p>
            <w:pPr>
              <w:spacing w:after="0"/>
              <w:rPr>
                <w:sz w:val="1"/>
                <w:szCs w:val="1"/>
                <w:color w:val="auto"/>
              </w:rPr>
            </w:pPr>
          </w:p>
        </w:tc>
      </w:tr>
      <w:tr>
        <w:trPr>
          <w:trHeight w:val="222"/>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Interim Statement of Comprehensive Income</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(80,348)</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(121,741)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(277,515)</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(279,990)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(79,332)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(121,816)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(274,734)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(280,126)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(79,332)</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(121,816)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(274,734)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ind w:left="424" w:right="420" w:hanging="424"/>
        <w:spacing w:after="0" w:line="259"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 total of 6,046,356 warrants outstanding as of September 30, 2021 can potentially dilute earnings per share in the future but have not been included in the calculation of diluted earnings per share because they are antidilutive for the periods presented. Similarly, a total of 5,527,218 warrants outstanding as of September 30, 2020 are also considered antidilutive for the periods presented and have not been included in the calculation.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97"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vMerge w:val="restart"/>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ind w:left="620"/>
              <w:spacing w:after="0"/>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126,295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108,112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Deposits</w:t>
            </w:r>
          </w:p>
        </w:tc>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1,713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115,280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248,645</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Inventories</w:t>
            </w:r>
          </w:p>
        </w:tc>
        <w:tc>
          <w:tcPr>
            <w:tcW w:w="4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55,270</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receivables</w:t>
            </w:r>
          </w:p>
        </w:tc>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20,258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13,994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4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165,347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134,278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692,941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584,517</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956,588</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1,205,233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979,793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Share capital</w:t>
            </w:r>
          </w:p>
        </w:tc>
        <w:tc>
          <w:tcPr>
            <w:tcW w:w="4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7,638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985,924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831,494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993,562</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838,711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Lease liabilities</w:t>
            </w:r>
          </w:p>
        </w:tc>
        <w:tc>
          <w:tcPr>
            <w:tcW w:w="4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95,553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85,116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95,553</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Lease liabilities</w:t>
            </w:r>
          </w:p>
        </w:tc>
        <w:tc>
          <w:tcPr>
            <w:tcW w:w="4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6,748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76,471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32,362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23,384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Income taxes payable</w:t>
            </w:r>
          </w:p>
        </w:tc>
        <w:tc>
          <w:tcPr>
            <w:tcW w:w="4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116,118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52,804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211,671</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4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1,205,233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979,793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460" w:type="dxa"/>
            <w:vAlign w:val="bottom"/>
            <w:vMerge w:val="restart"/>
          </w:tcPr>
          <w:p>
            <w:pPr>
              <w:jc w:val="right"/>
              <w:ind w:right="291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Unaudited Condensed Consolidated Interim Statements of Changes in Equity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Distributable Equity</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Foreign</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Share-based</w:t>
            </w: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102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Payment</w:t>
            </w:r>
          </w:p>
        </w:tc>
        <w:tc>
          <w:tcPr>
            <w:tcW w:w="1040" w:type="dxa"/>
            <w:vAlign w:val="bottom"/>
            <w:gridSpan w:val="2"/>
            <w:vMerge w:val="continue"/>
          </w:tcPr>
          <w:p>
            <w:pPr>
              <w:spacing w:after="0"/>
              <w:rPr>
                <w:sz w:val="12"/>
                <w:szCs w:val="12"/>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Premium</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Reserve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ind w:left="600"/>
              <w:spacing w:after="0"/>
              <w:rPr>
                <w:sz w:val="20"/>
                <w:szCs w:val="20"/>
                <w:color w:val="auto"/>
              </w:rPr>
            </w:pPr>
            <w:r>
              <w:rPr>
                <w:rFonts w:ascii="Arial" w:cs="Arial" w:eastAsia="Arial" w:hAnsi="Arial"/>
                <w:sz w:val="14"/>
                <w:szCs w:val="14"/>
                <w:b w:val="1"/>
                <w:bCs w:val="1"/>
                <w:color w:val="auto"/>
              </w:rPr>
              <w:t>(EUR’000)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January 1, 2021</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84"/>
              </w:rPr>
              <w:t>7,217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1,728,747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133,101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(1,030,278)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838,711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Loss for the period</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(277,515)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(277,515)</w:t>
            </w: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04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4"/>
              </w:rPr>
              <w:t>2,781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2,781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2,781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(277,515)</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52,684</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52,684</w:t>
            </w: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421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178"/>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397,068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(20,167)</w:t>
            </w:r>
          </w:p>
        </w:tc>
        <w:tc>
          <w:tcPr>
            <w:tcW w:w="104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(20,167)</w:t>
            </w:r>
          </w:p>
        </w:tc>
        <w:tc>
          <w:tcPr>
            <w:tcW w:w="0" w:type="dxa"/>
            <w:vAlign w:val="bottom"/>
          </w:tcPr>
          <w:p>
            <w:pPr>
              <w:spacing w:after="0"/>
              <w:rPr>
                <w:sz w:val="1"/>
                <w:szCs w:val="1"/>
                <w:color w:val="auto"/>
              </w:rPr>
            </w:pPr>
          </w:p>
        </w:tc>
      </w:tr>
      <w:tr>
        <w:trPr>
          <w:trHeight w:val="27"/>
        </w:trPr>
        <w:tc>
          <w:tcPr>
            <w:tcW w:w="48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September 30, 2021</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84"/>
              </w:rPr>
              <w:t>7,638</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2,105,227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center"/>
              <w:ind w:left="338"/>
              <w:spacing w:after="0"/>
              <w:rPr>
                <w:sz w:val="20"/>
                <w:szCs w:val="20"/>
                <w:color w:val="auto"/>
              </w:rPr>
            </w:pPr>
            <w:r>
              <w:rPr>
                <w:rFonts w:ascii="Arial" w:cs="Arial" w:eastAsia="Arial" w:hAnsi="Arial"/>
                <w:sz w:val="18"/>
                <w:szCs w:val="18"/>
                <w:b w:val="1"/>
                <w:bCs w:val="1"/>
                <w:color w:val="auto"/>
                <w:w w:val="93"/>
              </w:rPr>
              <w:t>2,705</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185,785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(1,307,793)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993,562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Distributable Equity</w:t>
            </w: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Foreign</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Share-based</w:t>
            </w: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Payment</w:t>
            </w:r>
          </w:p>
        </w:tc>
        <w:tc>
          <w:tcPr>
            <w:tcW w:w="1040" w:type="dxa"/>
            <w:vAlign w:val="bottom"/>
            <w:gridSpan w:val="2"/>
            <w:vMerge w:val="continue"/>
          </w:tcPr>
          <w:p>
            <w:pPr>
              <w:spacing w:after="0"/>
              <w:rPr>
                <w:sz w:val="12"/>
                <w:szCs w:val="12"/>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Premium</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Reserve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Reserve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(EUR’000)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January 1, 2020</w:t>
            </w:r>
          </w:p>
        </w:tc>
        <w:tc>
          <w:tcPr>
            <w:tcW w:w="104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6,443</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1,122,097</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79,931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(611,323)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597,114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Loss for the period</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(279,990)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(279,990)</w:t>
            </w: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04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(279,990)</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(280,126)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38,781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38,781</w:t>
            </w: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04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729</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626,460</w:t>
            </w:r>
          </w:p>
        </w:tc>
        <w:tc>
          <w:tcPr>
            <w:tcW w:w="10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627,189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(31,373)</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(31,373)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September 30, 2020</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75"/>
              </w:rPr>
              <w:t>7,172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1,717,184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(170)</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118,712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(891,313)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951,585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Notes</w:t>
            </w:r>
          </w:p>
        </w:tc>
        <w:tc>
          <w:tcPr>
            <w:tcW w:w="180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20" w:type="dxa"/>
            <w:vAlign w:val="bottom"/>
            <w:tcBorders>
              <w:top w:val="single" w:sz="8" w:color="auto"/>
            </w:tcBorders>
          </w:tcPr>
          <w:p>
            <w:pPr>
              <w:jc w:val="right"/>
              <w:ind w:right="132"/>
              <w:spacing w:after="0" w:line="11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(EUR’000)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8"/>
              </w:rPr>
              <w:t>(277,515)</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(279,990)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(44,589)</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2,580</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40,391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(253)</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Adjustments for non-cash items: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Reversal of non-cash consideration relating to revenue</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(1,749)</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Reversal of share of profit / (loss) of associate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(19,434)</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52,684</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38,781</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10,784</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333</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(55,270)</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(9,295)</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(8,246)</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Contract liabilities (deferred income)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(327)</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accrued expenses and other payables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54,302</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(295,995)</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(182,187)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2,919</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Finance expenses paid</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(1,056)</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(207)</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(294,339</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(181,216</w:t>
            </w:r>
          </w:p>
        </w:tc>
        <w:tc>
          <w:tcPr>
            <w:tcW w:w="1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(10,187)</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plant and equipment</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(18,907)</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(15,596)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Reimbursement from acquisition of property, plant and equipment</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Development expenditures (software)</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(530)</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(87,544)</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(340,391)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marketable securities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118,512</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132,650</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(220,067</w:t>
            </w:r>
          </w:p>
        </w:tc>
        <w:tc>
          <w:tcPr>
            <w:tcW w:w="1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Payment of principal portion of lease liabilities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(4,885)</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9,209</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15,274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Net-proceeds from follow-on public offerings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367,692</w:t>
            </w:r>
          </w:p>
        </w:tc>
        <w:tc>
          <w:tcPr>
            <w:tcW w:w="2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580,542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372,016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592,336</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79,021</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191,053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584,517</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598,106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2"/>
              </w:rPr>
              <w:t>Effect of exchange rate changes on balances held in foreign currencies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29,403</w:t>
            </w:r>
          </w:p>
        </w:tc>
        <w:tc>
          <w:tcPr>
            <w:tcW w:w="20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(25,705)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September 30</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692,941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763,454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Bank deposits</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692,941</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719,698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43,756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September 30</w:t>
            </w: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692,941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763,454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520" w:type="dxa"/>
            <w:vAlign w:val="bottom"/>
            <w:vMerge w:val="restart"/>
          </w:tcPr>
          <w:p>
            <w:pPr>
              <w:jc w:val="right"/>
              <w:ind w:right="315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On February 2, 2015, the Company completed an initial public offering which resulted in the listing of American Depositary Shares (“ADSs”), representing the Company’s ordinary shares, under the symbol “ASND” in the United States on The Nasdaq Global Select Market.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Board of Directors approved these unaudited condensed consolidated interim financial statements on November 10, 2021.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2020 and accompanying notes, which have been prepared in accordance with IFRS as issued by the International Accounting Standards Board, and as adopted by the European Union.</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accounting policies applied are consistent with those of the previous financial year. A description of our accounting policies is provided in the Accounting Policies section of the audited consolidated financial statements as of and for the year ended December 31, 2020. In addition, the accounting policies for inventories, applied for the first time in this reporting period, are described below.</w:t>
      </w:r>
    </w:p>
    <w:p>
      <w:pPr>
        <w:spacing w:after="0" w:line="1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Inventories comprise raw materials, work in progress and finished goods. Work in progress and finished goods comprise service expenses incurred at Contract Manufacturing Organizations, raw materials consumed, incremental storage and transportation, other direct materials, and a proportion of manufacturing overheads based on normal operation capacity.</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Inventories are measured at the lower of cost incurred in bringing it to its present location and condition, and net realizable value. Net realizable value is the estimated selling price in the ordinary course of business, less estimated costs of completion and the estimated costs necessary to make the sale. Production processes are complex, where actual yields and consumptions are sensitive to a wide variety of manufacturing conditions. Work in progress and finished goods are measured under a standard cost method that takes into account normal levels of consumption, yields, labor, efficiency and capacity utilization. Standard cost variances are reviewed regularly and adjusted to ensure inventories approximate actual costs of production.</w:t>
      </w:r>
    </w:p>
    <w:p>
      <w:pPr>
        <w:spacing w:after="0" w:line="16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If net realizable value is lower than cost, a write-down is recognized as the excess amount by which cost exceeds net realizable value, as part of cost of sales when incurred. The amount of reversal of write-down of inventories arising from an increase in net realizable value is recognized as a reduction in cost of sales in the period in which the reversal occurs.</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Manufacturing of pre-launch inventories are initiated for late-stage product candidates where manufacturing costs are recognized as inventories. However, since pre-launch inventories are not realizable prior to obtaining marketing approval, pre-launch inventories are immediately written down to zero through research and development costs. If marketing approval is obtained, prior write-downs of pre-launch inventories are reversed through research and development costs so the inventories are measured at the lower of cost and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inventories are sold, the cost of inventories is recognized as part of cost of sales in the period in which the related revenue is recognized.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and Amended IFRS Standards Adopted by the Company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Several new amendments and interpretations became applicable for the current reporting period, but do not have an impact on the accounting policies applied by the Company.</w:t>
      </w:r>
    </w:p>
    <w:p>
      <w:pPr>
        <w:sectPr>
          <w:pgSz w:w="11900" w:h="16838" w:orient="portrait"/>
          <w:cols w:equalWidth="0" w:num="1">
            <w:col w:w="11000"/>
          </w:cols>
          <w:pgMar w:left="440" w:top="297" w:right="45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00"/>
          </w:cols>
          <w:pgMar w:left="440" w:top="297" w:right="459" w:bottom="1440" w:gutter="0" w:footer="0" w:header="0"/>
          <w:type w:val="continuous"/>
        </w:sectPr>
      </w:pPr>
    </w:p>
    <w:bookmarkStart w:id="9" w:name="page10"/>
    <w:bookmarkEnd w:id="9"/>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Notes to the Unaudited Condensed Consolidated Interim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3—Critical Accounting Judgements and Key Sources of Estimation Uncertainty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application of the Company’s accounting policies, management is required to make judgements, estimates and assumptions about the carrying amount of assets and liabilities that are not readily apparent from other sources. Judgements and estimates applied are based on historical experience and other factors that are relevant, and which are available at the reporting date. Uncertainty concerning judgements and estimates could result in outcomes that require a material adjustment to assets and liabilities in future periods.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 While the application of significant accounting estimates is subject to material estimation uncertainties, management’s ongoing revisions of significant accounting estimates have not revealed any material impact on the consolidated interim statements of profit or loss for any of the periods presented.</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2020.</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Significant judgements made in the process of applying our accounting policies and that have the most significant effect on the amounts recognized in the unaudited condensed consolidated interim financial statements relate to revenue recognition, share-based payment, internally generated intangible assets related to drug development, classification of collaboration agreements and recognition principles related to pre-launch inventories. For the nine months ended September 30, 2021, the Company has for the first time, in connection with determining the grant date fair value of warrants and accordingly, warrant compensation costs, applied the price of the Company’s ADSs, each representing one ordinary share of the Company, as input for expected volatility. Details are provided in section “Warrant Compensation Costs”. Until December 31, 2020, the expected volatility was calculated using a simple average of daily historical data of comparable publicly traded companies, as the Company did not have sufficient data for the volatility of the Company’s own share price.</w:t>
      </w:r>
    </w:p>
    <w:p>
      <w:pPr>
        <w:spacing w:after="0" w:line="19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primarily relate to recognition and measurement of accruals and prepayments for manufacturing and clinical trial activities.</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than as set out below, there have been no other changes to the application of significant accounting judgements, or estimation uncertainties regarding accounting estimates compared to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Compensation Costs</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IFRS 2, “Share-Based Payment” requires an entity to reflect in its consolidated statement of profit or loss and financial position, the effects of share-based payment transactions. Warrant compensation costs are recognized over the vesting period as research and development costs or selling, general and administrative expenses, as appropriate, based on management’s best estimate of the number of warrants that will ultimately vest, which is subject to uncertainty.</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Warrant compensation costs are measured according to the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For the nine months ended September 30, 2021, the expected volatility has been calculated using the price of the Company’s ADSs, each representing one ordinary share of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97" w:right="459" w:bottom="1440" w:gutter="0" w:footer="0" w:header="0"/>
        </w:sectPr>
      </w:pPr>
    </w:p>
    <w:bookmarkStart w:id="10" w:name="page11"/>
    <w:bookmarkEnd w:id="10"/>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monitor the risks from this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 At the reporting date, COVID-19 did not have a direct material impact on the consolidated interim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VISEN Pharmaceuticals Investment</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January 8, 2021, the Company entered into an equity investment of $12.5 million in its associate, VISEN Pharmaceuticals (“VISEN”), as part of VISEN’s $150 million Series B financing. Following VISEN’s Series B financing, the Company retained approximately 44% of VISEN’s issued and outstanding shares. As a result, the Company recognized a non-cash gain in the first quarter of 2021 of €42.3 million, which is presented as part of “Share of profit / (loss) of associate” in the consolidated interim statement of profit or loss. The Series B financing did not change the Company’s accounting treatment of VISEN.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Regulatory Approval of SKYTROFA® (lonapegsomatropin-tcgd)</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August 25, 2021, the U.S. Food and Drug Administration (the “FDA”), approved TransCon hGH, known by its brand name SKYTROFA and its INN name lonapegsomatropin-tcgd in the U.S. for the treatment of pediatric patients one year and older who weigh at least 11.5 kg (25.4 lb) and have growth failure due to inadequate secretion of endogenous growth hormone. As a once-weekly injection, SKYTROFA (lonapegsomatropin-tcgd) is the first FDA approved product that delivers somatropin (growth hormone) by sustained release over one week.</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result of obtaining marketing approval for SKYTROFA (lonapegsomatropin-tcgd), the Company reversed prior write-down of prelaunch inventories through research and development costs. The reversal had a positive impact of €53.2 million on the Company’s statement of profit or loss. At the reporting date, inventories comprise raw materials and work in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revenue was recognized for SKYTROFA (lonapegsomatropin-tcgd) for the nine months period ended September 30,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Follow-on-public Offering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September 1, 2021, the Company entered into an underwriting agreement (the “Underwriting Agreement”) with J.P. Morgan Securities LLC, Morgan Stanley &amp; Co. LLC, Evercore Group L.L.C. and SVB Leerink LLC, as representatives (the “Representatives”) of the several underwriters named therein (collectively, the “Underwriters”), pursuant to which the Company agreed to issue and sell 2,500,000 ADSs, each of which represents one ordinary share of the Company, DKK 1 nominal value per share, to the Underwriters (the “Offering”). The ADSs were sold at a public offering price of $160.00 per ADS, and were purchased by the Underwriters from the Company at a price of $152.00 per ADS. Under the terms of the Underwriting Agreement, the Company granted the Underwriters the right, for 30 days, to purchase from the Company up to 375,000 additional ADSs at the public offering price, less the underwriting commissions. On September 2, 2021, the Underwriters exercised their option to purchase the additional 375,000 ADSs in full.</w:t>
      </w:r>
    </w:p>
    <w:p>
      <w:pPr>
        <w:spacing w:after="0" w:line="16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 September 7, 2021, the Offering closed and the Company completed the sale and issuance of an aggregate of 2,875,000 ADSs. The Company received net proceeds from the Offering of $436.5 million, or €367.7 million, after deducting the Underwriters’ commissions and offering expenses payable by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97"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5—Revenue</w:t>
      </w:r>
    </w:p>
    <w:p>
      <w:pPr>
        <w:spacing w:after="0" w:line="121" w:lineRule="exact"/>
        <w:rPr>
          <w:sz w:val="20"/>
          <w:szCs w:val="20"/>
          <w:color w:val="auto"/>
        </w:rPr>
      </w:pPr>
    </w:p>
    <w:p>
      <w:pPr>
        <w:ind w:left="4" w:right="320"/>
        <w:spacing w:after="0" w:line="279" w:lineRule="auto"/>
        <w:rPr>
          <w:sz w:val="20"/>
          <w:szCs w:val="20"/>
          <w:color w:val="auto"/>
        </w:rPr>
      </w:pPr>
      <w:r>
        <w:rPr>
          <w:rFonts w:ascii="Arial" w:cs="Arial" w:eastAsia="Arial" w:hAnsi="Arial"/>
          <w:sz w:val="17"/>
          <w:szCs w:val="17"/>
          <w:color w:val="auto"/>
        </w:rPr>
        <w:t>The Company’s revenue is primarily generated from three license agreements, which were entered into in 2018. The licenses grant VISEN exclusive rights to develop and commercialize TransCon hGH, TransCon PTH and TransCon CNP in Greater China. As consideration for the granting of such rights, the Company received up-front, non-refundable, non-cash consideration of $40.0 million in the form of 50% ownership in VISEN. At the reporting date, the Company retains approximately 44% of VISEN’s issued and outstanding shares.</w:t>
      </w:r>
    </w:p>
    <w:p>
      <w:pPr>
        <w:spacing w:after="0" w:line="17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Consideration received is recognized partly as license revenue, and partly as rendering of services over time. In addition to granting exclusive rights, the Company provides clinical trial supply and development services to VISEN.</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9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9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020" w:type="dxa"/>
            <w:vAlign w:val="bottom"/>
          </w:tcPr>
          <w:p>
            <w:pPr>
              <w:spacing w:after="0"/>
              <w:rPr>
                <w:sz w:val="15"/>
                <w:szCs w:val="15"/>
                <w:color w:val="auto"/>
              </w:rPr>
            </w:pPr>
          </w:p>
        </w:tc>
        <w:tc>
          <w:tcPr>
            <w:tcW w:w="130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rPr>
              <w:t>(EUR’000)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9"/>
              </w:rPr>
              <w:t>(EUR’000)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Revenue from rendering of services (recognized over time)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“Right-to-use” licenses (recognized at a point in time)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1,749</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6,418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6,418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geographical location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2,076</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China</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2,123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6,418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80" w:hanging="424"/>
        <w:spacing w:after="0" w:line="226" w:lineRule="auto"/>
        <w:tabs>
          <w:tab w:leader="none" w:pos="424"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For the three months ended September 30, 2021 and 2020, and for the nine months ended September 30, 2021 and 2020, “Total revenue” includes recognition of previously deferred revenue/internal profit from associate of €0.6 million and €0.6 million, and of €1.7 million and €2.8 million, respectively.</w:t>
      </w:r>
    </w:p>
    <w:p>
      <w:pPr>
        <w:spacing w:after="0" w:line="3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left="4" w:right="340"/>
        <w:spacing w:after="0" w:line="342" w:lineRule="auto"/>
        <w:rPr>
          <w:sz w:val="20"/>
          <w:szCs w:val="20"/>
          <w:color w:val="auto"/>
        </w:rPr>
      </w:pPr>
      <w:r>
        <w:rPr>
          <w:rFonts w:ascii="Arial" w:cs="Arial" w:eastAsia="Arial" w:hAnsi="Arial"/>
          <w:sz w:val="16"/>
          <w:szCs w:val="16"/>
          <w:color w:val="auto"/>
        </w:rPr>
        <w:t>The Company is managed and operated as one business unit. No separate business areas or separate business units have been identified in relation to product candidates or geographical markets. Accordingly, no additional information on business segments or geographical areas is disclosed.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97" w:right="439" w:bottom="1440" w:gutter="0" w:footer="0" w:header="0"/>
        </w:sectPr>
      </w:pPr>
    </w:p>
    <w:bookmarkStart w:id="12" w:name="page13"/>
    <w:bookmarkEnd w:id="12"/>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7—Warrants and Share-based Payment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Ascendis Pharma A/S has established warrant programs and equity-settled share-based payment transactions, as an incentive for all its employees, members of its Board of Directors and select consultants.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Warrants are granted by the Company’s Board of Directors in accordance with authorizations given to it by the shareholders of the Company. As of September 30, 2021, 11,174,143 warrants have been granted, of which 19,580 warrants have been cancelled, 4,428,982 warrants have been exercised, 2,168 warrants have expired without being exercised, and 677,057 warrants have been forfeited. As of September 30, 2021, the Company’s Board of Directors was authorized to grant up to 2,453,144 additional warrants to employees, board members and select consultants without preemptive subscription rights for the shareholders of the Company. Each warrant carries the right to subscribe for one ordinary share of a nominal value of DKK 1. The exercise price is fixed at the fair market value of the Company’s ordinary shares on the date of grant as determined by the Company’s Board of Directors. The exercise prices of outstanding warrants under the Company’s warrant programs range from €6.48 to €145.5 depending on the grant dates. Vested warrants may be exercised in two or four annual exercise periods. Apart from exercise prices and exercise periods, the programs are similar.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warrant activity during the nine months ended September 30,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9000" w:type="dxa"/>
            <w:vAlign w:val="bottom"/>
          </w:tcPr>
          <w:p>
            <w:pPr>
              <w:spacing w:after="0"/>
              <w:rPr>
                <w:sz w:val="12"/>
                <w:szCs w:val="12"/>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0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Warrants</w:t>
            </w:r>
          </w:p>
        </w:tc>
        <w:tc>
          <w:tcPr>
            <w:tcW w:w="220" w:type="dxa"/>
            <w:vAlign w:val="bottom"/>
            <w:gridSpan w:val="2"/>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6,148,004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69.97</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309,425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(252,337)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080" w:type="dxa"/>
            <w:vAlign w:val="bottom"/>
            <w:gridSpan w:val="3"/>
          </w:tcPr>
          <w:p>
            <w:pPr>
              <w:jc w:val="right"/>
              <w:ind w:right="180"/>
              <w:spacing w:after="0" w:line="216" w:lineRule="exact"/>
              <w:rPr>
                <w:sz w:val="20"/>
                <w:szCs w:val="20"/>
                <w:color w:val="auto"/>
              </w:rPr>
            </w:pPr>
            <w:r>
              <w:rPr>
                <w:rFonts w:ascii="Arial" w:cs="Arial" w:eastAsia="Arial" w:hAnsi="Arial"/>
                <w:sz w:val="18"/>
                <w:szCs w:val="18"/>
                <w:color w:val="auto"/>
              </w:rPr>
              <w:t>(158,736</w:t>
            </w:r>
            <w:r>
              <w:rPr>
                <w:rFonts w:ascii="Arial" w:cs="Arial" w:eastAsia="Arial" w:hAnsi="Arial"/>
                <w:sz w:val="25"/>
                <w:szCs w:val="25"/>
                <w:color w:val="auto"/>
                <w:vertAlign w:val="subscript"/>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6,046,356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b w:val="1"/>
                <w:bCs w:val="1"/>
                <w:color w:val="auto"/>
              </w:rPr>
              <w:t>Vested at September 30, 2021</w:t>
            </w: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3,777,047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Warrant compensation costs are determined with a basis in the grant date fair value of the warrants granted and recognized over the vesting period as research and development costs or as selling, general and administrative expenses. For the three months ended September 30, 2021 and 2020, and for the nine months ended September 30, 2021 and 2020, warrant compensation costs recognized in the consolidated interim statement of profit or loss was €13.3 million and €10.4 million, and €52.7 million and €38.8 million,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97"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are measured at amortized cost, and fair values are determined based on quoted market prices (Level 1 in the fair value hierarchy).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portfolio is specified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10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160" w:type="dxa"/>
            <w:vAlign w:val="bottom"/>
            <w:vMerge w:val="restart"/>
          </w:tcPr>
          <w:p>
            <w:pPr>
              <w:spacing w:after="0"/>
              <w:rPr>
                <w:sz w:val="10"/>
                <w:szCs w:val="10"/>
                <w:color w:val="auto"/>
              </w:rPr>
            </w:pPr>
          </w:p>
        </w:tc>
        <w:tc>
          <w:tcPr>
            <w:tcW w:w="104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2"/>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(EUR’000)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U.S. Treasury bills</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46,243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bonds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80,044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80,056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62,088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62,101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Commercial papers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2,158</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2,158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10,583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136,204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136,128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121,282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121,234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Agency bonds</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18,555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18,556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9,362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236,961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236,898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249,558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249,530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Classified based on maturity profiles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71,614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71,580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115,280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115,277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165,347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165,318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134,278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134,253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236,961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236,898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249,558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249,530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Specified by rate structure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220,163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175,757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175,732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Floating rate</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14,640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14,640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16,975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16,972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Zero-coupon</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56,826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56,826</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236,898</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investment grade credit rating</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Prime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6,529</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6,529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7,716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High grade</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116,055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142,352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Upper medium grade</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112,270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112,206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99,503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99,464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Lower medium grade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236,961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236,898</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Company’s marketable securities are all denominated in U.S. Dollars. At September 30, 2021 and December 31, 2020, the portfolio has a weighted average duration of 6.1 and 6.0 months for current positions, and 17.6 and 17.3 months for non-current positions, respectively. At September 30, 2021 and December 31, 2020, the entire portfolio has a weighted average duration of 9.6 months and 11.2 months.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97"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share capital of Ascendis Pharma A/S consists of 56,877,723 outstanding shares at a nominal value of DKK 1, all in the same share class.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 Liabilities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primarily leases office and laboratory facilities. Lease arrangements contain a range of different terms and conditions and are typically entered into for fixed periods. Generally, the lease terms are determined according to the non-cancellable period and are between two and twelve years. In addition, in order to improve flexibility to the Company’s operations, lease terms may provide the Company with options to extend the lease or to terminate the lease within the enforceable lease term. In the Company’s current lease portfolio, extension and termination options range between two to ten years in addition to the non-cancellable period.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Maturity analysis for lease liabilities recognized in the consolidated statements of financial position at September 30, 2021 is specified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&lt; 1 year</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1-5 years</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&gt;5 years</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cash-flows</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81"/>
        </w:trPr>
        <w:tc>
          <w:tcPr>
            <w:tcW w:w="59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Lease 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6,840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47,653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70,054</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124,547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102,301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47,653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70,054</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124,547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102,301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 events have occurred after the reporting date that would influence the evaluation of these unaudited condensed consolidated interim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97"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2020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960" w:right="2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 including our expectations regarding approval of our Marketing Authorization Application (“MAA”) for TransCon Growth Hormone (“TransCon hGH”);</w:t>
      </w:r>
    </w:p>
    <w:p>
      <w:pPr>
        <w:spacing w:after="0" w:line="75"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commercial availability of TransCon hGH, known by its brand name SKYTROFA (lonapegsomatropin-tcgd), in the United States and related patient support services;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TransCon hGH and our other product candidates, if approved;</w:t>
      </w:r>
    </w:p>
    <w:p>
      <w:pPr>
        <w:spacing w:after="0" w:line="130"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TransCon hGH and our other product candidates and associated devices;</w:t>
      </w:r>
    </w:p>
    <w:p>
      <w:pPr>
        <w:spacing w:after="0" w:line="75" w:lineRule="exact"/>
        <w:rPr>
          <w:rFonts w:ascii="Arial" w:cs="Arial" w:eastAsia="Arial" w:hAnsi="Arial"/>
          <w:sz w:val="18"/>
          <w:szCs w:val="18"/>
          <w:color w:val="auto"/>
        </w:rPr>
      </w:pPr>
    </w:p>
    <w:p>
      <w:pPr>
        <w:ind w:left="960" w:right="7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75"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75"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TransCon hGH and our other product candidates, if approved for commercial use;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advantages of TransCon hGH and our other product candidates over existing therapies;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60" w:right="10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(“INDs”) or similar for such product candidates;</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plans with respect to TransCon hGH and our other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TransCon hGH and our other product candidates and technologies, including global commercialization strategies;</w:t>
      </w:r>
    </w:p>
    <w:p>
      <w:pPr>
        <w:spacing w:after="0" w:line="75"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TransCon hGH and our other product candidates;</w:t>
      </w:r>
    </w:p>
    <w:p>
      <w:pPr>
        <w:spacing w:after="0" w:line="75"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market conditions, competitors and industry;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on our business of the worldwide COVID-19 pandemic.</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2020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ectPr>
          <w:pgSz w:w="11900" w:h="16838" w:orient="portrait"/>
          <w:cols w:equalWidth="0" w:num="1">
            <w:col w:w="11020"/>
          </w:cols>
          <w:pgMar w:left="440" w:top="121" w:right="439" w:bottom="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12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Overview</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applying our innovative TransCon technologies to build a leading, fully integrated biopharmaceutical company and develop a pipeline of product candidates with potential best-in-class profiles to address unmet medical needs. We currently have a pipeline of multiple independent endocrinology rare disease and oncology product candidates in development. We are also working to apply our TransCon technology platform in additional therapeutic areas to address unmet medical needs.</w:t>
      </w:r>
    </w:p>
    <w:p>
      <w:pPr>
        <w:spacing w:after="0" w:line="18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On August 25, 2021, the U.S. Food and Drug Administration (the “FDA”) approved TransCon hGH, known by its brand name SKYTROFA</w:t>
      </w:r>
      <w:r>
        <w:rPr>
          <w:rFonts w:ascii="Arial" w:cs="Arial" w:eastAsia="Arial" w:hAnsi="Arial"/>
          <w:sz w:val="13"/>
          <w:szCs w:val="13"/>
          <w:color w:val="auto"/>
        </w:rPr>
        <w:t>®</w:t>
      </w:r>
      <w:r>
        <w:rPr>
          <w:rFonts w:ascii="Arial" w:cs="Arial" w:eastAsia="Arial" w:hAnsi="Arial"/>
          <w:sz w:val="16"/>
          <w:szCs w:val="16"/>
          <w:color w:val="auto"/>
        </w:rPr>
        <w:t xml:space="preserve"> and its international nonproprietary name lonapegsomatropin-tcgd in the U.S. for the treatment of pediatric patients one year and older who weigh at least</w:t>
      </w:r>
    </w:p>
    <w:p>
      <w:pPr>
        <w:ind w:right="140"/>
        <w:spacing w:after="0" w:line="273" w:lineRule="auto"/>
        <w:rPr>
          <w:sz w:val="20"/>
          <w:szCs w:val="20"/>
          <w:color w:val="auto"/>
        </w:rPr>
      </w:pPr>
      <w:r>
        <w:rPr>
          <w:rFonts w:ascii="Arial" w:cs="Arial" w:eastAsia="Arial" w:hAnsi="Arial"/>
          <w:sz w:val="17"/>
          <w:szCs w:val="17"/>
          <w:color w:val="auto"/>
        </w:rPr>
        <w:t>11.5 kg (25.4 lb) and have growth failure due to inadequate secretion of endogenous growth hormone. We also have submitted a regulatory application for marketing approval for TransCon hGH for the treatment of pediatric growth hormone deficiency (“GHD”) during 2020 to the European Medicines Agency (the “EMA”). We are building our global commercial presence, starting with a focus in the United States where our initial U.S. commercial organization is in place to support the U.S. launch of SKYTROFA (lonapegsomatropin-tcgd).</w:t>
      </w:r>
    </w:p>
    <w:p>
      <w:pPr>
        <w:spacing w:after="0" w:line="17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2018, we co-founded VISEN Pharmaceuticals (“VISEN”), a company established to develop and commercialize our endocrinology rare disease therapies in the People’s Republic of China, Hong Kong, Macau and Taiwan (“Greater China”). In connection with the formation of VISEN, we received 50% ownership in the outstanding shares of VISEN and concurrently with the rights we granted to VISEN for TransCon hGH, TransCon PTH and TransCon CNP, entities affiliated with Vivo Capital and Sofinnova Ventures purchased shares in VISEN for an aggregate purchase price of</w:t>
      </w:r>
    </w:p>
    <w:p>
      <w:pPr>
        <w:spacing w:after="0" w:line="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$40 million in cash. On January 8, 2021, we completed an equity investment of $12.5 million in VISEN as part of VISEN’s $150 million Series B financing. Following VISEN’s Series B financing, we retained approximately 44% of VISEN’s issued and outstanding shares.</w:t>
      </w:r>
    </w:p>
    <w:p>
      <w:pPr>
        <w:spacing w:after="0" w:line="16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had a net loss of €277.5 million for the nine months ended September 30, 2021, and a net loss of €419.0 million for the year ended December 31, 2020. Our total equity was €993.6 million as of September 30, 2021 compared to €838.7 million as of December 31,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TransCon technologies are designed to solve the fundamental limitations of previous approaches applied to extend duration of a drug’s action in the body, and to enhance the overall benefit of a given therapeutic. Many drugs suffer from suboptimal pharmacokinetics, short residence time in the body, poor tolerability at the administration site and/or systemic side effects that result from initial drug concentrations that are too high. Frequent administration and poor tolerability negatively impact patient compliance, potentially leading to suboptimal treatment outcomes. To address these issues, several approaches are currently being applied to improve drug characteristics, such as prodrug and sustained release technologies.</w:t>
      </w:r>
    </w:p>
    <w:p>
      <w:pPr>
        <w:spacing w:after="0" w:line="16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TransCon technologies combine the benefits of conventional prodrug and sustained release technologies to create new therapies with potentially optimized therapeutic effect, including efficacy, safety and dosing frequency. We believe the technologies can be applied broadly to a protein, peptide, antibody or small molecule in multiple therapeutic areas. TransCon molecules have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Because the parent drug is unmodified, its original mode of action is expected to be maintained. Depending upon the type of TransCon carrier we employ, we can design our TransCon prodrugs to act systemically or locally in areas that have been difficult to treat with conventional therapies. In addition to retaining the original mode of action of the unmodified parent drug, we believe this predictable release may improve the likelihood of clinical development success. We refer to our systemic and localized applications of TransCon as individual technologies.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hGH</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TransCon hGH is an investigational once-weekly prodrug designed to deliver somatropin over a one-week period. The released somatropin has the same 191 amino acid sequence as daily somatropin. TransCon hGH is approved by the FDA in the U.S. under the brand name SKYTROFA (lonapegsomatropin-tcgd) for the treatment of pediatric patients one year and older who weigh at least 11.5 kg (25.4 lb) and have growth failure due to inadequate secretion of endogenous growth hormone. TransCon hGH is under review by the EMA as a once-weekly treatment for pediatric GHD. Based on discussions with the EMA, we believe our submission is on track to obtain a positive opinion on TransCon hGH for the treatment of pediatric GHD from the EMA’s Committee for Medicinal Products for Human Use (“CHMP”) in the fourth quarter of 2021. European Commission approval for TransCon hGH is expected up to 67 days after the anticipated positive CHMP opinion, which the Company expects to occur late 2021 or in early 2022.</w:t>
      </w:r>
    </w:p>
    <w:p>
      <w:pPr>
        <w:spacing w:after="0" w:line="166"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SKYTROFA single-use, prefilled cartridges are available in the U.S. in nine dosage strengths, allowing for convenient dosing flexibility. They are designed for use only with the SKYTROFA</w:t>
      </w:r>
      <w:r>
        <w:rPr>
          <w:rFonts w:ascii="Arial" w:cs="Arial" w:eastAsia="Arial" w:hAnsi="Arial"/>
          <w:sz w:val="13"/>
          <w:szCs w:val="13"/>
          <w:color w:val="auto"/>
        </w:rPr>
        <w:t>®</w:t>
      </w:r>
      <w:r>
        <w:rPr>
          <w:rFonts w:ascii="Arial" w:cs="Arial" w:eastAsia="Arial" w:hAnsi="Arial"/>
          <w:sz w:val="16"/>
          <w:szCs w:val="16"/>
          <w:color w:val="auto"/>
        </w:rPr>
        <w:t xml:space="preserve"> Auto-Injector and may be stored at room temperature for up to six months. The recommended dose of SKYTROFA (lonapegsomatropin-tcgd) for treatment-naïve patients and patients switching from daily somatropin is 0.24 mg/kg body weight, administered once weekly. Somatropin released from SKYTROFA (lonapegsomatropin-tcgd) produces a dose linear insulin-like growth factor-1 response and the dosage of SKYTROFA (lonapegsomatropin-tcgd) may be individualized and titrated based on response.</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body, a similar distribution pattern to that from daily somatropin is expected once somatropin is released from TransCon hGH. We used daily growth hormone as an active comparator in our clinical studies, allowing us to directly compare the activity of TransCon hGH to daily growth hormone in an identical clinical setting.</w:t>
      </w:r>
    </w:p>
    <w:p>
      <w:pPr>
        <w:sectPr>
          <w:pgSz w:w="11900" w:h="16838" w:orient="portrait"/>
          <w:cols w:equalWidth="0" w:num="1">
            <w:col w:w="11000"/>
          </w:cols>
          <w:pgMar w:left="440" w:top="270" w:right="45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0"/>
          </w:cols>
          <w:pgMar w:left="440" w:top="270" w:right="459" w:bottom="1440" w:gutter="0" w:footer="0" w:header="0"/>
          <w:type w:val="continuous"/>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Phase 3 pediatric program for TransCon hGH consists of the heiGHt, fliGHt and enliGHten Trials. The heiGHt Trial was a randomized, open label, active-controlled Phase 3 registrational trial that enrolled 161 children with GHD who had not previously been treated. The fliGHt Trial was designed to evaluate TransCon hGH in subjects who were primarily treatment experienced with daily somatropin, although a subgroup of younger subjects were treatment-naïve. Nearly all subjects who completed the heiGHt or fliGHt Trials have enrolled in the open-label extension study (the “enliGHten Trial”), which is designed to provide long-term safety data to support the regulatory submissions for TransCon hGH. We initiated the enliGHten Trial in 2017 as the first subjects began to roll over from the heiGHt Trial, and we have enrolled approximately 300 pediatric subjects. Data from enliGHten formed the long-term safety database supporting our Biologics License Application submission to the FDA for TransCon hGH for the treatment of pediatric GHD which was approved in August 2021, as well as submission of a MAA to the EMA, which occurred in September 2020.</w:t>
      </w:r>
    </w:p>
    <w:p>
      <w:pPr>
        <w:spacing w:after="0" w:line="16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January 2021, we announced 104-week analysis of data from the ongoing enliGHten Trial, including follow-up on subjects from the heiGHt Trial who continued into enliGHten. The data showed maintenance of a treatment advantage in subjects initially treated with TransCon hGH beyond the first year of therapy. The safety results, which were comparable to Genotropin in the Phase 3 heiGHt Trial, were consistent across the Phase 3 clinical trials.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2020, we filed a Clinical Trial Notification (“CTN”) with the Pharmaceuticals and Medical Devices Agency in Japan, to initiate our Phase 3 riGHt Trial of TransCon hGH for the treatment for pediatric GHD. The primary objective of the riGHt Trial is to evaluate and compare the annualized height velocity of 40 Japanese prepubertal treatment-naïve children with GHD treated with weekly TransCon hGH to that of a commercially available daily somatropin formulation at 52 weeks.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July 2020, the EMA adopted a decision agreeing with the positive opinion from the Paediatric Development Committee (“PDCO”), which approved the proposed Paediatric Investigation Plan for TransCon hGH. The PDCO endorsed the TransCon hGH program as acceptable for assessment of safety and efficacy for the use of TransCon hGH as a treatment for GHD in children from six months to less than 18 years of age, mirroring the population covered by the studies conducted in the program.</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April 2020, we received orphan drug designation from the FDA for TransCon hGH in the United States for the treatment of GHD. The FDA grants orphan designation to drugs that are intended for the treatment, diagnosis, or prevention of rare diseases or disorders that affect fewer than 200,000 people in the United States, and potentially may be safer or more effective than already approved products.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2019, we received orphan designation from the European Commission (“EC”) for TransCon hGH for GHD. Orphan designation is granted to therapies aimed at the treatment, prevention or diagnosis of a disease that is life-threatening or chronically debilitating, affects no more than five in 10,000 persons in the European Union and for which no satisfactory method of diagnosis, prevention, or treatment has been authorized (or the product would provide significant additional benefit over existing therapies).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we have initiated the foresiGHt Trial, a global Phase 3 study with the aim to demonstrate the metabolic benefits of TransCon hGH in adults with GHD and, in Greater China, VISEN completed the patient enrollment of 154 treatment-naïve, prepubertal children in the ongoing Phase 3 pivotal trial of TransCon hGH in patients with pediatric GHD in March 2021. We intend to pursue other indications for TransCon hGH consistent with our strategy to create sustainable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PTH</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We are using our TransCon technology platform to develop TransCon PTH, an investigational once-daily long-acting prodrug of parathyroid hormone (“PTH”) as a potential treatment for adult hypoparathyroidism (“HP”), a rare endocrine disorder of calcium and phosphate metabolism. TransCon PTH is designed to replace PTH at physiologic levels for 24 hours each day to address both the short-term symptoms and long-term complications of HP.</w:t>
      </w:r>
    </w:p>
    <w:p>
      <w:pPr>
        <w:spacing w:after="0" w:line="1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Current standard of care (“SoC”) for HP patients primarily consists of active vitamin D and oral calcium supplementation. However, since PTH is not present at the kidney to facilitate calcium reabsorption from the urine, the goal of SoC is to maintain serum calcium (“sCa”) levels just below or within the lower part of the normal range and thereby limit as much as possible the damage from excess urinary calcium. Nonetheless, SoC frequently leads to significant sCa fluctuations accompanied by symptomatic hyper- or hypocalcemia. SoC with active vitamin D and calcium have been shown to contribute to the risk of renal disease.</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HP also poses a high burden on the healthcare system despite current SoC. For example, one survey of 374 patients showed that 72% experienced more than ten symptoms in the preceding twelve months, with symptoms experienced for a mean of 13 ± 9 hours a day. Other studies showed that 79% of HP patients require hospital stays or emergency department visits and that patients with the disease have a four-fold increase in the risk of renal disease compared to healthy controls. Patients often experience decreased quality of life. We conducted a survey of 42 patients which found that 100% of subjects reported negative psychological impacts, interference with daily life and impact on physical functioning from HP, and that 76% were either no longer able to work or experienced interference with work productivity.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9" w:name="page20"/>
    <w:bookmarkEnd w:id="19"/>
    <w:p>
      <w:pPr>
        <w:ind w:left="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TransCon PTH is currently in Phase 3 development as a treatment for adult HP. In September 2020, we submitted an amendment to our IND to initiate the PaTHway Trial, our North American and European Phase 3 double-blinded, placebo controlled clinical trial evaluating the safety, tolerability and efficacy of TransCon PTH in adults with HP following discussions with the FDA and European regulatory authorities. On July 6, 2021, we announced that the PaTHway Trial reached the target enrollment.</w:t>
      </w:r>
    </w:p>
    <w:p>
      <w:pPr>
        <w:spacing w:after="0" w:line="18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On September 22, 2021, we announced 58-week bone mineral density data (“BMD”) from central lab reading in the PaTH Forward Trial, a global Phase 2 trial evaluating the safety, tolerability, and efficacy of TransCon PTH in adult subjects with HP. BMD was measured with non-invasive dual energy x-ray absorptiometry (“DXA”).</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PaTH Forward, mean BMD Z-scores, trended towards stabilization and continued normalization at 58 weeks.</w:t>
      </w:r>
    </w:p>
    <w:p>
      <w:pPr>
        <w:spacing w:after="0" w:line="275" w:lineRule="exact"/>
        <w:rPr>
          <w:sz w:val="20"/>
          <w:szCs w:val="20"/>
          <w:color w:val="auto"/>
        </w:rPr>
      </w:pPr>
    </w:p>
    <w:p>
      <w:pPr>
        <w:jc w:val="center"/>
        <w:ind w:right="56"/>
        <w:spacing w:after="0"/>
        <w:rPr>
          <w:sz w:val="20"/>
          <w:szCs w:val="20"/>
          <w:color w:val="auto"/>
        </w:rPr>
      </w:pPr>
      <w:r>
        <w:rPr>
          <w:rFonts w:ascii="Arial" w:cs="Arial" w:eastAsia="Arial" w:hAnsi="Arial"/>
          <w:sz w:val="18"/>
          <w:szCs w:val="18"/>
          <w:b w:val="1"/>
          <w:bCs w:val="1"/>
          <w:color w:val="auto"/>
        </w:rPr>
        <w:t>Mean Bone Mineral Density Z-scores by DXA</w:t>
      </w:r>
      <w:r>
        <w:rPr>
          <w:rFonts w:ascii="Arial" w:cs="Arial" w:eastAsia="Arial" w:hAnsi="Arial"/>
          <w:sz w:val="15"/>
          <w:szCs w:val="15"/>
          <w:b w:val="1"/>
          <w:bCs w:val="1"/>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Anatomic region</w:t>
            </w: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n</w:t>
            </w: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Baseline</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Week 26</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Week 58</w:t>
            </w:r>
          </w:p>
        </w:tc>
      </w:tr>
      <w:tr>
        <w:trPr>
          <w:trHeight w:val="20"/>
        </w:trPr>
        <w:tc>
          <w:tcPr>
            <w:tcW w:w="102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Lumbar spine (L1-L4)</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w w:val="79"/>
              </w:rPr>
              <w:t>1.6</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7"/>
                <w:szCs w:val="17"/>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Femoral neck</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hip</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Forearm/ 1/3 radius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89"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From central lab reading</w:t>
      </w:r>
    </w:p>
    <w:p>
      <w:pPr>
        <w:spacing w:after="0" w:line="225"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On July 6, 2021, we announced the receipt of orphan drug designation for TransCon PTH from the Japanese Ministry of Health, Labor, and Welfare. Furthermore, we announced the acceptance of the CTN for the PaTHway Japan Trial, a single-arm, Phase 3 trial of TransCon PTH in a minimum of 12 Japanese subjects with HP.</w:t>
      </w:r>
    </w:p>
    <w:p>
      <w:pPr>
        <w:spacing w:after="0" w:line="184"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On June 2, 2021, VISEN announced IND approval from the Center for Drug Evaluation on the National Medical Products Administration for the Phase 3 clinical trial of TransCon PTH in adult subjects with HP, the PaTHway China Trial.</w:t>
      </w:r>
    </w:p>
    <w:p>
      <w:pPr>
        <w:spacing w:after="0" w:line="170" w:lineRule="exact"/>
        <w:rPr>
          <w:sz w:val="20"/>
          <w:szCs w:val="20"/>
          <w:color w:val="auto"/>
        </w:rPr>
      </w:pPr>
    </w:p>
    <w:p>
      <w:pPr>
        <w:jc w:val="center"/>
        <w:ind w:right="296"/>
        <w:spacing w:after="0" w:line="449" w:lineRule="auto"/>
        <w:rPr>
          <w:sz w:val="20"/>
          <w:szCs w:val="20"/>
          <w:color w:val="auto"/>
        </w:rPr>
      </w:pPr>
      <w:r>
        <w:rPr>
          <w:rFonts w:ascii="Arial" w:cs="Arial" w:eastAsia="Arial" w:hAnsi="Arial"/>
          <w:sz w:val="18"/>
          <w:szCs w:val="18"/>
          <w:color w:val="auto"/>
        </w:rPr>
        <w:t>On May 10, 2021, we announced preliminary 58-week results from the continuing open-label extension (“OLE”) portion of the PaTH Forward Trial. 4</w:t>
      </w:r>
    </w:p>
    <w:p>
      <w:pPr>
        <w:sectPr>
          <w:pgSz w:w="11900" w:h="16838" w:orient="portrait"/>
          <w:cols w:equalWidth="0" w:num="1">
            <w:col w:w="11024"/>
          </w:cols>
          <w:pgMar w:left="436" w:top="274"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Findings of the Preliminary OLE Results of PaTH Forward Trial at 58 weeks</w:t>
      </w:r>
    </w:p>
    <w:p>
      <w:pPr>
        <w:spacing w:after="0" w:line="131"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58 subjects continued in the open-label extension beyond 58 weeks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treatment with TransCon PTH demonstrated that:</w:t>
      </w:r>
    </w:p>
    <w:p>
      <w:pPr>
        <w:spacing w:after="0" w:line="130" w:lineRule="exact"/>
        <w:rPr>
          <w:rFonts w:ascii="Arial" w:cs="Arial" w:eastAsia="Arial" w:hAnsi="Arial"/>
          <w:sz w:val="18"/>
          <w:szCs w:val="18"/>
          <w:color w:val="auto"/>
        </w:rPr>
      </w:pPr>
    </w:p>
    <w:p>
      <w:pPr>
        <w:ind w:left="1420" w:right="220" w:hanging="331"/>
        <w:spacing w:after="0" w:line="277"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91% of subjects were off standard of care therapy defined as no active vitamin D and less than or equal to 600 mg/day of calcium supplements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Urinary calcium maintained in the normal range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Bone markers trended towards the mid-normal levels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Quality of life benefits measured by SF-36 continued within normal range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TransCon PTH was well-tolerated at all doses administered</w:t>
      </w:r>
    </w:p>
    <w:p>
      <w:pPr>
        <w:spacing w:after="0" w:line="130" w:lineRule="exact"/>
        <w:rPr>
          <w:rFonts w:ascii="Arial" w:cs="Arial" w:eastAsia="Arial" w:hAnsi="Arial"/>
          <w:sz w:val="18"/>
          <w:szCs w:val="18"/>
          <w:color w:val="auto"/>
        </w:rPr>
      </w:pPr>
    </w:p>
    <w:p>
      <w:pPr>
        <w:ind w:left="1420" w:right="600" w:hanging="331"/>
        <w:spacing w:after="0" w:line="277"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treatment-related serious or severe adverse events occurred, and no treatment-emergent adverse events (“TEAEs”) led to discontinuation of study drug</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change to the safety profile in the OLE portion of the study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7, 2021, 58 subjects continue in the OLE portion of the PaTH Forward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the EC granted orphan designation to TransCon PTH for the treatment of HP.</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August 2020, we reported data from the four-week fixed dose, blinded portion of PaTH Forward Trial on SF-36</w:t>
      </w:r>
      <w:r>
        <w:rPr>
          <w:rFonts w:ascii="Arial" w:cs="Arial" w:eastAsia="Arial" w:hAnsi="Arial"/>
          <w:sz w:val="13"/>
          <w:szCs w:val="13"/>
          <w:color w:val="auto"/>
        </w:rPr>
        <w:t>®</w:t>
      </w:r>
      <w:r>
        <w:rPr>
          <w:rFonts w:ascii="Arial" w:cs="Arial" w:eastAsia="Arial" w:hAnsi="Arial"/>
          <w:sz w:val="16"/>
          <w:szCs w:val="16"/>
          <w:color w:val="auto"/>
        </w:rPr>
        <w:t xml:space="preserve"> Health Survey which demonstrated that TransCon PTH significantly improved quality of life and restored physical and mental functioning toward a normal level compared to placebo.</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2020, we reported positive top-line results from the four-week fixed dose, blinded portion of our Phase 2 PaTH Forward Trial, which evaluated the safety, tolerability and efficacy of three fixed doses of TransCon PTH using a ready-to-use prefilled pen injector planned for commercial presentation. The goal of PaTH Forward was to identify a starting dose for a pivotal Phase 3 trial, establish a titration regimen for complete withdrawal of SoC, and evaluate TransCon PTH control of serum and urinary calcium. A total of 59 subjects were randomized in a blinded manner to receive fixed doses of TransCon PTH at 15, 18 or 21 µg/day or placebo for four weeks. All doses of TransCon PTH were well-tolerated, and no serious or severe adverse events were shown during this period. No TEAEs led to discontinuation of study drug, and the overall incidence of TEAEs was comparable between TransCon PTH and placebo. Additionally, there were no drop-outs during the four-week fixed dose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June 2018, the FDA granted orphan drug designation for TransCon PTH for the treatment of HP.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CNP</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TransCon CNP is an investigational long-acting prodrug of C-type natriuretic peptide (“CNP”) designed to provide continuous CNP exposure at therapeutic levels with a well-tolerated and convenient once-weekly dose in development for the treatment of children with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offers advantages over short-acting CNP and CNP analogs in development that result in high Cmax levels, which may cause adverse cardiovascular events. In addition, we expect a more constant CNP exposure at lower Cmax to correlate with better therapeutic outcomes.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2019, we initiated the Phase 2 ACcomplisH Trial to evaluate safety and efficacy of TransCon CNP in children (ages 2-10 years) with achondroplasia. In collaboration with VISEN,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 In January 2021, China’s Center for Drug Evaluation of National Medical Products Administration approved VISEN’s IND to conduct the ACcomplisH China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July 2020, the EC granted orphan designation for TransCon CNP for the treatment of achondroplasia.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2019, the FDA granted orphan drug designation for TransCon CNP for the treatment of achondroplasia.</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November 2018, we reported preliminary results from a Phase 1 trial in healthy adult subjects, which we believe supported our target product profile for TransCon CNP.</w:t>
      </w:r>
    </w:p>
    <w:p>
      <w:pPr>
        <w:sectPr>
          <w:pgSz w:w="11900" w:h="16838" w:orient="portrait"/>
          <w:cols w:equalWidth="0" w:num="1">
            <w:col w:w="10960"/>
          </w:cols>
          <w:pgMar w:left="440" w:top="274"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TransCon Product Candidates within Oncology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0"/>
          </w:cols>
          <w:pgMar w:left="440" w:top="121" w:right="699" w:bottom="1440" w:gutter="0" w:footer="0" w:header="0"/>
        </w:sectPr>
      </w:pPr>
    </w:p>
    <w:bookmarkStart w:id="22" w:name="page23"/>
    <w:bookmarkEnd w:id="2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conducting preclinical studies within the field of oncology to explore multiple potential product candidates and evaluate systemic as well as localized delivery systems using our TransCon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advancing two product candidates:</w:t>
      </w:r>
    </w:p>
    <w:p>
      <w:pPr>
        <w:spacing w:after="0" w:line="131" w:lineRule="exact"/>
        <w:rPr>
          <w:sz w:val="20"/>
          <w:szCs w:val="20"/>
          <w:color w:val="auto"/>
        </w:rPr>
      </w:pPr>
    </w:p>
    <w:p>
      <w:pPr>
        <w:ind w:left="960" w:right="40" w:hanging="424"/>
        <w:spacing w:after="0" w:line="25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TransCon TLR7/8 Agonist is designed for sustained release of TLR7/8 agonist, resiquimod, and intended for intratumoral administration. This product candidate is designed to provide potent activation of the innate immune system in the tumor and draining lymph nodes and to have low risk of systemic toxicity. In December 2020, we filed an IND with the FDA to initiate the clinical program of TransCon TLR7/8 Agonist with the transcendIT-101 Trial and we have initiated the combination therapy arm in transcendIT-101 with TLR7/8 Agonist and a check point inhibitor.</w:t>
      </w:r>
    </w:p>
    <w:p>
      <w:pPr>
        <w:spacing w:after="0" w:line="93" w:lineRule="exact"/>
        <w:rPr>
          <w:rFonts w:ascii="Arial" w:cs="Arial" w:eastAsia="Arial" w:hAnsi="Arial"/>
          <w:sz w:val="18"/>
          <w:szCs w:val="18"/>
          <w:color w:val="auto"/>
        </w:rPr>
      </w:pPr>
    </w:p>
    <w:p>
      <w:pPr>
        <w:ind w:left="960" w:right="80" w:hanging="424"/>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TransCon IL-2 ß/g is designed for prolonged exposure of an IL-2 variant that selectively activates the IL-2Rß/g, with minimal binding to IL-2Ra. This product candidate is designed to provide potent anti-tumor activity and to have reduced risk of toxicity, such as vascular leak syndrome. In September 2021, we filed an IND with the FDA to initiate the clinical program of TransCon IL-2Rß/g with the IL ßeliege (I’ll Believe) Trial.</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evaluating additional TransCon product candidates in nonclinical research studies for the treatment of a variety of tumor types. Examples of TransCon product candidates under evaluation include stimulators of innate and adaptive immunity, as well as modulators of the tumor environment. We are exploring systemic and intratumoral administration both as a monotherapy and as a component of combination regimens.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FDA approved on August 25, 2021.</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2</w:t>
      </w:r>
      <w:r>
        <w:rPr>
          <w:rFonts w:ascii="Arial" w:cs="Arial" w:eastAsia="Arial" w:hAnsi="Arial"/>
          <w:sz w:val="17"/>
          <w:szCs w:val="17"/>
          <w:color w:val="auto"/>
        </w:rPr>
        <w:t>In development in Greater China through strategic investment in VISEN Pharmaceuticals.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17"/>
          <w:szCs w:val="17"/>
          <w:color w:val="auto"/>
        </w:rPr>
        <w:t>Japanese riGHt Trial.</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17"/>
          <w:szCs w:val="17"/>
          <w:color w:val="auto"/>
        </w:rPr>
        <w:t>Global foresiGHt Trial.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5</w:t>
      </w:r>
      <w:r>
        <w:rPr>
          <w:rFonts w:ascii="Arial" w:cs="Arial" w:eastAsia="Arial" w:hAnsi="Arial"/>
          <w:sz w:val="17"/>
          <w:szCs w:val="17"/>
          <w:color w:val="auto"/>
        </w:rPr>
        <w:t>North American and European PaTHway Trial, Japanese PaTHway Japan Trial.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6</w:t>
      </w:r>
      <w:r>
        <w:rPr>
          <w:rFonts w:ascii="Arial" w:cs="Arial" w:eastAsia="Arial" w:hAnsi="Arial"/>
          <w:sz w:val="17"/>
          <w:szCs w:val="17"/>
          <w:color w:val="auto"/>
        </w:rPr>
        <w:t>North America, Europe, and Oceania ACcomplisH Trial.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7</w:t>
      </w:r>
      <w:r>
        <w:rPr>
          <w:rFonts w:ascii="Arial" w:cs="Arial" w:eastAsia="Arial" w:hAnsi="Arial"/>
          <w:sz w:val="17"/>
          <w:szCs w:val="17"/>
          <w:color w:val="auto"/>
        </w:rPr>
        <w:t>TranscendIT-101.</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8</w:t>
      </w:r>
      <w:r>
        <w:rPr>
          <w:rFonts w:ascii="Arial" w:cs="Arial" w:eastAsia="Arial" w:hAnsi="Arial"/>
          <w:sz w:val="17"/>
          <w:szCs w:val="17"/>
          <w:color w:val="auto"/>
        </w:rPr>
        <w:t>IL-ßeliege.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from COVID-19 Pandemic</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Since COVID-19 started to spread around the world, we have closely monitored the development, and implemented several measures to accommodate impacts on our business, and to ensure the safety of our employees, including:</w:t>
      </w:r>
    </w:p>
    <w:p>
      <w:pPr>
        <w:spacing w:after="0" w:line="76"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Encouraging employees to work remotely, reduce travel activity and minimize face-to-face meetings;</w:t>
      </w:r>
    </w:p>
    <w:p>
      <w:pPr>
        <w:spacing w:after="0" w:line="130"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home offices, and ensuring proper and secure IT infrastructure to improve the safety and efficiency of the remote work environment;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remote visits for patients enrolled in our clinical trials, including ensuring safe delivery of clinical drugs;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Addressing COVID-19 in relation to logistics and manufacturing at Joint Steering Committees with manufacturing partners.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While COVID-19 has an impact on how we work and conduct our activities, we have managed to avoid significant disruptions to our operations. Further, while COVID-19 continues to remain in the global society, we will keep working with COVID-19 measures to accommodate business disruptions and to achieve our strategic objectives. As a participant in the global fight against spreading the virus, we will maintain and further develop precautionary measures within our organization, including encouraging our employees to work remotely, reduce travel activity and minimize face-to-face meetings.</w:t>
      </w:r>
    </w:p>
    <w:p>
      <w:pPr>
        <w:sectPr>
          <w:pgSz w:w="11900" w:h="16838" w:orient="portrait"/>
          <w:cols w:equalWidth="0" w:num="1">
            <w:col w:w="11000"/>
          </w:cols>
          <w:pgMar w:left="440" w:top="274" w:right="459" w:bottom="541"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00"/>
          </w:cols>
          <w:pgMar w:left="440" w:top="274" w:right="459" w:bottom="541" w:gutter="0" w:footer="0" w:header="0"/>
          <w:type w:val="continuous"/>
        </w:sectPr>
      </w:pPr>
    </w:p>
    <w:bookmarkStart w:id="23" w:name="page24"/>
    <w:bookmarkEnd w:id="23"/>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accommodate efficient procedures for financial reporting, including internal controls, we have, also before the pandemic, structured our work environment to enable our employees to perform their tasks remotely, as appropriate. Accordingly, it has not been necessary to make material changes to our internal control over financial reporting due to the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While COVID-19 has not had a significant impact on our business, COVID-19 presents elevated risks in certain areas, including:</w:t>
      </w:r>
    </w:p>
    <w:p>
      <w:pPr>
        <w:spacing w:after="0" w:line="131" w:lineRule="exact"/>
        <w:rPr>
          <w:sz w:val="20"/>
          <w:szCs w:val="20"/>
          <w:color w:val="auto"/>
        </w:rPr>
      </w:pPr>
    </w:p>
    <w:p>
      <w:pPr>
        <w:ind w:left="960" w:right="300" w:hanging="424"/>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conducting our clinical trials, there is a risk that suppliers experience delays in providing necessary equipment, consumables and services, which could cause temporary delays in clinical trial activities. In addition, there is a risk that patients will elect not to enroll in trials to limit their exposure to medical institutions, which could have a negative impact on clinical trial enrollment and timelines;</w:t>
      </w:r>
    </w:p>
    <w:p>
      <w:pPr>
        <w:spacing w:after="0" w:line="54" w:lineRule="exact"/>
        <w:rPr>
          <w:rFonts w:ascii="Arial" w:cs="Arial" w:eastAsia="Arial" w:hAnsi="Arial"/>
          <w:sz w:val="16"/>
          <w:szCs w:val="16"/>
          <w:color w:val="auto"/>
        </w:rPr>
      </w:pPr>
    </w:p>
    <w:p>
      <w:pPr>
        <w:ind w:left="960" w:right="320" w:hanging="424"/>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demand for COVID-19 vaccines and treatments could result in contract manufacturers not having sufficient capacity to meet scheduled manufacturing. In addition, sourcing of certain types of raw materials, consumables and equipment could result in scheduled manufacturing being delayed or postponed. We are monitoring the global supply chain and as of the date of this report, we have not experienced material delays due to potential effected supply; and</w:t>
      </w:r>
    </w:p>
    <w:p>
      <w:pPr>
        <w:spacing w:after="0" w:line="92"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 launch strategy could be negatively impacted by (i) patients not being able to see their physicians, and (ii) our commercial team not being able to meet with physicians.</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monitor the risks from this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description of COVID-19 related risks, please refer to “Item 3D. Risk Factors”, set forth in our 2020 Annual Report on Form 20-F.</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 (unaudited):</w:t>
      </w:r>
    </w:p>
    <w:p>
      <w:pPr>
        <w:spacing w:after="0" w:line="244"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9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81"/>
        </w:trPr>
        <w:tc>
          <w:tcPr>
            <w:tcW w:w="8960" w:type="dxa"/>
            <w:vAlign w:val="bottom"/>
          </w:tcPr>
          <w:p>
            <w:pPr>
              <w:spacing w:after="0"/>
              <w:rPr>
                <w:sz w:val="15"/>
                <w:szCs w:val="15"/>
                <w:color w:val="auto"/>
              </w:rPr>
            </w:pPr>
          </w:p>
        </w:tc>
        <w:tc>
          <w:tcPr>
            <w:tcW w:w="194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5"/>
                <w:szCs w:val="15"/>
                <w:color w:val="auto"/>
              </w:rPr>
            </w:pPr>
          </w:p>
        </w:tc>
      </w:tr>
      <w:tr>
        <w:trPr>
          <w:trHeight w:val="217"/>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2,757</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(58,761)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(64,059)</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(17,523)</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(96,932)</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(78,825)</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(3,101)</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Finance income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21,321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(39,970)</w:t>
            </w:r>
          </w:p>
        </w:tc>
      </w:tr>
      <w:tr>
        <w:trPr>
          <w:trHeight w:val="230"/>
        </w:trPr>
        <w:tc>
          <w:tcPr>
            <w:tcW w:w="896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(80,343)</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(121,760)</w:t>
            </w:r>
          </w:p>
        </w:tc>
        <w:tc>
          <w:tcPr>
            <w:tcW w:w="120" w:type="dxa"/>
            <w:vAlign w:val="bottom"/>
          </w:tcPr>
          <w:p>
            <w:pPr>
              <w:spacing w:after="0"/>
              <w:rPr>
                <w:sz w:val="20"/>
                <w:szCs w:val="20"/>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(80,348)</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(121,741)</w:t>
            </w:r>
          </w:p>
        </w:tc>
        <w:tc>
          <w:tcPr>
            <w:tcW w:w="12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 for the three months ended September 30, 2021 was €1.1 million, a decrease of €1.7 million, compared to €2.8 million for the three months ended September 30, 2020, and comprised sale of clinical supplies, rendering of services, and recognition of internal profit deferred from November 2018 when we entered into license agreements with VISEN. The decrease was primarily due to a lower sale of clinical supplies to VISEN compared to the same period last year.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and Development Costs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Research and development costs were €58.8 million for the three months ended September 30, 2021, a decrease of €5.3 million, or 8%, compared to €64.1 million for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External development costs related to TransCon hGH decreased by €20.0 million compared to the same period last year; however, including a</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€53.2 million reversal of pre-launch inventories, which had been recognized as research and development costs in current and previous periods. The reversal of pre-launch inventories resulted from the U.S. FDA approval of SKYTROFA (lonapegsomatropin-tcgd) on August 25, 2021. Disregarding the impact of the reversal of pre-launch inventories, higher external development costs related to TransCon hGH primarily reflect higher costs for manufacturing of product supply, but also higher costs for the ongoing clinical trials compared to the same period last year.</w:t>
      </w:r>
    </w:p>
    <w:p>
      <w:pPr>
        <w:spacing w:after="0" w:line="17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External development costs related to TransCon PTH increased by €0.9 million, primarily reflecting increased costs for clinical supplies and manufacturing, compared to the same period last year.</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External development costs related to TransCon CNP increased by €9.7 million, primarily reflecting an increase in manufacturing costs, but also increases in clinical trial costs and clinical supplies.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External development costs related to our oncology product candidates, primarily TransCon TLR7/8 Agonist and TransCon IL-2 ß/g, increased by</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€2.6 million, reflecting an increase in costs for clinical trials and clinical supplies as these product candidates progress through the development stages and into manufacturing and clinical trials.</w:t>
      </w:r>
    </w:p>
    <w:p>
      <w:pPr>
        <w:spacing w:after="0" w:line="18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Other research and development costs increased by €1.5 million, primarily driven by an increase in personnel costs of €3.4 million and non-cash share-based payment of €0.5 million due to a higher number of employees in research and development functions. Facility costs increased by €1.9 million, whereas other costs allocated to research and development functions decreased by a total of €4.3 million, primarily relating to IT and professional fees.</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Research and development costs included non-cash share-based payment of €7.5 million for the three months ended September 30, 2021, compared to €7.0 million for the three months ended September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Selling, general and administrative expenses were €39.3 million for the three months ended September 30, 2021, an increase of €21.8 million, or 125%, compared to €17.5 million for the three months ended September 30, 2020. The higher expenses were primarily due to an increase in personnel costs of €4.2 million and non-cash share-based payment of €2.4 million for additional commercial and administrative personnel, an increase in commercial costs of €4.9 million, and an increase in IT costs, including the implementation of a new enterprise resource planning system, of €4.1 million. Other costs allocated to selling, general and administrative functions increased by a total of €6.2 million, primarily reflecting increasing professional fees of €3.3 million, facility costs of €0.7 million and insurance costs of €1.1 million.</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Selling, general and administrative expenses included non-cash share-based payment of €5.8 million for the three months ended September 30, 2021, compared to €3.4 million for the three months ended September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loss of associate was €3.9 million for the three months ended September 30, 2021, compared to a net loss of €3.1 million for the three months ended September 30, 2020. The net loss represents our share of net result from VISEN.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Finance income was €21.3 million for the three months ended September 30, 2021 compared to €0.1 million for the three months ended September 30, 2020. Finance expenses were €0.9 million for the three months ended September 30, 2021 compared to €40.0 million for the same period in 2020. As we hold positions of marketable securities and cash and cash equivalents in U.S. Dollars, we are affected by exchange rate fluctuations when reporting our financial results in Euro. For the three months ended September 30, 2021, we recognized net exchange rate gains when reporting our U.S. Dollar positions in Euro, reflecting positive exchange rate fluctuations, compared to net exchange losses in the same period last year, reflecting negative exchange rate fluctuations.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we have accrued interest expenses on lease liabilities in accordance with IFRS 16,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Taxes for the three months ended September 30, 2021 as well as for the three months ended September 30, 2020 was zero. Taxes for the three months ended September 30, 2021 comprised an estimated tax credit of €0.2 million in the group of Danish companies, offset by a tax provision of €0.2 million in our German subsidiary.</w:t>
      </w:r>
    </w:p>
    <w:p>
      <w:pPr>
        <w:sectPr>
          <w:pgSz w:w="11900" w:h="16838" w:orient="portrait"/>
          <w:cols w:equalWidth="0" w:num="1">
            <w:col w:w="11020"/>
          </w:cols>
          <w:pgMar w:left="440" w:top="274" w:right="439" w:bottom="1440" w:gutter="0" w:footer="0" w:header="0"/>
        </w:sectPr>
      </w:pP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20"/>
          </w:cols>
          <w:pgMar w:left="440" w:top="274" w:right="4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Nine Months Ended September 30, 2021 and 2020 (unaudited):</w:t>
      </w:r>
    </w:p>
    <w:p>
      <w:pPr>
        <w:spacing w:after="0" w:line="244"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Nine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9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81"/>
        </w:trPr>
        <w:tc>
          <w:tcPr>
            <w:tcW w:w="8960" w:type="dxa"/>
            <w:vAlign w:val="bottom"/>
          </w:tcPr>
          <w:p>
            <w:pPr>
              <w:spacing w:after="0"/>
              <w:rPr>
                <w:sz w:val="15"/>
                <w:szCs w:val="15"/>
                <w:color w:val="auto"/>
              </w:rPr>
            </w:pPr>
          </w:p>
        </w:tc>
        <w:tc>
          <w:tcPr>
            <w:tcW w:w="194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5"/>
                <w:szCs w:val="15"/>
                <w:color w:val="auto"/>
              </w:rPr>
            </w:pPr>
          </w:p>
        </w:tc>
      </w:tr>
      <w:tr>
        <w:trPr>
          <w:trHeight w:val="217"/>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6,418</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(230,216)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(185,152)</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(111,876)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(56,243)</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(339,211)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(234,977)</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19,434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(6,501)</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Finance income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44,589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1,677</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(40,391)</w:t>
            </w:r>
          </w:p>
        </w:tc>
      </w:tr>
      <w:tr>
        <w:trPr>
          <w:trHeight w:val="230"/>
        </w:trPr>
        <w:tc>
          <w:tcPr>
            <w:tcW w:w="896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(277,768)</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(280,192)</w:t>
            </w:r>
          </w:p>
        </w:tc>
        <w:tc>
          <w:tcPr>
            <w:tcW w:w="120" w:type="dxa"/>
            <w:vAlign w:val="bottom"/>
          </w:tcPr>
          <w:p>
            <w:pPr>
              <w:spacing w:after="0"/>
              <w:rPr>
                <w:sz w:val="20"/>
                <w:szCs w:val="20"/>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(277,515)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(279,990)</w:t>
            </w:r>
          </w:p>
        </w:tc>
        <w:tc>
          <w:tcPr>
            <w:tcW w:w="12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Revenue for the nine months ended September 30, 2021 was €2.9 million, a decrease of €3.5 million, compared to €6.4 million for the nine months ended September 30, 2020, and comprised sale of clinical supplies, rendering of services, and recognition of internal profit deferred from November 2018 when we entered into license agreements with VISEN. The decrease was primarily due to lower sales of services and clinical supply to VISEN, partly offset by recognition of revenue from services rendered to another collaboration partner.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Research and development costs were €230.2 million for the nine months ended September 30, 2021, an increase of €45.0 million, or 24%, compared to €185.2 million for the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External development costs related to TransCon hGH increased by €0.4 million compared to the same period last year; however, including a</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€53.2 million reversal of pre-launch inventories which had been recognized as research and development costs in current and previous periods. The reversal of pre-launch inventories resulted from the U.S. FDA approval of TransCon hGH, known by its brand name SKYTROFA (lonapegsomatropin-tcgd), on August 25, 2021. Disregarding the impact on the reversal of pre-launch inventories, higher external development costs related to TransCon hGH primarily reflect higher costs for manufacturing of product supply, but also higher costs for the ongoing clinical trials compared to the same period of last year.</w:t>
      </w:r>
    </w:p>
    <w:p>
      <w:pPr>
        <w:spacing w:after="0" w:line="19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External development costs related to TransCon PTH increased by €4.0 million, primarily reflecting increased costs related to manufacturing of validation batches, device development, and increased costs for clinical trials and clinical supplies, compared to the same period last year.</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External development costs related to TransCon CNP increased by €18.9 million, primarily reflecting an increase in clinical trial costs and clinical supplies, but also increased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External development costs related to our oncology product candidates, primarily TransCon TLR7/8 Agonist and TransCon IL-2 ß/g, increased by</w:t>
      </w:r>
    </w:p>
    <w:p>
      <w:pPr>
        <w:spacing w:after="0" w:line="3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€9.4 million, reflecting increases in manufacturing costs, as well as increasing costs for clinical trials and clinical supplies as these product candidates progress through the development stages and into manufacturing and clinical trials.</w:t>
      </w:r>
    </w:p>
    <w:p>
      <w:pPr>
        <w:spacing w:after="0" w:line="185"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Other research and development costs increased by €12.4 million, primarily driven by an increase in personnel costs of €11.7 million and non-cash share-based payment of €6.2 million due to a higher number of employees in research and development functions. Facility costs increased by €4.4 million, whereas IT costs decreased by €4.5 million and professional fees decreased by €2.3 million. Other costs allocated to research and development functions decreased by a total of €3.1 million, primarily relating to supplies and insurance costs.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and development costs included non-cash share-based payment of €30.3 million for the nine months ended September 30, 2021, compared to €24.1 million for the nine months ended September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Selling, general and administrative expenses were €111.9 million for the nine months ended September 30, 2021, an increase of €55.7 million, or 99%, compared to €56.2 million for the nine months ended September 30, 2020. The higher expenses were primarily due to an increase in personnel costs of €13.1 million and non-cash share-based payment of €7.7 million for additional commercial and administrative personnel, and an increase in IT costs of €14.7 million, primarily related to the implementation of a new enterprise resource planning system, an increase in costs related to building our commercial business of €6.6 million, and in professional fees of €6.5 million. Other costs allocated to selling, general and administrative functions increased by a total of €7.1 million, primarily reflecting increased insurance costs of €3.6 million and facility costs of €2.1 million.</w:t>
      </w:r>
    </w:p>
    <w:p>
      <w:pPr>
        <w:sectPr>
          <w:pgSz w:w="11900" w:h="16838" w:orient="portrait"/>
          <w:cols w:equalWidth="0" w:num="1">
            <w:col w:w="11020"/>
          </w:cols>
          <w:pgMar w:left="440" w:top="274" w:right="439" w:bottom="1440" w:gutter="0" w:footer="0" w:header="0"/>
        </w:sectPr>
      </w:pP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20"/>
          </w:cols>
          <w:pgMar w:left="440" w:top="274" w:right="439" w:bottom="1440" w:gutter="0" w:footer="0" w:header="0"/>
          <w:type w:val="continuous"/>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general and administrative expenses included non-cash share-based payment of €22.4 million for the nine months ended September 30, 2021, compared to €14.7 million for the nine months ended September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profit of associate was €19.4 million for the nine months ended September 30, 2021, compared to a net loss of €6.5 million for the nine months ended September 30, 2020.</w:t>
      </w:r>
    </w:p>
    <w:p>
      <w:pPr>
        <w:spacing w:after="0" w:line="17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For the nine months ended September 30, 2021, the net profit of associate comprised a non-cash gain of €42.3 million as a result of the Series B financing in VISEN on January 8, 2021, and our share of loss of €22.9 million. The Series B financing did not change our accounting treatment of VISEN.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Finance income was €44.6 million for the nine months ended September 30, 2021 compared to €1.7 million for the nine months ended September 30, 2020. Finance expenses were €2.6 million for the nine months ended September 30, 2021 compared to €40.4 million for the same period in 2020. As we hold positions of marketable securities and cash and cash equivalents in U.S. Dollar, we are affected by exchange rate fluctuations when reporting our financial results in Euro. For the nine months ended September 30, 2021, we recognized net exchange rate gains when reporting our U.S. Dollar positions in Euro, reflecting positive exchange rate fluctuations, compared to net exchange rate loses in the same period last year, reflecting negative exchange rate fluctuations.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we have accrued interest expenses on lease liabilities in accordance with IFRS 16,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Taxes for the nine months ended September 30, 2021 was a net tax credit of €0.3 million compared to a net tax credit of €0.2 million for the nine months ended September 30, 2020. Taxes for the nine months ended September 30, 2021 comprised an estimated tax credit of €0.6 million in the group of Danish companies and a tax credit of €0.1 million in one of our U.S. subsidiaries, partly offset by a tax provision of €0.4 million in our German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these amounted to €929.9 million, and are specified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Carrying</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3"/>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060" w:type="dxa"/>
            <w:vAlign w:val="bottom"/>
          </w:tcPr>
          <w:p>
            <w:pPr>
              <w:spacing w:after="0"/>
              <w:rPr>
                <w:sz w:val="15"/>
                <w:szCs w:val="15"/>
                <w:color w:val="auto"/>
              </w:rPr>
            </w:pPr>
          </w:p>
        </w:tc>
        <w:tc>
          <w:tcPr>
            <w:tcW w:w="1300" w:type="dxa"/>
            <w:vAlign w:val="bottom"/>
            <w:gridSpan w:val="3"/>
          </w:tcPr>
          <w:p>
            <w:pPr>
              <w:ind w:left="620"/>
              <w:spacing w:after="0"/>
              <w:rPr>
                <w:sz w:val="20"/>
                <w:szCs w:val="20"/>
                <w:color w:val="auto"/>
              </w:rPr>
            </w:pPr>
            <w:r>
              <w:rPr>
                <w:rFonts w:ascii="Arial" w:cs="Arial" w:eastAsia="Arial" w:hAnsi="Arial"/>
                <w:sz w:val="14"/>
                <w:szCs w:val="14"/>
                <w:b w:val="1"/>
                <w:bCs w:val="1"/>
                <w:color w:val="auto"/>
                <w:w w:val="99"/>
              </w:rPr>
              <w:t>(EUR’000)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236,961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236,898</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692,941</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692,941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929,902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929,839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Classification in consolidated statement of financial position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71,614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71,580</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858,288</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858,259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929,902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929,839</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Marketable securities have a weighted average duration of 6.1 and 17.6 months, for current (i.e., those maturing within twelve months after the reporting date) and non-current positions, respectively. The entire portfolio of marketable securities (current and non-current) has a weighted average duration of 9.6 months.</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have historically funded our operations primarily through issuance of preference shares, ordinary shares, including our initial public offering, follow-on offerings and exercise of warrants, convertible debt securities, and payments to us made under collaboration agreements.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6" w:lineRule="exact"/>
        <w:rPr>
          <w:sz w:val="20"/>
          <w:szCs w:val="20"/>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ectPr>
          <w:pgSz w:w="11900" w:h="16838" w:orient="portrait"/>
          <w:cols w:equalWidth="0" w:num="1">
            <w:col w:w="11020"/>
          </w:cols>
          <w:pgMar w:left="440" w:top="274" w:right="4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20"/>
          </w:cols>
          <w:pgMar w:left="440" w:top="274" w:right="439" w:bottom="1440" w:gutter="0" w:footer="0" w:header="0"/>
          <w:type w:val="continuous"/>
        </w:sectPr>
      </w:pPr>
    </w:p>
    <w:bookmarkStart w:id="27" w:name="page28"/>
    <w:bookmarkEnd w:id="27"/>
    <w:p>
      <w:pPr>
        <w:ind w:left="1420" w:hanging="331"/>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2019, with net proceeds of $539.4 million (or €480.3 million);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2020, with net proceeds of $654.6 million (or €580.5 million);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2021, with net proceeds of $436.5 million (or €367.7 million).</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expenditures are primarily related to research and development activities and general and administrative activities to support our therapeutic areas within endocrinology and oncology. In addition, expenditures relate to building our sales and marketing capabilities, and inventories, to support the launch of SKYTROFA (lonapegsomatropin-tcgd), as well as preparation for future product launches.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using a liquidity planning tool, to ensure sufficient funds are available to settle liabilities as they become due.</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September 30, 2021, will be sufficient to meet our projected cash requirements for at least twelve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420" w:right="38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420" w:right="82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420" w:right="30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5" w:lineRule="exact"/>
        <w:rPr>
          <w:rFonts w:ascii="Arial" w:cs="Arial" w:eastAsia="Arial" w:hAnsi="Arial"/>
          <w:sz w:val="18"/>
          <w:szCs w:val="18"/>
          <w:color w:val="auto"/>
        </w:rPr>
      </w:pPr>
    </w:p>
    <w:p>
      <w:pPr>
        <w:ind w:left="1420" w:right="60" w:hanging="331"/>
        <w:spacing w:after="0" w:line="308"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420" w:right="32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420" w:right="24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420" w:right="4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progress in the successful development and commercialization of our product candidates; and</w:t>
      </w:r>
    </w:p>
    <w:p>
      <w:pPr>
        <w:spacing w:after="0" w:line="130" w:lineRule="exact"/>
        <w:rPr>
          <w:rFonts w:ascii="Arial" w:cs="Arial" w:eastAsia="Arial" w:hAnsi="Arial"/>
          <w:sz w:val="18"/>
          <w:szCs w:val="18"/>
          <w:color w:val="auto"/>
        </w:rPr>
      </w:pPr>
    </w:p>
    <w:p>
      <w:pPr>
        <w:ind w:left="1420" w:right="380" w:hanging="331"/>
        <w:spacing w:after="0" w:line="286"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our product candidates. The following table summarizes our cash flows for each of the unaudited nine month periods ended September 30, 2021 and 2020:</w:t>
      </w:r>
    </w:p>
    <w:p>
      <w:pPr>
        <w:spacing w:after="0" w:line="195"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Nine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9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81"/>
        </w:trPr>
        <w:tc>
          <w:tcPr>
            <w:tcW w:w="8960" w:type="dxa"/>
            <w:vAlign w:val="bottom"/>
          </w:tcPr>
          <w:p>
            <w:pPr>
              <w:spacing w:after="0"/>
              <w:rPr>
                <w:sz w:val="15"/>
                <w:szCs w:val="15"/>
                <w:color w:val="auto"/>
              </w:rPr>
            </w:pPr>
          </w:p>
        </w:tc>
        <w:tc>
          <w:tcPr>
            <w:tcW w:w="19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5"/>
                <w:szCs w:val="15"/>
                <w:color w:val="auto"/>
              </w:rPr>
            </w:pPr>
          </w:p>
        </w:tc>
      </w:tr>
      <w:tr>
        <w:trPr>
          <w:trHeight w:val="217"/>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(294,339)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(181,216)</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(220,067)</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372,016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592,336</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79,021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191,053</w:t>
            </w:r>
          </w:p>
        </w:tc>
        <w:tc>
          <w:tcPr>
            <w:tcW w:w="120" w:type="dxa"/>
            <w:vAlign w:val="bottom"/>
          </w:tcPr>
          <w:p>
            <w:pPr>
              <w:spacing w:after="0"/>
              <w:rPr>
                <w:sz w:val="19"/>
                <w:szCs w:val="19"/>
                <w:color w:val="auto"/>
              </w:rPr>
            </w:pPr>
          </w:p>
        </w:tc>
      </w:tr>
    </w:tbl>
    <w:p>
      <w:pPr>
        <w:spacing w:after="0" w:line="148" w:lineRule="exact"/>
        <w:rPr>
          <w:sz w:val="20"/>
          <w:szCs w:val="20"/>
          <w:color w:val="auto"/>
        </w:rPr>
      </w:pPr>
    </w:p>
    <w:p>
      <w:pPr>
        <w:sectPr>
          <w:pgSz w:w="11900" w:h="16838" w:orient="portrait"/>
          <w:cols w:equalWidth="0" w:num="1">
            <w:col w:w="11020"/>
          </w:cols>
          <w:pgMar w:left="440" w:top="274" w:right="439" w:bottom="1440" w:gutter="0" w:footer="0" w:header="0"/>
        </w:sect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20"/>
          </w:cols>
          <w:pgMar w:left="440" w:top="274" w:right="4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Flows from / (Used in) Operating Activities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operating activities for the nine months ended September 30, 2021 was €294.3 million compared to €181.2 million for the nine months ended September 30, 2020.</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net loss for the nine months ended September 30, 2021 of €277.5 million included non-cash net financial income of €40.1 million, and tax charges of €0.5 million. In addition, net loss for the nine months ended September 30, 2021 included non-cash items of net €42.6 million, comprising share of profit of associate of €19.4 million, share-based payment charges of €52.7 million, depreciation and amortization of €11.1 million, and non-cash revenue of €1.7 million. The net change in working capital contributed negatively to cash flows by €18.8 million, primarily due to an increase in receivables and prepayments of €17.4 million, and inventories of €55.3 million, of which €53.2 million relates to reversal of write-down of pre-launch inventories, and a decrease in deferred income of €0.3 million, partly offset by an increase in trade payables and other payables of €54.3 million.</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operating activities for the nine months ended September 30, 2020 was €181.2 million. The net loss for the nine months ended September 30, 2020 of €280.0 million included non-cash charges of €45.2 million, comprising share-based payment and depreciation, and non-cash net financial expenses and taxes, of €43.2 million. The net change in working capital contributed positively to cash flows by €10.4 million, primarily due to a net increase in trade payables and other payables of €20.7 million, partly offset by an increase in receivables and prepayments of €9.7 million and a decrease in deferred income of €0.6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Investing Activities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flows from investing activities for the nine months ended September 30, 2021 of €1.3 million were related to acquisition of marketable securities of €87.5 million and settlement of marketable securities of €118.5 million, to the Series B investment in VISEN of €10.2 million, to acquisition of property, plant and equipment of €18.9 million, primarily related to leasehold improvements and equipment for use in the United States, and to acquisition of software of €0.5 million.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used in investing activities for the nine months ended September 30, 2020 of €220.1 million were related to acquisition of marketable securities of €340.4 million and settlement of marketable securities of €132.7 million, to acquisition of property, plant and equipment of €11.7 million, primarily related to our oncology laboratories in the United States and for use in the laboratories of our German facility, and to acquisition of software of €0.7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Cash flows from financing activities for the nine months ended September 30, 2021 of €372.0 million were comprised of €367.7 million in net proceeds from our follow-on public offering of ADSs completed in September 2021 and €9.2 million in net proceeds from warrant exercises in April, May, June, August and September 2021, partly offset by payments of principal portion of lease liabilities of €4.9 million.</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flows from financing activities for the nine months ended September 30, 2020 of €592.3 million were comprised of €580.5 million in net proceeds from our follow-on public offering of ADSs completed in July 2020 and €15.3 million in net proceeds from warrant exercises in April, May, June, August and September 2020, partly offset by payments on lease liabilities of €3.5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activities expose us to the financial risks of changes in foreign currency exchange rates and interest rates. We do not enter into derivative financial instruments to manage our exposure to such risks. Further, we are exposed to credit risk and liquidity risk. For a description of our exposure to liquidity risks and processes for managing these risks, please refer to “Liquidity and Capital Resources”, set forth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initial public offering in February 2015, and our follow-on offerings were in U.S. Dollars. We seek to minimize our exchange rate risk by maintaining cash positions in the currencies in which we expect to incur the majority of our future expenses and we make payments from those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have no interest-bearing debt to third parties. In addition, while we hold no derivatives or financial assets and liabilities measured at fair value, the exposure to interest rate risk primarily relates to the interest rates for cash, cash equivalents and marketable securities. Future interest income from interest-bearing bank deposits and marketable securities may fall short of expectations due to changes in interest rates.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w:t>
      </w:r>
    </w:p>
    <w:p>
      <w:pPr>
        <w:sectPr>
          <w:pgSz w:w="11900" w:h="16838" w:orient="portrait"/>
          <w:cols w:equalWidth="0" w:num="1">
            <w:col w:w="11000"/>
          </w:cols>
          <w:pgMar w:left="440" w:top="274" w:right="459" w:bottom="871"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00"/>
          </w:cols>
          <w:pgMar w:left="440" w:top="274" w:right="459" w:bottom="871" w:gutter="0" w:footer="0" w:header="0"/>
          <w:type w:val="continuous"/>
        </w:sectPr>
      </w:pPr>
    </w:p>
    <w:bookmarkStart w:id="29" w:name="page30"/>
    <w:bookmarkEnd w:id="29"/>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 rating (minimum A3/A-) assigned by international credit ratings agencies. The banks are reviewed on a regular basis and deposits may be transferred during the year to mitigate credit risk. On each reporting date, we consider the risk of expected credit loss on bank deposits, including the hypothetical impact arising from the probability of default, in conjunction with the expected loss caused by default by banks with similar credit ratings and attributes. In line with previous periods, this assessment did not reveal a material expected credit loss, and accordingly no provision for expected credit loss has been recognized.</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order to mitigate the concentration of credit risks on bank deposits and to preserve capital, a portion of our bank deposits have been placed into primarily U.S. government bonds, treasury bills, corporate bonds and commercial papers. Our investment policy, approved by the Board of Directors, only allows investment in marketable securities having investment grade credit ratings, assigned by international credit rating agencies. Accordingly, the risk and probability of default is considered low. The risk of expected credit loss on marketable securities has been considered, including the hypothetical impact arising from the probability of default, in conjunction with the expected loss caused by default on securities with similar credit ratings and attributes. This assessment did not reveal a material expected credit loss, and accordingly no provision for expected credit loss has been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our receivables the credit risk is considered low and no provision for expected credit loss has been recognized.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2021-11-10T15:30:34Z</dcterms:created>
  <dcterms:modified xsi:type="dcterms:W3CDTF">2021-11-10T15:30:34Z</dcterms:modified>
</cp:coreProperties>
</file>