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left="2460" w:right="840"/>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SECTION 13a-16 OR 15d-16 UNDER THE SECURITIES EXCHANGE ACT OF 1934</w:t>
      </w:r>
    </w:p>
    <w:p>
      <w:pPr>
        <w:spacing w:after="0" w:line="176"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For the month of June, 2026</w:t>
      </w:r>
    </w:p>
    <w:p>
      <w:pPr>
        <w:spacing w:after="0" w:line="225"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Commission File Number: 001-36815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43"/>
          <w:szCs w:val="43"/>
          <w:b w:val="1"/>
          <w:bCs w:val="1"/>
          <w:color w:val="auto"/>
        </w:rPr>
        <w:t>Ascendis Pharma A/S</w:t>
      </w:r>
    </w:p>
    <w:p>
      <w:pPr>
        <w:spacing w:after="0" w:line="58"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Tuborg Boulevard 12</w:t>
      </w:r>
    </w:p>
    <w:p>
      <w:pPr>
        <w:spacing w:after="0" w:line="31"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DK-2900 Hellerup</w:t>
      </w:r>
    </w:p>
    <w:p>
      <w:pPr>
        <w:spacing w:after="0" w:line="9"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Denmark</w:t>
      </w:r>
    </w:p>
    <w:p>
      <w:pPr>
        <w:spacing w:after="0" w:line="2"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20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197485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240665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19"/>
          </w:cols>
          <w:pgMar w:left="440" w:top="376" w:right="1440" w:bottom="1440" w:gutter="0" w:footer="0" w:header="0"/>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INCORPORATION BY REFERENCE</w:t>
      </w:r>
    </w:p>
    <w:p>
      <w:pPr>
        <w:spacing w:after="0" w:line="22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This report on Form 6-K shall be deemed to be incorporated by reference into the registration statements on Form S-8 (Registration Numbers 333-203040, 333-210810, 333-211512, 333-213412, 333-214843, 333-216883, 333-228576, 333-254101, 333-261550, 333-270088, 333-277519, 333-281916, 333-285322 and 333-293854) and Form F-3 (Registration Numbers 333-209336 and 333-282196) of Ascendis Pharma A/S (the “Company” or “Ascendis”) (including any prospectuses forming a part of such registration statements) and to be a part thereof from the date on which this report is filed, to the extent not superseded by documents or reports subsequently filed or furnished.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153670</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Closing of Warrant Exercise Window</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June 29, 2026, an exercise window closed for the Company’s outstanding warrants exercisable for the Company’s ordinary shares, nominal value DKK 1. In connection with the exercises of certain of such warrants during this exercise window, the Company registered aggregate share capital increases of nominal DKK 177,267 with the Danish Business Authority, corresponding to an aggregate increase in the Company’s share capital to nominal DKK 66,189,926 through the issuance of 177,267 ordinary shares against average cash consideration of approximately USD $121.57 per share, based on the DKK-USD exchange rate on June 29, 2026. The Company’s articles of association were amended accordingly and are attached hereto as Exhibit 1.1.</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ind w:left="120"/>
        <w:spacing w:after="0"/>
        <w:tabs>
          <w:tab w:leader="none" w:pos="960"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2914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77"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7"/>
          <w:szCs w:val="17"/>
          <w:u w:val="single" w:color="auto"/>
          <w:color w:val="0000EE"/>
        </w:rPr>
        <w:t>Articles of Association.</w:t>
      </w:r>
    </w:p>
    <w:p>
      <w:pPr>
        <w:sectPr>
          <w:pgSz w:w="11900" w:h="16838" w:orient="portrait"/>
          <w:cols w:equalWidth="0" w:num="1">
            <w:col w:w="10960"/>
          </w:cols>
          <w:pgMar w:left="440" w:top="266" w:right="499"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Ascendis Pharma A/S</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June 29,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Michael Wolff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Michael Wolff Jensen</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Executive Vice President, Chief Legal Officer</w:t>
      </w:r>
    </w:p>
    <w:p>
      <w:pPr>
        <w:sectPr>
          <w:pgSz w:w="11900" w:h="16838" w:orient="portrait"/>
          <w:cols w:equalWidth="0" w:num="1">
            <w:col w:w="10940"/>
          </w:cols>
          <w:pgMar w:left="440" w:top="266" w:right="51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 K003583-0013-2759-6922-2166.v3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29 June 2026</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Articles of Association</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of</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Ascendis Pharma A/S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(CVR-nr. 29918791)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(Registration no 29918791)</w:t>
      </w:r>
    </w:p>
    <w:p>
      <w:pPr>
        <w:sectPr>
          <w:pgSz w:w="11900" w:h="16838" w:orient="portrait"/>
          <w:cols w:equalWidth="0" w:num="1">
            <w:col w:w="11020"/>
          </w:cols>
          <w:pgMar w:left="440" w:top="117"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Name, Registered Office and Objects of the Company</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name is Ascendis Pharma A/S.</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Deleted by resolution of the shareholders on 23 April 2015</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22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object of the company is to develop ideas and preparations for the combating of disease medically, to manufacture and sell such preparations or ideas, to own shares of companies with the same objects and to perform activities in natural connection with these objects.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Capital and Shares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share capital of the company is DKK 66,189,926 divided into shares of DKK 1 each. The share capital is fully paid up.</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4a</w:t>
      </w:r>
    </w:p>
    <w:p>
      <w:pPr>
        <w:spacing w:after="0" w:line="22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Board of Directors is authorized, in accordance with the Danish Companies Act, Section 169, cf. Section 155, Subsection 2, during the period until 31 December 2019 on one or more occasions to issue warrants to members of the Board of Directors, Executive Management and key employees, advisors and consultants of the Company or its subsidiaries entitling the holder to subscribe shares for a total of up to nominal value of DKK 5,000,000 without pre-emptive rights for the Company’s shareholders. Warrants cannot be issued to the extent that outstanding and non-exercised warrants issued pursuant to this authorisation from 23 January 2015 are equal to 20% or more of the company’s registered share capital. The exercise price for the warrants shall be determined by the Board of Directors in consultation with the Company’s advisors and shall equal at least to the market price of the shares at the time of issuance. The Board of Directors shall determine the terms for the warrants issued and the distribution hereof.</w:t>
      </w:r>
    </w:p>
    <w:p>
      <w:pPr>
        <w:spacing w:after="0" w:line="1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At the same time, the Board of Directors is authorized in the period until 31 December 2019, on one or more occasions to increase the Company’s share capital by up to a total nominal value of DKK 5,000,000 without pre-emptive rights for the existing shareholders by cash payment in order to implement the capital increase related to exercise of the warrants. In accordance with this clause the Board of Directors may increase the share capital with a minimum nominal value of DKK 1 and a maximum nominal value of DKK 5,000,000. The board is authorized to cause such shares to be deposited with a depositary bank and the simultaneous issuance of American Depositary Shares.</w:t>
      </w:r>
    </w:p>
    <w:p>
      <w:pPr>
        <w:sectPr>
          <w:pgSz w:w="11900" w:h="16838" w:orient="portrait"/>
          <w:cols w:equalWidth="0" w:num="1">
            <w:col w:w="10980"/>
          </w:cols>
          <w:pgMar w:left="440" w:top="266" w:right="479" w:bottom="1440" w:gutter="0" w:footer="0" w:header="0"/>
        </w:sectPr>
      </w:pPr>
    </w:p>
    <w:bookmarkStart w:id="5" w:name="page6"/>
    <w:bookmarkEnd w:id="5"/>
    <w:p>
      <w:pPr>
        <w:ind w:left="4" w:right="1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new shares issued based on exercise of warrants shall be non-negotiable instruments issued in the name of the holder and registered in the name of the holder in the company’s shareholder register. The new shares shall not have any restrictions as to their transferability and no shareholder shall be obliged to have the shares redeemed fully or partly. The shares shall be with the same rights as the existing share capital. The new shares shall give rights to dividends and other rights in the Company from the time which is determined by the Board of Directors in connection with the decision to increase the share capital.</w:t>
      </w:r>
    </w:p>
    <w:p>
      <w:pPr>
        <w:spacing w:after="0" w:line="183" w:lineRule="exact"/>
        <w:rPr>
          <w:sz w:val="20"/>
          <w:szCs w:val="20"/>
          <w:color w:val="auto"/>
        </w:rPr>
      </w:pPr>
    </w:p>
    <w:p>
      <w:pPr>
        <w:ind w:left="4" w:right="120"/>
        <w:spacing w:after="0" w:line="266" w:lineRule="auto"/>
        <w:rPr>
          <w:sz w:val="20"/>
          <w:szCs w:val="20"/>
          <w:color w:val="auto"/>
        </w:rPr>
      </w:pPr>
      <w:r>
        <w:rPr>
          <w:rFonts w:ascii="Times New Roman" w:cs="Times New Roman" w:eastAsia="Times New Roman" w:hAnsi="Times New Roman"/>
          <w:sz w:val="18"/>
          <w:szCs w:val="18"/>
          <w:color w:val="auto"/>
        </w:rPr>
        <w:t>This authorisation to issue warrants shall be considered as fully exhausted with the consequence that the Board of Directors cannot issue any new warrants per section 4a with effect from 29 May 2018. For clarity, any warrants issued per this section 4a shall remain in full force and effect as per the terms determined by the Board of Directors in connection with such grant of warrants.</w:t>
      </w:r>
    </w:p>
    <w:p>
      <w:pPr>
        <w:spacing w:after="0" w:line="38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Article 4b</w:t>
      </w:r>
    </w:p>
    <w:p>
      <w:pPr>
        <w:spacing w:after="0" w:line="229" w:lineRule="exact"/>
        <w:rPr>
          <w:sz w:val="20"/>
          <w:szCs w:val="20"/>
          <w:color w:val="auto"/>
        </w:rPr>
      </w:pPr>
    </w:p>
    <w:p>
      <w:pPr>
        <w:ind w:left="4" w:right="60"/>
        <w:spacing w:after="0" w:line="254" w:lineRule="auto"/>
        <w:rPr>
          <w:sz w:val="20"/>
          <w:szCs w:val="20"/>
          <w:color w:val="auto"/>
        </w:rPr>
      </w:pPr>
      <w:r>
        <w:rPr>
          <w:rFonts w:ascii="Times New Roman" w:cs="Times New Roman" w:eastAsia="Times New Roman" w:hAnsi="Times New Roman"/>
          <w:sz w:val="18"/>
          <w:szCs w:val="18"/>
          <w:color w:val="auto"/>
        </w:rPr>
        <w:t>The board of directors has on the dates stated in Appendix 3 resolved, in accordance with the latest and the previous authorizations in article 4a to issue warrants, to issue 6,049,808 warrants; in accordance with the authorization in article 4f to issue warrants, to issue 537,277 warrants; in accordance with the authorization in article 4g to issue warrants, to issue 3,010,975 warrants; in accordance with the authorization in article 4h to issue warrants, to issue 9,160 warrants, in accordance with the previous authorization in article 4h to issue warrants, to issue 2,000,000 warrants; and, in accordance with the authorization in article 4i to issue warrants, to issue 2,000,000 warrants, so that a total of 13,607,220 warrants are issued of which 8,844,555 have been exercised, annulled or have lapsed as described in Appendix 3 as of 29 June 2026. The terms and conditions of the issued warrants are adopted as Appendix 1, 1a and 2 to the articles of association and shall form an integral part hereof. (Numbers shown adjusted following bonus share issuance of 13 January 2015).</w:t>
      </w:r>
    </w:p>
    <w:p>
      <w:pPr>
        <w:spacing w:after="0" w:line="200" w:lineRule="exact"/>
        <w:rPr>
          <w:sz w:val="20"/>
          <w:szCs w:val="20"/>
          <w:color w:val="auto"/>
        </w:rPr>
      </w:pPr>
    </w:p>
    <w:p>
      <w:pPr>
        <w:spacing w:after="0" w:line="20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Article 4c</w:t>
      </w:r>
    </w:p>
    <w:p>
      <w:pPr>
        <w:spacing w:after="0" w:line="229" w:lineRule="exact"/>
        <w:rPr>
          <w:sz w:val="20"/>
          <w:szCs w:val="20"/>
          <w:color w:val="auto"/>
        </w:rPr>
      </w:pPr>
    </w:p>
    <w:p>
      <w:pPr>
        <w:ind w:left="4" w:right="80"/>
        <w:spacing w:after="0" w:line="261" w:lineRule="auto"/>
        <w:rPr>
          <w:sz w:val="20"/>
          <w:szCs w:val="20"/>
          <w:color w:val="auto"/>
        </w:rPr>
      </w:pPr>
      <w:r>
        <w:rPr>
          <w:rFonts w:ascii="Times New Roman" w:cs="Times New Roman" w:eastAsia="Times New Roman" w:hAnsi="Times New Roman"/>
          <w:sz w:val="18"/>
          <w:szCs w:val="18"/>
          <w:color w:val="auto"/>
        </w:rPr>
        <w:t>On 26 November 2014, the general meeting resolved to issue 141,626 (adjusted following bonus share issuance of 13 January 2015: 566,504) warrants, of which all 566,504 warrants have been exercised, have been annulled or have lapsed as of 16 November 2023. The general meeting resolved simultaneously, at one or more times, to increase the share capital with minimum nominal DKK 100 and maximum nominal DKK 141,626 (adjusted following bonus share issuance of 13 January 2015: DKK 566,504).</w:t>
      </w:r>
    </w:p>
    <w:p>
      <w:pPr>
        <w:spacing w:after="0" w:line="180" w:lineRule="exact"/>
        <w:rPr>
          <w:sz w:val="20"/>
          <w:szCs w:val="20"/>
          <w:color w:val="auto"/>
        </w:rPr>
      </w:pPr>
    </w:p>
    <w:p>
      <w:pPr>
        <w:ind w:left="4" w:right="120"/>
        <w:spacing w:after="0" w:line="258" w:lineRule="auto"/>
        <w:rPr>
          <w:sz w:val="20"/>
          <w:szCs w:val="20"/>
          <w:color w:val="auto"/>
        </w:rPr>
      </w:pPr>
      <w:r>
        <w:rPr>
          <w:rFonts w:ascii="Times New Roman" w:cs="Times New Roman" w:eastAsia="Times New Roman" w:hAnsi="Times New Roman"/>
          <w:sz w:val="18"/>
          <w:szCs w:val="18"/>
          <w:color w:val="auto"/>
        </w:rPr>
        <w:t>The terms and conditions of the issued warrants have been adopted as Exhibit 2 to the articles of association and shall form an integral part hereof. The exercise price has been determined to USD 32.45 converted into DKK by using the official exchange rate as per the date of the general meeting, and 1 warrant therefore confers the right to subscribe nominal DKK 1 share against cash contribution of DKK 193.5188 (adjusted following bonus share issuance of 13 January 2015: DKK 48.3797) (calculated on the basis of the DKK/USD exchange rate in effect on 26 November 2014 being 1 USD = DKK 5.9636).</w:t>
      </w:r>
    </w:p>
    <w:p>
      <w:pPr>
        <w:spacing w:after="0" w:line="18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warrants vest with 1/48 per month from 26 November 2014.</w:t>
      </w:r>
    </w:p>
    <w:p>
      <w:pPr>
        <w:spacing w:after="0" w:line="200" w:lineRule="exact"/>
        <w:rPr>
          <w:sz w:val="20"/>
          <w:szCs w:val="20"/>
          <w:color w:val="auto"/>
        </w:rPr>
      </w:pPr>
    </w:p>
    <w:p>
      <w:pPr>
        <w:spacing w:after="0" w:line="23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Article 4d</w:t>
      </w:r>
    </w:p>
    <w:p>
      <w:pPr>
        <w:spacing w:after="0" w:line="229" w:lineRule="exact"/>
        <w:rPr>
          <w:sz w:val="20"/>
          <w:szCs w:val="20"/>
          <w:color w:val="auto"/>
        </w:rPr>
      </w:pPr>
    </w:p>
    <w:p>
      <w:pPr>
        <w:ind w:left="4" w:hanging="4"/>
        <w:spacing w:after="0" w:line="258" w:lineRule="auto"/>
        <w:tabs>
          <w:tab w:leader="none" w:pos="139"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d (1) The board of directors is until 29 May 2029 authorized at one or more times to increase the company’s share capital with up to nominal DKK 9,000,000 with pre-emptive subscription rights for the company’s shareholders. Capital increases according to this authorisation shall be carried out by the board of directors by way of cash contributions. The board of directors is authorised to make the required amendments to the articles of association if the authorization to increase the share capital is used and to cause such shares to be deposited with a depositary bank and the simultaneous issuance of American Depositary Shares.</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4"/>
          </w:cols>
          <w:pgMar w:left="436" w:top="270" w:right="459" w:bottom="1440" w:gutter="0" w:footer="0" w:header="0"/>
        </w:sectPr>
      </w:pPr>
    </w:p>
    <w:bookmarkStart w:id="6" w:name="page7"/>
    <w:bookmarkEnd w:id="6"/>
    <w:p>
      <w:pPr>
        <w:ind w:left="4" w:right="40" w:hanging="4"/>
        <w:spacing w:after="0" w:line="277" w:lineRule="auto"/>
        <w:tabs>
          <w:tab w:leader="none" w:pos="139"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4 d (2) The Board of Directors is until 27 May 2030 authorized at one or more times to increase the Company’s share capital by up to nominal DKK 3,825,000 without pre-emptive subscription rights for the Company’s shareholders. Capital increases according to this authorization can be carried out by the Board of Directors by way of contributions in kind, conversion of debt and/or cash contributions and must be carried out at market price. The Board of Directors is authorized to make the required amendments to the articles of association if the authorization to increase the share capital is used and to cause such shares to be deposited with a depositary bank and the simultaneous issuance of American Depositary Shares representing such shares.</w:t>
      </w:r>
    </w:p>
    <w:p>
      <w:pPr>
        <w:spacing w:after="0" w:line="167" w:lineRule="exact"/>
        <w:rPr>
          <w:rFonts w:ascii="Times New Roman" w:cs="Times New Roman" w:eastAsia="Times New Roman" w:hAnsi="Times New Roman"/>
          <w:sz w:val="17"/>
          <w:szCs w:val="17"/>
          <w:color w:val="auto"/>
        </w:rPr>
      </w:pPr>
    </w:p>
    <w:p>
      <w:pPr>
        <w:ind w:left="4" w:hanging="4"/>
        <w:spacing w:after="0" w:line="258" w:lineRule="auto"/>
        <w:tabs>
          <w:tab w:leader="none" w:pos="13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d (3) For shares issued pursuant to article 4 d (1) or 4 d (2) the following shall apply: The new shares shall be non-negotiable instruments issued in the name of the holder and registered in the name of the holder in the company’s register of shareholders. The new shares shall not have any restrictions as to their transferability and no shareholder shall be obliged to have the shares redeemed fully or partly. No partial payment is allowed. The shares shall be with the same rights as the existing share capital. The new shares shall give rights to dividends and other rights in the company from the time which are determined by the board of directors in connection with the decision to increase the share capital.</w:t>
      </w:r>
    </w:p>
    <w:p>
      <w:pPr>
        <w:spacing w:after="0" w:line="395"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Article 4e</w:t>
      </w:r>
    </w:p>
    <w:p>
      <w:pPr>
        <w:spacing w:after="0" w:line="229" w:lineRule="exact"/>
        <w:rPr>
          <w:sz w:val="20"/>
          <w:szCs w:val="20"/>
          <w:color w:val="auto"/>
        </w:rPr>
      </w:pPr>
    </w:p>
    <w:p>
      <w:pPr>
        <w:jc w:val="both"/>
        <w:ind w:left="4" w:right="160"/>
        <w:spacing w:after="0" w:line="258" w:lineRule="auto"/>
        <w:rPr>
          <w:sz w:val="20"/>
          <w:szCs w:val="20"/>
          <w:color w:val="auto"/>
        </w:rPr>
      </w:pPr>
      <w:r>
        <w:rPr>
          <w:rFonts w:ascii="Times New Roman" w:cs="Times New Roman" w:eastAsia="Times New Roman" w:hAnsi="Times New Roman"/>
          <w:sz w:val="18"/>
          <w:szCs w:val="18"/>
          <w:color w:val="auto"/>
        </w:rPr>
        <w:t>During the period ending 29 May 2027, the company may at one or more times by resolution of the board of directors obtain loans against issuance of convertible bonds which gives the right to subscribe for shares in the company. The company’s existing shareholders shall not have pre-emption rights and the convertible bonds shall be offered at a subscription price and a conversion price that correspond in aggregate to at least the market price of the shares at the time of the decision of the board of directors. The loans shall be paid in cash. The terms and conditions for the convertible bonds shall be determined by the board of directors.</w:t>
      </w:r>
    </w:p>
    <w:p>
      <w:pPr>
        <w:spacing w:after="0" w:line="183" w:lineRule="exact"/>
        <w:rPr>
          <w:sz w:val="20"/>
          <w:szCs w:val="20"/>
          <w:color w:val="auto"/>
        </w:rPr>
      </w:pPr>
    </w:p>
    <w:p>
      <w:pPr>
        <w:ind w:left="4" w:right="180"/>
        <w:spacing w:after="0" w:line="258" w:lineRule="auto"/>
        <w:rPr>
          <w:sz w:val="20"/>
          <w:szCs w:val="20"/>
          <w:color w:val="auto"/>
        </w:rPr>
      </w:pPr>
      <w:r>
        <w:rPr>
          <w:rFonts w:ascii="Times New Roman" w:cs="Times New Roman" w:eastAsia="Times New Roman" w:hAnsi="Times New Roman"/>
          <w:sz w:val="18"/>
          <w:szCs w:val="18"/>
          <w:color w:val="auto"/>
        </w:rPr>
        <w:t>As a consequence of the conversion of the convertible bonds, the board of directors is authorized during the period until 29 May 2027 to increase the share capital by a nominal value of up to DKK 9,000,000 at one or more times by resolution of the board of directors by conversion of the convertible bonds and on such other terms as the board of directors may determine. The company’s existing shareholders shall not have pre-emption rights to subscribe for shares issued by conversion of the convertible bonds. The board of directors is authorized to cause such shares to be deposited with a depositary bank and the simultaneous issuance of American Depositary Shares.</w:t>
      </w:r>
    </w:p>
    <w:p>
      <w:pPr>
        <w:spacing w:after="0" w:line="116"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4"/>
          </w:cols>
          <w:pgMar w:left="436" w:top="270" w:right="479" w:bottom="1440" w:gutter="0" w:footer="0" w:header="0"/>
        </w:sectPr>
      </w:pPr>
    </w:p>
    <w:bookmarkStart w:id="7" w:name="page8"/>
    <w:bookmarkEnd w:id="7"/>
    <w:p>
      <w:pPr>
        <w:ind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new shares issued based on convertible bonds shall be non-negotiable instruments issued in the name of the holder and registered in the name of the holder in the company’s register of shareholders. The new shares shall not have any restrictions as to their transferability and no shareholder shall be obliged to have the shares redeemed fully or partly. The shares shall be with the same rights as the existing share capital. The new shares shall give rights to dividends and other rights in the company from the time which are determined by the board of directors in connection with the decision to increase the share capital.</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4f</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board of directors is authorized, in accordance with the Danish Companies Act, Section 169, cf. Section 155, Subsection 2, during the period until 29 May 2027 on one or more occasions to issue warrants to members of the executive management and employees, advisors and consultants of the company or its subsidiary, entitling the holder to subscribe shares for a total of up to nominal value of DKK 1,000,000 without pre-emptive rights for the company’s shareholders. The exercise price for the warrants shall be determined by the board of directors in consultation with the company’s advisors and shall at least be equal to the market price of the shares at the time of issuance. The board of directors shall determine the terms for the warrants issued and the distribution hereof. Warrants cannot be issued to members of the board of directors pursuant to this authorization.</w:t>
      </w:r>
    </w:p>
    <w:p>
      <w:pPr>
        <w:spacing w:after="0" w:line="18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At the same time, the board of directors is authorized in the period until 29 May 2027, on one or more occasions to increase the company’s share capital by up to a total nominal value of DKK 1,000,000 without pre-emptive rights for the existing shareholders by cash payment in order to implement the capital increase related to exercise of the warrants. In accordance with this clause the board of directors may increase the share capital with a minimum nominal value of DKK 1 and a maximum nominal value of DKK 1,000,000. The board of directors is authorized to cause such shares to be deposited with a depositary bank and the simultaneous issuance of American Depositary Shares.</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new shares issued based on exercise of warrants shall be non-negotiable instruments issued in the name of the holder and registered in the name of the holder in the Company’s register of shareholders. The new shares shall not have any restrictions as to their transferability and no shareholder shall be obliged to have the shares redeemed fully or partly. The shares shall be with the same rights as the existing share capital. The new shares shall give rights to dividends and other rights in the Company from the time which is determined by the board of directors in connection with the decision to increase the share capital.</w:t>
      </w:r>
    </w:p>
    <w:p>
      <w:pPr>
        <w:spacing w:after="0" w:line="18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On 12 December 2023 the board of directors resolved to exercise the authorization under article 4f hereof to issue 14,496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110.19 per share of nominal DKK 1 converted into DKK using the official exchange rate between DKK and USD on the exercise day, however no less than DKK 1 per share of nominal DKK 1.</w:t>
      </w:r>
    </w:p>
    <w:p>
      <w:pPr>
        <w:spacing w:after="0" w:line="18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On 9 January 2024 the board of directors resolved to exercise the authorization under article 4f hereof to issue 37,380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137.10 per share of nominal DKK 1 converted into DKK using the official exchange rate between DKK and USD on the exercise day, however no less than DKK 1 per share of nominal DKK 1.</w:t>
      </w:r>
    </w:p>
    <w:p>
      <w:pPr>
        <w:spacing w:after="0" w:line="18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On 11 February 2025 the board of directors resolved to exercise the authorization under article 4f hereof to issue 31,040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119.51 per share of nominal DKK 1 converted into DKK using the official exchange rate between DKK and USD on the exercise day, however no less than DKK 1 per share of nominal DKK 1.</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11 March 2025 the board of directors resolved to exercise the authorization under article 4f hereof to issue 5,631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145.63 per share of nominal DKK 1 converted into DKK using the official exchange rate between DKK and USD on the exercise day, however no less than DKK 1 per share of nominal DKK 1.</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8 April 2025 the board of directors resolved to exercise the authorization under article 4f hereof to issue 36,760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137.41 per share of nominal DKK 1 converted into DKK using the official exchange rate between DKK and USD on the exercise day, however no less than DKK 1 per share of nominal DKK 1.</w:t>
      </w:r>
    </w:p>
    <w:p>
      <w:pPr>
        <w:spacing w:after="0" w:line="18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On 13 May 2025 the board of directors resolved to exercise the authorization under article 4f hereof to issue 36,390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161.52 per share of nominal DKK 1 converted into DKK using the official exchange rate between DKK and USD on the exercise day, however no less than DKK 1 per share of nominal DKK 1.</w:t>
      </w:r>
    </w:p>
    <w:p>
      <w:pPr>
        <w:spacing w:after="0" w:line="18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On 10 June 2025 the board of directors resolved to exercise the authorization under article 4f hereof to issue 24,930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172.35 per share of nominal DKK 1 converted into DKK using the official exchange rate between DKK and USD on the exercise day, however no less than DKK 1 per share of nominal DKK 1.</w:t>
      </w:r>
    </w:p>
    <w:p>
      <w:pPr>
        <w:spacing w:after="0" w:line="18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On 8 July 2025 the board of directors resolved to exercise the authorization under article 4f hereof to issue 25,020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168.17 per share of nominal DKK 1 converted into DKK using the official exchange rate between DKK and USD on the exercise day, however no less than DKK 1 per share of nominal DKK 1.</w:t>
      </w:r>
    </w:p>
    <w:p>
      <w:pPr>
        <w:sectPr>
          <w:pgSz w:w="11900" w:h="16838" w:orient="portrait"/>
          <w:cols w:equalWidth="0" w:num="1">
            <w:col w:w="11000"/>
          </w:cols>
          <w:pgMar w:left="440" w:top="270" w:right="459" w:bottom="0" w:gutter="0" w:footer="0" w:header="0"/>
        </w:sectPr>
      </w:pPr>
    </w:p>
    <w:bookmarkStart w:id="8" w:name="page9"/>
    <w:bookmarkEnd w:id="8"/>
    <w:p>
      <w:pPr>
        <w:spacing w:after="0" w:line="258" w:lineRule="auto"/>
        <w:rPr>
          <w:sz w:val="20"/>
          <w:szCs w:val="20"/>
          <w:color w:val="auto"/>
        </w:rPr>
      </w:pPr>
      <w:r>
        <w:rPr>
          <w:rFonts w:ascii="Times New Roman" w:cs="Times New Roman" w:eastAsia="Times New Roman" w:hAnsi="Times New Roman"/>
          <w:sz w:val="18"/>
          <w:szCs w:val="18"/>
          <w:color w:val="auto"/>
        </w:rPr>
        <w:t>On 12 August 2025 the board of directors resolved to exercise the authorization under article 4f hereof to issue 28,480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195.98 per share of nominal DKK 1 converted into DKK using the official exchange rate between DKK and USD on the exercise day, however no less than DKK 1 per share of nominal DKK 1.</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9 September 2025 the board of directors resolved to exercise the authorization under article 4f hereof to issue 33,890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202.91 per share of nominal DKK 1 converted into DKK using the official exchange rate between DKK and USD on the exercise day, however no less than DKK 1 per share of nominal DKK 1.</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14 October 2025 the board of directors resolved to exercise the authorization under article 4f hereof to issue 31,710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208.71 per share of nominal DKK 1 converted into DKK using the official exchange rate between DKK and USD on the exercise day, however no less than DKK 1 per share of nominal DKK 1.</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11 November 2025 the board of directors resolved to exercise the authorization under article 4f hereof to issue 41,220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201.16 per share of nominal DKK 1 converted into DKK using the official exchange rate between DKK and USD on the exercise day, however no less than DKK 1 per share of nominal DKK 1.</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9 December 2025 the board of directors resolved to exercise the authorization under article 4f hereof to issue 27,820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196.63 per share of nominal DKK 1 converted into DKK using the official exchange rate between DKK and USD on the exercise day, however no less than DKK 1 per share of nominal DKK 1.</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13 January 2026 the board of directors resolved to exercise the authorization under article 4f hereof to issue 42,030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215.05 per share of nominal DKK 1 converted into DKK using the official exchange rate between DKK and USD on the exercise day, however no less than DKK 1 per share of nominal DKK 1.</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10 February 2026 the board of directors resolved to exercise the authorization under article 4f hereof to issue 16,570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224.19 per share of nominal DKK 1 converted into DKK using the official exchange rate between DKK and USD on the exercise day, however no less than DKK 1 per share of nominal DKK 1.</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10 March 2026 the board of directors resolved to exercise the authorization under article 4f hereof to issue 22,480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240.52 per share of nominal DKK 1 converted into DKK using the official exchange rate between DKK and USD on the exercise day, however no less than DKK 1 per share of nominal DKK 1.</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14 April 2026 the board of directors resolved to exercise the authorization under article 4f hereof to issue 23,150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249.84 per share of nominal DKK 1 converted into DKK using the official exchange rate between DKK and USD on the exercise day, however no less than DKK 1 per share of nominal DKK 1.</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12 May 2026 the board of directors resolved to exercise the authorization under article 4f hereof to issue 31,250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237.65 per share of nominal DKK 1 converted into DKK using the official exchange rate between DKK and USD on the exercise day, however no less than DKK 1 per share of nominal DKK 1.</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9 June 2026 the board of directors resolved to exercise the authorization under article 4f hereof to issue 27,030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213.23 per share of nominal DKK 1 converted into DKK using the official exchange rate between DKK and USD on the exercise day, however no less than DKK 1 per share of nominal DKK 1.</w:t>
      </w:r>
    </w:p>
    <w:p>
      <w:pPr>
        <w:sectPr>
          <w:pgSz w:w="11900" w:h="16838" w:orient="portrait"/>
          <w:cols w:equalWidth="0" w:num="1">
            <w:col w:w="10920"/>
          </w:cols>
          <w:pgMar w:left="440" w:top="121" w:right="539" w:bottom="1440" w:gutter="0" w:footer="0" w:header="0"/>
        </w:sectPr>
      </w:pPr>
    </w:p>
    <w:p>
      <w:pPr>
        <w:spacing w:after="0" w:line="11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0920"/>
          </w:cols>
          <w:pgMar w:left="440" w:top="121" w:right="539" w:bottom="1440" w:gutter="0" w:footer="0" w:header="0"/>
          <w:type w:val="continuous"/>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4g</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Board of Directors is authorized, in accordance with the Danish Companies Act, Section 169, cf. Section 155, Subsection 2, during the period until 28 May 2023 on one or more occasions to issue warrants to members of the Board of Directors, Executive Management and employees, advisors and consultants of the Company or its subsidiaries entitling the holder to subscribe shares for a total of up to nominal value of DKK 4,000,000 without pre-emptive rights for the Company’s shareholders. The exercise price for the warrants shall be determined by the Board of Directors in consultation with the Company’s advisors and shall equal at least to the market price of the shares at the time of issuance. The Board of Directors shall determine the terms for the warrants issued and the distribution hereof.</w:t>
      </w:r>
    </w:p>
    <w:p>
      <w:pPr>
        <w:spacing w:after="0" w:line="18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At the same time, the Board of Directors is authorized in the period until 28 May 2023, on one or more occasions to increase the Company’s share capital by up to a total nominal value of DKK 4,000,000 without pre-emptive rights for the existing shareholders by cash payment in order to implement the capital increase related to exercise of the warrants. In accordance with this clause the Board of Directors may increase the share capital with a minimum nominal value of DKK 1 and a maximum nominal value of DKK 4,000,000. The board is authorized to cause such shares to be deposited with a depositary bank and the simultaneous issuance of American Depositary Shares.</w:t>
      </w:r>
    </w:p>
    <w:p>
      <w:pPr>
        <w:spacing w:after="0" w:line="18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new shares issued based on exercise of warrants shall be non-negotiable instruments issued in the name of the holder and registered in the name of the holder in the company’s shareholder register. The new shares shall not have any restrictions as to their transferability and no shareholder shall be obliged to have the shares redeemed fully or partly. The shares shall be with the same rights as the existing share capital. The new shares shall give rights to dividends and other rights in the Company from the time which is determined by the Board of Directors in connection with the decision to increase the share capital.</w:t>
      </w:r>
    </w:p>
    <w:p>
      <w:pPr>
        <w:spacing w:after="0" w:line="18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On 12 June 2018 the Board of Directors resolved to exercise the authorization under article 4g hereof to issue 14,125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71.00 per share of nominal DKK 1 converted into DKK using the official exchange rate between DKK and USD on the exercise day, however no less than DKK 1 per share of nominal DKK 1.</w:t>
      </w:r>
    </w:p>
    <w:p>
      <w:pPr>
        <w:spacing w:after="0" w:line="18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On 10 July 2018 the Board of Directors resolved to exercise the authorization under article 4g hereof to issue 18,500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69.79 per share of nominal DKK 1 converted into DKK using the official exchange rate between DKK and USD on the exercise day, however no less than DKK 1 per share of nominal DKK 1.</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0"/>
          </w:cols>
          <w:pgMar w:left="440" w:top="266" w:right="479" w:bottom="1440" w:gutter="0" w:footer="0" w:header="0"/>
        </w:sectPr>
      </w:pPr>
    </w:p>
    <w:bookmarkStart w:id="10" w:name="page11"/>
    <w:bookmarkEnd w:id="10"/>
    <w:p>
      <w:pPr>
        <w:ind w:right="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On 14 August 2018 the Board of Directors resolved to exercise the authorization under article 4g hereof to issue 70,000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68.00 per share of nominal DKK 1 converted into DKK using the official exchange rate between DKK and USD on the exercise day, however no less than DKK 1 per share of nominal DKK 1.</w:t>
      </w:r>
    </w:p>
    <w:p>
      <w:pPr>
        <w:spacing w:after="0" w:line="18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On 11 September 2018 the Board of Directors resolved to exercise the authorization under article 4g hereof to issue 123,000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63.77 per share of nominal DKK 1 converted into DKK using the official exchange rate between DKK and USD on the exercise day, however no less than DKK 1 per share of nominal DKK 1.</w:t>
      </w:r>
    </w:p>
    <w:p>
      <w:pPr>
        <w:spacing w:after="0" w:line="18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On 9 October 2018 the Board of Directors resolved to exercise the authorization under article 4g hereof to issue 85,750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65.28 per share of nominal DKK 1 converted into DKK using the official exchange rate between DKK and USD on the exercise day, however no less than DKK 1 per share of nominal DKK 1.</w:t>
      </w:r>
    </w:p>
    <w:p>
      <w:pPr>
        <w:spacing w:after="0" w:line="18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On 13 November 2018 the Board of Directors resolved to exercise the authorization under article 4g hereof to issue 76,000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61.00 per share of nominal DKK 1 converted into DKK using the official exchange rate between DKK and USD on the exercise day, however no less than DKK 1 per share of nominal DKK 1.</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11 December 2018 the Board of Directors resolved to exercise the authorization under article 4g hereof to issue 1,074,500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62.17 per share of nominal DKK 1 converted into DKK using the official exchange rate between DKK and USD on the exercise day, however no less than DKK 1 per share of nominal DKK 1.</w:t>
      </w:r>
    </w:p>
    <w:p>
      <w:pPr>
        <w:spacing w:after="0" w:line="18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On 8 January 2019 the Board of Directors resolved to exercise the authorization under article 4g hereof to issue 40,000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70.94 per share of nominal DKK 1 converted into DKK using the official exchange rate between DKK and USD on the exercise day, however no less than DKK 1 per share of nominal DKK 1.</w:t>
      </w:r>
    </w:p>
    <w:p>
      <w:pPr>
        <w:spacing w:after="0" w:line="1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20"/>
          </w:cols>
          <w:pgMar w:left="440" w:top="270" w:right="539" w:bottom="1440" w:gutter="0" w:footer="0" w:header="0"/>
        </w:sectPr>
      </w:pPr>
    </w:p>
    <w:bookmarkStart w:id="11" w:name="page12"/>
    <w:bookmarkEnd w:id="11"/>
    <w:p>
      <w:pPr>
        <w:ind w:right="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On 12 February 2019 the Board of Directors resolved to exercise the authorization under article 4g hereof to issue 14,500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70.20 per share of nominal DKK 1 converted into DKK using the official exchange rate between DKK and USD on the exercise day, however no less than DKK 1 per share of nominal DKK 1.</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9 April 2019 the Board of Directors resolved to exercise the authorization under article 4g hereof to issue 118,000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119.13 per share of nominal DKK 1 converted into DKK using the official exchange rate between DKK and USD on the exercise day, however no less than DKK 1 per share of nominal DKK 1.</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14 May 2019 the Board of Directors resolved to exercise the authorization under article 4g hereof to issue 37,000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120.28 per share of nominal DKK 1 converted into DKK using the official exchange rate between DKK and USD on the exercise day, however no less than DKK 1 per share of nominal DKK 1.</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11 June 2019 the Board of Directors resolved to exercise the authorization under article 4g hereof to issue 17,000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118.80 per share of nominal DKK 1 converted into DKK using the official exchange rate between DKK and USD on the exercise day, however no less than DKK 1 per share of nominal DKK 1.</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9 July 2019 the Board of Directors resolved to exercise the authorization under article 4g hereof to issue 44,000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114.13 per share of nominal DKK 1 converted into DKK using the official exchange rate between DKK and USD on the exercise day, however no less than DKK 1 per share of nominal DKK 1.</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13 August 2019 the Board of Directors resolved to exercise the authorization under article 4g hereof to issue 50,000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114.96 per share of nominal DKK 1 converted into DKK using the official exchange rate between DKK and USD on the exercise day, however no less than DKK 1 per share of nominal DKK 1.</w:t>
      </w:r>
    </w:p>
    <w:p>
      <w:pPr>
        <w:spacing w:after="0" w:line="1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40"/>
          </w:cols>
          <w:pgMar w:left="440" w:top="270" w:right="519" w:bottom="1440" w:gutter="0" w:footer="0" w:header="0"/>
        </w:sectPr>
      </w:pPr>
    </w:p>
    <w:bookmarkStart w:id="12" w:name="page13"/>
    <w:bookmarkEnd w:id="12"/>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On 10 September 2019 the Board of Directors resolved to exercise the authorization under article 4g hereof to issue 45,000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105.31 per share of nominal DKK 1 converted into DKK using the official exchange rate between DKK and USD on the exercise day, however no less than DKK 1 per share of nominal DKK 1.</w:t>
      </w:r>
    </w:p>
    <w:p>
      <w:pPr>
        <w:spacing w:after="0" w:line="18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On 8 October 2019 the Board of Directors resolved to exercise the authorization under article 4g hereof to issue 45,000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92.54 per share of nominal DKK 1 converted into DKK using the official exchange rate between DKK and USD on the exercise day, however no less than DKK 1 per share of nominal DKK 1.</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12 November 2019 the Board of Directors resolved to exercise the authorization under article 4g hereof to issue 31,500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111.24 per share of nominal DKK 1 converted into DKK using the official exchange rate between DKK and USD on the exercise day, however no less than DKK 1 per share of nominal DKK 1.</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10 December 2019 the Board of Directors resolved to exercise the authorization under article 4g hereof to issue 858,600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108.00 per share of nominal DKK 1 converted into DKK using the official exchange rate between DKK and USD on the exercise day, however no less than DKK 1 per share of nominal DKK 1.</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14 January 2020 the Board of Directors resolved to exercise the authorization under article 4g hereof to issue 116,300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138.82 per share of nominal DKK 1 converted into DKK using the official exchange rate between DKK and USD on the exercise day, however no less than DKK 1 per share of nominal DKK 1.</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11 February 2020 the Board of Directors resolved to exercise the authorization under article 4g hereof to issue 15,000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142,76 per share of nominal DKK 1 converted into DKK using the official exchange rate between DKK and USD on the exercise day, however no less than DKK 1 per share of nominal DKK 1.</w:t>
      </w:r>
    </w:p>
    <w:p>
      <w:pPr>
        <w:spacing w:after="0" w:line="1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40"/>
          </w:cols>
          <w:pgMar w:left="440" w:top="270" w:right="519" w:bottom="1440" w:gutter="0" w:footer="0" w:header="0"/>
        </w:sectPr>
      </w:pPr>
    </w:p>
    <w:bookmarkStart w:id="13" w:name="page14"/>
    <w:bookmarkEnd w:id="13"/>
    <w:p>
      <w:pPr>
        <w:ind w:right="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On 10 March 2020 the Board of Directors resolved to exercise the authorization under article 4g hereof to issue 58,900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127.61 per share of nominal DKK 1 converted into DKK using the official exchange rate between DKK and USD on the exercise day, however no less than DKK 1 per share of nominal DKK 1.</w:t>
      </w:r>
    </w:p>
    <w:p>
      <w:pPr>
        <w:spacing w:after="0" w:line="18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On 12 May 2020 the Board of Directors resolved to exercise the authorization under article 4g hereof to issue 58,300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137.78 per share of nominal DKK 1 converted into DKK using the official exchange rate between DKK and USD on the exercise day, however no less than DKK 1 per share of nominal DKK 1.</w:t>
      </w:r>
    </w:p>
    <w:p>
      <w:pPr>
        <w:spacing w:after="0" w:line="183"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This authorisation to issue warrants shall be considered as fully exhausted with the consequence that the Board of Directors cannot issue any new warrants per section 4g with effect from 29 May 2020. For clarity, any warrants issued per this section 4g shall remain in full force and effect as per the terms determined by the Board of Directors in connection with such grant of warrants.</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4h</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board of directors is authorized, in accordance with the Danish Companies Act, Section 169, cf. Section 155, Subsection 2, during the period until 27 May 2030 on one or more occasions to issue warrants to new members of the board of directors of the company or its subsidiaries entitling the cumulative holders to subscribe shares for a total of up to nominal value of DKK 100,000 without pre-emptive rights for the company’s shareholders. The exercise price for the warrants shall be determined by the board of directors in consultation with the company’s advisors and shall at least be equal to the market price of the shares at the time of issuance. The warrants issued pursuant to this authorisation shall be governed by the terms and conditions set out in appendix 1a to articles of association. The board of directors shall determine the distribution of warrants, provided that this authorisation may only be exercised in connection with grants to new members of the board of directors in connection with their first election (i.e. not in connection with re-election for another term) and no single board member shall receive more than 10,000 warrants pursuant to this authorisation.</w:t>
      </w:r>
    </w:p>
    <w:p>
      <w:pPr>
        <w:spacing w:after="0" w:line="19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At the same time, the board of directors is authorized in the period until 27 May 2030, on one or more occasions to increase the company’s share capital by up to a total nominal value of DKK 100,000 without pre-emptive rights for the existing shareholders by cash payment in order to implement the capital increase related to exercise of the warrants. In accordance with this clause the board of directors may increase the share capital with a minimum nominal value of DKK 1 and a maximum nominal value of DKK 100,000. The board is authorized to cause such shares to be deposited with a depositary bank and the simultaneous issuance of American Depositary Shares.</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new shares issued based on exercise of warrants shall be non-negotiable instruments issued in the name of the holder and registered in the name of the holder in the Company’s register of shareholders. The new shares shall not have any restrictions as to their transferability and no shareholder shall be obliged to have the shares redeemed fully or partly. No partial payment is allowed. The shares shall be with the same rights as the existing share capital. The new shares shall give rights to dividends and other rights in the Company from the time which is determined by the board of directors in connection with the decision to increase the share capital.</w:t>
      </w:r>
    </w:p>
    <w:p>
      <w:pPr>
        <w:spacing w:after="0" w:line="18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On 14 April 2026 the board of directors resolved to exercise the authorization under article 4h hereof to issue 9,160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249.84 per share of nominal DKK 1 converted into DKK using the official exchange rate between DKK and USD on the exercise day, however no less than DKK 1 per share of nominal DKK 1.</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14" w:name="page15"/>
    <w:bookmarkEnd w:id="1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4i</w:t>
      </w:r>
    </w:p>
    <w:p>
      <w:pPr>
        <w:spacing w:after="0" w:line="22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Board of Directors is authorized, in accordance with the Danish Companies Act, Section 169, cf. Section 155, Subsection 2, during the period until 27 May 2026 on one or more occasions to issue warrants to members of the Executive Management and employees, advisors and consultants of the Company or its subsidiaries entitling the holder to subscribe shares for a total of up to nominal value of DKK 2,000,000 without pre-emptive rights for the Company’s shareholders. The exercise price for the warrants shall be determined by the Board of Directors in consultation with the Company’s advisors and shall at least be equal to the market price of the shares at the time of issuance. The Board of Directors shall determine the terms for the warrants issued and the distribution hereof.</w:t>
      </w:r>
    </w:p>
    <w:p>
      <w:pPr>
        <w:spacing w:after="0" w:line="18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At the same time, the Board of Directors is authorized in the period until 27 May 2026, on one or more occasions to increase the Company’s share capital by up to a total nominal value of DKK 2,000,000 without pre-emptive rights for the existing shareholders by cash payment in order to implement the capital increase related to exercise of the warrants. In accordance with this clause the Board of Directors may increase the share capital with a minimum nominal value of DKK 1 and a maximum nominal value of DKK 2,000,000. The board is authorized to cause such shares to be deposited with a depositary bank and the simultaneous issuance of American Depositary Shares.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80"/>
          </w:cols>
          <w:pgMar w:left="440" w:top="266" w:right="479" w:bottom="1440" w:gutter="0" w:footer="0" w:header="0"/>
        </w:sectPr>
      </w:pPr>
    </w:p>
    <w:bookmarkStart w:id="15" w:name="page16"/>
    <w:bookmarkEnd w:id="15"/>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new shares issued based on exercise of warrants shall be non-negotiable instruments issued in the name of the holder and registered in the name of the holder in the Company’s register of shareholders. The new shares shall not have any restrictions as to their transferability and no shareholder shall be obliged to have the shares redeemed fully or partly. The shares shall be with the same rights as the existing share capital. The new shares shall give rights to dividends and other rights in the Company from the time which is determined by the Board of Directors in connection with the decision to increase the share capital.</w:t>
      </w:r>
    </w:p>
    <w:p>
      <w:pPr>
        <w:spacing w:after="0" w:line="18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On 8 June 2021 the Board of Directors resolved to exercise the authorization under article 4i hereof to issue 14,430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130.83 per share of nominal DKK 1 converted into DKK using the official exchange rate between DKK and USD on the exercise day, however no less than DKK 1 per share of nominal DKK 1.</w:t>
      </w:r>
    </w:p>
    <w:p>
      <w:pPr>
        <w:spacing w:after="0" w:line="18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On 13 July 2021 the Board of Directors resolved to exercise the authorization under article 4i hereof to issue 107,935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124.52 per share of nominal DKK 1 converted into DKK using the official exchange rate between DKK and USD on the exercise day, however no less than DKK 1 per share of nominal DKK 1.</w:t>
      </w:r>
    </w:p>
    <w:p>
      <w:pPr>
        <w:spacing w:after="0" w:line="18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On 10 August 2021 the Board of Directors resolved to exercise the authorization under article 4i hereof to issue 14,230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125.25 per share of nominal DKK 1 converted into DKK using the official exchange rate between DKK and USD on the exercise day, however no less than DKK 1 per share of nominal DKK 1.</w:t>
      </w:r>
    </w:p>
    <w:p>
      <w:pPr>
        <w:spacing w:after="0" w:line="18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On 14 September 2021 the Board of Directors resolved to exercise the authorization under article 4i hereof to issue 28,670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153.54 per share of nominal DKK 1 converted into DKK using the official exchange rate between DKK and USD on the exercise day, however no less than DKK 1 per share of nominal DKK 1.</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70" w:right="459" w:bottom="1440" w:gutter="0" w:footer="0" w:header="0"/>
        </w:sectPr>
      </w:pPr>
    </w:p>
    <w:bookmarkStart w:id="16" w:name="page17"/>
    <w:bookmarkEnd w:id="16"/>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On 12 October 2021 the Board of Directors resolved to exercise the authorization under article 4i hereof to issue 15,880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168.74 per share of nominal DKK 1 converted into DKK using the official exchange rate between DKK and USD on the exercise day, however no less than DKK 1 per share of nominal DKK 1.</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9 November 2021 the Board of Directors resolved to exercise the authorization under article 4i hereof to issue 14,220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158.75 per share of nominal DKK 1 converted into DKK using the official exchange rate between DKK and USD on the exercise day, however no less than DKK 1 per share of nominal DKK 1.</w:t>
      </w:r>
    </w:p>
    <w:p>
      <w:pPr>
        <w:spacing w:after="0" w:line="18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 9 December 2021 the board of directors resolved to exercise the authorization under article 4i hereof to issue 1,065,314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139.65 per share of nominal DKK 1 converted into DKK using the official exchange rate between DKK and USD on the exercise day, however no less than DKK 1 per share of nominal DKK 1.</w:t>
      </w:r>
    </w:p>
    <w:p>
      <w:pPr>
        <w:spacing w:after="0" w:line="18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 14 December 2021 the board of directors resolved to exercise the authorization under article 4i hereof to issue 19.770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136.64 per share of nominal DKK 1 converted into DKK using the official exchange rate between DKK and USD on the exercise day, however no less than DKK 1 per share of nominal DKK 1.</w:t>
      </w:r>
    </w:p>
    <w:p>
      <w:pPr>
        <w:spacing w:after="0" w:line="18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 11 January 2022 the board of directors resolved to exercise the authorization under article 4i hereof to issue 22,860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118.88 per share of nominal DKK 1 converted into DKK using the official exchange rate between DKK and USD on the exercise day, however no less than DKK 1 per share of nominal DKK 1.</w:t>
      </w:r>
    </w:p>
    <w:p>
      <w:pPr>
        <w:spacing w:after="0" w:line="18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 8 February 2022 the board of directors resolved to exercise the authorization under article 4i hereof to issue 17,740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123.44 per share of nominal DKK 1 converted into DKK using the official exchange rate between DKK and USD on the exercise day, however no less than DKK 1 per share of nominal DKK 1.</w:t>
      </w:r>
    </w:p>
    <w:p>
      <w:pPr>
        <w:spacing w:after="0" w:line="1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40"/>
          </w:cols>
          <w:pgMar w:left="440" w:top="270" w:right="519" w:bottom="1440" w:gutter="0" w:footer="0" w:header="0"/>
        </w:sectPr>
      </w:pPr>
    </w:p>
    <w:bookmarkStart w:id="17" w:name="page18"/>
    <w:bookmarkEnd w:id="17"/>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On 8 March 2022 the board of directors resolved to exercise the authorization under article 4i hereof to issue 26,350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105.77 per share of nominal DKK 1 converted into DKK using the official exchange rate between DKK and USD on the exercise day, however no less than DKK 1 per share of nominal DKK 1.</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12 April 2022 the board of directors resolved to exercise the authorization under article 4i hereof to issue 37,265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108.84 per share of nominal DKK 1 converted into DKK using the official exchange rate between DKK and USD on the exercise day, however no less than DKK 1 per share of nominal DKK 1.</w:t>
      </w:r>
    </w:p>
    <w:p>
      <w:pPr>
        <w:spacing w:after="0" w:line="18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On 10 May 2022 the board of directors resolved to exercise the authorization under article 4i hereof to issue 36,790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82.64 per share of nominal DKK 1 converted into DKK using the official exchange rate between DKK and USD on the exercise day, however no less than DKK 1 per share of nominal DKK 1.</w:t>
      </w:r>
    </w:p>
    <w:p>
      <w:pPr>
        <w:spacing w:after="0" w:line="18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On 14 June 2022 the board of directors resolved to exercise the authorization under article 4i hereof to issue 29,810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81.24 per share of nominal DKK 1 converted into DKK using the official exchange rate between DKK and USD on the exercise day, however no less than DKK 1 per share of nominal DKK 1.</w:t>
      </w:r>
    </w:p>
    <w:p>
      <w:pPr>
        <w:spacing w:after="0" w:line="18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On 12 July 2022 the board of directors resolved to exercise the authorization under article 4i hereof to issue 12,780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90.06 per share of nominal DKK 1 converted into DKK using the official exchange rate between DKK and USD on the exercise day, however no less than DKK 1 per share of nominal DKK 1.</w:t>
      </w:r>
    </w:p>
    <w:p>
      <w:pPr>
        <w:spacing w:after="0" w:line="18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On 9 August 2022 the board of directors resolved to exercise the authorization under article 4i hereof to issue 23,165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93.15 per share of nominal DKK 1 converted into DKK using the official exchange rate between DKK and USD on the exercise day, however no less than DKK 1 per share of nominal DKK 1.</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13 September 2022 the board of directors resolved to exercise the authorization under article 4i hereof to issue 33,270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102.70 per share of nominal DKK 1 converted into DKK using the official exchange rate between DKK and USD on the exercise day, however no less than DKK 1 per share of nominal DKK 1.</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11 October 2022 the board of directors resolved to exercise the authorization under article hereof to issue 30,042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110.00 per share of nominal DKK 1 converted into DKK using the official exchange rate between DKK and USD on the exercise day, however no less than DKK 1 per share of nominal DKK 1.</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8 November 2022 the board of directors resolved to exercise the authorization under article 4i hereof to issue 24,490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123.91 per share of nominal DKK 1 converted into DKK using the official exchange rate between DKK and USD on the exercise day, however no less than DKK 1 per share of nominal DKK 1.</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13 December 2022 the board of directors resolved to exercise the authorization under article 4i hereof to issue 44,210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122.81 per share of nominal DKK 1 converted into DKK using the official exchange rate between DKK and USD on the exercise day, however no less than DKK 1 per share of nominal DKK 1.</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10 January 2023 the board of directors resolved to exercise the authorization under article 4i hereof to issue 47,365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112.61 per share of nominal DKK 1 converted into DKK using the official exchange rate between DKK and USD on the exercise day, however no less than DKK 1 per share of nominal DKK 1.</w:t>
      </w:r>
    </w:p>
    <w:p>
      <w:pPr>
        <w:spacing w:after="0" w:line="18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 14 February 2023 the board of directors resolved to exercise the authorization under article 4i hereof to issue 36,480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111.00 per share of nominal DKK 1 converted into DKK using the official exchange rate between DKK and USD on the exercise day, however no less than DKK 1 per share of nominal DKK 1.</w:t>
      </w:r>
    </w:p>
    <w:p>
      <w:pPr>
        <w:spacing w:after="0" w:line="183" w:lineRule="exact"/>
        <w:rPr>
          <w:sz w:val="20"/>
          <w:szCs w:val="20"/>
          <w:color w:val="auto"/>
        </w:rPr>
      </w:pPr>
    </w:p>
    <w:p>
      <w:pPr>
        <w:ind w:right="100"/>
        <w:spacing w:after="0" w:line="289" w:lineRule="auto"/>
        <w:rPr>
          <w:sz w:val="20"/>
          <w:szCs w:val="20"/>
          <w:color w:val="auto"/>
        </w:rPr>
      </w:pPr>
      <w:r>
        <w:rPr>
          <w:rFonts w:ascii="Times New Roman" w:cs="Times New Roman" w:eastAsia="Times New Roman" w:hAnsi="Times New Roman"/>
          <w:sz w:val="17"/>
          <w:szCs w:val="17"/>
          <w:color w:val="auto"/>
        </w:rPr>
        <w:t>On 14 March 2023 the board of directors resolved to exercise the authorization under article 4i hereof to issue 29,740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w:t>
      </w:r>
    </w:p>
    <w:p>
      <w:pPr>
        <w:sectPr>
          <w:pgSz w:w="11900" w:h="16838" w:orient="portrait"/>
          <w:cols w:equalWidth="0" w:num="1">
            <w:col w:w="10920"/>
          </w:cols>
          <w:pgMar w:left="440" w:top="270" w:right="539" w:bottom="0" w:gutter="0" w:footer="0" w:header="0"/>
        </w:sectPr>
      </w:pPr>
    </w:p>
    <w:bookmarkStart w:id="18" w:name="page19"/>
    <w:bookmarkEnd w:id="18"/>
    <w:p>
      <w:pPr>
        <w:ind w:right="80"/>
        <w:spacing w:after="0" w:line="282" w:lineRule="auto"/>
        <w:rPr>
          <w:sz w:val="20"/>
          <w:szCs w:val="20"/>
          <w:color w:val="auto"/>
        </w:rPr>
      </w:pPr>
      <w:r>
        <w:rPr>
          <w:rFonts w:ascii="Times New Roman" w:cs="Times New Roman" w:eastAsia="Times New Roman" w:hAnsi="Times New Roman"/>
          <w:sz w:val="18"/>
          <w:szCs w:val="18"/>
          <w:color w:val="auto"/>
        </w:rPr>
        <w:t>of USD 109.36 per share of nominal DKK 1 converted into DKK using the official exchange rate between DKK and USD on the exercise day, however no less than DKK 1 per share of nominal DKK 1.</w:t>
      </w:r>
    </w:p>
    <w:p>
      <w:pPr>
        <w:spacing w:after="0" w:line="162"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On 11 April 2023 the board of directors resolved to exercise the authorization under article 4i hereof to issue 52,210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80.18 per share of nominal DKK 1 converted into DKK using the official exchange rate between DKK and USD on the exercise day, however no less than DKK 1 per share of nominal DKK 1.</w:t>
      </w:r>
    </w:p>
    <w:p>
      <w:pPr>
        <w:spacing w:after="0" w:line="183"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On 9 May 2023 the board of directors resolved to exercise the authorization under article 4i hereof to issue 31,250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97.20 per share of nominal DKK 1 converted into DKK using the official exchange rate between DKK and USD on the exercise day, however no less than DKK 1 per share of nominal DKK 1.</w:t>
      </w:r>
    </w:p>
    <w:p>
      <w:pPr>
        <w:spacing w:after="0" w:line="183"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On 13 June 2023 the board of directors resolved to exercise the authorization under article 4i hereof to issue 77,000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92.93 per share of nominal DKK 1 converted into DKK using the official exchange rate between DKK and USD on the exercise day, however no less than DKK 1 per share of nominal DKK 1.</w:t>
      </w:r>
    </w:p>
    <w:p>
      <w:pPr>
        <w:spacing w:after="0" w:line="183"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On 11 July 2023 the board of directors resolved to exercise the authorization under article 4i hereof to issue 24,220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87.98 per share of nominal DKK 1 converted into DKK using the official exchange rate between DKK and USD on the exercise day, however no less than DKK 1 per share of nominal DKK 1.</w:t>
      </w:r>
    </w:p>
    <w:p>
      <w:pPr>
        <w:spacing w:after="0" w:line="183"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On 8 August 2023 the board of directors resolved to exercise the authorization under article 4i hereof to issue 12,410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94.09 per share of nominal DKK 1 converted into DKK using the official exchange rate between DKK and USD on the exercise day, however no less than DKK 1 per share of nominal DKK 1.</w:t>
      </w:r>
    </w:p>
    <w:p>
      <w:pPr>
        <w:spacing w:after="0" w:line="18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On 12 September 2023 the board of directors resolved to exercise the authorization under article 4i hereof to issue 22,430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102.56 per share of nominal DKK 1 converted into DKK using the official exchange rate between DKK and USD on the exercise day, however no less than DKK 1 per share of nominal DKK 1.</w:t>
      </w:r>
    </w:p>
    <w:p>
      <w:pPr>
        <w:spacing w:after="0" w:line="183"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On 10 October 2023 the board of directors resolved to exercise the authorization under article 4i hereof to issue 24,910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93.61 per share of nominal DKK 1 converted into DKK using the official exchange rate between DKK and USD on the exercise day, however no less than DKK 1 per share of nominal DKK 1.</w:t>
      </w:r>
    </w:p>
    <w:p>
      <w:pPr>
        <w:spacing w:after="0" w:line="183"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On 14 November 2023 the board of directors resolved to exercise the authorization under article 4i hereof to issue 12,170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94.70 per share of nominal DKK 1 converted into DKK using the official exchange rate between DKK and USD on the exercise day, however no less than DKK 1 per share of nominal DKK 1.</w:t>
      </w:r>
    </w:p>
    <w:p>
      <w:pPr>
        <w:spacing w:after="0" w:line="18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On 12 December 2023 the board of directors resolved to exercise the authorization under article 4i hereof to issue 10,594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110.19 per share of nominal DKK 1 converted into DKK using the official exchange rate between DKK and USD on the exercise day, however no less than DKK 1 per share of nominal DKK 1.</w:t>
      </w:r>
    </w:p>
    <w:p>
      <w:pPr>
        <w:spacing w:after="0" w:line="183"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This authorisation to issue warrants is as of 12 December 2023 fully exhausted with the consequence that the Board of Directors cannot issue any new warrants under article 4i with effect from 12 December 2023. For clarity, any warrants issued per this article 4i shall remain in full force and effect as per the terms determined by the Board of Directors in connection with such grant of warrants.</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4j</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board of directors is authorized, in accordance with the Danish Companies Act, Section 169, cf. Section 155, Subsection 2, during the period until 29 May 2029 on one or more occasions to issue warrants to members of the executive management and employees, advisors and consultants of the company or its subsidiary, entitling the holder to subscribe shares for a total of up to nominal value of DKK 1,000,000 without pre-emptive rights for the company’s shareholders. The exercise price for the warrants shall be determined by the board of directors in consultation with the company’s advisors and shall at least be equal to the market price of the shares at the time of issuance. The board of directors shall determine the terms for the warrants issued and the distribution hereof.</w:t>
      </w:r>
    </w:p>
    <w:p>
      <w:pPr>
        <w:spacing w:after="0" w:line="18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At the same time, the board of directors is authorized in the period until 29 May 2029, on one or more occasions to increase the company’s share capital by up to a total nominal value of DKK 1,000,000 without pre-emptive rights for the existing shareholders by cash payment in order to implement the capital increase related to exercise of the warrants. In accordance with this clause the board of directors may increase the share capital with a minimum nominal value of DKK 1 and a maximum nominal value of DKK 1,000,000. The board of directors is authorized to cause such shares to be deposited with a depositary bank and the simultaneous issuance of American Depositary Shares.</w:t>
      </w:r>
    </w:p>
    <w:p>
      <w:pPr>
        <w:sectPr>
          <w:pgSz w:w="11900" w:h="16838" w:orient="portrait"/>
          <w:cols w:equalWidth="0" w:num="1">
            <w:col w:w="11000"/>
          </w:cols>
          <w:pgMar w:left="440" w:top="121" w:right="459" w:bottom="0" w:gutter="0" w:footer="0" w:header="0"/>
        </w:sectPr>
      </w:pPr>
    </w:p>
    <w:bookmarkStart w:id="19" w:name="page20"/>
    <w:bookmarkEnd w:id="19"/>
    <w:p>
      <w:pPr>
        <w:jc w:val="both"/>
        <w:spacing w:after="0" w:line="258" w:lineRule="auto"/>
        <w:rPr>
          <w:sz w:val="20"/>
          <w:szCs w:val="20"/>
          <w:color w:val="auto"/>
        </w:rPr>
      </w:pPr>
      <w:r>
        <w:rPr>
          <w:rFonts w:ascii="Times New Roman" w:cs="Times New Roman" w:eastAsia="Times New Roman" w:hAnsi="Times New Roman"/>
          <w:sz w:val="18"/>
          <w:szCs w:val="18"/>
          <w:color w:val="auto"/>
        </w:rPr>
        <w:t>The new shares issued based on exercise of warrants shall be non-negotiable instruments issued in the name of the holder and registered in the name of the holder in the company’s register of shareholders. The new shares shall not have any restrictions as to their transferability and no shareholder shall be obliged to have the shares redeemed fully or partly. No partial payment is allowed. The shares shall be with the same rights as the existing share capital. The new shares shall give rights to dividends and other rights in the company from the time which is determined by the board of directors in connection with the decision to increase the share capital.</w:t>
      </w:r>
    </w:p>
    <w:p>
      <w:pPr>
        <w:spacing w:after="0" w:line="3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229" w:lineRule="exact"/>
        <w:rPr>
          <w:sz w:val="20"/>
          <w:szCs w:val="20"/>
          <w:color w:val="auto"/>
        </w:rPr>
      </w:pPr>
    </w:p>
    <w:p>
      <w:pPr>
        <w:ind w:right="860"/>
        <w:spacing w:after="0" w:line="282" w:lineRule="auto"/>
        <w:rPr>
          <w:sz w:val="20"/>
          <w:szCs w:val="20"/>
          <w:color w:val="auto"/>
        </w:rPr>
      </w:pPr>
      <w:r>
        <w:rPr>
          <w:rFonts w:ascii="Times New Roman" w:cs="Times New Roman" w:eastAsia="Times New Roman" w:hAnsi="Times New Roman"/>
          <w:sz w:val="18"/>
          <w:szCs w:val="18"/>
          <w:color w:val="auto"/>
        </w:rPr>
        <w:t>The company’s shares shall be issued in the name of the holder and shall be registered in the name of the holder in the company’s register of shareholders. No share certificates are issued.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register of owners shall be kept and maintained by Computershare A/S (Company registration CVR no. 27088899).</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shares are non-negotiable instruments.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shareholder shall be obligated to have his shares redeemed in whole or in part by the company or others.</w:t>
      </w: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6</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company’s shareholders are entitled to vote their shares differently. Any shareholder shall be entitled to attend in person or be represented by proxy, and both the shareholder and the proxy holder may meet with an advisor. A shareholder may vote by proxy.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shares can be cancelled out of court in conformity with the legislation applying to non-negotiable securities, in force at any time.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Meetings</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7</w:t>
      </w:r>
    </w:p>
    <w:p>
      <w:pPr>
        <w:spacing w:after="0" w:line="2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General meetings of the company shall be held in Copenhagen municipality or in the Greater Copenhagen area. The language of the company group is English and general meetings are conducted in English.</w:t>
      </w:r>
    </w:p>
    <w:p>
      <w:pPr>
        <w:spacing w:after="0" w:line="16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General meetings shall be convened with a notice of a minimum 2 weeks and a maximum of 4 weeks by publication in the Danish Business Authority’s computerised information system and on the company’s website. A convening notice shall, furthermore, be forwarded in writing to all shareholders recorded in the register of owners who have requested such notification. The convening notice shall contain the agenda for the general meeting. If the agenda contains proposals, the adoption of which require a qualified majority, the convening notice shall contain a specification of such proposals and their material contents.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annual general meeting shall be held within 5 months after the expiry of the accounting year.</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60"/>
          </w:cols>
          <w:pgMar w:left="440" w:top="121" w:right="499" w:bottom="1440" w:gutter="0" w:footer="0" w:header="0"/>
        </w:sectPr>
      </w:pPr>
    </w:p>
    <w:bookmarkStart w:id="20" w:name="page21"/>
    <w:bookmarkEnd w:id="20"/>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Proposals from shareholders shall in order to be considered at the annual general meeting be filed in writing with the board of directors at the latest 6 weeks before the annual general meeting. If a motion is filed later than 6 weeks before the general meeting the board of directors decides whether the motion was filed in such timely fashion that the motion can be included on the agenda.</w:t>
      </w:r>
    </w:p>
    <w:p>
      <w:pPr>
        <w:spacing w:after="0" w:line="176"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Extraordinary general meetings shall be held according to resolutions by the general meeting or the board of directors or upon written request to the board of directors from one of the elected auditors and if a request is presented by shareholders representing in aggregate at least 1/20 of the share capital. A request from shareholders representing at least 1/20 of the share capital shall specify the proposal to be considered by the general meeting. The general meeting shall in this case be convened within 2 weeks from the date the proposal has been presented to the board of directors.</w:t>
      </w:r>
    </w:p>
    <w:p>
      <w:pPr>
        <w:spacing w:after="0" w:line="18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agenda and the complete proposals, and in for annual general meetings also the annual report, shall be made available for review by the company’s shareholders at the latest two weeks prior to the general meeting.</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8</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agenda of the ordinary general meeting shall include:</w:t>
      </w:r>
    </w:p>
    <w:p>
      <w:pPr>
        <w:spacing w:after="0" w:line="131" w:lineRule="exact"/>
        <w:rPr>
          <w:sz w:val="20"/>
          <w:szCs w:val="20"/>
          <w:color w:val="auto"/>
        </w:rPr>
      </w:pPr>
    </w:p>
    <w:p>
      <w:pPr>
        <w:ind w:left="1180" w:hanging="644"/>
        <w:spacing w:after="0"/>
        <w:tabs>
          <w:tab w:leader="none" w:pos="11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report on the company’s activities during the past year</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Presentation of annual report with auditor’s report for adoption</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Resolution on application of profits or covering of losses as per the adopted annual report</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Election of board members</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Election of auditor</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motions from the board of directors or shareholders</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Miscellaneous</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9</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general meetings, each share of DKK 1 shall carry one vote.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matters discussed at general meetings shall be adopted by a simple majority of votes unless the law or the company’s articles otherwise provide.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case of equality of votes the motion shall be deemed annulled</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 shareholder’s right to attend general meetings and to vote at general meetings is determined on the basis of the shares that the shareholder owns on the registration date. The registration date shall be one week before the general meeting is held. The shares which the individual shareholder owns are calculated on the registration date on the basis of the registration of ownership in the Register of Owners as well as notifications concerning ownership which the company has received with a view to update the ownership in the Register of Owners.</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70" w:right="459" w:bottom="1440" w:gutter="0" w:footer="0" w:header="0"/>
        </w:sectPr>
      </w:pPr>
    </w:p>
    <w:bookmarkStart w:id="21" w:name="page22"/>
    <w:bookmarkEnd w:id="21"/>
    <w:p>
      <w:pPr>
        <w:ind w:right="3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addition, any shareholder who is entitled to attend a general meeting and who wishes to attend must have requested an admission card from the Company no later than 3 days in advance of the General Meeting.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10</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shall be governed by the board of directors, consisting of no less than 3 and no more than 10 board members, elected by the shareholders at the general meeting. The members of the board of directors are elected for a term expiring at the first coming annual general meeting following their election.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board member shall retire from the board at the ordinary general meeting following immediately after such member attaining the age of 75.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shall elect their chairman from their own number.</w:t>
      </w:r>
    </w:p>
    <w:p>
      <w:pPr>
        <w:spacing w:after="0" w:line="22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board of directors shall adopt its own Rules of Procedure and ensure that the company con-ducts its activities in conformity with the articles of association and the legislation in force at any time.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chairman shall convene board meetings whenever he finds it necessary, or when any board member or member of management so requests.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11</w:t>
      </w:r>
    </w:p>
    <w:p>
      <w:pPr>
        <w:spacing w:after="0" w:line="22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board of directors shall employ a management consisting of 1-5 members to attend to the day-to-day management of the company, and the board shall determine the terms and conditions of the employment. The management shall perform their duties in accordance with the guidelines and directions issued by the board of directors.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880"/>
          </w:cols>
          <w:pgMar w:left="440" w:top="270" w:right="5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Binding Powers:</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12</w:t>
      </w:r>
    </w:p>
    <w:p>
      <w:pPr>
        <w:spacing w:after="0" w:line="2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company shall be bound by the chairman of the board of directors and one member of the executive management jointly, by two members of the executive management jointly, or by all members of the board of directors jointly.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may issue individual or joint powers of procuration.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13</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state-authorised public accountant, elected by the general meeting for one year at a time, shall audit the company’s annual reports.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Year/Annual Report:</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14</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accounting year shall be the calendar year.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annual report shall present a true and fair view of the company’s assets and liabilities, its financial position and results.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annual report and interim reports shall be presented in English language.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Electronic Communication:</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15</w:t>
      </w:r>
    </w:p>
    <w:p>
      <w:pPr>
        <w:spacing w:after="0" w:line="229" w:lineRule="exact"/>
        <w:rPr>
          <w:sz w:val="20"/>
          <w:szCs w:val="20"/>
          <w:color w:val="auto"/>
        </w:rPr>
      </w:pPr>
    </w:p>
    <w:p>
      <w:pPr>
        <w:spacing w:after="0" w:line="312" w:lineRule="auto"/>
        <w:rPr>
          <w:sz w:val="20"/>
          <w:szCs w:val="20"/>
          <w:color w:val="auto"/>
        </w:rPr>
      </w:pPr>
      <w:r>
        <w:rPr>
          <w:rFonts w:ascii="Times New Roman" w:cs="Times New Roman" w:eastAsia="Times New Roman" w:hAnsi="Times New Roman"/>
          <w:sz w:val="17"/>
          <w:szCs w:val="17"/>
          <w:color w:val="auto"/>
        </w:rPr>
        <w:t>The company may make use of electronic document exchange and electronic mail (electronic communication) in its communications with shareholders cf. section 92 of the Danish Companies Act. The company may at any time elect to communicate by ordinary mail but is not obligated to do so.</w:t>
      </w:r>
    </w:p>
    <w:p>
      <w:pPr>
        <w:spacing w:after="0" w:line="14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All announcements and documents that pursuant to the company’s articles of association, the Danish Companies Act as well as stock exchange legislation and regulations must be exchanged between the company and the shareholders, including, by example, notices to convene annual or extraordinary general meetings along with agendas and full wordings of proposed resolutions, proxies, interim reports, annual reports, stock exchange announcements, financial calendar and prospectuses, as well as general information from the company to the shareholders may be sent as an attached file by e-mail or by including in an e-mail exact information as to where the document may be downloaded (a link).</w:t>
      </w:r>
    </w:p>
    <w:p>
      <w:pPr>
        <w:spacing w:after="0" w:line="183"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The company shall request its name-registered shareholders to forward an electronic address which may be used for electronic notices. It is the responsibility of the individual shareholder to ensure that the company is informed of the correct address.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00"/>
          </w:cols>
          <w:pgMar w:left="440" w:top="266" w:right="559" w:bottom="1440" w:gutter="0" w:footer="0" w:header="0"/>
        </w:sectPr>
      </w:pPr>
    </w:p>
    <w:bookmarkStart w:id="23" w:name="page24"/>
    <w:bookmarkEnd w:id="23"/>
    <w:p>
      <w:pPr>
        <w:ind w:right="279"/>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Information about system requirements and about the procedure for electronic communications can be found on the company’s website www.ascendispharma.com.</w:t>
      </w:r>
    </w:p>
    <w:p>
      <w:pPr>
        <w:spacing w:after="0" w:line="162"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—-oo0oo—-</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Most recently updated as per 29 June 2026</w:t>
      </w:r>
    </w:p>
    <w:p>
      <w:pPr>
        <w:spacing w:after="0" w:line="160"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019"/>
          </w:cols>
          <w:pgMar w:left="440" w:top="270" w:right="1440" w:bottom="1440" w:gutter="0" w:footer="0" w:header="0"/>
        </w:sectPr>
      </w:pPr>
    </w:p>
    <w:bookmarkStart w:id="24" w:name="page25"/>
    <w:bookmarkEnd w:id="24"/>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Appendix 1 to the Articles of Association of Ascendis Pharma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97155</wp:posOffset>
            </wp:positionV>
            <wp:extent cx="699516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148590</wp:posOffset>
            </wp:positionV>
            <wp:extent cx="699516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17" w:lineRule="exact"/>
        <w:rPr>
          <w:sz w:val="20"/>
          <w:szCs w:val="20"/>
          <w:color w:val="auto"/>
        </w:rPr>
      </w:pPr>
    </w:p>
    <w:p>
      <w:pPr>
        <w:ind w:left="4" w:right="520"/>
        <w:spacing w:after="0" w:line="266" w:lineRule="auto"/>
        <w:rPr>
          <w:sz w:val="20"/>
          <w:szCs w:val="20"/>
          <w:color w:val="auto"/>
        </w:rPr>
      </w:pPr>
      <w:r>
        <w:rPr>
          <w:rFonts w:ascii="Times New Roman" w:cs="Times New Roman" w:eastAsia="Times New Roman" w:hAnsi="Times New Roman"/>
          <w:sz w:val="18"/>
          <w:szCs w:val="18"/>
          <w:color w:val="auto"/>
        </w:rPr>
        <w:t>Pursuant to authorisation in the articles of association for Ascendis Pharma A/S, the Board of Directors has resolved that the following terms and conditions shall apply to options, also referred to as warrants which are granted to employees, consultants and board members according to the authorisation:</w:t>
      </w:r>
    </w:p>
    <w:p>
      <w:pPr>
        <w:spacing w:after="0" w:line="77" w:lineRule="exact"/>
        <w:rPr>
          <w:sz w:val="20"/>
          <w:szCs w:val="20"/>
          <w:color w:val="auto"/>
        </w:rPr>
      </w:pPr>
    </w:p>
    <w:p>
      <w:pPr>
        <w:ind w:left="544" w:hanging="544"/>
        <w:spacing w:after="0"/>
        <w:tabs>
          <w:tab w:leader="none" w:pos="544"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w:t>
      </w:r>
    </w:p>
    <w:p>
      <w:pPr>
        <w:spacing w:after="0" w:line="135" w:lineRule="exact"/>
        <w:rPr>
          <w:sz w:val="20"/>
          <w:szCs w:val="20"/>
          <w:color w:val="auto"/>
        </w:rPr>
      </w:pPr>
    </w:p>
    <w:p>
      <w:pPr>
        <w:ind w:left="544" w:hanging="539"/>
        <w:spacing w:after="0" w:line="258" w:lineRule="auto"/>
        <w:tabs>
          <w:tab w:leader="none" w:pos="524"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color w:val="auto"/>
        </w:rPr>
        <w:t>Ascendis Pharma A/S (hereinafter “Ascendis Pharma”) has decided to introduce an incentive scheme for employees, consultants and board members of Ascendis Pharma and its subsidiaries (hereinafter collectively referred to as “Owners”). The scheme is based on issuance of options, also called warrants (hereinafter only referred to as “warrants”), which are not subject to payment. Where below in clause 3 and 4 terms for vesting and exercise of warrants are described as being dependent upon employment or service with Ascendis Pharma, this shall be understood as a reference to the relevant subsidiary by which the Owner is employed or provides services to.</w:t>
      </w:r>
    </w:p>
    <w:p>
      <w:pPr>
        <w:spacing w:after="0" w:line="89" w:lineRule="exact"/>
        <w:rPr>
          <w:sz w:val="20"/>
          <w:szCs w:val="20"/>
          <w:color w:val="auto"/>
        </w:rPr>
      </w:pPr>
    </w:p>
    <w:p>
      <w:pPr>
        <w:ind w:left="544" w:right="40" w:hanging="539"/>
        <w:spacing w:after="0" w:line="255" w:lineRule="auto"/>
        <w:tabs>
          <w:tab w:leader="none" w:pos="524"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A warrant is a right, but not an obligation, during fixed periods (exercise periods) to subscribe for new ordinary shares in Ascendis Pharma at a price fixed in advance (the exercise price). The exercise price, determined by the Board of Directors at the time of issue shall correspond to the closing price of Ascendis Pharma’s American Depositary Shares (hereafter “ADS”) as quoted on NASDAQ on the day of issuance by the Board of Directors. Each warrant carries the right to subscribe for nominal DKK 1 ordinary share in Ascendis Pharma at the exercise price determined by the Board of Directors at the date of issuance. So long as Ascendis Pharma’s ADSs are quoted on NASDAQ, the Ordinary Shares received upon subscription through exercise of warrants may generally be deposited with the custodian of the depositary for the Company’s ADSs in exchange for ADSs representing the Ordinary Shares deposited, subject to certain conditions and limitations.</w:t>
      </w:r>
    </w:p>
    <w:p>
      <w:pPr>
        <w:spacing w:after="0" w:line="94" w:lineRule="exact"/>
        <w:rPr>
          <w:sz w:val="20"/>
          <w:szCs w:val="20"/>
          <w:color w:val="auto"/>
        </w:rPr>
      </w:pPr>
    </w:p>
    <w:p>
      <w:pPr>
        <w:ind w:left="544" w:right="80" w:hanging="539"/>
        <w:spacing w:after="0" w:line="266" w:lineRule="auto"/>
        <w:tabs>
          <w:tab w:leader="none" w:pos="524"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8"/>
          <w:szCs w:val="18"/>
          <w:color w:val="auto"/>
        </w:rPr>
        <w:t>Warrants will be offered to employees, consultants and board members of Ascendis Pharma and in its subsidiaries at the discretion of the Board of Directors after suggestion from the management and the Remuneration Committee of Ascendis Pharma. The number of warrants offered to each Owner shall be based on an individual evaluation of the Owner’s duties.</w:t>
      </w:r>
    </w:p>
    <w:p>
      <w:pPr>
        <w:spacing w:after="0" w:line="68" w:lineRule="exact"/>
        <w:rPr>
          <w:sz w:val="20"/>
          <w:szCs w:val="20"/>
          <w:color w:val="auto"/>
        </w:rPr>
      </w:pPr>
    </w:p>
    <w:p>
      <w:pPr>
        <w:ind w:left="544" w:right="40"/>
        <w:spacing w:after="0" w:line="261" w:lineRule="auto"/>
        <w:rPr>
          <w:sz w:val="20"/>
          <w:szCs w:val="20"/>
          <w:color w:val="auto"/>
        </w:rPr>
      </w:pPr>
      <w:r>
        <w:rPr>
          <w:rFonts w:ascii="Times New Roman" w:cs="Times New Roman" w:eastAsia="Times New Roman" w:hAnsi="Times New Roman"/>
          <w:sz w:val="18"/>
          <w:szCs w:val="18"/>
          <w:color w:val="auto"/>
        </w:rPr>
        <w:t>Warrants are not granted due to work already performed by the Owners, but are granted in order to motivate the Owners, as described below, during the years following the date of issue of warrants. Thus, the warrants are issued and granted in order to increase and motivate the Owners’ focus on a positive development of the market price of the ordinary shares of Ascendis Pharma and to motivate the Owners to work for a future value increase in Ascendis Pharma and its subsidiaries.</w:t>
      </w:r>
    </w:p>
    <w:p>
      <w:pPr>
        <w:spacing w:after="0" w:line="324" w:lineRule="exact"/>
        <w:rPr>
          <w:sz w:val="20"/>
          <w:szCs w:val="20"/>
          <w:color w:val="auto"/>
        </w:rPr>
      </w:pPr>
    </w:p>
    <w:p>
      <w:pPr>
        <w:ind w:left="544" w:hanging="544"/>
        <w:spacing w:after="0"/>
        <w:tabs>
          <w:tab w:leader="none" w:pos="544"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GRANT OF WARRANTS</w:t>
      </w:r>
    </w:p>
    <w:p>
      <w:pPr>
        <w:spacing w:after="0" w:line="135"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7"/>
          <w:szCs w:val="17"/>
          <w:color w:val="auto"/>
        </w:rPr>
        <w:t>Owners who wish to receive the offered warrants shall sign a warrant certificate with this Appendix 1 attached.</w:t>
      </w:r>
    </w:p>
    <w:p>
      <w:pPr>
        <w:spacing w:after="0" w:line="158" w:lineRule="exact"/>
        <w:rPr>
          <w:sz w:val="20"/>
          <w:szCs w:val="20"/>
          <w:color w:val="auto"/>
        </w:rPr>
      </w:pPr>
    </w:p>
    <w:p>
      <w:pPr>
        <w:ind w:left="5424"/>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64"/>
          </w:cols>
          <w:pgMar w:left="436" w:top="266" w:right="499" w:bottom="1440" w:gutter="0" w:footer="0" w:header="0"/>
        </w:sectPr>
      </w:pPr>
    </w:p>
    <w:bookmarkStart w:id="25" w:name="page26"/>
    <w:bookmarkEnd w:id="25"/>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2.2</w:t>
      </w:r>
      <w:r>
        <w:rPr>
          <w:sz w:val="20"/>
          <w:szCs w:val="20"/>
          <w:color w:val="auto"/>
        </w:rPr>
        <w:tab/>
      </w:r>
      <w:r>
        <w:rPr>
          <w:rFonts w:ascii="Times New Roman" w:cs="Times New Roman" w:eastAsia="Times New Roman" w:hAnsi="Times New Roman"/>
          <w:sz w:val="17"/>
          <w:szCs w:val="17"/>
          <w:color w:val="auto"/>
        </w:rPr>
        <w:t>Warrants are issued and granted to the Owner free of charge.</w:t>
      </w:r>
    </w:p>
    <w:p>
      <w:pPr>
        <w:spacing w:after="0" w:line="370" w:lineRule="exact"/>
        <w:rPr>
          <w:sz w:val="20"/>
          <w:szCs w:val="20"/>
          <w:color w:val="auto"/>
        </w:rPr>
      </w:pPr>
    </w:p>
    <w:p>
      <w:pPr>
        <w:ind w:left="544" w:hanging="544"/>
        <w:spacing w:after="0"/>
        <w:tabs>
          <w:tab w:leader="none" w:pos="544"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VESTING</w:t>
      </w:r>
    </w:p>
    <w:p>
      <w:pPr>
        <w:spacing w:after="0" w:line="135" w:lineRule="exact"/>
        <w:rPr>
          <w:sz w:val="20"/>
          <w:szCs w:val="20"/>
          <w:color w:val="auto"/>
        </w:rPr>
      </w:pPr>
    </w:p>
    <w:p>
      <w:pPr>
        <w:ind w:left="544" w:right="100" w:hanging="539"/>
        <w:spacing w:after="0" w:line="207" w:lineRule="auto"/>
        <w:tabs>
          <w:tab w:leader="none" w:pos="524"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color w:val="auto"/>
        </w:rPr>
        <w:t>In relation to employees and consultants, the Owner earns the right to keep and exercise the warrants (i.e., such warrants shall vest) with respect to 1/48</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of the ordinary shares covered by the warrants on each monthly anniversary of the date of grant of the warrants covered by this Appendix 1, subject to clause 3.3 below. In relation to board members, the Owner earns the right to keep and exercise the warrants with respect to 1/48</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of the ordinary shares covered by the warrants on each monthly anniversary of the date of the initial grant after joining the Board of Directors and with respect to 1/24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of the ordinary shares covered by the warrants on each monthly anniversary of the date of grant for any subsequent grant of warrants.</w:t>
      </w:r>
    </w:p>
    <w:p>
      <w:pPr>
        <w:spacing w:after="0" w:line="108" w:lineRule="exact"/>
        <w:rPr>
          <w:sz w:val="20"/>
          <w:szCs w:val="20"/>
          <w:color w:val="auto"/>
        </w:rPr>
      </w:pPr>
    </w:p>
    <w:p>
      <w:pPr>
        <w:ind w:left="544" w:right="22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color w:val="auto"/>
        </w:rPr>
        <w:t>If the stipulated fraction vesting on a given vesting date does not amount to a whole number of warrants, the number shall be rounded down to the nearest whole number.</w:t>
      </w:r>
    </w:p>
    <w:p>
      <w:pPr>
        <w:spacing w:after="0" w:line="6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7"/>
          <w:szCs w:val="17"/>
          <w:color w:val="auto"/>
        </w:rPr>
        <w:t>Warrants shall only vest to the extent the Owner is employed by Ascendis Pharma, cf. however clause 3.4 to 3.9 below.</w:t>
      </w:r>
    </w:p>
    <w:p>
      <w:pPr>
        <w:spacing w:after="0" w:line="131" w:lineRule="exact"/>
        <w:rPr>
          <w:sz w:val="20"/>
          <w:szCs w:val="20"/>
          <w:color w:val="auto"/>
        </w:rPr>
      </w:pPr>
    </w:p>
    <w:p>
      <w:pPr>
        <w:ind w:left="544" w:hanging="539"/>
        <w:spacing w:after="0" w:line="239" w:lineRule="auto"/>
        <w:tabs>
          <w:tab w:leader="none" w:pos="524"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8"/>
          <w:szCs w:val="18"/>
          <w:color w:val="auto"/>
        </w:rPr>
        <w:t>In the event that the Owner terminates the employment contract and the termination is not a result of breach of the employment terms by Ascendis Pharma, or in the event that Ascendis Pharma terminates the employment contract and the Owner has given Ascendis Pharma good reason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to do so (provided that, in the case that the Owner is covered by the Danish Act No. 309 of May 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2004 regarding the use of stock options etc. in employment relationships, Ascendis Pharma shall only be deemed to have terminated the Owner’s employment with good reason to the extent the termination is made due to the Owner’s breach of his/her employment relationship), then the vesting of the Owner’s warrants shall cease from the time the employment is terminated, meaning from the first day when the Owner is no longer entitled to salary from Ascendis Pharma, notwithstanding that the Owner has actually ceased to perform his/her duties at an earlier date. In addition hereto the Owner’s eligibility, if any, to receive warrants granted after termination of the employment shall cease.</w:t>
      </w:r>
    </w:p>
    <w:p>
      <w:pPr>
        <w:spacing w:after="0" w:line="109" w:lineRule="exact"/>
        <w:rPr>
          <w:sz w:val="20"/>
          <w:szCs w:val="20"/>
          <w:color w:val="auto"/>
        </w:rPr>
      </w:pPr>
    </w:p>
    <w:p>
      <w:pPr>
        <w:ind w:left="544" w:right="40" w:hanging="539"/>
        <w:spacing w:after="0" w:line="236" w:lineRule="auto"/>
        <w:tabs>
          <w:tab w:leader="none" w:pos="524" w:val="left"/>
        </w:tabs>
        <w:rPr>
          <w:sz w:val="20"/>
          <w:szCs w:val="20"/>
          <w:color w:val="auto"/>
        </w:rPr>
      </w:pPr>
      <w:r>
        <w:rPr>
          <w:rFonts w:ascii="Times New Roman" w:cs="Times New Roman" w:eastAsia="Times New Roman" w:hAnsi="Times New Roman"/>
          <w:sz w:val="18"/>
          <w:szCs w:val="18"/>
          <w:color w:val="auto"/>
        </w:rPr>
        <w:t>3.5</w:t>
      </w:r>
      <w:r>
        <w:rPr>
          <w:sz w:val="20"/>
          <w:szCs w:val="20"/>
          <w:color w:val="auto"/>
        </w:rPr>
        <w:tab/>
      </w:r>
      <w:r>
        <w:rPr>
          <w:rFonts w:ascii="Times New Roman" w:cs="Times New Roman" w:eastAsia="Times New Roman" w:hAnsi="Times New Roman"/>
          <w:sz w:val="18"/>
          <w:szCs w:val="18"/>
          <w:color w:val="auto"/>
        </w:rPr>
        <w:t>In the event that the Owner terminates the employment contract and the termination is a result of breach of the employment terms by Ascendis Pharma, or in the event that Ascendis Pharma terminates the employment contract and the Owner has not given Ascendis Pharma good reason to do so (provided that, in the case that the Owner is covered by the Danish Act No. 309 of May 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2004 regarding the use of stock options etc. in employment relationships, Ascendis Pharma shall only be deemed to have terminated the Owner’s employment with good reason to the extent the termination is made due to the Owner’s breach of his/her employment relationship), then warrants shall continue to vest as if the Owner was still employed by Ascendis Pharma.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95885</wp:posOffset>
            </wp:positionV>
            <wp:extent cx="77152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30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4"/>
          </w:cols>
          <w:pgMar w:left="436" w:top="270" w:right="459" w:bottom="1440" w:gutter="0" w:footer="0" w:header="0"/>
        </w:sectPr>
      </w:pPr>
    </w:p>
    <w:bookmarkStart w:id="26" w:name="page27"/>
    <w:bookmarkEnd w:id="26"/>
    <w:p>
      <w:pPr>
        <w:ind w:left="544" w:right="4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3.6</w:t>
      </w:r>
      <w:r>
        <w:rPr>
          <w:sz w:val="20"/>
          <w:szCs w:val="20"/>
          <w:color w:val="auto"/>
        </w:rPr>
        <w:tab/>
      </w:r>
      <w:r>
        <w:rPr>
          <w:rFonts w:ascii="Times New Roman" w:cs="Times New Roman" w:eastAsia="Times New Roman" w:hAnsi="Times New Roman"/>
          <w:sz w:val="18"/>
          <w:szCs w:val="18"/>
          <w:color w:val="auto"/>
        </w:rPr>
        <w:t>Should the Owner materially breach the terms of the employment, the vesting of warrants shall cease from the date when the Owner is dismissed due to the material breach.</w:t>
      </w:r>
    </w:p>
    <w:p>
      <w:pPr>
        <w:spacing w:after="0" w:line="67" w:lineRule="exact"/>
        <w:rPr>
          <w:sz w:val="20"/>
          <w:szCs w:val="20"/>
          <w:color w:val="auto"/>
        </w:rPr>
      </w:pPr>
    </w:p>
    <w:p>
      <w:pPr>
        <w:ind w:left="544" w:right="22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3.7</w:t>
      </w:r>
      <w:r>
        <w:rPr>
          <w:sz w:val="20"/>
          <w:szCs w:val="20"/>
          <w:color w:val="auto"/>
        </w:rPr>
        <w:tab/>
      </w:r>
      <w:r>
        <w:rPr>
          <w:rFonts w:ascii="Times New Roman" w:cs="Times New Roman" w:eastAsia="Times New Roman" w:hAnsi="Times New Roman"/>
          <w:sz w:val="18"/>
          <w:szCs w:val="18"/>
          <w:color w:val="auto"/>
        </w:rPr>
        <w:t>In relation to board members, the vesting shall cease on the termination date of the board membership regardless of the reason therefor, unless otherwise determined by the Board of Directors.</w:t>
      </w:r>
    </w:p>
    <w:p>
      <w:pPr>
        <w:spacing w:after="0" w:line="6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3.8</w:t>
      </w:r>
      <w:r>
        <w:rPr>
          <w:sz w:val="20"/>
          <w:szCs w:val="20"/>
          <w:color w:val="auto"/>
        </w:rPr>
        <w:tab/>
      </w:r>
      <w:r>
        <w:rPr>
          <w:rFonts w:ascii="Times New Roman" w:cs="Times New Roman" w:eastAsia="Times New Roman" w:hAnsi="Times New Roman"/>
          <w:sz w:val="17"/>
          <w:szCs w:val="17"/>
          <w:color w:val="auto"/>
        </w:rPr>
        <w:t>In relation to consultants, the vesting shall cease on the termination date of the consultancy relationship.</w:t>
      </w:r>
    </w:p>
    <w:p>
      <w:pPr>
        <w:spacing w:after="0" w:line="131" w:lineRule="exact"/>
        <w:rPr>
          <w:sz w:val="20"/>
          <w:szCs w:val="20"/>
          <w:color w:val="auto"/>
        </w:rPr>
      </w:pPr>
    </w:p>
    <w:p>
      <w:pPr>
        <w:ind w:left="544" w:right="50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3.9</w:t>
      </w:r>
      <w:r>
        <w:rPr>
          <w:sz w:val="20"/>
          <w:szCs w:val="20"/>
          <w:color w:val="auto"/>
        </w:rPr>
        <w:tab/>
      </w:r>
      <w:r>
        <w:rPr>
          <w:rFonts w:ascii="Times New Roman" w:cs="Times New Roman" w:eastAsia="Times New Roman" w:hAnsi="Times New Roman"/>
          <w:sz w:val="18"/>
          <w:szCs w:val="18"/>
          <w:color w:val="auto"/>
        </w:rPr>
        <w:t>If the Owner takes leave – other than maternity leave – and the leave exceeds 60 days, the dates when the warrants shall be vested shall be postponed by a period corresponding to the duration of the leave.</w:t>
      </w:r>
    </w:p>
    <w:p>
      <w:pPr>
        <w:spacing w:after="0" w:line="306" w:lineRule="exact"/>
        <w:rPr>
          <w:sz w:val="20"/>
          <w:szCs w:val="20"/>
          <w:color w:val="auto"/>
        </w:rPr>
      </w:pPr>
    </w:p>
    <w:p>
      <w:pPr>
        <w:ind w:left="544" w:hanging="544"/>
        <w:spacing w:after="0"/>
        <w:tabs>
          <w:tab w:leader="none" w:pos="544"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EXERCISE</w:t>
      </w:r>
    </w:p>
    <w:p>
      <w:pPr>
        <w:spacing w:after="0" w:line="135" w:lineRule="exact"/>
        <w:rPr>
          <w:sz w:val="20"/>
          <w:szCs w:val="20"/>
          <w:color w:val="auto"/>
        </w:rPr>
      </w:pPr>
    </w:p>
    <w:p>
      <w:pPr>
        <w:ind w:left="544" w:right="40" w:hanging="539"/>
        <w:spacing w:after="0" w:line="266" w:lineRule="auto"/>
        <w:tabs>
          <w:tab w:leader="none" w:pos="524"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color w:val="auto"/>
        </w:rPr>
        <w:t>Warrants may be exercised during in four exercise periods each year. Each exercise period begins 2 full trading days after the publication of the public release of earnings data of a fiscal quarter of Ascendis Pharma and runs until the end of the second to last trading day in which quarter the relevant earnings release is published.</w:t>
      </w:r>
    </w:p>
    <w:p>
      <w:pPr>
        <w:spacing w:after="0" w:line="81" w:lineRule="exact"/>
        <w:rPr>
          <w:sz w:val="20"/>
          <w:szCs w:val="20"/>
          <w:color w:val="auto"/>
        </w:rPr>
      </w:pPr>
    </w:p>
    <w:p>
      <w:pPr>
        <w:ind w:left="544" w:right="180" w:hanging="539"/>
        <w:spacing w:after="0" w:line="266" w:lineRule="auto"/>
        <w:tabs>
          <w:tab w:leader="none" w:pos="524"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8"/>
          <w:szCs w:val="18"/>
          <w:color w:val="auto"/>
        </w:rPr>
        <w:t>The Owner’s exercise of warrants is in principle conditional upon the Owner’s status as an employee, consultant or board member of Ascendis Pharma at the time when warrants are exercised. In case of termination of the employment/consultancy relationship or board membership the following shall apply:</w:t>
      </w:r>
    </w:p>
    <w:p>
      <w:pPr>
        <w:spacing w:after="0" w:line="81" w:lineRule="exact"/>
        <w:rPr>
          <w:sz w:val="20"/>
          <w:szCs w:val="20"/>
          <w:color w:val="auto"/>
        </w:rPr>
      </w:pPr>
    </w:p>
    <w:p>
      <w:pPr>
        <w:ind w:left="1184" w:hanging="644"/>
        <w:spacing w:after="0" w:line="233" w:lineRule="auto"/>
        <w:tabs>
          <w:tab w:leader="none" w:pos="118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Ascendis Pharma terminates the employment/consultancy relationship or board membership and the Owner has given Ascendis Pharma good reason to do so, the Owner is only entitled to exercise the warrants vested at the time of termination (however, in case that the Owner is covered by the Danish Act No. 309 of May 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2004 regarding the use of stock options etc. in employment relationships, Ascendis Pharma shall only be deemed to have terminated the Owner’s employment with good reason to the extent the termination is made due to the Owner’s breach of his/her employment relationship).</w:t>
      </w:r>
    </w:p>
    <w:p>
      <w:pPr>
        <w:spacing w:after="0" w:line="94" w:lineRule="exact"/>
        <w:rPr>
          <w:sz w:val="20"/>
          <w:szCs w:val="20"/>
          <w:color w:val="auto"/>
        </w:rPr>
      </w:pPr>
    </w:p>
    <w:p>
      <w:pPr>
        <w:ind w:left="1204"/>
        <w:spacing w:after="0" w:line="256" w:lineRule="auto"/>
        <w:rPr>
          <w:sz w:val="20"/>
          <w:szCs w:val="20"/>
          <w:color w:val="auto"/>
        </w:rPr>
      </w:pPr>
      <w:r>
        <w:rPr>
          <w:rFonts w:ascii="Times New Roman" w:cs="Times New Roman" w:eastAsia="Times New Roman" w:hAnsi="Times New Roman"/>
          <w:sz w:val="18"/>
          <w:szCs w:val="18"/>
          <w:color w:val="auto"/>
        </w:rPr>
        <w:t>Exercise shall take place during the first coming exercise period after termination of the employment/consultancy relationship or board membership, however the Owner shall always have a minimum of 3 months from the date of termination to decide if warrants shall be exercised. To the extent that the first coming exercise period commences within 3 months from the date of actual termination the Owner shall be entitled to exercise the warrants in the exercise period following the first coming exercise period. All vested warrants not exercised by the Owner according to this clause shall become null and void without further notice or compensation or payment of any kind.</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4"/>
          </w:cols>
          <w:pgMar w:left="436" w:top="270" w:right="459" w:bottom="1440" w:gutter="0" w:footer="0" w:header="0"/>
        </w:sectPr>
      </w:pPr>
    </w:p>
    <w:bookmarkStart w:id="27" w:name="page28"/>
    <w:bookmarkEnd w:id="27"/>
    <w:p>
      <w:pPr>
        <w:ind w:left="1184" w:right="40" w:hanging="644"/>
        <w:spacing w:after="0" w:line="258" w:lineRule="auto"/>
        <w:tabs>
          <w:tab w:leader="none" w:pos="118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the event that the Owner terminates the employment/consultancy relationship or the board membership, or in the event that Ascendis Pharma terminates the employment/consultancy relationship or board membership and the Owner has not given Ascendis Pharma good reason to do so, the Owner is entitled to exercise the warrants as if the employment/consultancy relationship or board membership continued unchanged. Exercise shall take place in accordance with the general terms and conditions regarding exercise of warrants stipulated in clause 4.1. This provision shall apply if the employment relationship is terminated due to retirement.</w:t>
      </w:r>
    </w:p>
    <w:p>
      <w:pPr>
        <w:spacing w:after="0" w:line="88" w:lineRule="exact"/>
        <w:rPr>
          <w:rFonts w:ascii="Times New Roman" w:cs="Times New Roman" w:eastAsia="Times New Roman" w:hAnsi="Times New Roman"/>
          <w:sz w:val="18"/>
          <w:szCs w:val="18"/>
          <w:color w:val="auto"/>
        </w:rPr>
      </w:pPr>
    </w:p>
    <w:p>
      <w:pPr>
        <w:ind w:left="1184" w:hanging="644"/>
        <w:spacing w:after="0" w:line="261" w:lineRule="auto"/>
        <w:tabs>
          <w:tab w:leader="none" w:pos="118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employment/consultancy relationship or board membership is terminated due to the death of the Owner, the estate of the Owner is entitled to exercise the issued warrants whether or not they have been vested at the time of the death as if the employment/consultancy relationship or board membership continued unchanged, on the condition that exercise shall take place in accordance with the general terms and conditions regarding exercise of warrants stipulated in clause 4.1.</w:t>
      </w:r>
    </w:p>
    <w:p>
      <w:pPr>
        <w:spacing w:after="0" w:line="324"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ADJUSTMENT OF WARRANTS</w:t>
      </w:r>
    </w:p>
    <w:p>
      <w:pPr>
        <w:spacing w:after="0" w:line="135" w:lineRule="exact"/>
        <w:rPr>
          <w:sz w:val="20"/>
          <w:szCs w:val="20"/>
          <w:color w:val="auto"/>
        </w:rPr>
      </w:pPr>
    </w:p>
    <w:p>
      <w:pPr>
        <w:ind w:left="544" w:right="56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8"/>
          <w:szCs w:val="18"/>
          <w:color w:val="auto"/>
        </w:rPr>
        <w:t>Changes in Ascendis Pharma’s capital structure causing a change of the potential possibility of gain attached to a warrant shall require an adjustment of the warrants.</w:t>
      </w:r>
    </w:p>
    <w:p>
      <w:pPr>
        <w:spacing w:after="0" w:line="67" w:lineRule="exact"/>
        <w:rPr>
          <w:sz w:val="20"/>
          <w:szCs w:val="20"/>
          <w:color w:val="auto"/>
        </w:rPr>
      </w:pPr>
    </w:p>
    <w:p>
      <w:pPr>
        <w:ind w:left="544" w:right="140" w:hanging="539"/>
        <w:spacing w:after="0" w:line="261" w:lineRule="auto"/>
        <w:tabs>
          <w:tab w:leader="none" w:pos="524"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8"/>
          <w:szCs w:val="18"/>
          <w:color w:val="auto"/>
        </w:rPr>
        <w:t>Adjustments upon such a change in Ascendis Pharma’s capital structure shall be made so that the potential possibility of gain attached to a warrant, in so far as possible, shall remain the same before and after the occurrence of an incident causing the adjustment. The adjustment shall be carried out with the assistance of Ascendis Pharma’s external advisor. The adjustment may be effected either by increase or reduction of the number of shares that can be issued following exercise of a warrant and/or an increase or reduction of the exercise price.</w:t>
      </w:r>
    </w:p>
    <w:p>
      <w:pPr>
        <w:spacing w:after="0" w:line="85" w:lineRule="exact"/>
        <w:rPr>
          <w:sz w:val="20"/>
          <w:szCs w:val="20"/>
          <w:color w:val="auto"/>
        </w:rPr>
      </w:pPr>
    </w:p>
    <w:p>
      <w:pPr>
        <w:ind w:left="544" w:right="80" w:hanging="539"/>
        <w:spacing w:after="0" w:line="261" w:lineRule="auto"/>
        <w:tabs>
          <w:tab w:leader="none" w:pos="524"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8"/>
          <w:szCs w:val="18"/>
          <w:color w:val="auto"/>
        </w:rPr>
        <w:t>Warrants shall not be adjusted as a result of Ascendis Pharma’s issue of employee shares, share options and/or warrants as part of employee share option schemes (including options to board members, advisors and consultants) as well as future exercise of such options and/or warrants. Warrants shall, furthermore, not be adjusted as a result of capital increases following the Owners’ and others’ exercise of warrants in Ascendis Pharma.</w:t>
      </w:r>
    </w:p>
    <w:p>
      <w:pPr>
        <w:spacing w:after="0" w:line="8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5.4</w:t>
      </w:r>
      <w:r>
        <w:rPr>
          <w:sz w:val="20"/>
          <w:szCs w:val="20"/>
          <w:color w:val="auto"/>
        </w:rPr>
        <w:tab/>
      </w:r>
      <w:r>
        <w:rPr>
          <w:rFonts w:ascii="Times New Roman" w:cs="Times New Roman" w:eastAsia="Times New Roman" w:hAnsi="Times New Roman"/>
          <w:sz w:val="17"/>
          <w:szCs w:val="17"/>
          <w:b w:val="1"/>
          <w:bCs w:val="1"/>
          <w:u w:val="single" w:color="auto"/>
          <w:color w:val="auto"/>
        </w:rPr>
        <w:t>Bonus shares</w:t>
      </w:r>
      <w:r>
        <w:rPr>
          <w:rFonts w:ascii="Times New Roman" w:cs="Times New Roman" w:eastAsia="Times New Roman" w:hAnsi="Times New Roman"/>
          <w:sz w:val="17"/>
          <w:szCs w:val="17"/>
          <w:color w:val="auto"/>
        </w:rPr>
        <w:t>:</w:t>
      </w:r>
    </w:p>
    <w:p>
      <w:pPr>
        <w:spacing w:after="0" w:line="121"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If it is decided to issue bonus shares in Ascendis Pharma, warrants shall be adjusted as follows:</w:t>
      </w:r>
    </w:p>
    <w:p>
      <w:pPr>
        <w:spacing w:after="0" w:line="117"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The exercise price for each warrant not yet exercised shall be multiplied by the factor: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351155</wp:posOffset>
            </wp:positionH>
            <wp:positionV relativeFrom="paragraph">
              <wp:posOffset>94615</wp:posOffset>
            </wp:positionV>
            <wp:extent cx="1105535" cy="3683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105535" cy="368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and the number of warrants not yet exercised shall be multiplied by the factor:</w:t>
      </w:r>
    </w:p>
    <w:p>
      <w:pPr>
        <w:spacing w:after="0" w:line="117"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u w:val="single" w:color="auto"/>
          <w:color w:val="auto"/>
        </w:rPr>
        <w:t>1</w:t>
      </w:r>
    </w:p>
    <w:p>
      <w:pPr>
        <w:spacing w:after="0" w:line="239"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α</w:t>
      </w:r>
    </w:p>
    <w:p>
      <w:pPr>
        <w:spacing w:after="0" w:line="27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84"/>
          </w:cols>
          <w:pgMar w:left="436" w:top="270" w:right="479" w:bottom="1440" w:gutter="0" w:footer="0" w:header="0"/>
        </w:sectPr>
      </w:pPr>
    </w:p>
    <w:bookmarkStart w:id="28" w:name="page29"/>
    <w:bookmarkEnd w:id="28"/>
    <w:p>
      <w:pPr>
        <w:ind w:left="5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where:</w:t>
      </w:r>
    </w:p>
    <w:p>
      <w:pPr>
        <w:spacing w:after="0" w:line="131" w:lineRule="exact"/>
        <w:rPr>
          <w:sz w:val="20"/>
          <w:szCs w:val="20"/>
          <w:color w:val="auto"/>
        </w:rPr>
      </w:pPr>
    </w:p>
    <w:p>
      <w:pPr>
        <w:ind w:left="1180" w:hanging="644"/>
        <w:spacing w:after="0"/>
        <w:tabs>
          <w:tab w:leader="none" w:pos="11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nominal share capital before issue of bonus shares, and</w:t>
      </w:r>
    </w:p>
    <w:p>
      <w:pPr>
        <w:spacing w:after="0" w:line="130"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the total nominal value of bonus shares.</w:t>
      </w:r>
    </w:p>
    <w:p>
      <w:pPr>
        <w:spacing w:after="0" w:line="117"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adjusted number of shares does not amount to a whole number, the number shall be rounded down to the nearest whole number.</w:t>
      </w:r>
    </w:p>
    <w:p>
      <w:pPr>
        <w:spacing w:after="0" w:line="12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5.5</w:t>
      </w:r>
      <w:r>
        <w:rPr>
          <w:sz w:val="20"/>
          <w:szCs w:val="20"/>
          <w:color w:val="auto"/>
        </w:rPr>
        <w:tab/>
      </w:r>
      <w:r>
        <w:rPr>
          <w:rFonts w:ascii="Times New Roman" w:cs="Times New Roman" w:eastAsia="Times New Roman" w:hAnsi="Times New Roman"/>
          <w:sz w:val="17"/>
          <w:szCs w:val="17"/>
          <w:b w:val="1"/>
          <w:bCs w:val="1"/>
          <w:u w:val="single" w:color="auto"/>
          <w:color w:val="auto"/>
        </w:rPr>
        <w:t>Changes of capital at a price different from the market price</w:t>
      </w:r>
      <w:r>
        <w:rPr>
          <w:rFonts w:ascii="Times New Roman" w:cs="Times New Roman" w:eastAsia="Times New Roman" w:hAnsi="Times New Roman"/>
          <w:sz w:val="17"/>
          <w:szCs w:val="17"/>
          <w:color w:val="auto"/>
        </w:rPr>
        <w:t>:</w:t>
      </w:r>
    </w:p>
    <w:p>
      <w:pPr>
        <w:spacing w:after="0" w:line="121" w:lineRule="exact"/>
        <w:rPr>
          <w:sz w:val="20"/>
          <w:szCs w:val="20"/>
          <w:color w:val="auto"/>
        </w:rPr>
      </w:pPr>
    </w:p>
    <w:p>
      <w:pPr>
        <w:ind w:left="540"/>
        <w:spacing w:after="0" w:line="282" w:lineRule="auto"/>
        <w:rPr>
          <w:sz w:val="20"/>
          <w:szCs w:val="20"/>
          <w:color w:val="auto"/>
        </w:rPr>
      </w:pPr>
      <w:r>
        <w:rPr>
          <w:rFonts w:ascii="Times New Roman" w:cs="Times New Roman" w:eastAsia="Times New Roman" w:hAnsi="Times New Roman"/>
          <w:sz w:val="18"/>
          <w:szCs w:val="18"/>
          <w:color w:val="auto"/>
        </w:rPr>
        <w:t>If it is decided to increase or reduce the share capital in Ascendis Pharma at a price below the market price (in relation to capital decreases also above the market price), warrants shall be adjusted as follows:</w:t>
      </w:r>
    </w:p>
    <w:p>
      <w:pPr>
        <w:spacing w:after="0" w:line="5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exercise price for each non-exercised warrant shall be multiplied by the factor: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348615</wp:posOffset>
            </wp:positionH>
            <wp:positionV relativeFrom="paragraph">
              <wp:posOffset>94615</wp:posOffset>
            </wp:positionV>
            <wp:extent cx="1619885" cy="3771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619885"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and the number of non-exercised warrants shall be multiplied by the factor:</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u w:val="single" w:color="auto"/>
          <w:color w:val="auto"/>
        </w:rPr>
        <w:t>1</w:t>
      </w:r>
    </w:p>
    <w:p>
      <w:pPr>
        <w:spacing w:after="0" w:line="23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α</w:t>
      </w:r>
    </w:p>
    <w:p>
      <w:pPr>
        <w:spacing w:after="0" w:line="23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where:</w:t>
      </w:r>
    </w:p>
    <w:p>
      <w:pPr>
        <w:spacing w:after="0" w:line="131" w:lineRule="exact"/>
        <w:rPr>
          <w:sz w:val="20"/>
          <w:szCs w:val="20"/>
          <w:color w:val="auto"/>
        </w:rPr>
      </w:pPr>
    </w:p>
    <w:p>
      <w:pPr>
        <w:ind w:left="1180" w:hanging="644"/>
        <w:spacing w:after="0"/>
        <w:tabs>
          <w:tab w:leader="none" w:pos="11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nominal share capital before the change in capital</w:t>
      </w:r>
    </w:p>
    <w:p>
      <w:pPr>
        <w:spacing w:after="0" w:line="130"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nominal change in the share capital</w:t>
      </w:r>
    </w:p>
    <w:p>
      <w:pPr>
        <w:spacing w:after="0" w:line="130"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w:t>
      </w:r>
      <w:r>
        <w:rPr>
          <w:rFonts w:ascii="Times New Roman" w:cs="Times New Roman" w:eastAsia="Times New Roman" w:hAnsi="Times New Roman"/>
          <w:sz w:val="17"/>
          <w:szCs w:val="17"/>
          <w:color w:val="auto"/>
        </w:rPr>
        <w:t>= market price / closing price of the share on the day prior to the announcement of the change in the share capital, and</w:t>
      </w:r>
    </w:p>
    <w:p>
      <w:pPr>
        <w:spacing w:after="0" w:line="130"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 subscription price/reduction price in relation to the change in the share capital</w:t>
      </w:r>
    </w:p>
    <w:p>
      <w:pPr>
        <w:spacing w:after="0" w:line="117"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adjusted number of shares does not amount to a whole number, the number shall be rounded down to the nearest whole number.</w:t>
      </w:r>
    </w:p>
    <w:p>
      <w:pPr>
        <w:spacing w:after="0" w:line="12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5.6</w:t>
      </w:r>
      <w:r>
        <w:rPr>
          <w:sz w:val="20"/>
          <w:szCs w:val="20"/>
          <w:color w:val="auto"/>
        </w:rPr>
        <w:tab/>
      </w:r>
      <w:r>
        <w:rPr>
          <w:rFonts w:ascii="Times New Roman" w:cs="Times New Roman" w:eastAsia="Times New Roman" w:hAnsi="Times New Roman"/>
          <w:sz w:val="17"/>
          <w:szCs w:val="17"/>
          <w:b w:val="1"/>
          <w:bCs w:val="1"/>
          <w:u w:val="single" w:color="auto"/>
          <w:color w:val="auto"/>
        </w:rPr>
        <w:t>Changes in the nominal value of each individual share</w:t>
      </w:r>
      <w:r>
        <w:rPr>
          <w:rFonts w:ascii="Times New Roman" w:cs="Times New Roman" w:eastAsia="Times New Roman" w:hAnsi="Times New Roman"/>
          <w:sz w:val="17"/>
          <w:szCs w:val="17"/>
          <w:color w:val="auto"/>
        </w:rPr>
        <w:t>:</w:t>
      </w:r>
    </w:p>
    <w:p>
      <w:pPr>
        <w:spacing w:after="0" w:line="1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If it is decided to change the nominal value of the shares, warrants shall be adjusted as follows:</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exercise price for each non-exercised warrant shall be multiplied by the factor: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348615</wp:posOffset>
            </wp:positionH>
            <wp:positionV relativeFrom="paragraph">
              <wp:posOffset>94615</wp:posOffset>
            </wp:positionV>
            <wp:extent cx="1114425" cy="3683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114425" cy="368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and the number of non-exercised warrants shall be multiplied by the factor:</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840"/>
          </w:cols>
          <w:pgMar w:left="440" w:top="270" w:right="619" w:bottom="1440" w:gutter="0" w:footer="0" w:header="0"/>
        </w:sectPr>
      </w:pPr>
    </w:p>
    <w:bookmarkStart w:id="29" w:name="page30"/>
    <w:bookmarkEnd w:id="29"/>
    <w:p>
      <w:pPr>
        <w:ind w:left="540"/>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w:t>
      </w:r>
    </w:p>
    <w:p>
      <w:pPr>
        <w:spacing w:after="0" w:line="23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α</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where:</w:t>
      </w:r>
    </w:p>
    <w:p>
      <w:pPr>
        <w:spacing w:after="0" w:line="131" w:lineRule="exact"/>
        <w:rPr>
          <w:sz w:val="20"/>
          <w:szCs w:val="20"/>
          <w:color w:val="auto"/>
        </w:rPr>
      </w:pPr>
    </w:p>
    <w:p>
      <w:pPr>
        <w:ind w:left="1180" w:hanging="644"/>
        <w:spacing w:after="0"/>
        <w:tabs>
          <w:tab w:leader="none" w:pos="11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nominal value of each share after the change, and</w:t>
      </w:r>
    </w:p>
    <w:p>
      <w:pPr>
        <w:spacing w:after="0" w:line="130"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nominal value of each share before the change</w:t>
      </w:r>
    </w:p>
    <w:p>
      <w:pPr>
        <w:spacing w:after="0" w:line="117"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adjusted number of shares does not amount to a whole number, the number shall be rounded down to the nearest whole number.</w:t>
      </w:r>
    </w:p>
    <w:p>
      <w:pPr>
        <w:spacing w:after="0" w:line="12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5.7</w:t>
      </w:r>
      <w:r>
        <w:rPr>
          <w:sz w:val="20"/>
          <w:szCs w:val="20"/>
          <w:color w:val="auto"/>
        </w:rPr>
        <w:tab/>
      </w:r>
      <w:r>
        <w:rPr>
          <w:rFonts w:ascii="Times New Roman" w:cs="Times New Roman" w:eastAsia="Times New Roman" w:hAnsi="Times New Roman"/>
          <w:sz w:val="17"/>
          <w:szCs w:val="17"/>
          <w:b w:val="1"/>
          <w:bCs w:val="1"/>
          <w:u w:val="single" w:color="auto"/>
          <w:color w:val="auto"/>
        </w:rPr>
        <w:t>Payment of dividend</w:t>
      </w:r>
      <w:r>
        <w:rPr>
          <w:rFonts w:ascii="Times New Roman" w:cs="Times New Roman" w:eastAsia="Times New Roman" w:hAnsi="Times New Roman"/>
          <w:sz w:val="17"/>
          <w:szCs w:val="17"/>
          <w:color w:val="auto"/>
        </w:rPr>
        <w:t>:</w:t>
      </w:r>
    </w:p>
    <w:p>
      <w:pPr>
        <w:spacing w:after="0" w:line="121" w:lineRule="exact"/>
        <w:rPr>
          <w:sz w:val="20"/>
          <w:szCs w:val="20"/>
          <w:color w:val="auto"/>
        </w:rPr>
      </w:pPr>
    </w:p>
    <w:p>
      <w:pPr>
        <w:ind w:left="540"/>
        <w:spacing w:after="0" w:line="282" w:lineRule="auto"/>
        <w:rPr>
          <w:sz w:val="20"/>
          <w:szCs w:val="20"/>
          <w:color w:val="auto"/>
        </w:rPr>
      </w:pPr>
      <w:r>
        <w:rPr>
          <w:rFonts w:ascii="Times New Roman" w:cs="Times New Roman" w:eastAsia="Times New Roman" w:hAnsi="Times New Roman"/>
          <w:sz w:val="18"/>
          <w:szCs w:val="18"/>
          <w:color w:val="auto"/>
        </w:rPr>
        <w:t>If it is decided to pay dividends, the part of the dividends exceeding 10 per cent of the equity capital shall lead to adjustment of the exercise price according to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348615</wp:posOffset>
            </wp:positionH>
            <wp:positionV relativeFrom="paragraph">
              <wp:posOffset>53975</wp:posOffset>
            </wp:positionV>
            <wp:extent cx="1671320" cy="3689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671320"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where:</w:t>
      </w:r>
    </w:p>
    <w:p>
      <w:pPr>
        <w:spacing w:after="0" w:line="252" w:lineRule="exact"/>
        <w:rPr>
          <w:sz w:val="20"/>
          <w:szCs w:val="20"/>
          <w:color w:val="auto"/>
        </w:rPr>
      </w:pPr>
    </w:p>
    <w:p>
      <w:pPr>
        <w:ind w:left="540"/>
        <w:spacing w:after="0"/>
        <w:tabs>
          <w:tab w:leader="none" w:pos="1160" w:val="left"/>
        </w:tabs>
        <w:rPr>
          <w:sz w:val="20"/>
          <w:szCs w:val="20"/>
          <w:color w:val="auto"/>
        </w:rPr>
      </w:pPr>
      <w:r>
        <w:rPr>
          <w:rFonts w:ascii="Times New Roman" w:cs="Times New Roman" w:eastAsia="Times New Roman" w:hAnsi="Times New Roman"/>
          <w:sz w:val="18"/>
          <w:szCs w:val="18"/>
          <w:color w:val="auto"/>
        </w:rPr>
        <w:t>E2</w:t>
      </w:r>
      <w:r>
        <w:rPr>
          <w:sz w:val="20"/>
          <w:szCs w:val="20"/>
          <w:color w:val="auto"/>
        </w:rPr>
        <w:tab/>
      </w:r>
      <w:r>
        <w:rPr>
          <w:rFonts w:ascii="Times New Roman" w:cs="Times New Roman" w:eastAsia="Times New Roman" w:hAnsi="Times New Roman"/>
          <w:sz w:val="18"/>
          <w:szCs w:val="18"/>
          <w:color w:val="auto"/>
        </w:rPr>
        <w:t>= the adjusted exercise price</w:t>
      </w:r>
    </w:p>
    <w:p>
      <w:pPr>
        <w:spacing w:after="0" w:line="131" w:lineRule="exact"/>
        <w:rPr>
          <w:sz w:val="20"/>
          <w:szCs w:val="20"/>
          <w:color w:val="auto"/>
        </w:rPr>
      </w:pPr>
    </w:p>
    <w:p>
      <w:pPr>
        <w:ind w:left="540"/>
        <w:spacing w:after="0"/>
        <w:tabs>
          <w:tab w:leader="none" w:pos="1160" w:val="left"/>
        </w:tabs>
        <w:rPr>
          <w:sz w:val="20"/>
          <w:szCs w:val="20"/>
          <w:color w:val="auto"/>
        </w:rPr>
      </w:pPr>
      <w:r>
        <w:rPr>
          <w:rFonts w:ascii="Times New Roman" w:cs="Times New Roman" w:eastAsia="Times New Roman" w:hAnsi="Times New Roman"/>
          <w:sz w:val="18"/>
          <w:szCs w:val="18"/>
          <w:color w:val="auto"/>
        </w:rPr>
        <w:t>E1</w:t>
      </w:r>
      <w:r>
        <w:rPr>
          <w:sz w:val="20"/>
          <w:szCs w:val="20"/>
          <w:color w:val="auto"/>
        </w:rPr>
        <w:tab/>
      </w:r>
      <w:r>
        <w:rPr>
          <w:rFonts w:ascii="Times New Roman" w:cs="Times New Roman" w:eastAsia="Times New Roman" w:hAnsi="Times New Roman"/>
          <w:sz w:val="18"/>
          <w:szCs w:val="18"/>
          <w:color w:val="auto"/>
        </w:rPr>
        <w:t>= the original exercise price</w:t>
      </w:r>
    </w:p>
    <w:p>
      <w:pPr>
        <w:spacing w:after="0" w:line="131" w:lineRule="exact"/>
        <w:rPr>
          <w:sz w:val="20"/>
          <w:szCs w:val="20"/>
          <w:color w:val="auto"/>
        </w:rPr>
      </w:pPr>
    </w:p>
    <w:p>
      <w:pPr>
        <w:ind w:left="1180" w:hanging="644"/>
        <w:spacing w:after="0"/>
        <w:tabs>
          <w:tab w:leader="none" w:pos="11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dividends paid out</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Umax = 10 per cent of the equity capital, and</w:t>
      </w:r>
    </w:p>
    <w:p>
      <w:pPr>
        <w:spacing w:after="0" w:line="131" w:lineRule="exact"/>
        <w:rPr>
          <w:sz w:val="20"/>
          <w:szCs w:val="20"/>
          <w:color w:val="auto"/>
        </w:rPr>
      </w:pPr>
    </w:p>
    <w:p>
      <w:pPr>
        <w:ind w:left="1180" w:hanging="644"/>
        <w:spacing w:after="0"/>
        <w:tabs>
          <w:tab w:leader="none" w:pos="11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total number of shares in Ascendis Pharma</w:t>
      </w:r>
    </w:p>
    <w:p>
      <w:pPr>
        <w:spacing w:after="0" w:line="117" w:lineRule="exact"/>
        <w:rPr>
          <w:sz w:val="20"/>
          <w:szCs w:val="20"/>
          <w:color w:val="auto"/>
        </w:rPr>
      </w:pPr>
    </w:p>
    <w:p>
      <w:pPr>
        <w:ind w:left="540" w:right="420"/>
        <w:spacing w:after="0" w:line="282" w:lineRule="auto"/>
        <w:rPr>
          <w:sz w:val="20"/>
          <w:szCs w:val="20"/>
          <w:color w:val="auto"/>
        </w:rPr>
      </w:pPr>
      <w:r>
        <w:rPr>
          <w:rFonts w:ascii="Times New Roman" w:cs="Times New Roman" w:eastAsia="Times New Roman" w:hAnsi="Times New Roman"/>
          <w:sz w:val="18"/>
          <w:szCs w:val="18"/>
          <w:color w:val="auto"/>
        </w:rPr>
        <w:t>The equity capital that shall form the basis of the adjustment above is the equity capital stipulated in the Annual Report to be adopted at the General Meeting where dividends shall be approved before allocation hereof has been made in the Annual Report.</w:t>
      </w:r>
    </w:p>
    <w:p>
      <w:pPr>
        <w:spacing w:after="0" w:line="6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5.8</w:t>
      </w:r>
      <w:r>
        <w:rPr>
          <w:sz w:val="20"/>
          <w:szCs w:val="20"/>
          <w:color w:val="auto"/>
        </w:rPr>
        <w:tab/>
      </w:r>
      <w:r>
        <w:rPr>
          <w:rFonts w:ascii="Times New Roman" w:cs="Times New Roman" w:eastAsia="Times New Roman" w:hAnsi="Times New Roman"/>
          <w:sz w:val="17"/>
          <w:szCs w:val="17"/>
          <w:b w:val="1"/>
          <w:bCs w:val="1"/>
          <w:u w:val="single" w:color="auto"/>
          <w:color w:val="auto"/>
        </w:rPr>
        <w:t>Other changes in Ascendis Pharma’s capital position</w:t>
      </w:r>
      <w:r>
        <w:rPr>
          <w:rFonts w:ascii="Times New Roman" w:cs="Times New Roman" w:eastAsia="Times New Roman" w:hAnsi="Times New Roman"/>
          <w:sz w:val="17"/>
          <w:szCs w:val="17"/>
          <w:color w:val="auto"/>
        </w:rPr>
        <w:t>:</w:t>
      </w:r>
    </w:p>
    <w:p>
      <w:pPr>
        <w:spacing w:after="0" w:line="121" w:lineRule="exact"/>
        <w:rPr>
          <w:sz w:val="20"/>
          <w:szCs w:val="20"/>
          <w:color w:val="auto"/>
        </w:rPr>
      </w:pPr>
    </w:p>
    <w:p>
      <w:pPr>
        <w:ind w:left="540" w:right="260"/>
        <w:spacing w:after="0" w:line="282" w:lineRule="auto"/>
        <w:rPr>
          <w:sz w:val="20"/>
          <w:szCs w:val="20"/>
          <w:color w:val="auto"/>
        </w:rPr>
      </w:pPr>
      <w:r>
        <w:rPr>
          <w:rFonts w:ascii="Times New Roman" w:cs="Times New Roman" w:eastAsia="Times New Roman" w:hAnsi="Times New Roman"/>
          <w:sz w:val="18"/>
          <w:szCs w:val="18"/>
          <w:color w:val="auto"/>
        </w:rPr>
        <w:t>In the event of other changes in Ascendis Pharma’s capital position causing changes to the financial value of warrants, warrants shall (save as provided above) be adjusted in order to ensure that the changes do not influence the financial value of the warrants.</w:t>
      </w:r>
    </w:p>
    <w:p>
      <w:pPr>
        <w:spacing w:after="0" w:line="5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calculation method to be applied to the adjustment shall be decided by an external advisor appointed by the Board of Directors.</w:t>
      </w:r>
    </w:p>
    <w:p>
      <w:pPr>
        <w:spacing w:after="0" w:line="117" w:lineRule="exact"/>
        <w:rPr>
          <w:sz w:val="20"/>
          <w:szCs w:val="20"/>
          <w:color w:val="auto"/>
        </w:rPr>
      </w:pPr>
    </w:p>
    <w:p>
      <w:pPr>
        <w:ind w:left="540" w:right="120"/>
        <w:spacing w:after="0" w:line="282" w:lineRule="auto"/>
        <w:rPr>
          <w:sz w:val="20"/>
          <w:szCs w:val="20"/>
          <w:color w:val="auto"/>
        </w:rPr>
      </w:pPr>
      <w:r>
        <w:rPr>
          <w:rFonts w:ascii="Times New Roman" w:cs="Times New Roman" w:eastAsia="Times New Roman" w:hAnsi="Times New Roman"/>
          <w:sz w:val="18"/>
          <w:szCs w:val="18"/>
          <w:color w:val="auto"/>
        </w:rPr>
        <w:t>It is emphasized that increase or reduction of Ascendis Pharma’s share capital at market price does not lead to an adjustment of the subscription price or the number of shares to be subscribed.</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0"/>
          </w:cols>
          <w:pgMar w:left="440" w:top="270" w:right="459" w:bottom="1440" w:gutter="0" w:footer="0" w:header="0"/>
        </w:sectPr>
      </w:pPr>
    </w:p>
    <w:bookmarkStart w:id="30" w:name="page31"/>
    <w:bookmarkEnd w:id="30"/>
    <w:p>
      <w:pPr>
        <w:spacing w:after="0"/>
        <w:tabs>
          <w:tab w:leader="none" w:pos="5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5.9</w:t>
      </w:r>
      <w:r>
        <w:rPr>
          <w:sz w:val="20"/>
          <w:szCs w:val="20"/>
          <w:color w:val="auto"/>
        </w:rPr>
        <w:tab/>
      </w:r>
      <w:r>
        <w:rPr>
          <w:rFonts w:ascii="Times New Roman" w:cs="Times New Roman" w:eastAsia="Times New Roman" w:hAnsi="Times New Roman"/>
          <w:sz w:val="17"/>
          <w:szCs w:val="17"/>
          <w:b w:val="1"/>
          <w:bCs w:val="1"/>
          <w:u w:val="single" w:color="auto"/>
          <w:color w:val="auto"/>
        </w:rPr>
        <w:t>Winding-up</w:t>
      </w:r>
      <w:r>
        <w:rPr>
          <w:rFonts w:ascii="Times New Roman" w:cs="Times New Roman" w:eastAsia="Times New Roman" w:hAnsi="Times New Roman"/>
          <w:sz w:val="17"/>
          <w:szCs w:val="17"/>
          <w:color w:val="auto"/>
        </w:rPr>
        <w:t>:</w:t>
      </w:r>
    </w:p>
    <w:p>
      <w:pPr>
        <w:spacing w:after="0" w:line="121" w:lineRule="exact"/>
        <w:rPr>
          <w:sz w:val="20"/>
          <w:szCs w:val="20"/>
          <w:color w:val="auto"/>
        </w:rPr>
      </w:pPr>
    </w:p>
    <w:p>
      <w:pPr>
        <w:ind w:left="540" w:right="140"/>
        <w:spacing w:after="0" w:line="282" w:lineRule="auto"/>
        <w:rPr>
          <w:sz w:val="20"/>
          <w:szCs w:val="20"/>
          <w:color w:val="auto"/>
        </w:rPr>
      </w:pPr>
      <w:r>
        <w:rPr>
          <w:rFonts w:ascii="Times New Roman" w:cs="Times New Roman" w:eastAsia="Times New Roman" w:hAnsi="Times New Roman"/>
          <w:sz w:val="18"/>
          <w:szCs w:val="18"/>
          <w:color w:val="auto"/>
        </w:rPr>
        <w:t xml:space="preserve">Should Ascendis Pharma be liquidated, the vesting time for </w:t>
      </w:r>
      <w:r>
        <w:rPr>
          <w:rFonts w:ascii="Times New Roman" w:cs="Times New Roman" w:eastAsia="Times New Roman" w:hAnsi="Times New Roman"/>
          <w:sz w:val="18"/>
          <w:szCs w:val="18"/>
          <w:u w:val="single" w:color="auto"/>
          <w:color w:val="auto"/>
        </w:rPr>
        <w:t>all</w:t>
      </w:r>
      <w:r>
        <w:rPr>
          <w:rFonts w:ascii="Times New Roman" w:cs="Times New Roman" w:eastAsia="Times New Roman" w:hAnsi="Times New Roman"/>
          <w:sz w:val="18"/>
          <w:szCs w:val="18"/>
          <w:color w:val="auto"/>
        </w:rPr>
        <w:t xml:space="preserve"> non-exercised warrants shall be changed so that the Owner may exercise his/her warrants in an extraordinary exercise period immediately preceding the relevant transaction.</w:t>
      </w:r>
    </w:p>
    <w:p>
      <w:pPr>
        <w:spacing w:after="0" w:line="6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5.10</w:t>
      </w:r>
      <w:r>
        <w:rPr>
          <w:sz w:val="20"/>
          <w:szCs w:val="20"/>
          <w:color w:val="auto"/>
        </w:rPr>
        <w:tab/>
      </w:r>
      <w:r>
        <w:rPr>
          <w:rFonts w:ascii="Times New Roman" w:cs="Times New Roman" w:eastAsia="Times New Roman" w:hAnsi="Times New Roman"/>
          <w:sz w:val="17"/>
          <w:szCs w:val="17"/>
          <w:b w:val="1"/>
          <w:bCs w:val="1"/>
          <w:u w:val="single" w:color="auto"/>
          <w:color w:val="auto"/>
        </w:rPr>
        <w:t>Merger and split</w:t>
      </w:r>
      <w:r>
        <w:rPr>
          <w:rFonts w:ascii="Times New Roman" w:cs="Times New Roman" w:eastAsia="Times New Roman" w:hAnsi="Times New Roman"/>
          <w:sz w:val="17"/>
          <w:szCs w:val="17"/>
          <w:color w:val="auto"/>
        </w:rPr>
        <w:t>:</w:t>
      </w:r>
    </w:p>
    <w:p>
      <w:pPr>
        <w:spacing w:after="0" w:line="121" w:lineRule="exact"/>
        <w:rPr>
          <w:sz w:val="20"/>
          <w:szCs w:val="20"/>
          <w:color w:val="auto"/>
        </w:rPr>
      </w:pPr>
    </w:p>
    <w:p>
      <w:pPr>
        <w:ind w:left="540" w:right="340"/>
        <w:spacing w:after="0" w:line="282" w:lineRule="auto"/>
        <w:rPr>
          <w:sz w:val="20"/>
          <w:szCs w:val="20"/>
          <w:color w:val="auto"/>
        </w:rPr>
      </w:pPr>
      <w:r>
        <w:rPr>
          <w:rFonts w:ascii="Times New Roman" w:cs="Times New Roman" w:eastAsia="Times New Roman" w:hAnsi="Times New Roman"/>
          <w:sz w:val="18"/>
          <w:szCs w:val="18"/>
          <w:color w:val="auto"/>
        </w:rPr>
        <w:t>If Ascendis Pharma merges as the continuing company, warrants shall remain unaffected unless, in connection with the merger, the capital is increased at a price other than the market price and in that case warrants shall be adjusted in accordance with clause 5.5.</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If Ascendis Pharma merges as the terminating company or is split, the continuing company may choose one of the following possibilities:</w:t>
      </w:r>
    </w:p>
    <w:p>
      <w:pPr>
        <w:spacing w:after="0" w:line="131" w:lineRule="exact"/>
        <w:rPr>
          <w:sz w:val="20"/>
          <w:szCs w:val="20"/>
          <w:color w:val="auto"/>
        </w:rPr>
      </w:pPr>
    </w:p>
    <w:p>
      <w:pPr>
        <w:ind w:left="960" w:hanging="424"/>
        <w:spacing w:after="0"/>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 may exercise all non-exercised warrants (inclusive of warrants not yet vested) immediately before the merger/split, or</w:t>
      </w:r>
    </w:p>
    <w:p>
      <w:pPr>
        <w:spacing w:after="0" w:line="130" w:lineRule="exact"/>
        <w:rPr>
          <w:rFonts w:ascii="Times New Roman" w:cs="Times New Roman" w:eastAsia="Times New Roman" w:hAnsi="Times New Roman"/>
          <w:sz w:val="18"/>
          <w:szCs w:val="18"/>
          <w:color w:val="auto"/>
        </w:rPr>
      </w:pPr>
    </w:p>
    <w:p>
      <w:pPr>
        <w:ind w:left="960" w:hanging="424"/>
        <w:spacing w:after="0" w:line="282" w:lineRule="auto"/>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share instruments in the continuing company/companies of a corresponding financial pre-tax value shall replace the warrants. On split the continuing companies may decide in which company/companies the Owners shall receive the new share instruments.</w:t>
      </w:r>
    </w:p>
    <w:p>
      <w:pPr>
        <w:spacing w:after="0" w:line="6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5.11</w:t>
      </w:r>
      <w:r>
        <w:rPr>
          <w:sz w:val="20"/>
          <w:szCs w:val="20"/>
          <w:color w:val="auto"/>
        </w:rPr>
        <w:tab/>
      </w:r>
      <w:r>
        <w:rPr>
          <w:rFonts w:ascii="Times New Roman" w:cs="Times New Roman" w:eastAsia="Times New Roman" w:hAnsi="Times New Roman"/>
          <w:sz w:val="17"/>
          <w:szCs w:val="17"/>
          <w:b w:val="1"/>
          <w:bCs w:val="1"/>
          <w:u w:val="single" w:color="auto"/>
          <w:color w:val="auto"/>
        </w:rPr>
        <w:t>Sale and exchange of shares</w:t>
      </w:r>
      <w:r>
        <w:rPr>
          <w:rFonts w:ascii="Times New Roman" w:cs="Times New Roman" w:eastAsia="Times New Roman" w:hAnsi="Times New Roman"/>
          <w:sz w:val="17"/>
          <w:szCs w:val="17"/>
          <w:color w:val="auto"/>
        </w:rPr>
        <w:t>:</w:t>
      </w:r>
    </w:p>
    <w:p>
      <w:pPr>
        <w:spacing w:after="0" w:line="121" w:lineRule="exact"/>
        <w:rPr>
          <w:sz w:val="20"/>
          <w:szCs w:val="20"/>
          <w:color w:val="auto"/>
        </w:rPr>
      </w:pPr>
    </w:p>
    <w:p>
      <w:pPr>
        <w:ind w:left="540" w:right="460"/>
        <w:spacing w:after="0" w:line="282" w:lineRule="auto"/>
        <w:rPr>
          <w:sz w:val="20"/>
          <w:szCs w:val="20"/>
          <w:color w:val="auto"/>
        </w:rPr>
      </w:pPr>
      <w:r>
        <w:rPr>
          <w:rFonts w:ascii="Times New Roman" w:cs="Times New Roman" w:eastAsia="Times New Roman" w:hAnsi="Times New Roman"/>
          <w:sz w:val="18"/>
          <w:szCs w:val="18"/>
          <w:color w:val="auto"/>
        </w:rPr>
        <w:t>If more than 50 per cent of the share capital in Ascendis Pharma is sold or is part of a share swap, Ascendis Pharma may choose one of the following possibilities:</w:t>
      </w:r>
    </w:p>
    <w:p>
      <w:pPr>
        <w:spacing w:after="0" w:line="67" w:lineRule="exact"/>
        <w:rPr>
          <w:sz w:val="20"/>
          <w:szCs w:val="20"/>
          <w:color w:val="auto"/>
        </w:rPr>
      </w:pPr>
    </w:p>
    <w:p>
      <w:pPr>
        <w:jc w:val="both"/>
        <w:ind w:left="960" w:right="120" w:hanging="424"/>
        <w:spacing w:after="0" w:line="266" w:lineRule="auto"/>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 may exercise all non-exercised warrants that are not declared null and void (inclusive of warrants not yet vested) immediately before the sale/swap of shares. Furthermore, the Owner shall undertake an obligation to sell the subscribed shares on the same conditions as the other shareholders (when selling).</w:t>
      </w:r>
    </w:p>
    <w:p>
      <w:pPr>
        <w:spacing w:after="0" w:line="81"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instruments in the acquiring company of a corresponding pre-tax value shall replace the issued warrants.</w:t>
      </w:r>
    </w:p>
    <w:p>
      <w:pPr>
        <w:spacing w:after="0" w:line="12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5.12</w:t>
      </w:r>
      <w:r>
        <w:rPr>
          <w:sz w:val="20"/>
          <w:szCs w:val="20"/>
          <w:color w:val="auto"/>
        </w:rPr>
        <w:tab/>
      </w:r>
      <w:r>
        <w:rPr>
          <w:rFonts w:ascii="Times New Roman" w:cs="Times New Roman" w:eastAsia="Times New Roman" w:hAnsi="Times New Roman"/>
          <w:sz w:val="17"/>
          <w:szCs w:val="17"/>
          <w:b w:val="1"/>
          <w:bCs w:val="1"/>
          <w:u w:val="single" w:color="auto"/>
          <w:color w:val="auto"/>
        </w:rPr>
        <w:t>Common provisions regarding clause 5.9 - 5.11</w:t>
      </w:r>
      <w:r>
        <w:rPr>
          <w:rFonts w:ascii="Times New Roman" w:cs="Times New Roman" w:eastAsia="Times New Roman" w:hAnsi="Times New Roman"/>
          <w:sz w:val="17"/>
          <w:szCs w:val="17"/>
          <w:color w:val="auto"/>
        </w:rPr>
        <w:t>:</w:t>
      </w:r>
    </w:p>
    <w:p>
      <w:pPr>
        <w:spacing w:after="0" w:line="121" w:lineRule="exact"/>
        <w:rPr>
          <w:sz w:val="20"/>
          <w:szCs w:val="20"/>
          <w:color w:val="auto"/>
        </w:rPr>
      </w:pPr>
    </w:p>
    <w:p>
      <w:pPr>
        <w:ind w:left="540" w:right="20"/>
        <w:spacing w:after="0" w:line="261" w:lineRule="auto"/>
        <w:rPr>
          <w:sz w:val="20"/>
          <w:szCs w:val="20"/>
          <w:color w:val="auto"/>
        </w:rPr>
      </w:pPr>
      <w:r>
        <w:rPr>
          <w:rFonts w:ascii="Times New Roman" w:cs="Times New Roman" w:eastAsia="Times New Roman" w:hAnsi="Times New Roman"/>
          <w:sz w:val="18"/>
          <w:szCs w:val="18"/>
          <w:color w:val="auto"/>
        </w:rPr>
        <w:t>In case of one of the transactions mentioned above, Ascendis Pharma shall inform the Owner hereof by written notice. Upon receipt of the written notice, the Owner shall have 2 weeks – in cases where the Owner may extraordinarily exercise warrants, see clause 5.9 - 5.11 – to inform Ascendis Pharma in writing whether he/she will make use of the offer. If the Owner has not answered Ascendis Pharma in writing within the limit of 2 weeks or fails to pay within the fixed time, warrants shall become null and void without further notice or compensation.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0"/>
          </w:cols>
          <w:pgMar w:left="440" w:top="266" w:right="459" w:bottom="1440" w:gutter="0" w:footer="0" w:header="0"/>
        </w:sectPr>
      </w:pPr>
    </w:p>
    <w:bookmarkStart w:id="31" w:name="page32"/>
    <w:bookmarkEnd w:id="31"/>
    <w:p>
      <w:pPr>
        <w:ind w:left="544"/>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Owner’s rights in connection with decisions made by any competent company body, see clause 5.9—5.11, shall be contingent on subsequent registration of the relevant decision with the Danish Business Authority provided that registration is a condition of its validity.</w:t>
      </w:r>
    </w:p>
    <w:p>
      <w:pPr>
        <w:spacing w:after="0" w:line="306" w:lineRule="exact"/>
        <w:rPr>
          <w:sz w:val="20"/>
          <w:szCs w:val="20"/>
          <w:color w:val="auto"/>
        </w:rPr>
      </w:pPr>
    </w:p>
    <w:p>
      <w:pPr>
        <w:ind w:left="544" w:hanging="544"/>
        <w:spacing w:after="0"/>
        <w:tabs>
          <w:tab w:leader="none" w:pos="544"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TRANSFER, PLEDGE AND ENFORCEMENT</w:t>
      </w:r>
    </w:p>
    <w:p>
      <w:pPr>
        <w:spacing w:after="0" w:line="135" w:lineRule="exact"/>
        <w:rPr>
          <w:sz w:val="20"/>
          <w:szCs w:val="20"/>
          <w:color w:val="auto"/>
        </w:rPr>
      </w:pPr>
    </w:p>
    <w:p>
      <w:pPr>
        <w:ind w:left="544" w:right="80" w:hanging="539"/>
        <w:spacing w:after="0" w:line="266" w:lineRule="auto"/>
        <w:tabs>
          <w:tab w:leader="none" w:pos="524"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8"/>
          <w:szCs w:val="18"/>
          <w:color w:val="auto"/>
        </w:rPr>
        <w:t>Issued warrants shall not be subject to charging orders, transfers of any kind, including in connection with division of property on divorce or legal separation, for ownership or as security without the consent of the Board of Directors. The Owner’s warrants may, however, be transferred to the Owner’s spouse/cohabitant and/or issue in the event of the Owner’s death.</w:t>
      </w:r>
    </w:p>
    <w:p>
      <w:pPr>
        <w:spacing w:after="0" w:line="320" w:lineRule="exact"/>
        <w:rPr>
          <w:sz w:val="20"/>
          <w:szCs w:val="20"/>
          <w:color w:val="auto"/>
        </w:rPr>
      </w:pPr>
    </w:p>
    <w:p>
      <w:pPr>
        <w:ind w:left="544" w:hanging="544"/>
        <w:spacing w:after="0"/>
        <w:tabs>
          <w:tab w:leader="none" w:pos="544"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SUBSCRIPTION FOR NEW SHARES BY EXERCISE OF WARRANTS</w:t>
      </w:r>
    </w:p>
    <w:p>
      <w:pPr>
        <w:spacing w:after="0" w:line="135" w:lineRule="exact"/>
        <w:rPr>
          <w:sz w:val="20"/>
          <w:szCs w:val="20"/>
          <w:color w:val="auto"/>
        </w:rPr>
      </w:pPr>
    </w:p>
    <w:p>
      <w:pPr>
        <w:ind w:left="544" w:right="160" w:hanging="539"/>
        <w:spacing w:after="0" w:line="213" w:lineRule="auto"/>
        <w:tabs>
          <w:tab w:leader="none" w:pos="524"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8"/>
          <w:szCs w:val="18"/>
          <w:color w:val="auto"/>
        </w:rPr>
        <w:t>The Warrants will lapse automatically, without prior notice and without compensation of any kind on the tenth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anniversary of the date of grant.</w:t>
      </w:r>
    </w:p>
    <w:p>
      <w:pPr>
        <w:spacing w:after="0" w:line="104" w:lineRule="exact"/>
        <w:rPr>
          <w:sz w:val="20"/>
          <w:szCs w:val="20"/>
          <w:color w:val="auto"/>
        </w:rPr>
      </w:pPr>
    </w:p>
    <w:p>
      <w:pPr>
        <w:ind w:left="544" w:right="100" w:hanging="539"/>
        <w:spacing w:after="0" w:line="261" w:lineRule="auto"/>
        <w:tabs>
          <w:tab w:leader="none" w:pos="524" w:val="left"/>
        </w:tabs>
        <w:rPr>
          <w:sz w:val="20"/>
          <w:szCs w:val="20"/>
          <w:color w:val="auto"/>
        </w:rPr>
      </w:pPr>
      <w:r>
        <w:rPr>
          <w:rFonts w:ascii="Times New Roman" w:cs="Times New Roman" w:eastAsia="Times New Roman" w:hAnsi="Times New Roman"/>
          <w:sz w:val="18"/>
          <w:szCs w:val="18"/>
          <w:color w:val="auto"/>
        </w:rPr>
        <w:t>7.2</w:t>
      </w:r>
      <w:r>
        <w:rPr>
          <w:sz w:val="20"/>
          <w:szCs w:val="20"/>
          <w:color w:val="auto"/>
        </w:rPr>
        <w:tab/>
      </w:r>
      <w:r>
        <w:rPr>
          <w:rFonts w:ascii="Times New Roman" w:cs="Times New Roman" w:eastAsia="Times New Roman" w:hAnsi="Times New Roman"/>
          <w:sz w:val="18"/>
          <w:szCs w:val="18"/>
          <w:color w:val="auto"/>
        </w:rPr>
        <w:t xml:space="preserve">Subscription for new shares by exercise of issued warrants must be made through submission by the Owner </w:t>
      </w:r>
      <w:r>
        <w:rPr>
          <w:rFonts w:ascii="Times New Roman" w:cs="Times New Roman" w:eastAsia="Times New Roman" w:hAnsi="Times New Roman"/>
          <w:sz w:val="18"/>
          <w:szCs w:val="18"/>
          <w:u w:val="single" w:color="auto"/>
          <w:color w:val="auto"/>
        </w:rPr>
        <w:t>no later than</w:t>
      </w:r>
      <w:r>
        <w:rPr>
          <w:rFonts w:ascii="Times New Roman" w:cs="Times New Roman" w:eastAsia="Times New Roman" w:hAnsi="Times New Roman"/>
          <w:sz w:val="18"/>
          <w:szCs w:val="18"/>
          <w:color w:val="auto"/>
        </w:rPr>
        <w:t xml:space="preserve"> the last day of the relevant exercise period at 16:00 CET to Ascendis Pharma of an exercise notice drafted by Ascendis Pharma. The exercise notice shall be filled in with all information. The company must have received the exercise price for the new shares, payable as a cash contribution concurrent with the delivery of the exercise notice and by the last day of the relevant exercise period.</w:t>
      </w:r>
    </w:p>
    <w:p>
      <w:pPr>
        <w:spacing w:after="0" w:line="85" w:lineRule="exact"/>
        <w:rPr>
          <w:sz w:val="20"/>
          <w:szCs w:val="20"/>
          <w:color w:val="auto"/>
        </w:rPr>
      </w:pPr>
    </w:p>
    <w:p>
      <w:pPr>
        <w:ind w:left="544" w:right="160" w:hanging="539"/>
        <w:spacing w:after="0" w:line="266" w:lineRule="auto"/>
        <w:tabs>
          <w:tab w:leader="none" w:pos="524" w:val="left"/>
        </w:tabs>
        <w:rPr>
          <w:sz w:val="20"/>
          <w:szCs w:val="20"/>
          <w:color w:val="auto"/>
        </w:rPr>
      </w:pPr>
      <w:r>
        <w:rPr>
          <w:rFonts w:ascii="Times New Roman" w:cs="Times New Roman" w:eastAsia="Times New Roman" w:hAnsi="Times New Roman"/>
          <w:sz w:val="18"/>
          <w:szCs w:val="18"/>
          <w:color w:val="auto"/>
        </w:rPr>
        <w:t>7.3</w:t>
      </w:r>
      <w:r>
        <w:rPr>
          <w:sz w:val="20"/>
          <w:szCs w:val="20"/>
          <w:color w:val="auto"/>
        </w:rPr>
        <w:tab/>
      </w:r>
      <w:r>
        <w:rPr>
          <w:rFonts w:ascii="Times New Roman" w:cs="Times New Roman" w:eastAsia="Times New Roman" w:hAnsi="Times New Roman"/>
          <w:sz w:val="18"/>
          <w:szCs w:val="18"/>
          <w:color w:val="auto"/>
        </w:rPr>
        <w:t>If the limitation period set forth in clause 7.2 expires as a result of Ascendis Pharma not having received the filled-in exercise notice or the payment by 16:00 CET of the last day of the exercise period, the subscription shall be deemed invalid, and in this situation the Owner shall not be considered as having exercised his/her warrants for a possible subsequent exercise period.</w:t>
      </w:r>
    </w:p>
    <w:p>
      <w:pPr>
        <w:spacing w:after="0" w:line="320" w:lineRule="exact"/>
        <w:rPr>
          <w:sz w:val="20"/>
          <w:szCs w:val="20"/>
          <w:color w:val="auto"/>
        </w:rPr>
      </w:pPr>
    </w:p>
    <w:p>
      <w:pPr>
        <w:ind w:left="544" w:hanging="544"/>
        <w:spacing w:after="0"/>
        <w:tabs>
          <w:tab w:leader="none" w:pos="544"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RIGHTS OF NEW ORDINARY SHARES</w:t>
      </w:r>
    </w:p>
    <w:p>
      <w:pPr>
        <w:spacing w:after="0" w:line="135" w:lineRule="exact"/>
        <w:rPr>
          <w:sz w:val="20"/>
          <w:szCs w:val="20"/>
          <w:color w:val="auto"/>
        </w:rPr>
      </w:pPr>
    </w:p>
    <w:p>
      <w:pPr>
        <w:ind w:left="544" w:right="6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8"/>
          <w:szCs w:val="18"/>
          <w:color w:val="auto"/>
        </w:rPr>
        <w:t>New shares subscribed for by exercise of issued warrants shall in every respect have the same rights as the present shares in Ascendis Pharma in accordance with the Articles of Association for Ascendis Pharma in force from time to time. For the time being, the following shall apply:</w:t>
      </w:r>
    </w:p>
    <w:p>
      <w:pPr>
        <w:spacing w:after="0" w:line="67" w:lineRule="exact"/>
        <w:rPr>
          <w:sz w:val="20"/>
          <w:szCs w:val="20"/>
          <w:color w:val="auto"/>
        </w:rPr>
      </w:pPr>
    </w:p>
    <w:p>
      <w:pPr>
        <w:ind w:left="964" w:hanging="424"/>
        <w:spacing w:after="0"/>
        <w:tabs>
          <w:tab w:leader="none" w:pos="96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Ascendis Pharma’s shareholders shall hold no pre-emptive rights to subscribe for warrants;</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Ascendis Pharma’s shareholders shall hold no pre-emptive rights to subscribe for new shares issued on the basis of warrants;</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face value of each share shall be DKK 1 or multiples hereof;</w:t>
      </w:r>
    </w:p>
    <w:p>
      <w:pPr>
        <w:spacing w:after="0" w:line="130" w:lineRule="exact"/>
        <w:rPr>
          <w:rFonts w:ascii="Times New Roman" w:cs="Times New Roman" w:eastAsia="Times New Roman" w:hAnsi="Times New Roman"/>
          <w:sz w:val="18"/>
          <w:szCs w:val="18"/>
          <w:color w:val="auto"/>
        </w:rPr>
      </w:pPr>
    </w:p>
    <w:p>
      <w:pPr>
        <w:ind w:left="964" w:right="220" w:hanging="424"/>
        <w:spacing w:after="0" w:line="282" w:lineRule="auto"/>
        <w:tabs>
          <w:tab w:leader="none" w:pos="96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shares shall be non-negotiable instruments issued in the name of the Owner and shall be registered in the name of the Owner in Ascendis Pharma’s register of owners;</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984"/>
          </w:cols>
          <w:pgMar w:left="436" w:top="270" w:right="479" w:bottom="1440" w:gutter="0" w:footer="0" w:header="0"/>
        </w:sectPr>
      </w:pPr>
    </w:p>
    <w:bookmarkStart w:id="32" w:name="page33"/>
    <w:bookmarkEnd w:id="32"/>
    <w:p>
      <w:pPr>
        <w:ind w:left="964" w:right="280" w:hanging="424"/>
        <w:spacing w:after="0" w:line="282" w:lineRule="auto"/>
        <w:tabs>
          <w:tab w:leader="none" w:pos="96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That new shares issued as a result of exercise of warrants shall carry the right to dividend and other rights in Ascendis Pharma from the time of registration of the capital increase with the Danish Business Authority.</w:t>
      </w:r>
    </w:p>
    <w:p>
      <w:pPr>
        <w:spacing w:after="0" w:line="67" w:lineRule="exact"/>
        <w:rPr>
          <w:sz w:val="20"/>
          <w:szCs w:val="20"/>
          <w:color w:val="auto"/>
        </w:rPr>
      </w:pPr>
    </w:p>
    <w:p>
      <w:pPr>
        <w:ind w:left="544" w:right="12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8.2</w:t>
      </w:r>
      <w:r>
        <w:rPr>
          <w:sz w:val="20"/>
          <w:szCs w:val="20"/>
          <w:color w:val="auto"/>
        </w:rPr>
        <w:tab/>
      </w:r>
      <w:r>
        <w:rPr>
          <w:rFonts w:ascii="Times New Roman" w:cs="Times New Roman" w:eastAsia="Times New Roman" w:hAnsi="Times New Roman"/>
          <w:sz w:val="18"/>
          <w:szCs w:val="18"/>
          <w:color w:val="auto"/>
        </w:rPr>
        <w:t>Ascendis Pharma shall pay all costs connected with granting of warrants and later exercise thereof. Ascendis Pharma’s costs in connection with issue of warrants and the related capital increase are estimated to be DKK 50,000.</w:t>
      </w:r>
    </w:p>
    <w:p>
      <w:pPr>
        <w:spacing w:after="0" w:line="306" w:lineRule="exact"/>
        <w:rPr>
          <w:sz w:val="20"/>
          <w:szCs w:val="20"/>
          <w:color w:val="auto"/>
        </w:rPr>
      </w:pPr>
    </w:p>
    <w:p>
      <w:pPr>
        <w:ind w:left="544" w:hanging="544"/>
        <w:spacing w:after="0"/>
        <w:tabs>
          <w:tab w:leader="none" w:pos="544"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PROVISIONS</w:t>
      </w:r>
    </w:p>
    <w:p>
      <w:pPr>
        <w:spacing w:after="0" w:line="135" w:lineRule="exact"/>
        <w:rPr>
          <w:sz w:val="20"/>
          <w:szCs w:val="20"/>
          <w:color w:val="auto"/>
        </w:rPr>
      </w:pPr>
    </w:p>
    <w:p>
      <w:pPr>
        <w:ind w:left="544" w:right="58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9.1</w:t>
      </w:r>
      <w:r>
        <w:rPr>
          <w:sz w:val="20"/>
          <w:szCs w:val="20"/>
          <w:color w:val="auto"/>
        </w:rPr>
        <w:tab/>
      </w:r>
      <w:r>
        <w:rPr>
          <w:rFonts w:ascii="Times New Roman" w:cs="Times New Roman" w:eastAsia="Times New Roman" w:hAnsi="Times New Roman"/>
          <w:sz w:val="18"/>
          <w:szCs w:val="18"/>
          <w:color w:val="auto"/>
        </w:rPr>
        <w:t>The value attached to the subscription right shall not be included in the Owner’s salary, and any agreement made between the Owner and Ascendis Pharma regarding pension or the like shall therefore not include the value of the Owner’s warrants.</w:t>
      </w:r>
    </w:p>
    <w:p>
      <w:pPr>
        <w:spacing w:after="0" w:line="67" w:lineRule="exact"/>
        <w:rPr>
          <w:sz w:val="20"/>
          <w:szCs w:val="20"/>
          <w:color w:val="auto"/>
        </w:rPr>
      </w:pPr>
    </w:p>
    <w:p>
      <w:pPr>
        <w:ind w:left="544" w:right="60" w:hanging="539"/>
        <w:spacing w:after="0" w:line="261" w:lineRule="auto"/>
        <w:tabs>
          <w:tab w:leader="none" w:pos="524" w:val="left"/>
        </w:tabs>
        <w:rPr>
          <w:sz w:val="20"/>
          <w:szCs w:val="20"/>
          <w:color w:val="auto"/>
        </w:rPr>
      </w:pPr>
      <w:r>
        <w:rPr>
          <w:rFonts w:ascii="Times New Roman" w:cs="Times New Roman" w:eastAsia="Times New Roman" w:hAnsi="Times New Roman"/>
          <w:sz w:val="18"/>
          <w:szCs w:val="18"/>
          <w:color w:val="auto"/>
        </w:rPr>
        <w:t>9.2</w:t>
      </w:r>
      <w:r>
        <w:rPr>
          <w:sz w:val="20"/>
          <w:szCs w:val="20"/>
          <w:color w:val="auto"/>
        </w:rPr>
        <w:tab/>
      </w:r>
      <w:r>
        <w:rPr>
          <w:rFonts w:ascii="Times New Roman" w:cs="Times New Roman" w:eastAsia="Times New Roman" w:hAnsi="Times New Roman"/>
          <w:sz w:val="18"/>
          <w:szCs w:val="18"/>
          <w:color w:val="auto"/>
        </w:rPr>
        <w:t>If a relevant authority should establish that the issuance and/or exercise of warrants shall be considered a salary allowance with the consequence that Ascendis Pharma shall pay holiday allowance or the like to the Owner on the basis of the value of warrants, the exercise price shall be increased in order to compensate Ascendis Pharma for the amounts that have been paid to the Owner in the form of holiday allowance or the like.</w:t>
      </w:r>
    </w:p>
    <w:p>
      <w:pPr>
        <w:spacing w:after="0" w:line="85" w:lineRule="exact"/>
        <w:rPr>
          <w:sz w:val="20"/>
          <w:szCs w:val="20"/>
          <w:color w:val="auto"/>
        </w:rPr>
      </w:pPr>
    </w:p>
    <w:p>
      <w:pPr>
        <w:ind w:left="544" w:right="22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9.3</w:t>
      </w:r>
      <w:r>
        <w:rPr>
          <w:sz w:val="20"/>
          <w:szCs w:val="20"/>
          <w:color w:val="auto"/>
        </w:rPr>
        <w:tab/>
      </w:r>
      <w:r>
        <w:rPr>
          <w:rFonts w:ascii="Times New Roman" w:cs="Times New Roman" w:eastAsia="Times New Roman" w:hAnsi="Times New Roman"/>
          <w:sz w:val="18"/>
          <w:szCs w:val="18"/>
          <w:color w:val="auto"/>
        </w:rPr>
        <w:t>The fact that Ascendis Pharma offers warrants to Owners shall not in any way obligate Ascendis Pharma to maintain the employment or other service relationship of the Owner.</w:t>
      </w:r>
    </w:p>
    <w:p>
      <w:pPr>
        <w:spacing w:after="0" w:line="306" w:lineRule="exact"/>
        <w:rPr>
          <w:sz w:val="20"/>
          <w:szCs w:val="20"/>
          <w:color w:val="auto"/>
        </w:rPr>
      </w:pPr>
    </w:p>
    <w:p>
      <w:pPr>
        <w:ind w:left="544" w:hanging="544"/>
        <w:spacing w:after="0"/>
        <w:tabs>
          <w:tab w:leader="none" w:pos="544"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 IMPLICATIONS</w:t>
      </w:r>
    </w:p>
    <w:p>
      <w:pPr>
        <w:spacing w:after="0" w:line="135"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color w:val="auto"/>
        </w:rPr>
        <w:t>The tax implications connected to the Owner’s subscription for or exercise of warrants shall be of no concern to Ascendis Pharma.</w:t>
      </w:r>
    </w:p>
    <w:p>
      <w:pPr>
        <w:spacing w:after="0" w:line="370" w:lineRule="exact"/>
        <w:rPr>
          <w:sz w:val="20"/>
          <w:szCs w:val="20"/>
          <w:color w:val="auto"/>
        </w:rPr>
      </w:pPr>
    </w:p>
    <w:p>
      <w:pPr>
        <w:ind w:left="544" w:hanging="544"/>
        <w:spacing w:after="0"/>
        <w:tabs>
          <w:tab w:leader="none" w:pos="544"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GOVERNING LAW AND VENUE</w:t>
      </w:r>
    </w:p>
    <w:p>
      <w:pPr>
        <w:spacing w:after="0" w:line="135" w:lineRule="exact"/>
        <w:rPr>
          <w:sz w:val="20"/>
          <w:szCs w:val="20"/>
          <w:color w:val="auto"/>
        </w:rPr>
      </w:pPr>
    </w:p>
    <w:p>
      <w:pPr>
        <w:ind w:left="544" w:right="66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11.1</w:t>
        <w:tab/>
        <w:t>Acceptance of warrants, the terms and conditions thereto and the exercise, and terms and conditions for future subscription for shares in Ascendis Pharma shall be governed by Danish law.</w:t>
      </w:r>
    </w:p>
    <w:p>
      <w:pPr>
        <w:spacing w:after="0" w:line="67" w:lineRule="exact"/>
        <w:rPr>
          <w:sz w:val="20"/>
          <w:szCs w:val="20"/>
          <w:color w:val="auto"/>
        </w:rPr>
      </w:pPr>
    </w:p>
    <w:p>
      <w:pPr>
        <w:ind w:left="544" w:right="18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11.2</w:t>
        <w:tab/>
        <w:t>Any disagreement between the Owner and Ascendis Pharma in relation to the understanding or implementation of the warrant scheme shall be settled amicably by negotiation between the parties.</w:t>
      </w:r>
    </w:p>
    <w:p>
      <w:pPr>
        <w:spacing w:after="0" w:line="6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11.3</w:t>
      </w:r>
      <w:r>
        <w:rPr>
          <w:sz w:val="20"/>
          <w:szCs w:val="20"/>
          <w:color w:val="auto"/>
        </w:rPr>
        <w:tab/>
      </w:r>
      <w:r>
        <w:rPr>
          <w:rFonts w:ascii="Times New Roman" w:cs="Times New Roman" w:eastAsia="Times New Roman" w:hAnsi="Times New Roman"/>
          <w:sz w:val="17"/>
          <w:szCs w:val="17"/>
          <w:color w:val="auto"/>
        </w:rPr>
        <w:t>If the parties fail to reach consensus, any disputes shall be settled in accordance with “Rules for hearing of cases in the Copenhagen Arbitration”.</w:t>
      </w:r>
    </w:p>
    <w:p>
      <w:pPr>
        <w:spacing w:after="0" w:line="27"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The Copenhagen Arbitration shall appoint one arbitrator who shall settle the dispute according to Danish law.</w:t>
      </w:r>
    </w:p>
    <w:p>
      <w:pPr>
        <w:spacing w:after="0" w:line="112"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11.4</w:t>
      </w:r>
      <w:r>
        <w:rPr>
          <w:sz w:val="20"/>
          <w:szCs w:val="20"/>
          <w:color w:val="auto"/>
        </w:rPr>
        <w:tab/>
      </w:r>
      <w:r>
        <w:rPr>
          <w:rFonts w:ascii="Times New Roman" w:cs="Times New Roman" w:eastAsia="Times New Roman" w:hAnsi="Times New Roman"/>
          <w:sz w:val="17"/>
          <w:szCs w:val="17"/>
          <w:color w:val="auto"/>
        </w:rPr>
        <w:t>In the event of discrepancies between the English and the Danish text the Danish text shall prevail.</w:t>
      </w:r>
    </w:p>
    <w:p>
      <w:pPr>
        <w:spacing w:after="0" w:line="225"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—-oo0oo—-</w:t>
      </w:r>
    </w:p>
    <w:p>
      <w:pPr>
        <w:spacing w:after="0" w:line="15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984"/>
          </w:cols>
          <w:pgMar w:left="436" w:top="270" w:right="479" w:bottom="1440" w:gutter="0" w:footer="0" w:header="0"/>
        </w:sectPr>
      </w:pPr>
    </w:p>
    <w:bookmarkStart w:id="33" w:name="page34"/>
    <w:bookmarkEnd w:id="33"/>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Appendix 1a to the Articles of Association of Ascendis Pharma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88265</wp:posOffset>
            </wp:positionV>
            <wp:extent cx="699516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69" w:lineRule="exact"/>
        <w:rPr>
          <w:sz w:val="20"/>
          <w:szCs w:val="20"/>
          <w:color w:val="auto"/>
        </w:rPr>
      </w:pPr>
    </w:p>
    <w:p>
      <w:pPr>
        <w:ind w:left="4" w:right="40"/>
        <w:spacing w:after="0" w:line="266" w:lineRule="auto"/>
        <w:rPr>
          <w:sz w:val="20"/>
          <w:szCs w:val="20"/>
          <w:color w:val="auto"/>
        </w:rPr>
      </w:pPr>
      <w:r>
        <w:rPr>
          <w:rFonts w:ascii="Times New Roman" w:cs="Times New Roman" w:eastAsia="Times New Roman" w:hAnsi="Times New Roman"/>
          <w:sz w:val="18"/>
          <w:szCs w:val="18"/>
          <w:color w:val="auto"/>
        </w:rPr>
        <w:t>Pursuant to authorisation in the articles of association for Ascendis Pharma A/S, the Board of Directors has resolved that the following terms and conditions shall apply to options, also referred to as warrants, which are granted to employees, consultants and board members in Ascendis Pharma A/S and its subsidiaries as of 9 December 2021:</w:t>
      </w:r>
    </w:p>
    <w:p>
      <w:pPr>
        <w:spacing w:after="0" w:line="320" w:lineRule="exact"/>
        <w:rPr>
          <w:sz w:val="20"/>
          <w:szCs w:val="20"/>
          <w:color w:val="auto"/>
        </w:rPr>
      </w:pPr>
    </w:p>
    <w:p>
      <w:pPr>
        <w:ind w:left="544" w:hanging="544"/>
        <w:spacing w:after="0"/>
        <w:tabs>
          <w:tab w:leader="none" w:pos="544"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w:t>
      </w:r>
    </w:p>
    <w:p>
      <w:pPr>
        <w:spacing w:after="0" w:line="135" w:lineRule="exact"/>
        <w:rPr>
          <w:sz w:val="20"/>
          <w:szCs w:val="20"/>
          <w:color w:val="auto"/>
        </w:rPr>
      </w:pPr>
    </w:p>
    <w:p>
      <w:pPr>
        <w:jc w:val="both"/>
        <w:ind w:left="544" w:right="220" w:hanging="539"/>
        <w:spacing w:after="0" w:line="266" w:lineRule="auto"/>
        <w:tabs>
          <w:tab w:leader="none" w:pos="524"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color w:val="auto"/>
        </w:rPr>
        <w:t>Ascendis Pharma A/S (hereinafter “Ascendis Pharma”) has introduced an incentive scheme for employees, consultants and board members of Ascendis Pharma and its subsidiaries. (hereinafter collectively referred to as “Owners”). The scheme is based on grant of options, also called warrants (hereinafter only referred to as “warrants”), which are not subject to payment.</w:t>
      </w:r>
    </w:p>
    <w:p>
      <w:pPr>
        <w:spacing w:after="0" w:line="81" w:lineRule="exact"/>
        <w:rPr>
          <w:sz w:val="20"/>
          <w:szCs w:val="20"/>
          <w:color w:val="auto"/>
        </w:rPr>
      </w:pPr>
    </w:p>
    <w:p>
      <w:pPr>
        <w:ind w:left="544" w:right="40" w:hanging="539"/>
        <w:spacing w:after="0" w:line="255" w:lineRule="auto"/>
        <w:tabs>
          <w:tab w:leader="none" w:pos="524"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A warrant is a right, but not an obligation, during fixed periods (exercise periods) to subscribe for new ordinary shares in Ascendis Pharma at a price fixed in advance (the exercise price). The exercise price, determined by the Board of Directors at the time of grant, shall correspond to the closing price of Ascendis Pharma’s American Depositary Shares (hereafter “ADS”) as quoted on NASDAQ on the day of issuance by the Board of Directors. Each warrant carries the right to subscribe for nominal DKK 1 ordinary share in Ascendis Pharma at the exercise price determined by the Board of Directors at the date of issuance. So long as Ascendis Pharma’s ADSs are quoted on NASDAQ, the Ordinary Shares received upon subscription through exercise of warrants may generally be deposited with the custodian of the depositary for the Company’s ADSs in exchange for ADSs representing the Ordinary Shares deposited, subject to certain conditions and limitations.</w:t>
      </w:r>
    </w:p>
    <w:p>
      <w:pPr>
        <w:spacing w:after="0" w:line="94" w:lineRule="exact"/>
        <w:rPr>
          <w:sz w:val="20"/>
          <w:szCs w:val="20"/>
          <w:color w:val="auto"/>
        </w:rPr>
      </w:pPr>
    </w:p>
    <w:p>
      <w:pPr>
        <w:ind w:left="544" w:hanging="539"/>
        <w:spacing w:after="0" w:line="266" w:lineRule="auto"/>
        <w:tabs>
          <w:tab w:leader="none" w:pos="524"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8"/>
          <w:szCs w:val="18"/>
          <w:color w:val="auto"/>
        </w:rPr>
        <w:t>Warrants will be granted at the discretion of the Board of Directors following recommendation from the management and the Remuneration Committee of Ascendis Pharma. The number of warrants offered to each Owner shall be based on an individual evaluation of the Owner’s duties or other association with Ascendis Pharma and/or its subsidiaries.</w:t>
      </w:r>
    </w:p>
    <w:p>
      <w:pPr>
        <w:spacing w:after="0" w:line="68" w:lineRule="exact"/>
        <w:rPr>
          <w:sz w:val="20"/>
          <w:szCs w:val="20"/>
          <w:color w:val="auto"/>
        </w:rPr>
      </w:pPr>
    </w:p>
    <w:p>
      <w:pPr>
        <w:ind w:left="544" w:right="40"/>
        <w:spacing w:after="0" w:line="261" w:lineRule="auto"/>
        <w:rPr>
          <w:sz w:val="20"/>
          <w:szCs w:val="20"/>
          <w:color w:val="auto"/>
        </w:rPr>
      </w:pPr>
      <w:r>
        <w:rPr>
          <w:rFonts w:ascii="Times New Roman" w:cs="Times New Roman" w:eastAsia="Times New Roman" w:hAnsi="Times New Roman"/>
          <w:sz w:val="18"/>
          <w:szCs w:val="18"/>
          <w:color w:val="auto"/>
        </w:rPr>
        <w:t>Warrants are not granted due to work already performed by the Owners, but are granted in order to motivate the Owners, as described below, during the years following the date of grant of warrants. Thus, the warrants are granted in order to increase and motivate the Owners’ focus on a positive development of the market price of the ordinary shares of Ascendis Pharma and to motivate the Owners to work for a future value increase in Ascendis Pharma and its subsidiaries.</w:t>
      </w:r>
    </w:p>
    <w:p>
      <w:pPr>
        <w:spacing w:after="0" w:line="324" w:lineRule="exact"/>
        <w:rPr>
          <w:sz w:val="20"/>
          <w:szCs w:val="20"/>
          <w:color w:val="auto"/>
        </w:rPr>
      </w:pPr>
    </w:p>
    <w:p>
      <w:pPr>
        <w:ind w:left="544" w:hanging="544"/>
        <w:spacing w:after="0"/>
        <w:tabs>
          <w:tab w:leader="none" w:pos="544"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GRANT OF WARRANTS</w:t>
      </w:r>
    </w:p>
    <w:p>
      <w:pPr>
        <w:spacing w:after="0" w:line="135"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7"/>
          <w:szCs w:val="17"/>
          <w:color w:val="auto"/>
        </w:rPr>
        <w:t>Owners who wish to receive the offered warrants shall electronically accept a warrant certificate with this Appendix 1a attached.</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7"/>
          <w:szCs w:val="17"/>
          <w:color w:val="auto"/>
        </w:rPr>
        <w:t>Warrants are granted to the Owner free of charge.</w:t>
      </w:r>
    </w:p>
    <w:p>
      <w:pPr>
        <w:spacing w:after="0" w:line="15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964"/>
          </w:cols>
          <w:pgMar w:left="436" w:top="266" w:right="499" w:bottom="1440" w:gutter="0" w:footer="0" w:header="0"/>
        </w:sectPr>
      </w:pPr>
    </w:p>
    <w:bookmarkStart w:id="34" w:name="page35"/>
    <w:bookmarkEnd w:id="34"/>
    <w:p>
      <w:pPr>
        <w:ind w:left="544" w:hanging="544"/>
        <w:spacing w:after="0"/>
        <w:tabs>
          <w:tab w:leader="none" w:pos="544"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VESTING</w:t>
      </w:r>
    </w:p>
    <w:p>
      <w:pPr>
        <w:spacing w:after="0" w:line="135" w:lineRule="exact"/>
        <w:rPr>
          <w:sz w:val="20"/>
          <w:szCs w:val="20"/>
          <w:color w:val="auto"/>
        </w:rPr>
      </w:pPr>
    </w:p>
    <w:p>
      <w:pPr>
        <w:ind w:left="544" w:hanging="539"/>
        <w:spacing w:after="0" w:line="255" w:lineRule="auto"/>
        <w:tabs>
          <w:tab w:leader="none" w:pos="524"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color w:val="auto"/>
        </w:rPr>
        <w:t>For employees and consultants, 25% of the warrants granted shall vest one year after the time of grant, and the remaining 75% of the warrants granted shall vest with 1/36 per month from one year after the time of grant, subject to clause 3.4 below. As regards warrants which board members are granted in connection with appointment, 25% of the warrants granted shall vest one year after the time of the grant (the initial grant after the board member’s accession), and the remaining 75% of the warrants granted shall vest with 1/36 per month from one year after the time of the grant, subject to clause 3.5 below. Regarding any subsequent grants of warrants to board members (“Subsequent Warrants”) 50 % of the Subsequent Warrants shall vest one year after the time of such subsequent grant and the remaining 50 % of the Subsequent Warrants shall vest with 1/12 per month from one year after the time of such subsequent grant, subject to clause 3.5 below.</w:t>
      </w:r>
    </w:p>
    <w:p>
      <w:pPr>
        <w:spacing w:after="0" w:line="94" w:lineRule="exact"/>
        <w:rPr>
          <w:sz w:val="20"/>
          <w:szCs w:val="20"/>
          <w:color w:val="auto"/>
        </w:rPr>
      </w:pPr>
    </w:p>
    <w:p>
      <w:pPr>
        <w:ind w:left="544" w:right="22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color w:val="auto"/>
        </w:rPr>
        <w:t>As regards accelerated vesting of warrants in connection with liquidation, merger, demerger, sale or delisting of Ascendis Pharma reference is made to clauses 5.9, 5.10, 5.11 and 5.12 below.</w:t>
      </w:r>
    </w:p>
    <w:p>
      <w:pPr>
        <w:spacing w:after="0" w:line="67" w:lineRule="exact"/>
        <w:rPr>
          <w:sz w:val="20"/>
          <w:szCs w:val="20"/>
          <w:color w:val="auto"/>
        </w:rPr>
      </w:pPr>
    </w:p>
    <w:p>
      <w:pPr>
        <w:ind w:left="544" w:right="18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8"/>
          <w:szCs w:val="18"/>
          <w:color w:val="auto"/>
        </w:rPr>
        <w:t>If the stipulated fraction vesting on a given vesting date does not amount to a whole number of warrants, the number shall be rounded down to the nearest whole number.</w:t>
      </w:r>
    </w:p>
    <w:p>
      <w:pPr>
        <w:spacing w:after="0" w:line="6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7"/>
          <w:szCs w:val="17"/>
          <w:color w:val="auto"/>
        </w:rPr>
        <w:t>For employees, the warrants shall only vest while the employee remains an employee of Ascendis Pharma or its subsidiaries, cf. however clause</w:t>
      </w:r>
    </w:p>
    <w:p>
      <w:pPr>
        <w:spacing w:after="0" w:line="27"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3.8. Employment shall mean that the employee is still entitled to receive a salary from Ascendis Pharma or its subsidiaries on the vesting date.</w:t>
      </w:r>
    </w:p>
    <w:p>
      <w:pPr>
        <w:spacing w:after="0" w:line="112" w:lineRule="exact"/>
        <w:rPr>
          <w:sz w:val="20"/>
          <w:szCs w:val="20"/>
          <w:color w:val="auto"/>
        </w:rPr>
      </w:pPr>
    </w:p>
    <w:p>
      <w:pPr>
        <w:ind w:left="544"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3.5</w:t>
      </w:r>
      <w:r>
        <w:rPr>
          <w:sz w:val="20"/>
          <w:szCs w:val="20"/>
          <w:color w:val="auto"/>
        </w:rPr>
        <w:tab/>
      </w:r>
      <w:r>
        <w:rPr>
          <w:rFonts w:ascii="Times New Roman" w:cs="Times New Roman" w:eastAsia="Times New Roman" w:hAnsi="Times New Roman"/>
          <w:sz w:val="18"/>
          <w:szCs w:val="18"/>
          <w:color w:val="auto"/>
        </w:rPr>
        <w:t>In relation to board members, the vesting shall cease on the day when the board member resigns from his duties as a board member regardless of the reason therefore.</w:t>
      </w:r>
    </w:p>
    <w:p>
      <w:pPr>
        <w:spacing w:after="0" w:line="6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3.6</w:t>
      </w:r>
      <w:r>
        <w:rPr>
          <w:sz w:val="20"/>
          <w:szCs w:val="20"/>
          <w:color w:val="auto"/>
        </w:rPr>
        <w:tab/>
      </w:r>
      <w:r>
        <w:rPr>
          <w:rFonts w:ascii="Times New Roman" w:cs="Times New Roman" w:eastAsia="Times New Roman" w:hAnsi="Times New Roman"/>
          <w:sz w:val="17"/>
          <w:szCs w:val="17"/>
          <w:color w:val="auto"/>
        </w:rPr>
        <w:t>In relation to consultants, the vesting shall cease on the termination date of the consultancy relationship.</w:t>
      </w:r>
    </w:p>
    <w:p>
      <w:pPr>
        <w:spacing w:after="0" w:line="131" w:lineRule="exact"/>
        <w:rPr>
          <w:sz w:val="20"/>
          <w:szCs w:val="20"/>
          <w:color w:val="auto"/>
        </w:rPr>
      </w:pPr>
    </w:p>
    <w:p>
      <w:pPr>
        <w:ind w:left="544" w:right="36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3.7</w:t>
      </w:r>
      <w:r>
        <w:rPr>
          <w:sz w:val="20"/>
          <w:szCs w:val="20"/>
          <w:color w:val="auto"/>
        </w:rPr>
        <w:tab/>
      </w:r>
      <w:r>
        <w:rPr>
          <w:rFonts w:ascii="Times New Roman" w:cs="Times New Roman" w:eastAsia="Times New Roman" w:hAnsi="Times New Roman"/>
          <w:sz w:val="18"/>
          <w:szCs w:val="18"/>
          <w:color w:val="auto"/>
        </w:rPr>
        <w:t>If the Owner takes leave – other than maternity or paternity leave – and the leave exceeds 60 days, the dates when the warrants vest shall be postponed by a period corresponding to the duration of the leave.</w:t>
      </w:r>
    </w:p>
    <w:p>
      <w:pPr>
        <w:spacing w:after="0" w:line="67" w:lineRule="exact"/>
        <w:rPr>
          <w:sz w:val="20"/>
          <w:szCs w:val="20"/>
          <w:color w:val="auto"/>
        </w:rPr>
      </w:pPr>
    </w:p>
    <w:p>
      <w:pPr>
        <w:ind w:left="544" w:right="4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3.8</w:t>
      </w:r>
      <w:r>
        <w:rPr>
          <w:sz w:val="20"/>
          <w:szCs w:val="20"/>
          <w:color w:val="auto"/>
        </w:rPr>
        <w:tab/>
      </w:r>
      <w:r>
        <w:rPr>
          <w:rFonts w:ascii="Times New Roman" w:cs="Times New Roman" w:eastAsia="Times New Roman" w:hAnsi="Times New Roman"/>
          <w:sz w:val="18"/>
          <w:szCs w:val="18"/>
          <w:color w:val="auto"/>
        </w:rPr>
        <w:t>The Board of Directors may at its sole discretion and on an individual basis decide to deviate from the vesting principles in clause 3.1 and/or the vesting conditions in clause 3.4– 3.7.</w:t>
      </w:r>
    </w:p>
    <w:p>
      <w:pPr>
        <w:spacing w:after="0" w:line="306" w:lineRule="exact"/>
        <w:rPr>
          <w:sz w:val="20"/>
          <w:szCs w:val="20"/>
          <w:color w:val="auto"/>
        </w:rPr>
      </w:pPr>
    </w:p>
    <w:p>
      <w:pPr>
        <w:ind w:left="544" w:hanging="544"/>
        <w:spacing w:after="0"/>
        <w:tabs>
          <w:tab w:leader="none" w:pos="544"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EXERCISE</w:t>
      </w:r>
    </w:p>
    <w:p>
      <w:pPr>
        <w:spacing w:after="0" w:line="135" w:lineRule="exact"/>
        <w:rPr>
          <w:sz w:val="20"/>
          <w:szCs w:val="20"/>
          <w:color w:val="auto"/>
        </w:rPr>
      </w:pPr>
    </w:p>
    <w:p>
      <w:pPr>
        <w:ind w:left="544" w:right="140" w:hanging="539"/>
        <w:spacing w:after="0" w:line="266" w:lineRule="auto"/>
        <w:tabs>
          <w:tab w:leader="none" w:pos="524"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color w:val="auto"/>
        </w:rPr>
        <w:t>Only vested warrants can be exercised. Warrants may be exercised during four exercise periods each year. Each exercise period begins two full trading days after the public release of the earnings report of a fiscal quarter of Ascendis Pharma and runs until the end of the second to last trading day in which quarter the relevant earnings report is published.</w:t>
      </w:r>
    </w:p>
    <w:p>
      <w:pPr>
        <w:spacing w:after="0" w:line="10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964"/>
          </w:cols>
          <w:pgMar w:left="436" w:top="266" w:right="499" w:bottom="1440" w:gutter="0" w:footer="0" w:header="0"/>
        </w:sectPr>
      </w:pPr>
    </w:p>
    <w:bookmarkStart w:id="35" w:name="page36"/>
    <w:bookmarkEnd w:id="35"/>
    <w:p>
      <w:pPr>
        <w:ind w:left="544" w:right="36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4.2</w:t>
      </w:r>
      <w:r>
        <w:rPr>
          <w:sz w:val="20"/>
          <w:szCs w:val="20"/>
          <w:color w:val="auto"/>
        </w:rPr>
        <w:tab/>
      </w:r>
      <w:r>
        <w:rPr>
          <w:rFonts w:ascii="Times New Roman" w:cs="Times New Roman" w:eastAsia="Times New Roman" w:hAnsi="Times New Roman"/>
          <w:sz w:val="18"/>
          <w:szCs w:val="18"/>
          <w:color w:val="auto"/>
        </w:rPr>
        <w:t>The Owner’s exercise of warrants is not dependent on whether the Owner’s status as an employee, consultant or board member of Ascendis Pharma or its subsidiaries, as applicable, has ceased at the time when warrants are exercised.</w:t>
      </w:r>
    </w:p>
    <w:p>
      <w:pPr>
        <w:spacing w:after="0" w:line="67" w:lineRule="exact"/>
        <w:rPr>
          <w:sz w:val="20"/>
          <w:szCs w:val="20"/>
          <w:color w:val="auto"/>
        </w:rPr>
      </w:pPr>
    </w:p>
    <w:p>
      <w:pPr>
        <w:ind w:left="544" w:hanging="539"/>
        <w:spacing w:after="0" w:line="256" w:lineRule="auto"/>
        <w:tabs>
          <w:tab w:leader="none" w:pos="524"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8"/>
          <w:szCs w:val="18"/>
          <w:color w:val="auto"/>
        </w:rPr>
        <w:t>In the event of termination of the employment/consultancy relationship or board membership as a result of Ascendis Pharma’s justified dismissal of the Owner, the Owner shall however, only be entitled to exercise vested warrants in the first coming exercise period after termination of the employment/consultancy relationship or board membership (“First Coming Exercise Period”). To the extent that the First Coming Exercise Period commences within 3 months from the day of termination, the Owner shall be entitled to exercise vested warrants in the exercise period following the First Coming Exercise Period. All vested warrants not exercised by the Owner according to this clause shall become null and void without further notice or compensation or payment of any kind.</w:t>
      </w:r>
    </w:p>
    <w:p>
      <w:pPr>
        <w:spacing w:after="0" w:line="93" w:lineRule="exact"/>
        <w:rPr>
          <w:sz w:val="20"/>
          <w:szCs w:val="20"/>
          <w:color w:val="auto"/>
        </w:rPr>
      </w:pPr>
    </w:p>
    <w:p>
      <w:pPr>
        <w:jc w:val="both"/>
        <w:ind w:left="544" w:right="40" w:hanging="539"/>
        <w:spacing w:after="0" w:line="261" w:lineRule="auto"/>
        <w:tabs>
          <w:tab w:leader="none" w:pos="524" w:val="left"/>
        </w:tabs>
        <w:rPr>
          <w:sz w:val="20"/>
          <w:szCs w:val="20"/>
          <w:color w:val="auto"/>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8"/>
          <w:szCs w:val="18"/>
          <w:color w:val="auto"/>
        </w:rPr>
        <w:t>If the employment/consultancy relationship or board membership is terminated due to the death of the Owner, the estate of the Owner is entitled to exercise the granted warrants whether or not they have vested at the time of the death as if the employment/consultancy relationship or board membership continued unchanged, on the condition that exercise shall take place in accordance with the general terms and conditions regarding exercise of warrants stipulated in clause 4.1.</w:t>
      </w:r>
    </w:p>
    <w:p>
      <w:pPr>
        <w:spacing w:after="0" w:line="324" w:lineRule="exact"/>
        <w:rPr>
          <w:sz w:val="20"/>
          <w:szCs w:val="20"/>
          <w:color w:val="auto"/>
        </w:rPr>
      </w:pPr>
    </w:p>
    <w:p>
      <w:pPr>
        <w:ind w:left="544" w:hanging="544"/>
        <w:spacing w:after="0"/>
        <w:tabs>
          <w:tab w:leader="none" w:pos="544"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ADJUSTMENT OF WARRANTS</w:t>
      </w:r>
    </w:p>
    <w:p>
      <w:pPr>
        <w:spacing w:after="0" w:line="135" w:lineRule="exact"/>
        <w:rPr>
          <w:sz w:val="20"/>
          <w:szCs w:val="20"/>
          <w:color w:val="auto"/>
        </w:rPr>
      </w:pPr>
    </w:p>
    <w:p>
      <w:pPr>
        <w:ind w:left="544" w:right="60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8"/>
          <w:szCs w:val="18"/>
          <w:color w:val="auto"/>
        </w:rPr>
        <w:t>Changes in Ascendis Pharma’s capital structure causing a change of the potential possibility of gain attached to warrants shall require an adjustment of the warrants in accordance with this clause 5.</w:t>
      </w:r>
    </w:p>
    <w:p>
      <w:pPr>
        <w:spacing w:after="0" w:line="67" w:lineRule="exact"/>
        <w:rPr>
          <w:sz w:val="20"/>
          <w:szCs w:val="20"/>
          <w:color w:val="auto"/>
        </w:rPr>
      </w:pPr>
    </w:p>
    <w:p>
      <w:pPr>
        <w:ind w:left="544" w:right="120" w:hanging="539"/>
        <w:spacing w:after="0" w:line="261" w:lineRule="auto"/>
        <w:tabs>
          <w:tab w:leader="none" w:pos="524"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8"/>
          <w:szCs w:val="18"/>
          <w:color w:val="auto"/>
        </w:rPr>
        <w:t>Adjustments upon such a change in Ascendis Pharma’s capital structure shall be made so that the potential possibility of gain attached to a warrant, in so far as possible, shall remain the same before and after the occurrence of an incident causing the adjustment. The adjustment shall be carried out with the assistance of Ascendis Pharma’s external advisor. The adjustment may be effected either by increase or reduction of the number of shares that can be issued following exercise of a warrant and/or an increase or reduction of the exercise price.</w:t>
      </w:r>
    </w:p>
    <w:p>
      <w:pPr>
        <w:spacing w:after="0" w:line="85" w:lineRule="exact"/>
        <w:rPr>
          <w:sz w:val="20"/>
          <w:szCs w:val="20"/>
          <w:color w:val="auto"/>
        </w:rPr>
      </w:pPr>
    </w:p>
    <w:p>
      <w:pPr>
        <w:ind w:left="544" w:right="60" w:hanging="539"/>
        <w:spacing w:after="0" w:line="277" w:lineRule="auto"/>
        <w:tabs>
          <w:tab w:leader="none" w:pos="524"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7"/>
          <w:szCs w:val="17"/>
          <w:color w:val="auto"/>
        </w:rPr>
        <w:t>Warrants shall not be adjusted as a result of Ascendis Pharma’s issue of employee shares, share options and/or warrants as part of employee share option schemes (including options to board members, advisors and consultants) as well as future exercise of such options and/or warrants. The same applies in relation to Ascendis Pharma’s issue of other instruments convertible or exchangeable into or otherwise conferring a right to receive shares provided that such instruments were convertible and/or exchangeable at market price at the time of issuance of such instruments. Warrants shall, furthermore, not be adjusted as a result of a capital increase following warrantholders’ exercise of warrants in Ascendis Pharma.</w:t>
      </w:r>
    </w:p>
    <w:p>
      <w:pPr>
        <w:spacing w:after="0" w:line="100"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964"/>
          </w:cols>
          <w:pgMar w:left="436" w:top="270" w:right="499" w:bottom="1440" w:gutter="0" w:footer="0" w:header="0"/>
        </w:sectPr>
      </w:pPr>
    </w:p>
    <w:bookmarkStart w:id="36" w:name="page37"/>
    <w:bookmarkEnd w:id="36"/>
    <w:p>
      <w:pPr>
        <w:spacing w:after="0"/>
        <w:tabs>
          <w:tab w:leader="none" w:pos="5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5.4</w:t>
      </w:r>
      <w:r>
        <w:rPr>
          <w:sz w:val="20"/>
          <w:szCs w:val="20"/>
          <w:color w:val="auto"/>
        </w:rPr>
        <w:tab/>
      </w:r>
      <w:r>
        <w:rPr>
          <w:rFonts w:ascii="Times New Roman" w:cs="Times New Roman" w:eastAsia="Times New Roman" w:hAnsi="Times New Roman"/>
          <w:sz w:val="17"/>
          <w:szCs w:val="17"/>
          <w:b w:val="1"/>
          <w:bCs w:val="1"/>
          <w:u w:val="single" w:color="auto"/>
          <w:color w:val="auto"/>
        </w:rPr>
        <w:t>Bonus shares</w:t>
      </w:r>
      <w:r>
        <w:rPr>
          <w:rFonts w:ascii="Times New Roman" w:cs="Times New Roman" w:eastAsia="Times New Roman" w:hAnsi="Times New Roman"/>
          <w:sz w:val="17"/>
          <w:szCs w:val="17"/>
          <w:color w:val="auto"/>
        </w:rPr>
        <w:t>:</w:t>
      </w:r>
    </w:p>
    <w:p>
      <w:pPr>
        <w:spacing w:after="0" w:line="1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If it is decided to issue bonus shares in Ascendis Pharma, warrants shall be adjusted as follows:</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exercise price for each warrant not yet exercised shall be multiplied by the factor: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348615</wp:posOffset>
            </wp:positionH>
            <wp:positionV relativeFrom="paragraph">
              <wp:posOffset>94615</wp:posOffset>
            </wp:positionV>
            <wp:extent cx="1036955" cy="3511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036955"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and the number of warrants not yet exercised shall be multiplied by the factor:</w:t>
      </w:r>
    </w:p>
    <w:p>
      <w:pPr>
        <w:spacing w:after="0" w:line="2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u w:val="single" w:color="auto"/>
          <w:color w:val="auto"/>
        </w:rPr>
        <w:t>1</w:t>
      </w:r>
    </w:p>
    <w:p>
      <w:pPr>
        <w:spacing w:after="0" w:line="23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α</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where:</w:t>
      </w:r>
    </w:p>
    <w:p>
      <w:pPr>
        <w:spacing w:after="0" w:line="131" w:lineRule="exact"/>
        <w:rPr>
          <w:sz w:val="20"/>
          <w:szCs w:val="20"/>
          <w:color w:val="auto"/>
        </w:rPr>
      </w:pPr>
    </w:p>
    <w:p>
      <w:pPr>
        <w:ind w:left="1180" w:hanging="644"/>
        <w:spacing w:after="0"/>
        <w:tabs>
          <w:tab w:leader="none" w:pos="11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nominal share capital before issue of bonus shares, and</w:t>
      </w:r>
    </w:p>
    <w:p>
      <w:pPr>
        <w:spacing w:after="0" w:line="130"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the total nominal value of bonus shares.</w:t>
      </w:r>
    </w:p>
    <w:p>
      <w:pPr>
        <w:spacing w:after="0" w:line="117"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adjusted number of shares does not amount to a whole number, the number shall be rounded down to the nearest whole number.</w:t>
      </w:r>
    </w:p>
    <w:p>
      <w:pPr>
        <w:spacing w:after="0" w:line="12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5.5</w:t>
      </w:r>
      <w:r>
        <w:rPr>
          <w:sz w:val="20"/>
          <w:szCs w:val="20"/>
          <w:color w:val="auto"/>
        </w:rPr>
        <w:tab/>
      </w:r>
      <w:r>
        <w:rPr>
          <w:rFonts w:ascii="Times New Roman" w:cs="Times New Roman" w:eastAsia="Times New Roman" w:hAnsi="Times New Roman"/>
          <w:sz w:val="17"/>
          <w:szCs w:val="17"/>
          <w:b w:val="1"/>
          <w:bCs w:val="1"/>
          <w:u w:val="single" w:color="auto"/>
          <w:color w:val="auto"/>
        </w:rPr>
        <w:t>Changes of capital at a price different from the market price</w:t>
      </w:r>
      <w:r>
        <w:rPr>
          <w:rFonts w:ascii="Times New Roman" w:cs="Times New Roman" w:eastAsia="Times New Roman" w:hAnsi="Times New Roman"/>
          <w:sz w:val="17"/>
          <w:szCs w:val="17"/>
          <w:color w:val="auto"/>
        </w:rPr>
        <w:t>:</w:t>
      </w:r>
    </w:p>
    <w:p>
      <w:pPr>
        <w:spacing w:after="0" w:line="121" w:lineRule="exact"/>
        <w:rPr>
          <w:sz w:val="20"/>
          <w:szCs w:val="20"/>
          <w:color w:val="auto"/>
        </w:rPr>
      </w:pPr>
    </w:p>
    <w:p>
      <w:pPr>
        <w:ind w:left="540"/>
        <w:spacing w:after="0" w:line="266" w:lineRule="auto"/>
        <w:rPr>
          <w:sz w:val="20"/>
          <w:szCs w:val="20"/>
          <w:color w:val="auto"/>
        </w:rPr>
      </w:pPr>
      <w:r>
        <w:rPr>
          <w:rFonts w:ascii="Times New Roman" w:cs="Times New Roman" w:eastAsia="Times New Roman" w:hAnsi="Times New Roman"/>
          <w:sz w:val="18"/>
          <w:szCs w:val="18"/>
          <w:color w:val="auto"/>
        </w:rPr>
        <w:t>If it is decided to increase or reduce the share capital in Ascendis Pharma at a price below the market price (not including market-based discounts in connection with directed offerings) (in relation to capital decreases also above the market price), warrants shall be adjusted as follows:</w:t>
      </w:r>
    </w:p>
    <w:p>
      <w:pPr>
        <w:spacing w:after="0" w:line="6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exercise price for each non-exercised warrant shall be multiplied by the factor: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348615</wp:posOffset>
            </wp:positionH>
            <wp:positionV relativeFrom="paragraph">
              <wp:posOffset>94615</wp:posOffset>
            </wp:positionV>
            <wp:extent cx="1499870" cy="3346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499870" cy="334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and the number of non-exercised warrants shall be multiplied by the factor:</w:t>
      </w:r>
    </w:p>
    <w:p>
      <w:pPr>
        <w:spacing w:after="0" w:line="2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u w:val="single" w:color="auto"/>
          <w:color w:val="auto"/>
        </w:rPr>
        <w:t>1</w:t>
      </w:r>
    </w:p>
    <w:p>
      <w:pPr>
        <w:spacing w:after="0" w:line="23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α</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where:</w:t>
      </w:r>
    </w:p>
    <w:p>
      <w:pPr>
        <w:spacing w:after="0" w:line="131" w:lineRule="exact"/>
        <w:rPr>
          <w:sz w:val="20"/>
          <w:szCs w:val="20"/>
          <w:color w:val="auto"/>
        </w:rPr>
      </w:pPr>
    </w:p>
    <w:p>
      <w:pPr>
        <w:ind w:left="1180" w:hanging="644"/>
        <w:spacing w:after="0"/>
        <w:tabs>
          <w:tab w:leader="none" w:pos="11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nominal share capital before the change in capital</w:t>
      </w:r>
    </w:p>
    <w:p>
      <w:pPr>
        <w:spacing w:after="0" w:line="130"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nominal change in the share capital</w:t>
      </w:r>
    </w:p>
    <w:p>
      <w:pPr>
        <w:spacing w:after="0" w:line="130"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w:t>
      </w:r>
      <w:r>
        <w:rPr>
          <w:rFonts w:ascii="Times New Roman" w:cs="Times New Roman" w:eastAsia="Times New Roman" w:hAnsi="Times New Roman"/>
          <w:sz w:val="17"/>
          <w:szCs w:val="17"/>
          <w:color w:val="auto"/>
        </w:rPr>
        <w:t>= market price / closing price of the share on the day prior to the announcement of the change in the share capital, and</w:t>
      </w:r>
    </w:p>
    <w:p>
      <w:pPr>
        <w:spacing w:after="0" w:line="130"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 subscription price/reduction price in relation to the change in the share capital</w:t>
      </w:r>
    </w:p>
    <w:p>
      <w:pPr>
        <w:spacing w:after="0" w:line="158"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500"/>
          </w:cols>
          <w:pgMar w:left="440" w:top="266" w:right="959" w:bottom="1440" w:gutter="0" w:footer="0" w:header="0"/>
        </w:sectPr>
      </w:pPr>
    </w:p>
    <w:bookmarkStart w:id="37" w:name="page38"/>
    <w:bookmarkEnd w:id="37"/>
    <w:p>
      <w:pPr>
        <w:ind w:left="5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the adjusted number of shares does not amount to a whole number, the number shall be rounded down to the nearest whole number.</w:t>
      </w:r>
    </w:p>
    <w:p>
      <w:pPr>
        <w:spacing w:after="0" w:line="12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5.6</w:t>
      </w:r>
      <w:r>
        <w:rPr>
          <w:sz w:val="20"/>
          <w:szCs w:val="20"/>
          <w:color w:val="auto"/>
        </w:rPr>
        <w:tab/>
      </w:r>
      <w:r>
        <w:rPr>
          <w:rFonts w:ascii="Times New Roman" w:cs="Times New Roman" w:eastAsia="Times New Roman" w:hAnsi="Times New Roman"/>
          <w:sz w:val="17"/>
          <w:szCs w:val="17"/>
          <w:b w:val="1"/>
          <w:bCs w:val="1"/>
          <w:u w:val="single" w:color="auto"/>
          <w:color w:val="auto"/>
        </w:rPr>
        <w:t>Changes in the nominal value of each individual share</w:t>
      </w:r>
      <w:r>
        <w:rPr>
          <w:rFonts w:ascii="Times New Roman" w:cs="Times New Roman" w:eastAsia="Times New Roman" w:hAnsi="Times New Roman"/>
          <w:sz w:val="17"/>
          <w:szCs w:val="17"/>
          <w:color w:val="auto"/>
        </w:rPr>
        <w:t>:</w:t>
      </w:r>
    </w:p>
    <w:p>
      <w:pPr>
        <w:spacing w:after="0" w:line="1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If it is decided to change the nominal value of the shares, warrants shall be adjusted as follows:</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exercise price for each non-exercised warrant shall be multiplied by the factor: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348615</wp:posOffset>
            </wp:positionH>
            <wp:positionV relativeFrom="paragraph">
              <wp:posOffset>94615</wp:posOffset>
            </wp:positionV>
            <wp:extent cx="1019810" cy="3511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019810"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and the number of non-exercised warrants shall be multiplied by the factor:</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u w:val="single" w:color="auto"/>
          <w:color w:val="auto"/>
        </w:rPr>
        <w:t>1</w:t>
      </w:r>
    </w:p>
    <w:p>
      <w:pPr>
        <w:spacing w:after="0" w:line="25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a</w:t>
      </w:r>
    </w:p>
    <w:p>
      <w:pPr>
        <w:spacing w:after="0" w:line="10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where:</w:t>
      </w:r>
    </w:p>
    <w:p>
      <w:pPr>
        <w:spacing w:after="0" w:line="131" w:lineRule="exact"/>
        <w:rPr>
          <w:sz w:val="20"/>
          <w:szCs w:val="20"/>
          <w:color w:val="auto"/>
        </w:rPr>
      </w:pPr>
    </w:p>
    <w:p>
      <w:pPr>
        <w:ind w:left="1180" w:hanging="644"/>
        <w:spacing w:after="0"/>
        <w:tabs>
          <w:tab w:leader="none" w:pos="11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nominal value of each share after the change, and</w:t>
      </w:r>
    </w:p>
    <w:p>
      <w:pPr>
        <w:spacing w:after="0" w:line="130"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nominal value of each share before the change</w:t>
      </w:r>
    </w:p>
    <w:p>
      <w:pPr>
        <w:spacing w:after="0" w:line="117"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adjusted number of shares does not amount to a whole number, the number shall be rounded down to the nearest whole number.</w:t>
      </w:r>
    </w:p>
    <w:p>
      <w:pPr>
        <w:spacing w:after="0" w:line="12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5.7</w:t>
      </w:r>
      <w:r>
        <w:rPr>
          <w:sz w:val="20"/>
          <w:szCs w:val="20"/>
          <w:color w:val="auto"/>
        </w:rPr>
        <w:tab/>
      </w:r>
      <w:r>
        <w:rPr>
          <w:rFonts w:ascii="Times New Roman" w:cs="Times New Roman" w:eastAsia="Times New Roman" w:hAnsi="Times New Roman"/>
          <w:sz w:val="17"/>
          <w:szCs w:val="17"/>
          <w:b w:val="1"/>
          <w:bCs w:val="1"/>
          <w:u w:val="single" w:color="auto"/>
          <w:color w:val="auto"/>
        </w:rPr>
        <w:t>Payment of dividend</w:t>
      </w:r>
      <w:r>
        <w:rPr>
          <w:rFonts w:ascii="Times New Roman" w:cs="Times New Roman" w:eastAsia="Times New Roman" w:hAnsi="Times New Roman"/>
          <w:sz w:val="17"/>
          <w:szCs w:val="17"/>
          <w:color w:val="auto"/>
        </w:rPr>
        <w:t>:</w:t>
      </w:r>
    </w:p>
    <w:p>
      <w:pPr>
        <w:spacing w:after="0" w:line="121" w:lineRule="exact"/>
        <w:rPr>
          <w:sz w:val="20"/>
          <w:szCs w:val="20"/>
          <w:color w:val="auto"/>
        </w:rPr>
      </w:pPr>
    </w:p>
    <w:p>
      <w:pPr>
        <w:ind w:left="540"/>
        <w:spacing w:after="0" w:line="282" w:lineRule="auto"/>
        <w:rPr>
          <w:sz w:val="20"/>
          <w:szCs w:val="20"/>
          <w:color w:val="auto"/>
        </w:rPr>
      </w:pPr>
      <w:r>
        <w:rPr>
          <w:rFonts w:ascii="Times New Roman" w:cs="Times New Roman" w:eastAsia="Times New Roman" w:hAnsi="Times New Roman"/>
          <w:sz w:val="18"/>
          <w:szCs w:val="18"/>
          <w:color w:val="auto"/>
        </w:rPr>
        <w:t>If it is decided to pay dividends, the part of the dividends exceeding 10 per cent of the equity capital shall lead to adjustment of the exercise price according to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348615</wp:posOffset>
            </wp:positionH>
            <wp:positionV relativeFrom="paragraph">
              <wp:posOffset>53975</wp:posOffset>
            </wp:positionV>
            <wp:extent cx="1619885" cy="3600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61988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where:</w:t>
      </w:r>
    </w:p>
    <w:p>
      <w:pPr>
        <w:spacing w:after="0" w:line="131" w:lineRule="exact"/>
        <w:rPr>
          <w:sz w:val="20"/>
          <w:szCs w:val="20"/>
          <w:color w:val="auto"/>
        </w:rPr>
      </w:pPr>
    </w:p>
    <w:p>
      <w:pPr>
        <w:ind w:left="540"/>
        <w:spacing w:after="0"/>
        <w:tabs>
          <w:tab w:leader="none" w:pos="1160" w:val="left"/>
        </w:tabs>
        <w:rPr>
          <w:sz w:val="20"/>
          <w:szCs w:val="20"/>
          <w:color w:val="auto"/>
        </w:rPr>
      </w:pPr>
      <w:r>
        <w:rPr>
          <w:rFonts w:ascii="Times New Roman" w:cs="Times New Roman" w:eastAsia="Times New Roman" w:hAnsi="Times New Roman"/>
          <w:sz w:val="18"/>
          <w:szCs w:val="18"/>
          <w:color w:val="auto"/>
        </w:rPr>
        <w:t>E2</w:t>
      </w:r>
      <w:r>
        <w:rPr>
          <w:sz w:val="20"/>
          <w:szCs w:val="20"/>
          <w:color w:val="auto"/>
        </w:rPr>
        <w:tab/>
      </w:r>
      <w:r>
        <w:rPr>
          <w:rFonts w:ascii="Times New Roman" w:cs="Times New Roman" w:eastAsia="Times New Roman" w:hAnsi="Times New Roman"/>
          <w:sz w:val="18"/>
          <w:szCs w:val="18"/>
          <w:color w:val="auto"/>
        </w:rPr>
        <w:t>= the adjusted exercise price</w:t>
      </w:r>
    </w:p>
    <w:p>
      <w:pPr>
        <w:spacing w:after="0" w:line="131" w:lineRule="exact"/>
        <w:rPr>
          <w:sz w:val="20"/>
          <w:szCs w:val="20"/>
          <w:color w:val="auto"/>
        </w:rPr>
      </w:pPr>
    </w:p>
    <w:p>
      <w:pPr>
        <w:ind w:left="540"/>
        <w:spacing w:after="0"/>
        <w:tabs>
          <w:tab w:leader="none" w:pos="1160" w:val="left"/>
        </w:tabs>
        <w:rPr>
          <w:sz w:val="20"/>
          <w:szCs w:val="20"/>
          <w:color w:val="auto"/>
        </w:rPr>
      </w:pPr>
      <w:r>
        <w:rPr>
          <w:rFonts w:ascii="Times New Roman" w:cs="Times New Roman" w:eastAsia="Times New Roman" w:hAnsi="Times New Roman"/>
          <w:sz w:val="18"/>
          <w:szCs w:val="18"/>
          <w:color w:val="auto"/>
        </w:rPr>
        <w:t>E1</w:t>
      </w:r>
      <w:r>
        <w:rPr>
          <w:sz w:val="20"/>
          <w:szCs w:val="20"/>
          <w:color w:val="auto"/>
        </w:rPr>
        <w:tab/>
      </w:r>
      <w:r>
        <w:rPr>
          <w:rFonts w:ascii="Times New Roman" w:cs="Times New Roman" w:eastAsia="Times New Roman" w:hAnsi="Times New Roman"/>
          <w:sz w:val="18"/>
          <w:szCs w:val="18"/>
          <w:color w:val="auto"/>
        </w:rPr>
        <w:t>= the original exercise price</w:t>
      </w:r>
    </w:p>
    <w:p>
      <w:pPr>
        <w:spacing w:after="0" w:line="131" w:lineRule="exact"/>
        <w:rPr>
          <w:sz w:val="20"/>
          <w:szCs w:val="20"/>
          <w:color w:val="auto"/>
        </w:rPr>
      </w:pPr>
    </w:p>
    <w:p>
      <w:pPr>
        <w:ind w:left="1180" w:hanging="644"/>
        <w:spacing w:after="0"/>
        <w:tabs>
          <w:tab w:leader="none" w:pos="11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dividends paid out</w:t>
      </w:r>
    </w:p>
    <w:p>
      <w:pPr>
        <w:spacing w:after="0" w:line="200" w:lineRule="exact"/>
        <w:rPr>
          <w:sz w:val="20"/>
          <w:szCs w:val="20"/>
          <w:color w:val="auto"/>
        </w:rPr>
      </w:pPr>
    </w:p>
    <w:p>
      <w:pPr>
        <w:spacing w:after="0" w:line="268" w:lineRule="exact"/>
        <w:rPr>
          <w:sz w:val="20"/>
          <w:szCs w:val="20"/>
          <w:color w:val="auto"/>
        </w:rPr>
      </w:pPr>
    </w:p>
    <w:p>
      <w:pPr>
        <w:ind w:left="1180" w:hanging="644"/>
        <w:spacing w:after="0"/>
        <w:tabs>
          <w:tab w:leader="none" w:pos="11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total number of shares in Ascendis Pharma</w:t>
      </w:r>
    </w:p>
    <w:p>
      <w:pPr>
        <w:spacing w:after="0" w:line="117" w:lineRule="exact"/>
        <w:rPr>
          <w:sz w:val="20"/>
          <w:szCs w:val="20"/>
          <w:color w:val="auto"/>
        </w:rPr>
      </w:pPr>
    </w:p>
    <w:p>
      <w:pPr>
        <w:ind w:left="540" w:right="420"/>
        <w:spacing w:after="0" w:line="282" w:lineRule="auto"/>
        <w:rPr>
          <w:sz w:val="20"/>
          <w:szCs w:val="20"/>
          <w:color w:val="auto"/>
        </w:rPr>
      </w:pPr>
      <w:r>
        <w:rPr>
          <w:rFonts w:ascii="Times New Roman" w:cs="Times New Roman" w:eastAsia="Times New Roman" w:hAnsi="Times New Roman"/>
          <w:sz w:val="18"/>
          <w:szCs w:val="18"/>
          <w:color w:val="auto"/>
        </w:rPr>
        <w:t>The equity capital that shall form the basis of the adjustment above is the equity capital stipulated in the Annual Report to be adopted at the General Meeting where dividends shall be approved before allocation hereof has been made in the Annual Report.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00"/>
          </w:cols>
          <w:pgMar w:left="440" w:top="270" w:right="459" w:bottom="1440" w:gutter="0" w:footer="0" w:header="0"/>
        </w:sectPr>
      </w:pPr>
    </w:p>
    <w:bookmarkStart w:id="38" w:name="page39"/>
    <w:bookmarkEnd w:id="38"/>
    <w:p>
      <w:pPr>
        <w:spacing w:after="0"/>
        <w:tabs>
          <w:tab w:leader="none" w:pos="5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5.8</w:t>
      </w:r>
      <w:r>
        <w:rPr>
          <w:sz w:val="20"/>
          <w:szCs w:val="20"/>
          <w:color w:val="auto"/>
        </w:rPr>
        <w:tab/>
      </w:r>
      <w:r>
        <w:rPr>
          <w:rFonts w:ascii="Times New Roman" w:cs="Times New Roman" w:eastAsia="Times New Roman" w:hAnsi="Times New Roman"/>
          <w:sz w:val="17"/>
          <w:szCs w:val="17"/>
          <w:b w:val="1"/>
          <w:bCs w:val="1"/>
          <w:u w:val="single" w:color="auto"/>
          <w:color w:val="auto"/>
        </w:rPr>
        <w:t>Other changes in Ascendis Pharma’s capital position</w:t>
      </w:r>
      <w:r>
        <w:rPr>
          <w:rFonts w:ascii="Times New Roman" w:cs="Times New Roman" w:eastAsia="Times New Roman" w:hAnsi="Times New Roman"/>
          <w:sz w:val="17"/>
          <w:szCs w:val="17"/>
          <w:color w:val="auto"/>
        </w:rPr>
        <w:t>:</w:t>
      </w:r>
    </w:p>
    <w:p>
      <w:pPr>
        <w:spacing w:after="0" w:line="121" w:lineRule="exact"/>
        <w:rPr>
          <w:sz w:val="20"/>
          <w:szCs w:val="20"/>
          <w:color w:val="auto"/>
        </w:rPr>
      </w:pPr>
    </w:p>
    <w:p>
      <w:pPr>
        <w:ind w:left="540" w:right="180"/>
        <w:spacing w:after="0" w:line="282" w:lineRule="auto"/>
        <w:rPr>
          <w:sz w:val="20"/>
          <w:szCs w:val="20"/>
          <w:color w:val="auto"/>
        </w:rPr>
      </w:pPr>
      <w:r>
        <w:rPr>
          <w:rFonts w:ascii="Times New Roman" w:cs="Times New Roman" w:eastAsia="Times New Roman" w:hAnsi="Times New Roman"/>
          <w:sz w:val="18"/>
          <w:szCs w:val="18"/>
          <w:color w:val="auto"/>
        </w:rPr>
        <w:t>In the event of other changes in Ascendis Pharma’s capital position causing changes to the financial value of warrants, warrants shall (save as provided above) be adjusted in order to ensure that the changes do not influence the financial value of the warrants.</w:t>
      </w:r>
    </w:p>
    <w:p>
      <w:pPr>
        <w:spacing w:after="0" w:line="5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calculation method to be applied to the adjustment shall be decided by an external advisor appointed by the Board of Directors.</w:t>
      </w:r>
    </w:p>
    <w:p>
      <w:pPr>
        <w:spacing w:after="0" w:line="117" w:lineRule="exact"/>
        <w:rPr>
          <w:sz w:val="20"/>
          <w:szCs w:val="20"/>
          <w:color w:val="auto"/>
        </w:rPr>
      </w:pPr>
    </w:p>
    <w:p>
      <w:pPr>
        <w:ind w:left="540" w:right="40"/>
        <w:spacing w:after="0" w:line="282" w:lineRule="auto"/>
        <w:rPr>
          <w:sz w:val="20"/>
          <w:szCs w:val="20"/>
          <w:color w:val="auto"/>
        </w:rPr>
      </w:pPr>
      <w:r>
        <w:rPr>
          <w:rFonts w:ascii="Times New Roman" w:cs="Times New Roman" w:eastAsia="Times New Roman" w:hAnsi="Times New Roman"/>
          <w:sz w:val="18"/>
          <w:szCs w:val="18"/>
          <w:color w:val="auto"/>
        </w:rPr>
        <w:t>It is emphasized that increase or reduction of Ascendis Pharma’s share capital at market price does not lead to an adjustment of the subscription price or the number of shares to be subscribed.</w:t>
      </w:r>
    </w:p>
    <w:p>
      <w:pPr>
        <w:spacing w:after="0" w:line="6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5.9</w:t>
      </w:r>
      <w:r>
        <w:rPr>
          <w:sz w:val="20"/>
          <w:szCs w:val="20"/>
          <w:color w:val="auto"/>
        </w:rPr>
        <w:tab/>
      </w:r>
      <w:r>
        <w:rPr>
          <w:rFonts w:ascii="Times New Roman" w:cs="Times New Roman" w:eastAsia="Times New Roman" w:hAnsi="Times New Roman"/>
          <w:sz w:val="17"/>
          <w:szCs w:val="17"/>
          <w:b w:val="1"/>
          <w:bCs w:val="1"/>
          <w:u w:val="single" w:color="auto"/>
          <w:color w:val="auto"/>
        </w:rPr>
        <w:t>Liquidation</w:t>
      </w:r>
      <w:r>
        <w:rPr>
          <w:rFonts w:ascii="Times New Roman" w:cs="Times New Roman" w:eastAsia="Times New Roman" w:hAnsi="Times New Roman"/>
          <w:sz w:val="17"/>
          <w:szCs w:val="17"/>
          <w:color w:val="auto"/>
        </w:rPr>
        <w:t>:</w:t>
      </w:r>
    </w:p>
    <w:p>
      <w:pPr>
        <w:spacing w:after="0" w:line="121" w:lineRule="exact"/>
        <w:rPr>
          <w:sz w:val="20"/>
          <w:szCs w:val="20"/>
          <w:color w:val="auto"/>
        </w:rPr>
      </w:pPr>
    </w:p>
    <w:p>
      <w:pPr>
        <w:ind w:left="540" w:right="60"/>
        <w:spacing w:after="0" w:line="282" w:lineRule="auto"/>
        <w:rPr>
          <w:sz w:val="20"/>
          <w:szCs w:val="20"/>
          <w:color w:val="auto"/>
        </w:rPr>
      </w:pPr>
      <w:r>
        <w:rPr>
          <w:rFonts w:ascii="Times New Roman" w:cs="Times New Roman" w:eastAsia="Times New Roman" w:hAnsi="Times New Roman"/>
          <w:sz w:val="18"/>
          <w:szCs w:val="18"/>
          <w:color w:val="auto"/>
        </w:rPr>
        <w:t>Should Ascendis Pharma be liquidated, the vesting time for all non-exercised warrants shall be changed so that the Owner may exercise his/her warrants in an extraordinary exercise period immediately preceding the relevant transaction.</w:t>
      </w:r>
    </w:p>
    <w:p>
      <w:pPr>
        <w:spacing w:after="0" w:line="6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5.10</w:t>
      </w:r>
      <w:r>
        <w:rPr>
          <w:sz w:val="20"/>
          <w:szCs w:val="20"/>
          <w:color w:val="auto"/>
        </w:rPr>
        <w:tab/>
      </w:r>
      <w:r>
        <w:rPr>
          <w:rFonts w:ascii="Times New Roman" w:cs="Times New Roman" w:eastAsia="Times New Roman" w:hAnsi="Times New Roman"/>
          <w:sz w:val="17"/>
          <w:szCs w:val="17"/>
          <w:b w:val="1"/>
          <w:bCs w:val="1"/>
          <w:u w:val="single" w:color="auto"/>
          <w:color w:val="auto"/>
        </w:rPr>
        <w:t>Merger and split</w:t>
      </w:r>
      <w:r>
        <w:rPr>
          <w:rFonts w:ascii="Times New Roman" w:cs="Times New Roman" w:eastAsia="Times New Roman" w:hAnsi="Times New Roman"/>
          <w:sz w:val="17"/>
          <w:szCs w:val="17"/>
          <w:color w:val="auto"/>
        </w:rPr>
        <w:t>:</w:t>
      </w:r>
    </w:p>
    <w:p>
      <w:pPr>
        <w:spacing w:after="0" w:line="121" w:lineRule="exact"/>
        <w:rPr>
          <w:sz w:val="20"/>
          <w:szCs w:val="20"/>
          <w:color w:val="auto"/>
        </w:rPr>
      </w:pPr>
    </w:p>
    <w:p>
      <w:pPr>
        <w:ind w:left="540" w:right="340"/>
        <w:spacing w:after="0" w:line="282" w:lineRule="auto"/>
        <w:rPr>
          <w:sz w:val="20"/>
          <w:szCs w:val="20"/>
          <w:color w:val="auto"/>
        </w:rPr>
      </w:pPr>
      <w:r>
        <w:rPr>
          <w:rFonts w:ascii="Times New Roman" w:cs="Times New Roman" w:eastAsia="Times New Roman" w:hAnsi="Times New Roman"/>
          <w:sz w:val="18"/>
          <w:szCs w:val="18"/>
          <w:color w:val="auto"/>
        </w:rPr>
        <w:t>If Ascendis Pharma merges as the surviving company, warrants shall remain unaffected unless, in connection with the merger, the capital is increased at a price other than the market price and in that case warrants shall be adjusted in accordance with clause 5.5.</w:t>
      </w:r>
    </w:p>
    <w:p>
      <w:pPr>
        <w:spacing w:after="0" w:line="5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If Ascendis Pharma merges as the non-surviving company or is demerged, the Board of Directors may choose one of the following possibilities:</w:t>
      </w:r>
    </w:p>
    <w:p>
      <w:pPr>
        <w:spacing w:after="0" w:line="142" w:lineRule="exact"/>
        <w:rPr>
          <w:sz w:val="20"/>
          <w:szCs w:val="20"/>
          <w:color w:val="auto"/>
        </w:rPr>
      </w:pPr>
    </w:p>
    <w:p>
      <w:pPr>
        <w:ind w:left="960" w:right="40" w:hanging="424"/>
        <w:spacing w:after="0" w:line="282" w:lineRule="auto"/>
        <w:tabs>
          <w:tab w:leader="none" w:pos="9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 may exercise all non-exercised warrants that are not declared null and void (inclusive of warrants not yet vested) immediately before the merger/demerger, or</w:t>
      </w:r>
    </w:p>
    <w:p>
      <w:pPr>
        <w:spacing w:after="0" w:line="67" w:lineRule="exact"/>
        <w:rPr>
          <w:rFonts w:ascii="Times New Roman" w:cs="Times New Roman" w:eastAsia="Times New Roman" w:hAnsi="Times New Roman"/>
          <w:sz w:val="18"/>
          <w:szCs w:val="18"/>
          <w:color w:val="auto"/>
        </w:rPr>
      </w:pPr>
    </w:p>
    <w:p>
      <w:pPr>
        <w:ind w:left="960" w:right="280" w:hanging="424"/>
        <w:spacing w:after="0" w:line="282" w:lineRule="auto"/>
        <w:tabs>
          <w:tab w:leader="none" w:pos="9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share instruments in the surviving company/companies of a corresponding financial pre-tax value shall replace the warrants. On a demerger the surviving companies may decide in which company/companies the Owners shall receive the new share instruments.</w:t>
      </w:r>
    </w:p>
    <w:p>
      <w:pPr>
        <w:spacing w:after="0" w:line="6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5.11</w:t>
      </w:r>
      <w:r>
        <w:rPr>
          <w:sz w:val="20"/>
          <w:szCs w:val="20"/>
          <w:color w:val="auto"/>
        </w:rPr>
        <w:tab/>
      </w:r>
      <w:r>
        <w:rPr>
          <w:rFonts w:ascii="Times New Roman" w:cs="Times New Roman" w:eastAsia="Times New Roman" w:hAnsi="Times New Roman"/>
          <w:sz w:val="17"/>
          <w:szCs w:val="17"/>
          <w:b w:val="1"/>
          <w:bCs w:val="1"/>
          <w:u w:val="single" w:color="auto"/>
          <w:color w:val="auto"/>
        </w:rPr>
        <w:t>Sale and exchange of shares</w:t>
      </w:r>
      <w:r>
        <w:rPr>
          <w:rFonts w:ascii="Times New Roman" w:cs="Times New Roman" w:eastAsia="Times New Roman" w:hAnsi="Times New Roman"/>
          <w:sz w:val="17"/>
          <w:szCs w:val="17"/>
          <w:color w:val="auto"/>
        </w:rPr>
        <w:t>:</w:t>
      </w:r>
    </w:p>
    <w:p>
      <w:pPr>
        <w:spacing w:after="0" w:line="121" w:lineRule="exact"/>
        <w:rPr>
          <w:sz w:val="20"/>
          <w:szCs w:val="20"/>
          <w:color w:val="auto"/>
        </w:rPr>
      </w:pPr>
    </w:p>
    <w:p>
      <w:pPr>
        <w:ind w:left="540" w:right="380"/>
        <w:spacing w:after="0" w:line="282" w:lineRule="auto"/>
        <w:rPr>
          <w:sz w:val="20"/>
          <w:szCs w:val="20"/>
          <w:color w:val="auto"/>
        </w:rPr>
      </w:pPr>
      <w:r>
        <w:rPr>
          <w:rFonts w:ascii="Times New Roman" w:cs="Times New Roman" w:eastAsia="Times New Roman" w:hAnsi="Times New Roman"/>
          <w:sz w:val="18"/>
          <w:szCs w:val="18"/>
          <w:color w:val="auto"/>
        </w:rPr>
        <w:t>If more than 50 per cent of the share capital in Ascendis Pharma is sold or is part of a share swap, Ascendis Pharma may choose one of the following possibilities:</w:t>
      </w:r>
    </w:p>
    <w:p>
      <w:pPr>
        <w:spacing w:after="0" w:line="67" w:lineRule="exact"/>
        <w:rPr>
          <w:sz w:val="20"/>
          <w:szCs w:val="20"/>
          <w:color w:val="auto"/>
        </w:rPr>
      </w:pPr>
    </w:p>
    <w:p>
      <w:pPr>
        <w:ind w:left="1180" w:right="120" w:hanging="644"/>
        <w:spacing w:after="0" w:line="266" w:lineRule="auto"/>
        <w:tabs>
          <w:tab w:leader="none" w:pos="11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 may exercise all non-exercised warrants that are not declared null and void (inclusive of warrants not yet vested) immediately before the sale/swap of shares. Furthermore, the Owner shall undertake an obligation to sell the subscribed shares on the same conditions as the other shareholders (when selling).</w:t>
      </w:r>
    </w:p>
    <w:p>
      <w:pPr>
        <w:spacing w:after="0" w:line="81"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instruments in the acquiring company of a corresponding pre-tax value shall replace the granted warrants.</w:t>
      </w:r>
    </w:p>
    <w:p>
      <w:pPr>
        <w:spacing w:after="0" w:line="1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920"/>
          </w:cols>
          <w:pgMar w:left="440" w:top="266" w:right="539" w:bottom="1440" w:gutter="0" w:footer="0" w:header="0"/>
        </w:sectPr>
      </w:pPr>
    </w:p>
    <w:bookmarkStart w:id="39" w:name="page40"/>
    <w:bookmarkEnd w:id="39"/>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5.12</w:t>
      </w:r>
      <w:r>
        <w:rPr>
          <w:sz w:val="20"/>
          <w:szCs w:val="20"/>
          <w:color w:val="auto"/>
        </w:rPr>
        <w:tab/>
      </w:r>
      <w:r>
        <w:rPr>
          <w:rFonts w:ascii="Times New Roman" w:cs="Times New Roman" w:eastAsia="Times New Roman" w:hAnsi="Times New Roman"/>
          <w:sz w:val="17"/>
          <w:szCs w:val="17"/>
          <w:b w:val="1"/>
          <w:bCs w:val="1"/>
          <w:u w:val="single" w:color="auto"/>
          <w:color w:val="auto"/>
        </w:rPr>
        <w:t>Delisting</w:t>
      </w:r>
      <w:r>
        <w:rPr>
          <w:rFonts w:ascii="Times New Roman" w:cs="Times New Roman" w:eastAsia="Times New Roman" w:hAnsi="Times New Roman"/>
          <w:sz w:val="17"/>
          <w:szCs w:val="17"/>
          <w:color w:val="auto"/>
        </w:rPr>
        <w:t>:</w:t>
      </w:r>
    </w:p>
    <w:p>
      <w:pPr>
        <w:spacing w:after="0" w:line="121" w:lineRule="exact"/>
        <w:rPr>
          <w:sz w:val="20"/>
          <w:szCs w:val="20"/>
          <w:color w:val="auto"/>
        </w:rPr>
      </w:pPr>
    </w:p>
    <w:p>
      <w:pPr>
        <w:ind w:left="544" w:right="40"/>
        <w:spacing w:after="0" w:line="282" w:lineRule="auto"/>
        <w:rPr>
          <w:sz w:val="20"/>
          <w:szCs w:val="20"/>
          <w:color w:val="auto"/>
        </w:rPr>
      </w:pPr>
      <w:r>
        <w:rPr>
          <w:rFonts w:ascii="Times New Roman" w:cs="Times New Roman" w:eastAsia="Times New Roman" w:hAnsi="Times New Roman"/>
          <w:sz w:val="18"/>
          <w:szCs w:val="18"/>
          <w:color w:val="auto"/>
        </w:rPr>
        <w:t>In case of delisting of Ascendis Pharma the Board of Directors may in its sole discretion decide that vesting is accelerated for all not fully vested warrants to a date immediately prior to the delisting.</w:t>
      </w:r>
    </w:p>
    <w:p>
      <w:pPr>
        <w:spacing w:after="0" w:line="63"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5.13</w:t>
      </w:r>
      <w:r>
        <w:rPr>
          <w:sz w:val="20"/>
          <w:szCs w:val="20"/>
          <w:color w:val="auto"/>
        </w:rPr>
        <w:tab/>
      </w:r>
      <w:r>
        <w:rPr>
          <w:rFonts w:ascii="Times New Roman" w:cs="Times New Roman" w:eastAsia="Times New Roman" w:hAnsi="Times New Roman"/>
          <w:sz w:val="17"/>
          <w:szCs w:val="17"/>
          <w:b w:val="1"/>
          <w:bCs w:val="1"/>
          <w:u w:val="single" w:color="auto"/>
          <w:color w:val="auto"/>
        </w:rPr>
        <w:t>Common provisions regarding clause 5.9—5.12</w:t>
      </w:r>
      <w:r>
        <w:rPr>
          <w:rFonts w:ascii="Times New Roman" w:cs="Times New Roman" w:eastAsia="Times New Roman" w:hAnsi="Times New Roman"/>
          <w:sz w:val="17"/>
          <w:szCs w:val="17"/>
          <w:color w:val="auto"/>
        </w:rPr>
        <w:t>:</w:t>
      </w:r>
    </w:p>
    <w:p>
      <w:pPr>
        <w:spacing w:after="0" w:line="121" w:lineRule="exact"/>
        <w:rPr>
          <w:sz w:val="20"/>
          <w:szCs w:val="20"/>
          <w:color w:val="auto"/>
        </w:rPr>
      </w:pPr>
    </w:p>
    <w:p>
      <w:pPr>
        <w:ind w:left="544" w:right="60"/>
        <w:spacing w:after="0" w:line="261" w:lineRule="auto"/>
        <w:rPr>
          <w:sz w:val="20"/>
          <w:szCs w:val="20"/>
          <w:color w:val="auto"/>
        </w:rPr>
      </w:pPr>
      <w:r>
        <w:rPr>
          <w:rFonts w:ascii="Times New Roman" w:cs="Times New Roman" w:eastAsia="Times New Roman" w:hAnsi="Times New Roman"/>
          <w:sz w:val="18"/>
          <w:szCs w:val="18"/>
          <w:color w:val="auto"/>
        </w:rPr>
        <w:t>In case of one of the transactions mentioned above, Ascendis Pharma shall inform the Owner hereof by written notice. Upon receipt of the written notice, the Owner shall have 2 weeks – in cases where the Owner may extraordinarily exercise warrants, see clause 5.9—5.12 – to inform Ascendis Pharma in writing whether he/she will make use of the offer. If the Owner has not answered Ascendis Pharma in writing within the limit of 2 weeks or fails to pay within the fixed time, warrants shall become null and void without further notice or compensation.</w:t>
      </w:r>
    </w:p>
    <w:p>
      <w:pPr>
        <w:spacing w:after="0" w:line="72" w:lineRule="exact"/>
        <w:rPr>
          <w:sz w:val="20"/>
          <w:szCs w:val="20"/>
          <w:color w:val="auto"/>
        </w:rPr>
      </w:pPr>
    </w:p>
    <w:p>
      <w:pPr>
        <w:ind w:left="544"/>
        <w:spacing w:after="0" w:line="282" w:lineRule="auto"/>
        <w:rPr>
          <w:sz w:val="20"/>
          <w:szCs w:val="20"/>
          <w:color w:val="auto"/>
        </w:rPr>
      </w:pPr>
      <w:r>
        <w:rPr>
          <w:rFonts w:ascii="Times New Roman" w:cs="Times New Roman" w:eastAsia="Times New Roman" w:hAnsi="Times New Roman"/>
          <w:sz w:val="18"/>
          <w:szCs w:val="18"/>
          <w:color w:val="auto"/>
        </w:rPr>
        <w:t>The Owner’s rights in connection with decisions made by any competent company body, see clause 5.9—5.12, shall be contingent on subsequent registration of the relevant decision with the Danish Business Authority provided that registration is a condition of its validity.</w:t>
      </w:r>
    </w:p>
    <w:p>
      <w:pPr>
        <w:spacing w:after="0" w:line="306" w:lineRule="exact"/>
        <w:rPr>
          <w:sz w:val="20"/>
          <w:szCs w:val="20"/>
          <w:color w:val="auto"/>
        </w:rPr>
      </w:pPr>
    </w:p>
    <w:p>
      <w:pPr>
        <w:ind w:left="544" w:hanging="544"/>
        <w:spacing w:after="0"/>
        <w:tabs>
          <w:tab w:leader="none" w:pos="544"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TRANSFER, PLEDGE AND ENFORCEMENT</w:t>
      </w:r>
    </w:p>
    <w:p>
      <w:pPr>
        <w:spacing w:after="0" w:line="135" w:lineRule="exact"/>
        <w:rPr>
          <w:sz w:val="20"/>
          <w:szCs w:val="20"/>
          <w:color w:val="auto"/>
        </w:rPr>
      </w:pPr>
    </w:p>
    <w:p>
      <w:pPr>
        <w:ind w:left="544" w:right="100" w:hanging="539"/>
        <w:spacing w:after="0" w:line="266" w:lineRule="auto"/>
        <w:tabs>
          <w:tab w:leader="none" w:pos="524"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8"/>
          <w:szCs w:val="18"/>
          <w:color w:val="auto"/>
        </w:rPr>
        <w:t>Granted warrants shall not be subject to charging orders, transfers of any kind, including in connection with division of property on divorce or legal separation, for ownership or as security without the consent of the Board of Directors. The Owner’s warrants may, however, be transferred to the Owner’s spouse/cohabitant and/or heir of the body in the event of the Owner’s death.</w:t>
      </w:r>
    </w:p>
    <w:p>
      <w:pPr>
        <w:spacing w:after="0" w:line="320" w:lineRule="exact"/>
        <w:rPr>
          <w:sz w:val="20"/>
          <w:szCs w:val="20"/>
          <w:color w:val="auto"/>
        </w:rPr>
      </w:pPr>
    </w:p>
    <w:p>
      <w:pPr>
        <w:ind w:left="544" w:hanging="544"/>
        <w:spacing w:after="0"/>
        <w:tabs>
          <w:tab w:leader="none" w:pos="544"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SUBSCRIPTION FOR NEW SHARES BY EXERCISE OF WARRANTS</w:t>
      </w:r>
    </w:p>
    <w:p>
      <w:pPr>
        <w:spacing w:after="0" w:line="135" w:lineRule="exact"/>
        <w:rPr>
          <w:sz w:val="20"/>
          <w:szCs w:val="20"/>
          <w:color w:val="auto"/>
        </w:rPr>
      </w:pPr>
    </w:p>
    <w:p>
      <w:pPr>
        <w:ind w:left="544" w:right="180" w:hanging="539"/>
        <w:spacing w:after="0" w:line="213" w:lineRule="auto"/>
        <w:tabs>
          <w:tab w:leader="none" w:pos="524"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8"/>
          <w:szCs w:val="18"/>
          <w:color w:val="auto"/>
        </w:rPr>
        <w:t>The Warrants will lapse automatically, without prior notice and without compensation of any kind on the tenth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anniversary of the date of grant.</w:t>
      </w:r>
    </w:p>
    <w:p>
      <w:pPr>
        <w:spacing w:after="0" w:line="104" w:lineRule="exact"/>
        <w:rPr>
          <w:sz w:val="20"/>
          <w:szCs w:val="20"/>
          <w:color w:val="auto"/>
        </w:rPr>
      </w:pPr>
    </w:p>
    <w:p>
      <w:pPr>
        <w:ind w:left="544" w:right="120" w:hanging="539"/>
        <w:spacing w:after="0" w:line="261" w:lineRule="auto"/>
        <w:tabs>
          <w:tab w:leader="none" w:pos="524" w:val="left"/>
        </w:tabs>
        <w:rPr>
          <w:sz w:val="20"/>
          <w:szCs w:val="20"/>
          <w:color w:val="auto"/>
        </w:rPr>
      </w:pPr>
      <w:r>
        <w:rPr>
          <w:rFonts w:ascii="Times New Roman" w:cs="Times New Roman" w:eastAsia="Times New Roman" w:hAnsi="Times New Roman"/>
          <w:sz w:val="18"/>
          <w:szCs w:val="18"/>
          <w:color w:val="auto"/>
        </w:rPr>
        <w:t>7.2</w:t>
      </w:r>
      <w:r>
        <w:rPr>
          <w:sz w:val="20"/>
          <w:szCs w:val="20"/>
          <w:color w:val="auto"/>
        </w:rPr>
        <w:tab/>
      </w:r>
      <w:r>
        <w:rPr>
          <w:rFonts w:ascii="Times New Roman" w:cs="Times New Roman" w:eastAsia="Times New Roman" w:hAnsi="Times New Roman"/>
          <w:sz w:val="18"/>
          <w:szCs w:val="18"/>
          <w:color w:val="auto"/>
        </w:rPr>
        <w:t xml:space="preserve">Subscription for new shares by exercise of granted warrants must be made through submission by the Owner </w:t>
      </w:r>
      <w:r>
        <w:rPr>
          <w:rFonts w:ascii="Times New Roman" w:cs="Times New Roman" w:eastAsia="Times New Roman" w:hAnsi="Times New Roman"/>
          <w:sz w:val="18"/>
          <w:szCs w:val="18"/>
          <w:u w:val="single" w:color="auto"/>
          <w:color w:val="auto"/>
        </w:rPr>
        <w:t>no later than</w:t>
      </w:r>
      <w:r>
        <w:rPr>
          <w:rFonts w:ascii="Times New Roman" w:cs="Times New Roman" w:eastAsia="Times New Roman" w:hAnsi="Times New Roman"/>
          <w:sz w:val="18"/>
          <w:szCs w:val="18"/>
          <w:color w:val="auto"/>
        </w:rPr>
        <w:t xml:space="preserve"> the last day of the relevant exercise period at 16:00 CET to Ascendis Pharma of an exercise notice drafted by Ascendis Pharma. The exercise notice shall be filled in with all information. The company must have received the exercise price for the new shares, payable as a cash contribution concurrent with the delivery of the exercise notice and by the last day of the relevant exercise period.</w:t>
      </w:r>
    </w:p>
    <w:p>
      <w:pPr>
        <w:spacing w:after="0" w:line="85" w:lineRule="exact"/>
        <w:rPr>
          <w:sz w:val="20"/>
          <w:szCs w:val="20"/>
          <w:color w:val="auto"/>
        </w:rPr>
      </w:pPr>
    </w:p>
    <w:p>
      <w:pPr>
        <w:ind w:left="544" w:right="180" w:hanging="539"/>
        <w:spacing w:after="0" w:line="266" w:lineRule="auto"/>
        <w:tabs>
          <w:tab w:leader="none" w:pos="524" w:val="left"/>
        </w:tabs>
        <w:rPr>
          <w:sz w:val="20"/>
          <w:szCs w:val="20"/>
          <w:color w:val="auto"/>
        </w:rPr>
      </w:pPr>
      <w:r>
        <w:rPr>
          <w:rFonts w:ascii="Times New Roman" w:cs="Times New Roman" w:eastAsia="Times New Roman" w:hAnsi="Times New Roman"/>
          <w:sz w:val="18"/>
          <w:szCs w:val="18"/>
          <w:color w:val="auto"/>
        </w:rPr>
        <w:t>7.3</w:t>
      </w:r>
      <w:r>
        <w:rPr>
          <w:sz w:val="20"/>
          <w:szCs w:val="20"/>
          <w:color w:val="auto"/>
        </w:rPr>
        <w:tab/>
      </w:r>
      <w:r>
        <w:rPr>
          <w:rFonts w:ascii="Times New Roman" w:cs="Times New Roman" w:eastAsia="Times New Roman" w:hAnsi="Times New Roman"/>
          <w:sz w:val="18"/>
          <w:szCs w:val="18"/>
          <w:color w:val="auto"/>
        </w:rPr>
        <w:t>If the limitation period set forth in clause 7.2 expires as a result of Ascendis Pharma not having received the filled-in exercise notice or the payment by 16:00 CET of the last day of the exercise period, the subscription shall be deemed invalid, and in this situation the Owner shall not be considered as having exercised his/her warrants for a possible subsequent exercise period.</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04"/>
          </w:cols>
          <w:pgMar w:left="436" w:top="266" w:right="459" w:bottom="1440" w:gutter="0" w:footer="0" w:header="0"/>
        </w:sectPr>
      </w:pPr>
    </w:p>
    <w:bookmarkStart w:id="40" w:name="page41"/>
    <w:bookmarkEnd w:id="40"/>
    <w:p>
      <w:pPr>
        <w:ind w:left="544" w:hanging="544"/>
        <w:spacing w:after="0"/>
        <w:tabs>
          <w:tab w:leader="none" w:pos="544"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RIGHTS OF NEW ORDINARY SHARES</w:t>
      </w:r>
    </w:p>
    <w:p>
      <w:pPr>
        <w:spacing w:after="0" w:line="135" w:lineRule="exact"/>
        <w:rPr>
          <w:sz w:val="20"/>
          <w:szCs w:val="20"/>
          <w:color w:val="auto"/>
        </w:rPr>
      </w:pPr>
    </w:p>
    <w:p>
      <w:pPr>
        <w:ind w:left="544" w:right="140" w:hanging="539"/>
        <w:spacing w:after="0" w:line="312" w:lineRule="auto"/>
        <w:tabs>
          <w:tab w:leader="none" w:pos="524"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7"/>
          <w:szCs w:val="17"/>
          <w:color w:val="auto"/>
        </w:rPr>
        <w:t>New shares subscribed for by exercise of granted warrants shall in every respect have the same rights as the present shares in Ascendis Pharma in accordance with the Articles of Association for Ascendis Pharma in force from time to time. For the time being, the following shall apply:</w:t>
      </w:r>
    </w:p>
    <w:p>
      <w:pPr>
        <w:spacing w:after="0" w:line="45" w:lineRule="exact"/>
        <w:rPr>
          <w:sz w:val="20"/>
          <w:szCs w:val="20"/>
          <w:color w:val="auto"/>
        </w:rPr>
      </w:pPr>
    </w:p>
    <w:p>
      <w:pPr>
        <w:ind w:left="1184" w:hanging="644"/>
        <w:spacing w:after="0"/>
        <w:tabs>
          <w:tab w:leader="none" w:pos="118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Ascendis Pharma’s shareholders shall hold no pre-emptive rights to subscribe for warrants;</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Ascendis Pharma’s shareholders shall hold no pre-emptive rights to subscribe for new shares issued on the basis of warrants;</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face value of each share shall be DKK 1 or multiples hereof;</w:t>
      </w:r>
    </w:p>
    <w:p>
      <w:pPr>
        <w:spacing w:after="0" w:line="130" w:lineRule="exact"/>
        <w:rPr>
          <w:rFonts w:ascii="Times New Roman" w:cs="Times New Roman" w:eastAsia="Times New Roman" w:hAnsi="Times New Roman"/>
          <w:sz w:val="18"/>
          <w:szCs w:val="18"/>
          <w:color w:val="auto"/>
        </w:rPr>
      </w:pPr>
    </w:p>
    <w:p>
      <w:pPr>
        <w:ind w:left="1184" w:hanging="644"/>
        <w:spacing w:after="0" w:line="282" w:lineRule="auto"/>
        <w:tabs>
          <w:tab w:leader="none" w:pos="118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shares shall be non-negotiable instruments issued in the name of the Owner and shall be registered in the name of the Owner in Ascendis Pharma’s register of owners;</w:t>
      </w:r>
    </w:p>
    <w:p>
      <w:pPr>
        <w:spacing w:after="0" w:line="67" w:lineRule="exact"/>
        <w:rPr>
          <w:rFonts w:ascii="Times New Roman" w:cs="Times New Roman" w:eastAsia="Times New Roman" w:hAnsi="Times New Roman"/>
          <w:sz w:val="18"/>
          <w:szCs w:val="18"/>
          <w:color w:val="auto"/>
        </w:rPr>
      </w:pPr>
    </w:p>
    <w:p>
      <w:pPr>
        <w:ind w:left="1184" w:right="60" w:hanging="644"/>
        <w:spacing w:after="0" w:line="282" w:lineRule="auto"/>
        <w:tabs>
          <w:tab w:leader="none" w:pos="118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new shares issued as a result of exercise of warrants shall carry the right to dividend and other rights in Ascendis Pharma from the time of registration of the capital increase with the Danish Business Authority.</w:t>
      </w:r>
    </w:p>
    <w:p>
      <w:pPr>
        <w:spacing w:after="0" w:line="67" w:lineRule="exact"/>
        <w:rPr>
          <w:sz w:val="20"/>
          <w:szCs w:val="20"/>
          <w:color w:val="auto"/>
        </w:rPr>
      </w:pPr>
    </w:p>
    <w:p>
      <w:pPr>
        <w:ind w:left="544" w:right="12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8.2</w:t>
      </w:r>
      <w:r>
        <w:rPr>
          <w:sz w:val="20"/>
          <w:szCs w:val="20"/>
          <w:color w:val="auto"/>
        </w:rPr>
        <w:tab/>
      </w:r>
      <w:r>
        <w:rPr>
          <w:rFonts w:ascii="Times New Roman" w:cs="Times New Roman" w:eastAsia="Times New Roman" w:hAnsi="Times New Roman"/>
          <w:sz w:val="18"/>
          <w:szCs w:val="18"/>
          <w:color w:val="auto"/>
        </w:rPr>
        <w:t>Ascendis Pharma shall pay all costs connected with granting of warrants and later exercise thereof. Ascendis Pharma’s costs in connection with grant of warrants and the related capital increase are estimated to be DKK 50,000.</w:t>
      </w:r>
    </w:p>
    <w:p>
      <w:pPr>
        <w:spacing w:after="0" w:line="306" w:lineRule="exact"/>
        <w:rPr>
          <w:sz w:val="20"/>
          <w:szCs w:val="20"/>
          <w:color w:val="auto"/>
        </w:rPr>
      </w:pPr>
    </w:p>
    <w:p>
      <w:pPr>
        <w:ind w:left="544" w:hanging="544"/>
        <w:spacing w:after="0"/>
        <w:tabs>
          <w:tab w:leader="none" w:pos="544"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PROVISIONS</w:t>
      </w:r>
    </w:p>
    <w:p>
      <w:pPr>
        <w:spacing w:after="0" w:line="135" w:lineRule="exact"/>
        <w:rPr>
          <w:sz w:val="20"/>
          <w:szCs w:val="20"/>
          <w:color w:val="auto"/>
        </w:rPr>
      </w:pPr>
    </w:p>
    <w:p>
      <w:pPr>
        <w:ind w:left="544" w:right="42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9.1</w:t>
      </w:r>
      <w:r>
        <w:rPr>
          <w:sz w:val="20"/>
          <w:szCs w:val="20"/>
          <w:color w:val="auto"/>
        </w:rPr>
        <w:tab/>
      </w:r>
      <w:r>
        <w:rPr>
          <w:rFonts w:ascii="Times New Roman" w:cs="Times New Roman" w:eastAsia="Times New Roman" w:hAnsi="Times New Roman"/>
          <w:sz w:val="18"/>
          <w:szCs w:val="18"/>
          <w:color w:val="auto"/>
        </w:rPr>
        <w:t>The value of warrants will not form part of the calculation of holiday allowances, pension contributions or other contributions or payments, which are based on the Owner’s renumeration from Ascendis Pharma or its subsidiaries.</w:t>
      </w:r>
    </w:p>
    <w:p>
      <w:pPr>
        <w:spacing w:after="0" w:line="67" w:lineRule="exact"/>
        <w:rPr>
          <w:sz w:val="20"/>
          <w:szCs w:val="20"/>
          <w:color w:val="auto"/>
        </w:rPr>
      </w:pPr>
    </w:p>
    <w:p>
      <w:pPr>
        <w:ind w:left="544" w:right="60" w:hanging="539"/>
        <w:spacing w:after="0" w:line="261" w:lineRule="auto"/>
        <w:tabs>
          <w:tab w:leader="none" w:pos="524" w:val="left"/>
        </w:tabs>
        <w:rPr>
          <w:sz w:val="20"/>
          <w:szCs w:val="20"/>
          <w:color w:val="auto"/>
        </w:rPr>
      </w:pPr>
      <w:r>
        <w:rPr>
          <w:rFonts w:ascii="Times New Roman" w:cs="Times New Roman" w:eastAsia="Times New Roman" w:hAnsi="Times New Roman"/>
          <w:sz w:val="18"/>
          <w:szCs w:val="18"/>
          <w:color w:val="auto"/>
        </w:rPr>
        <w:t>9.2</w:t>
      </w:r>
      <w:r>
        <w:rPr>
          <w:sz w:val="20"/>
          <w:szCs w:val="20"/>
          <w:color w:val="auto"/>
        </w:rPr>
        <w:tab/>
      </w:r>
      <w:r>
        <w:rPr>
          <w:rFonts w:ascii="Times New Roman" w:cs="Times New Roman" w:eastAsia="Times New Roman" w:hAnsi="Times New Roman"/>
          <w:sz w:val="18"/>
          <w:szCs w:val="18"/>
          <w:color w:val="auto"/>
        </w:rPr>
        <w:t>If a relevant authority should establish that the issuance and/or exercise of warrants shall be considered a salary allowance with the consequence that Ascendis Pharma shall pay holiday allowance or the like to the Owner on the basis of the value of warrants, the exercise price shall be increased in order to compensate Ascendis Pharma for the amounts that have been paid to the Owner in the form of holiday allowance or the like.</w:t>
      </w:r>
    </w:p>
    <w:p>
      <w:pPr>
        <w:spacing w:after="0" w:line="85" w:lineRule="exact"/>
        <w:rPr>
          <w:sz w:val="20"/>
          <w:szCs w:val="20"/>
          <w:color w:val="auto"/>
        </w:rPr>
      </w:pPr>
    </w:p>
    <w:p>
      <w:pPr>
        <w:ind w:left="544" w:right="22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9.3</w:t>
      </w:r>
      <w:r>
        <w:rPr>
          <w:sz w:val="20"/>
          <w:szCs w:val="20"/>
          <w:color w:val="auto"/>
        </w:rPr>
        <w:tab/>
      </w:r>
      <w:r>
        <w:rPr>
          <w:rFonts w:ascii="Times New Roman" w:cs="Times New Roman" w:eastAsia="Times New Roman" w:hAnsi="Times New Roman"/>
          <w:sz w:val="18"/>
          <w:szCs w:val="18"/>
          <w:color w:val="auto"/>
        </w:rPr>
        <w:t>The fact that Ascendis Pharma offers warrants to Owners shall not in any way obligate Ascendis Pharma to maintain the employment or other service relationship of the Owner.</w:t>
      </w:r>
    </w:p>
    <w:p>
      <w:pPr>
        <w:spacing w:after="0" w:line="306" w:lineRule="exact"/>
        <w:rPr>
          <w:sz w:val="20"/>
          <w:szCs w:val="20"/>
          <w:color w:val="auto"/>
        </w:rPr>
      </w:pPr>
    </w:p>
    <w:p>
      <w:pPr>
        <w:ind w:left="544" w:hanging="544"/>
        <w:spacing w:after="0"/>
        <w:tabs>
          <w:tab w:leader="none" w:pos="544"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 IMPLICATIONS</w:t>
      </w:r>
    </w:p>
    <w:p>
      <w:pPr>
        <w:spacing w:after="0" w:line="135"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color w:val="auto"/>
        </w:rPr>
        <w:t>The tax implications connected to the Owner’s subscription for or exercise of warrants shall be of no concern to Ascendis Pharma.</w:t>
      </w:r>
    </w:p>
    <w:p>
      <w:pPr>
        <w:spacing w:after="0" w:line="158" w:lineRule="exact"/>
        <w:rPr>
          <w:sz w:val="20"/>
          <w:szCs w:val="20"/>
          <w:color w:val="auto"/>
        </w:rPr>
      </w:pPr>
    </w:p>
    <w:p>
      <w:pPr>
        <w:ind w:left="5424"/>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984"/>
          </w:cols>
          <w:pgMar w:left="436" w:top="266" w:right="479" w:bottom="1440" w:gutter="0" w:footer="0" w:header="0"/>
        </w:sectPr>
      </w:pPr>
    </w:p>
    <w:bookmarkStart w:id="41" w:name="page42"/>
    <w:bookmarkEnd w:id="41"/>
    <w:p>
      <w:pPr>
        <w:ind w:left="544" w:hanging="544"/>
        <w:spacing w:after="0"/>
        <w:tabs>
          <w:tab w:leader="none" w:pos="544"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GOVERNING LAW AND VENUE</w:t>
      </w:r>
    </w:p>
    <w:p>
      <w:pPr>
        <w:spacing w:after="0" w:line="135" w:lineRule="exact"/>
        <w:rPr>
          <w:sz w:val="20"/>
          <w:szCs w:val="20"/>
          <w:color w:val="auto"/>
        </w:rPr>
      </w:pPr>
    </w:p>
    <w:p>
      <w:pPr>
        <w:ind w:left="544" w:right="66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11.1</w:t>
        <w:tab/>
        <w:t>Acceptance of warrants, the terms and conditions thereto and the exercise, and terms and conditions for future subscription for shares in Ascendis Pharma shall be governed by Danish law.</w:t>
      </w:r>
    </w:p>
    <w:p>
      <w:pPr>
        <w:spacing w:after="0" w:line="67" w:lineRule="exact"/>
        <w:rPr>
          <w:sz w:val="20"/>
          <w:szCs w:val="20"/>
          <w:color w:val="auto"/>
        </w:rPr>
      </w:pPr>
    </w:p>
    <w:p>
      <w:pPr>
        <w:ind w:left="544" w:right="18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11.2</w:t>
        <w:tab/>
        <w:t>Any disagreement between the Owner and Ascendis Pharma in relation to the understanding or implementation of the warrant scheme shall be settled amicably by negotiation between the parties.</w:t>
      </w:r>
    </w:p>
    <w:p>
      <w:pPr>
        <w:spacing w:after="0" w:line="6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11.3</w:t>
      </w:r>
      <w:r>
        <w:rPr>
          <w:sz w:val="20"/>
          <w:szCs w:val="20"/>
          <w:color w:val="auto"/>
        </w:rPr>
        <w:tab/>
      </w:r>
      <w:r>
        <w:rPr>
          <w:rFonts w:ascii="Times New Roman" w:cs="Times New Roman" w:eastAsia="Times New Roman" w:hAnsi="Times New Roman"/>
          <w:sz w:val="17"/>
          <w:szCs w:val="17"/>
          <w:color w:val="auto"/>
        </w:rPr>
        <w:t>If the parties fail to reach consensus, any disputes shall be settled in accordance with “Rules for hearing of cases in the Copenhagen Arbitration”.</w:t>
      </w:r>
    </w:p>
    <w:p>
      <w:pPr>
        <w:spacing w:after="0" w:line="27"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The Copenhagen Arbitration shall appoint one arbitrator who shall settle the dispute according to Danish law.</w:t>
      </w:r>
    </w:p>
    <w:p>
      <w:pPr>
        <w:spacing w:after="0" w:line="112"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11.4</w:t>
      </w:r>
      <w:r>
        <w:rPr>
          <w:sz w:val="20"/>
          <w:szCs w:val="20"/>
          <w:color w:val="auto"/>
        </w:rPr>
        <w:tab/>
      </w:r>
      <w:r>
        <w:rPr>
          <w:rFonts w:ascii="Times New Roman" w:cs="Times New Roman" w:eastAsia="Times New Roman" w:hAnsi="Times New Roman"/>
          <w:sz w:val="17"/>
          <w:szCs w:val="17"/>
          <w:color w:val="auto"/>
        </w:rPr>
        <w:t>In the event of discrepancies between the English and the Danish text the Danish text shall prevail.</w:t>
      </w:r>
    </w:p>
    <w:p>
      <w:pPr>
        <w:spacing w:after="0" w:line="225"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—-oo0oo—-</w:t>
      </w:r>
    </w:p>
    <w:p>
      <w:pPr>
        <w:spacing w:after="0" w:line="15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984"/>
          </w:cols>
          <w:pgMar w:left="436" w:top="266" w:right="479" w:bottom="1440" w:gutter="0" w:footer="0" w:header="0"/>
        </w:sectPr>
      </w:pPr>
    </w:p>
    <w:bookmarkStart w:id="42" w:name="page43"/>
    <w:bookmarkEnd w:id="42"/>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Appendix 2 to the Articles of Association of Ascendis Pharma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88265</wp:posOffset>
            </wp:positionV>
            <wp:extent cx="699516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36" w:lineRule="exact"/>
        <w:rPr>
          <w:sz w:val="20"/>
          <w:szCs w:val="20"/>
          <w:color w:val="auto"/>
        </w:rPr>
      </w:pPr>
    </w:p>
    <w:p>
      <w:pPr>
        <w:ind w:left="4" w:right="440"/>
        <w:spacing w:after="0" w:line="282" w:lineRule="auto"/>
        <w:rPr>
          <w:sz w:val="20"/>
          <w:szCs w:val="20"/>
          <w:color w:val="auto"/>
        </w:rPr>
      </w:pPr>
      <w:r>
        <w:rPr>
          <w:rFonts w:ascii="Times New Roman" w:cs="Times New Roman" w:eastAsia="Times New Roman" w:hAnsi="Times New Roman"/>
          <w:sz w:val="18"/>
          <w:szCs w:val="18"/>
          <w:color w:val="auto"/>
        </w:rPr>
        <w:t>Pursuant to authorisation in the articles of association for Ascendis Pharma A/S, the Board of Directors has resolved that the following terms and conditions shall apply to warrants which are granted to employees, consultants, advisors and board members according to the authorisation:</w:t>
      </w:r>
    </w:p>
    <w:p>
      <w:pPr>
        <w:spacing w:after="0" w:line="306" w:lineRule="exact"/>
        <w:rPr>
          <w:sz w:val="20"/>
          <w:szCs w:val="20"/>
          <w:color w:val="auto"/>
        </w:rPr>
      </w:pPr>
    </w:p>
    <w:p>
      <w:pPr>
        <w:ind w:left="544" w:hanging="544"/>
        <w:spacing w:after="0"/>
        <w:tabs>
          <w:tab w:leader="none" w:pos="544"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w:t>
      </w:r>
    </w:p>
    <w:p>
      <w:pPr>
        <w:spacing w:after="0" w:line="135" w:lineRule="exact"/>
        <w:rPr>
          <w:sz w:val="20"/>
          <w:szCs w:val="20"/>
          <w:color w:val="auto"/>
        </w:rPr>
      </w:pPr>
    </w:p>
    <w:p>
      <w:pPr>
        <w:ind w:left="544" w:right="100" w:hanging="539"/>
        <w:spacing w:after="0" w:line="258" w:lineRule="auto"/>
        <w:tabs>
          <w:tab w:leader="none" w:pos="524"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color w:val="auto"/>
        </w:rPr>
        <w:t>Ascendis Pharma A/S (hereinafter “Ascendis Pharma”) has decided to introduce an incentive scheme for employees, consultants, advisors and board members in Ascendis Pharma and its subsidiaries (hereinafter collectively referred to as “Warrantholders”). The scheme is based on issuance of options, also called warrants (hereinafter only referred to as “warrants”), which are not subject to payment. Where below in clause 3.4 – 3.7 and clause 4.5 - 4.6 terms for vesting etc. are described as being dependant upon employment/affiliation with Ascendis Pharma, this shall be understood as a reference to the relevant subsidiary by which the Warrantholders is employed/affiliated.</w:t>
      </w:r>
    </w:p>
    <w:p>
      <w:pPr>
        <w:spacing w:after="0" w:line="89" w:lineRule="exact"/>
        <w:rPr>
          <w:sz w:val="20"/>
          <w:szCs w:val="20"/>
          <w:color w:val="auto"/>
        </w:rPr>
      </w:pPr>
    </w:p>
    <w:p>
      <w:pPr>
        <w:ind w:left="544" w:right="40" w:hanging="539"/>
        <w:spacing w:after="0" w:line="261" w:lineRule="auto"/>
        <w:tabs>
          <w:tab w:leader="none" w:pos="524"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A warrant is a right, but not an obligation, during fixed periods (exercise periods) to subscribe for new ordinary shares in Ascendis Pharma at a price fixed in advance (the exercise price). The exercise price, which shall correspond to the market price at the date of issuance, shall be determined by the board of directors. Each warrant carries the right to subscribe for nominal DKK 1 ordinary share in Ascendis Pharma at the subscription price determined by the board of directors at the date of issuance.</w:t>
      </w:r>
    </w:p>
    <w:p>
      <w:pPr>
        <w:spacing w:after="0" w:line="85" w:lineRule="exact"/>
        <w:rPr>
          <w:sz w:val="20"/>
          <w:szCs w:val="20"/>
          <w:color w:val="auto"/>
        </w:rPr>
      </w:pPr>
    </w:p>
    <w:p>
      <w:pPr>
        <w:ind w:left="544" w:hanging="539"/>
        <w:spacing w:after="0" w:line="261" w:lineRule="auto"/>
        <w:tabs>
          <w:tab w:leader="none" w:pos="524"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8"/>
          <w:szCs w:val="18"/>
          <w:color w:val="auto"/>
        </w:rPr>
        <w:t>Warrants will be offered to employees, consultants, advisors and board members in Ascendis Pharma and in its subsidiaries at the discretion of the Board of Directors after suggestion from the management of Ascendis Pharma A/S. The number of warrants offered to each individual shall be based on an individual evaluation of the Warrantholder’s duties. It shall appear from the individual Warrantholder’s warrant certificate how many warrants have been granted to the Warrantholder and what the exercise price for the warrant is.</w:t>
      </w:r>
    </w:p>
    <w:p>
      <w:pPr>
        <w:spacing w:after="0" w:line="324" w:lineRule="exact"/>
        <w:rPr>
          <w:sz w:val="20"/>
          <w:szCs w:val="20"/>
          <w:color w:val="auto"/>
        </w:rPr>
      </w:pPr>
    </w:p>
    <w:p>
      <w:pPr>
        <w:ind w:left="544" w:hanging="544"/>
        <w:spacing w:after="0"/>
        <w:tabs>
          <w:tab w:leader="none" w:pos="544"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GRANTING/SUBSCRIPTION OF WARRANTS</w:t>
      </w:r>
    </w:p>
    <w:p>
      <w:pPr>
        <w:spacing w:after="0" w:line="135" w:lineRule="exact"/>
        <w:rPr>
          <w:sz w:val="20"/>
          <w:szCs w:val="20"/>
          <w:color w:val="auto"/>
        </w:rPr>
      </w:pPr>
    </w:p>
    <w:p>
      <w:pPr>
        <w:ind w:left="544" w:right="140" w:hanging="539"/>
        <w:spacing w:after="0" w:line="266" w:lineRule="auto"/>
        <w:tabs>
          <w:tab w:leader="none" w:pos="524"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color w:val="auto"/>
        </w:rPr>
        <w:t>Warrantholders who wish to subscribe the offered warrants shall sign a Warrant Certificate with this Appendix 2 attached and, to the extent required by the Board of Directors, a Shareholders Agreement regulating the relationship between the Warrantholders and Ascendis Pharma’s other shareholders.</w:t>
      </w:r>
    </w:p>
    <w:p>
      <w:pPr>
        <w:spacing w:after="0" w:line="8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7"/>
          <w:szCs w:val="17"/>
          <w:color w:val="auto"/>
        </w:rPr>
        <w:t>The granting of warrants shall not be subject to payment from the Warrantholders.</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7"/>
          <w:szCs w:val="17"/>
          <w:color w:val="auto"/>
        </w:rPr>
        <w:t>Ascendis Pharma shall keep records of granted warrants and update the records at suitable intervals.</w:t>
      </w:r>
    </w:p>
    <w:p>
      <w:pPr>
        <w:spacing w:after="0" w:line="158" w:lineRule="exact"/>
        <w:rPr>
          <w:sz w:val="20"/>
          <w:szCs w:val="20"/>
          <w:color w:val="auto"/>
        </w:rPr>
      </w:pPr>
    </w:p>
    <w:p>
      <w:pPr>
        <w:jc w:val="center"/>
        <w:ind w:right="-123"/>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884"/>
          </w:cols>
          <w:pgMar w:left="436" w:top="266" w:right="579" w:bottom="1440" w:gutter="0" w:footer="0" w:header="0"/>
        </w:sectPr>
      </w:pPr>
    </w:p>
    <w:bookmarkStart w:id="43" w:name="page44"/>
    <w:bookmarkEnd w:id="43"/>
    <w:p>
      <w:pPr>
        <w:ind w:left="544" w:hanging="544"/>
        <w:spacing w:after="0"/>
        <w:tabs>
          <w:tab w:leader="none" w:pos="544"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VESTING</w:t>
      </w:r>
    </w:p>
    <w:p>
      <w:pPr>
        <w:spacing w:after="0" w:line="135" w:lineRule="exact"/>
        <w:rPr>
          <w:sz w:val="20"/>
          <w:szCs w:val="20"/>
          <w:color w:val="auto"/>
        </w:rPr>
      </w:pPr>
    </w:p>
    <w:p>
      <w:pPr>
        <w:ind w:left="544" w:right="58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color w:val="auto"/>
        </w:rPr>
        <w:t>The warrants shall be vested with 1/48 per month from the date of grant of the warrants covered by this Appendix 2. The board may have determined a different vesting period in its decision to issue warrants.</w:t>
      </w:r>
    </w:p>
    <w:p>
      <w:pPr>
        <w:spacing w:after="0" w:line="67" w:lineRule="exact"/>
        <w:rPr>
          <w:sz w:val="20"/>
          <w:szCs w:val="20"/>
          <w:color w:val="auto"/>
        </w:rPr>
      </w:pPr>
    </w:p>
    <w:p>
      <w:pPr>
        <w:ind w:left="544" w:right="40" w:hanging="539"/>
        <w:spacing w:after="0" w:line="266" w:lineRule="auto"/>
        <w:tabs>
          <w:tab w:leader="none" w:pos="524"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color w:val="auto"/>
        </w:rPr>
        <w:t>If Ascendis Pharma before 1/1 2014 merges as the terminating company or is split, cf. clause 5.10 or if more than 50 per cent of the share capital in Ascendis Pharma no later than 1/1 2014 is sold or is part of a share swap, cf. clause 5.11 (defined as an “Exit-event”), then 50% of the warrants not already vested on the time of the Exit-event shall vest at the time of the Exit-event.</w:t>
      </w:r>
    </w:p>
    <w:p>
      <w:pPr>
        <w:spacing w:after="0" w:line="68" w:lineRule="exact"/>
        <w:rPr>
          <w:sz w:val="20"/>
          <w:szCs w:val="20"/>
          <w:color w:val="auto"/>
        </w:rPr>
      </w:pPr>
    </w:p>
    <w:p>
      <w:pPr>
        <w:ind w:left="544" w:right="300"/>
        <w:spacing w:after="0" w:line="282" w:lineRule="auto"/>
        <w:rPr>
          <w:sz w:val="20"/>
          <w:szCs w:val="20"/>
          <w:color w:val="auto"/>
        </w:rPr>
      </w:pPr>
      <w:r>
        <w:rPr>
          <w:rFonts w:ascii="Times New Roman" w:cs="Times New Roman" w:eastAsia="Times New Roman" w:hAnsi="Times New Roman"/>
          <w:sz w:val="18"/>
          <w:szCs w:val="18"/>
          <w:color w:val="auto"/>
        </w:rPr>
        <w:t>If the Exit-event occurs on or after 1/1 2014, then all warrants not vested at the time of the Exit-event shall be deemed 100% for vested at the time of the Exit-event.</w:t>
      </w:r>
    </w:p>
    <w:p>
      <w:pPr>
        <w:spacing w:after="0" w:line="6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7"/>
          <w:szCs w:val="17"/>
          <w:color w:val="auto"/>
        </w:rPr>
        <w:t>If the stipulated fraction does not amount to a whole number of warrants, the number shall be rounded down to the nearest whole number.</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7"/>
          <w:szCs w:val="17"/>
          <w:color w:val="auto"/>
        </w:rPr>
        <w:t>Warrants shall only be vested to the extent the Warrantholder is employed by Ascendis Pharma, cf. however clause 3.5 to 3.7 below.</w:t>
      </w:r>
    </w:p>
    <w:p>
      <w:pPr>
        <w:spacing w:after="0" w:line="131" w:lineRule="exact"/>
        <w:rPr>
          <w:sz w:val="20"/>
          <w:szCs w:val="20"/>
          <w:color w:val="auto"/>
        </w:rPr>
      </w:pPr>
    </w:p>
    <w:p>
      <w:pPr>
        <w:ind w:left="544" w:right="60" w:hanging="539"/>
        <w:spacing w:after="0" w:line="256" w:lineRule="auto"/>
        <w:tabs>
          <w:tab w:leader="none" w:pos="524" w:val="left"/>
        </w:tabs>
        <w:rPr>
          <w:sz w:val="20"/>
          <w:szCs w:val="20"/>
          <w:color w:val="auto"/>
        </w:rPr>
      </w:pPr>
      <w:r>
        <w:rPr>
          <w:rFonts w:ascii="Times New Roman" w:cs="Times New Roman" w:eastAsia="Times New Roman" w:hAnsi="Times New Roman"/>
          <w:sz w:val="18"/>
          <w:szCs w:val="18"/>
          <w:color w:val="auto"/>
        </w:rPr>
        <w:t>3.5</w:t>
      </w:r>
      <w:r>
        <w:rPr>
          <w:sz w:val="20"/>
          <w:szCs w:val="20"/>
          <w:color w:val="auto"/>
        </w:rPr>
        <w:tab/>
      </w:r>
      <w:r>
        <w:rPr>
          <w:rFonts w:ascii="Times New Roman" w:cs="Times New Roman" w:eastAsia="Times New Roman" w:hAnsi="Times New Roman"/>
          <w:sz w:val="18"/>
          <w:szCs w:val="18"/>
          <w:color w:val="auto"/>
        </w:rPr>
        <w:t>In the event that the Warrantholder terminates the employment contract and the termination is not a result of breach of the employment terms by Ascendis Pharma, and in the event that Ascendis Pharma terminates the employment contract and the Warrantholder has given Ascendis Pharma good reason to do so, then the vesting of warrants shall cease from the time the employment is terminated, meaning from the first day when the Warrantholder is no longer entitled to salary from Ascendis Pharma, notwithstanding that the Warrantholder has actually ceased to perform his/her duties at an earlier date. In addition hereto the Warrantholder’s right, if any, to receive warrants granted after termination of the employment shall cease.</w:t>
      </w:r>
    </w:p>
    <w:p>
      <w:pPr>
        <w:spacing w:after="0" w:line="93" w:lineRule="exact"/>
        <w:rPr>
          <w:sz w:val="20"/>
          <w:szCs w:val="20"/>
          <w:color w:val="auto"/>
        </w:rPr>
      </w:pPr>
    </w:p>
    <w:p>
      <w:pPr>
        <w:ind w:left="544" w:right="240" w:hanging="539"/>
        <w:spacing w:after="0" w:line="266" w:lineRule="auto"/>
        <w:tabs>
          <w:tab w:leader="none" w:pos="524" w:val="left"/>
        </w:tabs>
        <w:rPr>
          <w:sz w:val="20"/>
          <w:szCs w:val="20"/>
          <w:color w:val="auto"/>
        </w:rPr>
      </w:pPr>
      <w:r>
        <w:rPr>
          <w:rFonts w:ascii="Times New Roman" w:cs="Times New Roman" w:eastAsia="Times New Roman" w:hAnsi="Times New Roman"/>
          <w:sz w:val="18"/>
          <w:szCs w:val="18"/>
          <w:color w:val="auto"/>
        </w:rPr>
        <w:t>3.6</w:t>
      </w:r>
      <w:r>
        <w:rPr>
          <w:sz w:val="20"/>
          <w:szCs w:val="20"/>
          <w:color w:val="auto"/>
        </w:rPr>
        <w:tab/>
      </w:r>
      <w:r>
        <w:rPr>
          <w:rFonts w:ascii="Times New Roman" w:cs="Times New Roman" w:eastAsia="Times New Roman" w:hAnsi="Times New Roman"/>
          <w:sz w:val="18"/>
          <w:szCs w:val="18"/>
          <w:color w:val="auto"/>
        </w:rPr>
        <w:t>In the event that the Warrantholder terminates the employment contract and the termination is a result of breach of the employment terms by Ascendis Pharma, or in the event that Ascendis Pharma terminates the employment contract and the Warrantholder having not given Ascendis Pharma good reason to due so, then warrants shall continue to vest as if the Warrantholder was still employed by Ascendis Pharma.</w:t>
      </w:r>
    </w:p>
    <w:p>
      <w:pPr>
        <w:spacing w:after="0" w:line="81" w:lineRule="exact"/>
        <w:rPr>
          <w:sz w:val="20"/>
          <w:szCs w:val="20"/>
          <w:color w:val="auto"/>
        </w:rPr>
      </w:pPr>
    </w:p>
    <w:p>
      <w:pPr>
        <w:ind w:left="544" w:right="94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3.7</w:t>
      </w:r>
      <w:r>
        <w:rPr>
          <w:sz w:val="20"/>
          <w:szCs w:val="20"/>
          <w:color w:val="auto"/>
        </w:rPr>
        <w:tab/>
      </w:r>
      <w:r>
        <w:rPr>
          <w:rFonts w:ascii="Times New Roman" w:cs="Times New Roman" w:eastAsia="Times New Roman" w:hAnsi="Times New Roman"/>
          <w:sz w:val="18"/>
          <w:szCs w:val="18"/>
          <w:color w:val="auto"/>
        </w:rPr>
        <w:t>Should the Warrantholder materially breach the terms of the employment, the vesting of warrants shall cease from the date when the Warrantholder is dismissed due to the material breach.</w:t>
      </w:r>
    </w:p>
    <w:p>
      <w:pPr>
        <w:spacing w:after="0" w:line="67" w:lineRule="exact"/>
        <w:rPr>
          <w:sz w:val="20"/>
          <w:szCs w:val="20"/>
          <w:color w:val="auto"/>
        </w:rPr>
      </w:pPr>
    </w:p>
    <w:p>
      <w:pPr>
        <w:ind w:left="544"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3.8</w:t>
      </w:r>
      <w:r>
        <w:rPr>
          <w:sz w:val="20"/>
          <w:szCs w:val="20"/>
          <w:color w:val="auto"/>
        </w:rPr>
        <w:tab/>
      </w:r>
      <w:r>
        <w:rPr>
          <w:rFonts w:ascii="Times New Roman" w:cs="Times New Roman" w:eastAsia="Times New Roman" w:hAnsi="Times New Roman"/>
          <w:sz w:val="18"/>
          <w:szCs w:val="18"/>
          <w:color w:val="auto"/>
        </w:rPr>
        <w:t>Warrants issued to consultants, advisors and board members only vest to the extent that the consultant, advisor or board member acts on behalf of Ascendis Pharma as a consultant, advisor or board member.</w:t>
      </w:r>
    </w:p>
    <w:p>
      <w:pPr>
        <w:spacing w:after="0" w:line="67" w:lineRule="exact"/>
        <w:rPr>
          <w:sz w:val="20"/>
          <w:szCs w:val="20"/>
          <w:color w:val="auto"/>
        </w:rPr>
      </w:pPr>
    </w:p>
    <w:p>
      <w:pPr>
        <w:ind w:left="544" w:right="18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3.9</w:t>
      </w:r>
      <w:r>
        <w:rPr>
          <w:sz w:val="20"/>
          <w:szCs w:val="20"/>
          <w:color w:val="auto"/>
        </w:rPr>
        <w:tab/>
      </w:r>
      <w:r>
        <w:rPr>
          <w:rFonts w:ascii="Times New Roman" w:cs="Times New Roman" w:eastAsia="Times New Roman" w:hAnsi="Times New Roman"/>
          <w:sz w:val="18"/>
          <w:szCs w:val="18"/>
          <w:color w:val="auto"/>
        </w:rPr>
        <w:t>If the Warrantholder takes leave – other than maternity leave – and the leave exceeds 60 days, the dates when the warrants shall be vested shall be postponed by a period corresponding to the duration of the leave.</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04"/>
          </w:cols>
          <w:pgMar w:left="436" w:top="266" w:right="459" w:bottom="1440" w:gutter="0" w:footer="0" w:header="0"/>
        </w:sectPr>
      </w:pPr>
    </w:p>
    <w:bookmarkStart w:id="44" w:name="page45"/>
    <w:bookmarkEnd w:id="44"/>
    <w:p>
      <w:pPr>
        <w:ind w:left="544" w:hanging="544"/>
        <w:spacing w:after="0"/>
        <w:tabs>
          <w:tab w:leader="none" w:pos="544"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EXERCISE</w:t>
      </w:r>
    </w:p>
    <w:p>
      <w:pPr>
        <w:spacing w:after="0" w:line="135" w:lineRule="exact"/>
        <w:rPr>
          <w:sz w:val="20"/>
          <w:szCs w:val="20"/>
          <w:color w:val="auto"/>
        </w:rPr>
      </w:pPr>
    </w:p>
    <w:p>
      <w:pPr>
        <w:ind w:left="544" w:right="160" w:hanging="539"/>
        <w:spacing w:after="0" w:line="261" w:lineRule="auto"/>
        <w:tabs>
          <w:tab w:leader="none" w:pos="524"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color w:val="auto"/>
        </w:rPr>
        <w:t>When a warrant has been vested, it may be exercised during the exercise periods. Vested warrants may be exercised in two annual exercise periods that run for 21 days from and including the day after the publication of (i) the annual report notification—or if such notification is not published—the annual report and (ii) our interim report (six-month report). The last exercise period is 21 days from and including the day after the publication of Ascendis Pharmas interim report for the first half of 2023.</w:t>
      </w:r>
    </w:p>
    <w:p>
      <w:pPr>
        <w:spacing w:after="0" w:line="72" w:lineRule="exact"/>
        <w:rPr>
          <w:sz w:val="20"/>
          <w:szCs w:val="20"/>
          <w:color w:val="auto"/>
        </w:rPr>
      </w:pPr>
    </w:p>
    <w:p>
      <w:pPr>
        <w:jc w:val="both"/>
        <w:ind w:left="544" w:right="20"/>
        <w:spacing w:after="0" w:line="261" w:lineRule="auto"/>
        <w:rPr>
          <w:sz w:val="20"/>
          <w:szCs w:val="20"/>
          <w:color w:val="auto"/>
        </w:rPr>
      </w:pPr>
      <w:r>
        <w:rPr>
          <w:rFonts w:ascii="Times New Roman" w:cs="Times New Roman" w:eastAsia="Times New Roman" w:hAnsi="Times New Roman"/>
          <w:sz w:val="18"/>
          <w:szCs w:val="18"/>
          <w:color w:val="auto"/>
        </w:rPr>
        <w:t>Warrants granted on 26 November 2014 may be exercised in four annual exercise periods that run for 21 days from and including the day after publication of (i) the interim report (three-month report); (ii) the annual report notification—or if such notification is not published—the annual report; (iii) the interim report (six-month report); and (iv) our interim report (nine-month report). For these warrants the last exercise period is 21 days following the publication of our interim report (nine-month report) in 2023.</w:t>
      </w:r>
    </w:p>
    <w:p>
      <w:pPr>
        <w:spacing w:after="0" w:line="72" w:lineRule="exact"/>
        <w:rPr>
          <w:sz w:val="20"/>
          <w:szCs w:val="20"/>
          <w:color w:val="auto"/>
        </w:rPr>
      </w:pPr>
    </w:p>
    <w:p>
      <w:pPr>
        <w:ind w:left="544" w:right="40"/>
        <w:spacing w:after="0" w:line="266" w:lineRule="auto"/>
        <w:rPr>
          <w:sz w:val="20"/>
          <w:szCs w:val="20"/>
          <w:color w:val="auto"/>
        </w:rPr>
      </w:pPr>
      <w:r>
        <w:rPr>
          <w:rFonts w:ascii="Times New Roman" w:cs="Times New Roman" w:eastAsia="Times New Roman" w:hAnsi="Times New Roman"/>
          <w:sz w:val="18"/>
          <w:szCs w:val="18"/>
          <w:color w:val="auto"/>
        </w:rPr>
        <w:t>All warrants issued may, additionally, be exercised in an extraordinary exercise period which commences upon Ascendis Pharma’s announcement of its financial interim report for the first quarter of 2015 and which expires 21 days thereafter. In the event that Ascendis Pharma is not obligated to and does in fact not announce a financial interim report for the first quarter of 2015 the exercise period shall lapse.</w:t>
      </w:r>
    </w:p>
    <w:p>
      <w:pPr>
        <w:spacing w:after="0" w:line="81" w:lineRule="exact"/>
        <w:rPr>
          <w:sz w:val="20"/>
          <w:szCs w:val="20"/>
          <w:color w:val="auto"/>
        </w:rPr>
      </w:pPr>
    </w:p>
    <w:p>
      <w:pPr>
        <w:ind w:left="544" w:right="54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8"/>
          <w:szCs w:val="18"/>
          <w:color w:val="auto"/>
        </w:rPr>
        <w:t>If the last day of an exercise period is Saturday or Sunday, the exercise period shall also include the first weekday following the stipulated period.</w:t>
      </w:r>
    </w:p>
    <w:p>
      <w:pPr>
        <w:spacing w:after="0" w:line="67" w:lineRule="exact"/>
        <w:rPr>
          <w:sz w:val="20"/>
          <w:szCs w:val="20"/>
          <w:color w:val="auto"/>
        </w:rPr>
      </w:pPr>
    </w:p>
    <w:p>
      <w:pPr>
        <w:ind w:left="544" w:right="80" w:hanging="539"/>
        <w:spacing w:after="0" w:line="266" w:lineRule="auto"/>
        <w:tabs>
          <w:tab w:leader="none" w:pos="524"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8"/>
          <w:szCs w:val="18"/>
          <w:color w:val="auto"/>
        </w:rPr>
        <w:t>When warrants have been vested, the Warrantholder shall be free to choose, which exercise period to apply for the vested warrants, cf. however, clause 4.5 below regarding material breach. It is, however, a condition for exercise that the Warrantholder in a given exercise period exercises warrants, which give a right to subscribe minimum nominal DKK 100 shares.</w:t>
      </w:r>
    </w:p>
    <w:p>
      <w:pPr>
        <w:spacing w:after="0" w:line="81" w:lineRule="exact"/>
        <w:rPr>
          <w:sz w:val="20"/>
          <w:szCs w:val="20"/>
          <w:color w:val="auto"/>
        </w:rPr>
      </w:pPr>
    </w:p>
    <w:p>
      <w:pPr>
        <w:ind w:left="544"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8"/>
          <w:szCs w:val="18"/>
          <w:color w:val="auto"/>
        </w:rPr>
        <w:t>Warrants not exercised by the Warrantholder during the last exercise period shall become null and void without further notice or compensation or payment of any kind to the Warrantholder.</w:t>
      </w:r>
    </w:p>
    <w:p>
      <w:pPr>
        <w:spacing w:after="0" w:line="67" w:lineRule="exact"/>
        <w:rPr>
          <w:sz w:val="20"/>
          <w:szCs w:val="20"/>
          <w:color w:val="auto"/>
        </w:rPr>
      </w:pPr>
    </w:p>
    <w:p>
      <w:pPr>
        <w:ind w:left="544" w:right="36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4.5</w:t>
      </w:r>
      <w:r>
        <w:rPr>
          <w:sz w:val="20"/>
          <w:szCs w:val="20"/>
          <w:color w:val="auto"/>
        </w:rPr>
        <w:tab/>
      </w:r>
      <w:r>
        <w:rPr>
          <w:rFonts w:ascii="Times New Roman" w:cs="Times New Roman" w:eastAsia="Times New Roman" w:hAnsi="Times New Roman"/>
          <w:sz w:val="18"/>
          <w:szCs w:val="18"/>
          <w:color w:val="auto"/>
        </w:rPr>
        <w:t>The Warrantholder’s exercise of warrants is in principle conditional upon the Warrantholder being employed in Ascendis Pharma at the time when warrants are exercised. In case of termination of the employment the following shall apply:</w:t>
      </w:r>
    </w:p>
    <w:p>
      <w:pPr>
        <w:spacing w:after="0" w:line="67" w:lineRule="exact"/>
        <w:rPr>
          <w:sz w:val="20"/>
          <w:szCs w:val="20"/>
          <w:color w:val="auto"/>
        </w:rPr>
      </w:pPr>
    </w:p>
    <w:p>
      <w:pPr>
        <w:ind w:left="1184" w:right="120" w:hanging="644"/>
        <w:spacing w:after="0" w:line="255" w:lineRule="auto"/>
        <w:tabs>
          <w:tab w:leader="none" w:pos="118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Ascendis Pharma terminates the employment contract and the Warrantholder having given Ascendis Pharma good reason to do so, the Warrantholder is only entitled to exercise the warrants vested at the time of termination. Exercise shall take place during the first coming exercise period after termination of the employment, however the Warrantholder shall always have minimum 3 months from the date of termination to decide if warrants shall be exercised. To the extent that the first coming exercise period commences within 3 months from the date of actual termination the Warrantholder shall be entitled to exercise the warrants in the exercise period following the first coming exercise period. All vested warrants not exercised by the Warrantholder according to this clause shall become null and void without further notice or compensation or payment of any kind.</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004"/>
          </w:cols>
          <w:pgMar w:left="436" w:top="266" w:right="459" w:bottom="1440" w:gutter="0" w:footer="0" w:header="0"/>
        </w:sectPr>
      </w:pPr>
    </w:p>
    <w:bookmarkStart w:id="45" w:name="page46"/>
    <w:bookmarkEnd w:id="45"/>
    <w:p>
      <w:pPr>
        <w:ind w:left="1180" w:right="20" w:hanging="644"/>
        <w:spacing w:after="0" w:line="258" w:lineRule="auto"/>
        <w:tabs>
          <w:tab w:leader="none" w:pos="11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the event that the Warrantholder terminate the employment, or in the event that Ascendis Pharma terminates the employment contract and the Warrantholder have not given Ascendis Pharma good reason to do so, the Warrantholder is entitled to exercise the warrants as if the Warrantholder were still employed with Ascendis Pharma. Exercise shall take place in accordance with the general terms and conditions regarding exercise of warrants stipulated in clause 4.1 – 4.5. This provision shall apply if the employment contract is terminated due to retirement.</w:t>
      </w:r>
    </w:p>
    <w:p>
      <w:pPr>
        <w:spacing w:after="0" w:line="88" w:lineRule="exact"/>
        <w:rPr>
          <w:rFonts w:ascii="Times New Roman" w:cs="Times New Roman" w:eastAsia="Times New Roman" w:hAnsi="Times New Roman"/>
          <w:sz w:val="18"/>
          <w:szCs w:val="18"/>
          <w:color w:val="auto"/>
        </w:rPr>
      </w:pPr>
    </w:p>
    <w:p>
      <w:pPr>
        <w:ind w:left="1180" w:right="60" w:hanging="644"/>
        <w:spacing w:after="0" w:line="256" w:lineRule="auto"/>
        <w:tabs>
          <w:tab w:leader="none" w:pos="11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employment is terminated as a consequence of summary dismissal of the Warrantholder on grounds of material breach, all warrants not exercised at that time shall become null and void without notice or compensation. If the material breach is committed prior to the dismissal the vesting and the right to exercise warrants shall be deemed to have ceased at the time of the material breach. The Warrantholder shall in this case, after demand from Ascendis Pharma, be obligated to sell to Ascendis Pharma shares which have been subscribed though exercise of warrants, after the date of the material breach. The shares shall be sold at a price corresponding to the subscription price paid by the Warrantholder.</w:t>
      </w:r>
    </w:p>
    <w:p>
      <w:pPr>
        <w:spacing w:after="0" w:line="92" w:lineRule="exact"/>
        <w:rPr>
          <w:rFonts w:ascii="Times New Roman" w:cs="Times New Roman" w:eastAsia="Times New Roman" w:hAnsi="Times New Roman"/>
          <w:sz w:val="18"/>
          <w:szCs w:val="18"/>
          <w:color w:val="auto"/>
        </w:rPr>
      </w:pPr>
    </w:p>
    <w:p>
      <w:pPr>
        <w:ind w:left="1180" w:right="40" w:hanging="644"/>
        <w:spacing w:after="0" w:line="261" w:lineRule="auto"/>
        <w:tabs>
          <w:tab w:leader="none" w:pos="11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employment is terminated due to the death of the Warrantholder all warrants not exercised by the Warrantholder shall become null and void. However, the Ascendis Pharma Board of Directors may grant an exemption from this provision to enable the estate of the Warrantholder to exercise the issued warrants whether they have been vested at the time of the death or not on the condition that exercise be effected during the first exercise period commencing after the death.</w:t>
      </w:r>
    </w:p>
    <w:p>
      <w:pPr>
        <w:spacing w:after="0" w:line="85" w:lineRule="exact"/>
        <w:rPr>
          <w:sz w:val="20"/>
          <w:szCs w:val="20"/>
          <w:color w:val="auto"/>
        </w:rPr>
      </w:pPr>
    </w:p>
    <w:p>
      <w:pPr>
        <w:ind w:left="540" w:hanging="539"/>
        <w:spacing w:after="0" w:line="261" w:lineRule="auto"/>
        <w:tabs>
          <w:tab w:leader="none" w:pos="520" w:val="left"/>
        </w:tabs>
        <w:rPr>
          <w:sz w:val="20"/>
          <w:szCs w:val="20"/>
          <w:color w:val="auto"/>
        </w:rPr>
      </w:pPr>
      <w:r>
        <w:rPr>
          <w:rFonts w:ascii="Times New Roman" w:cs="Times New Roman" w:eastAsia="Times New Roman" w:hAnsi="Times New Roman"/>
          <w:sz w:val="18"/>
          <w:szCs w:val="18"/>
          <w:color w:val="auto"/>
        </w:rPr>
        <w:t>4.6</w:t>
      </w:r>
      <w:r>
        <w:rPr>
          <w:sz w:val="20"/>
          <w:szCs w:val="20"/>
          <w:color w:val="auto"/>
        </w:rPr>
        <w:tab/>
      </w:r>
      <w:r>
        <w:rPr>
          <w:rFonts w:ascii="Times New Roman" w:cs="Times New Roman" w:eastAsia="Times New Roman" w:hAnsi="Times New Roman"/>
          <w:sz w:val="18"/>
          <w:szCs w:val="18"/>
          <w:color w:val="auto"/>
        </w:rPr>
        <w:t>If the Warrantholder is a consultant, advisor or board member the exercise of warrants is in principle conditional upon the Warrantholder being connected to Ascendis Pharma in this capacity at the time when warrants are exercised. In case that the consultant’s, advisor’s or board member’s relationship with Ascendis Pharma should cease without this being attributable to the Warrantholder’s actions or omissions the Warrantholder shall be entitled to exercise vested warrants in the exercise periods set forth in clause 4.1 above.</w:t>
      </w:r>
    </w:p>
    <w:p>
      <w:pPr>
        <w:spacing w:after="0" w:line="85" w:lineRule="exact"/>
        <w:rPr>
          <w:sz w:val="20"/>
          <w:szCs w:val="20"/>
          <w:color w:val="auto"/>
        </w:rPr>
      </w:pPr>
    </w:p>
    <w:p>
      <w:pPr>
        <w:ind w:left="540" w:right="120" w:hanging="539"/>
        <w:spacing w:after="0" w:line="258" w:lineRule="auto"/>
        <w:tabs>
          <w:tab w:leader="none" w:pos="520" w:val="left"/>
        </w:tabs>
        <w:rPr>
          <w:sz w:val="20"/>
          <w:szCs w:val="20"/>
          <w:color w:val="auto"/>
        </w:rPr>
      </w:pPr>
      <w:r>
        <w:rPr>
          <w:rFonts w:ascii="Times New Roman" w:cs="Times New Roman" w:eastAsia="Times New Roman" w:hAnsi="Times New Roman"/>
          <w:sz w:val="18"/>
          <w:szCs w:val="18"/>
          <w:color w:val="auto"/>
        </w:rPr>
        <w:t>4.7</w:t>
      </w:r>
      <w:r>
        <w:rPr>
          <w:sz w:val="20"/>
          <w:szCs w:val="20"/>
          <w:color w:val="auto"/>
        </w:rPr>
        <w:tab/>
      </w:r>
      <w:r>
        <w:rPr>
          <w:rFonts w:ascii="Times New Roman" w:cs="Times New Roman" w:eastAsia="Times New Roman" w:hAnsi="Times New Roman"/>
          <w:sz w:val="18"/>
          <w:szCs w:val="18"/>
          <w:color w:val="auto"/>
        </w:rPr>
        <w:t>Ascendis Pharma’s board of directors is in the event of a listing of the company’s shares on a stock exchange entitled at its discretion to change the exercise periods in order to coordinate these with applicable rules for insider trading. Unless the Board of Directors resolves otherwise the exercise periods shall in the event of a listing be changed to two 21 day periods after respectively the annual report notification and the interim report (six months) and for warrants issued in November 2014 to up to four 21 day periods immediately following the annual report notification and the interim report (six months) and the quarterly reports.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020"/>
          </w:cols>
          <w:pgMar w:left="440" w:top="270" w:right="439" w:bottom="1440" w:gutter="0" w:footer="0" w:header="0"/>
        </w:sectPr>
      </w:pPr>
    </w:p>
    <w:bookmarkStart w:id="46" w:name="page47"/>
    <w:bookmarkEnd w:id="46"/>
    <w:p>
      <w:pPr>
        <w:ind w:left="544" w:hanging="544"/>
        <w:spacing w:after="0"/>
        <w:tabs>
          <w:tab w:leader="none" w:pos="544"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ADJUSTMENT OF WARRANTS</w:t>
      </w:r>
    </w:p>
    <w:p>
      <w:pPr>
        <w:spacing w:after="0" w:line="135" w:lineRule="exact"/>
        <w:rPr>
          <w:sz w:val="20"/>
          <w:szCs w:val="20"/>
          <w:color w:val="auto"/>
        </w:rPr>
      </w:pPr>
    </w:p>
    <w:p>
      <w:pPr>
        <w:ind w:left="544" w:right="52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8"/>
          <w:szCs w:val="18"/>
          <w:color w:val="auto"/>
        </w:rPr>
        <w:t>Changes in Ascendis Pharma’s capital structure causing a change of the potential possibility of gain attached to a warrant shall require an adjustment of the warrants.</w:t>
      </w:r>
    </w:p>
    <w:p>
      <w:pPr>
        <w:spacing w:after="0" w:line="67" w:lineRule="exact"/>
        <w:rPr>
          <w:sz w:val="20"/>
          <w:szCs w:val="20"/>
          <w:color w:val="auto"/>
        </w:rPr>
      </w:pPr>
    </w:p>
    <w:p>
      <w:pPr>
        <w:ind w:left="544" w:hanging="539"/>
        <w:spacing w:after="0" w:line="261" w:lineRule="auto"/>
        <w:tabs>
          <w:tab w:leader="none" w:pos="524"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8"/>
          <w:szCs w:val="18"/>
          <w:color w:val="auto"/>
        </w:rPr>
        <w:t>Adjustments shall be made so that the potential possibility of gain attached to a warrant, in so far as possible, shall remain the same before and after the occurrence of an incident causing the adjustment. The adjustment shall be carried out with the assistance of Ascendis Pharma’s external advisor. The adjustment may be effected either by increase or reduction of the number of shares that can be issued following exercise of a warrant and/or an increase or reduction of the exercise price.</w:t>
      </w:r>
    </w:p>
    <w:p>
      <w:pPr>
        <w:spacing w:after="0" w:line="85" w:lineRule="exact"/>
        <w:rPr>
          <w:sz w:val="20"/>
          <w:szCs w:val="20"/>
          <w:color w:val="auto"/>
        </w:rPr>
      </w:pPr>
    </w:p>
    <w:p>
      <w:pPr>
        <w:ind w:left="544" w:right="320" w:hanging="539"/>
        <w:spacing w:after="0" w:line="261" w:lineRule="auto"/>
        <w:tabs>
          <w:tab w:leader="none" w:pos="524"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8"/>
          <w:szCs w:val="18"/>
          <w:color w:val="auto"/>
        </w:rPr>
        <w:t>Warrants shall not be adjusted as a result of Ascendis Pharma’s issue of employee shares, share options and/or warrants as part of employee share option schemes (including options to Directors, advisors and consultants) as well as future exercise of such options and/or warrants. Warrants shall, furthermore, not be adjusted as a result of capital increases following the Warrantholders’ and others’ exercise of warrants in Ascendis Pharma.</w:t>
      </w:r>
    </w:p>
    <w:p>
      <w:pPr>
        <w:spacing w:after="0" w:line="8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5.4</w:t>
      </w:r>
      <w:r>
        <w:rPr>
          <w:sz w:val="20"/>
          <w:szCs w:val="20"/>
          <w:color w:val="auto"/>
        </w:rPr>
        <w:tab/>
      </w:r>
      <w:r>
        <w:rPr>
          <w:rFonts w:ascii="Times New Roman" w:cs="Times New Roman" w:eastAsia="Times New Roman" w:hAnsi="Times New Roman"/>
          <w:sz w:val="17"/>
          <w:szCs w:val="17"/>
          <w:b w:val="1"/>
          <w:bCs w:val="1"/>
          <w:u w:val="single" w:color="auto"/>
          <w:color w:val="auto"/>
        </w:rPr>
        <w:t>Bonus shares</w:t>
      </w:r>
      <w:r>
        <w:rPr>
          <w:rFonts w:ascii="Times New Roman" w:cs="Times New Roman" w:eastAsia="Times New Roman" w:hAnsi="Times New Roman"/>
          <w:sz w:val="17"/>
          <w:szCs w:val="17"/>
          <w:color w:val="auto"/>
        </w:rPr>
        <w:t>:</w:t>
      </w:r>
    </w:p>
    <w:p>
      <w:pPr>
        <w:spacing w:after="0" w:line="121"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If it is decided to issue bonus shares in Ascendis Pharma, warrants shall be adjusted as follows:</w:t>
      </w:r>
    </w:p>
    <w:p>
      <w:pPr>
        <w:spacing w:after="0" w:line="117"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The exercise price for each warrant not yet exercised shall be multiplied by the factor: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351155</wp:posOffset>
            </wp:positionH>
            <wp:positionV relativeFrom="paragraph">
              <wp:posOffset>94615</wp:posOffset>
            </wp:positionV>
            <wp:extent cx="1114425" cy="3683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114425" cy="368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and the number of warrants not yet exercised shall be multiplied by the factor:</w:t>
      </w:r>
    </w:p>
    <w:p>
      <w:pPr>
        <w:spacing w:after="0" w:line="117"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u w:val="single" w:color="auto"/>
          <w:color w:val="auto"/>
        </w:rPr>
        <w:t>1</w:t>
      </w:r>
    </w:p>
    <w:p>
      <w:pPr>
        <w:spacing w:after="0" w:line="239"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α</w:t>
      </w:r>
    </w:p>
    <w:p>
      <w:pPr>
        <w:spacing w:after="0" w:line="117"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where:</w:t>
      </w:r>
    </w:p>
    <w:p>
      <w:pPr>
        <w:spacing w:after="0" w:line="131" w:lineRule="exact"/>
        <w:rPr>
          <w:sz w:val="20"/>
          <w:szCs w:val="20"/>
          <w:color w:val="auto"/>
        </w:rPr>
      </w:pPr>
    </w:p>
    <w:p>
      <w:pPr>
        <w:ind w:left="1184" w:hanging="644"/>
        <w:spacing w:after="0"/>
        <w:tabs>
          <w:tab w:leader="none" w:pos="118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nominal share capital before issue of bonus shares, and</w:t>
      </w:r>
    </w:p>
    <w:p>
      <w:pPr>
        <w:spacing w:after="0" w:line="27" w:lineRule="exact"/>
        <w:rPr>
          <w:rFonts w:ascii="Times New Roman" w:cs="Times New Roman" w:eastAsia="Times New Roman" w:hAnsi="Times New Roman"/>
          <w:sz w:val="18"/>
          <w:szCs w:val="18"/>
          <w:color w:val="auto"/>
        </w:rPr>
      </w:pPr>
    </w:p>
    <w:p>
      <w:pPr>
        <w:ind w:left="5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w:t>
      </w:r>
      <w:r>
        <w:rPr>
          <w:rFonts w:ascii="Times New Roman" w:cs="Times New Roman" w:eastAsia="Times New Roman" w:hAnsi="Times New Roman"/>
          <w:sz w:val="17"/>
          <w:szCs w:val="17"/>
          <w:color w:val="auto"/>
        </w:rPr>
        <w:t>=  the total nominal value of bonus shares.</w:t>
      </w:r>
    </w:p>
    <w:p>
      <w:pPr>
        <w:spacing w:after="0" w:line="99" w:lineRule="exact"/>
        <w:rPr>
          <w:sz w:val="20"/>
          <w:szCs w:val="20"/>
          <w:color w:val="auto"/>
        </w:rPr>
      </w:pPr>
    </w:p>
    <w:p>
      <w:pPr>
        <w:ind w:left="544" w:right="180"/>
        <w:spacing w:after="0" w:line="282" w:lineRule="auto"/>
        <w:rPr>
          <w:sz w:val="20"/>
          <w:szCs w:val="20"/>
          <w:color w:val="auto"/>
        </w:rPr>
      </w:pPr>
      <w:r>
        <w:rPr>
          <w:rFonts w:ascii="Times New Roman" w:cs="Times New Roman" w:eastAsia="Times New Roman" w:hAnsi="Times New Roman"/>
          <w:sz w:val="18"/>
          <w:szCs w:val="18"/>
          <w:color w:val="auto"/>
        </w:rPr>
        <w:t>If the adjusted exercise price and/or the adjusted number of shares does not amount to whole numbers, each number shall be rounded down to the nearest whole number.</w:t>
      </w:r>
    </w:p>
    <w:p>
      <w:pPr>
        <w:spacing w:after="0" w:line="63"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5.5</w:t>
      </w:r>
      <w:r>
        <w:rPr>
          <w:sz w:val="20"/>
          <w:szCs w:val="20"/>
          <w:color w:val="auto"/>
        </w:rPr>
        <w:tab/>
      </w:r>
      <w:r>
        <w:rPr>
          <w:rFonts w:ascii="Times New Roman" w:cs="Times New Roman" w:eastAsia="Times New Roman" w:hAnsi="Times New Roman"/>
          <w:sz w:val="17"/>
          <w:szCs w:val="17"/>
          <w:b w:val="1"/>
          <w:bCs w:val="1"/>
          <w:u w:val="single" w:color="auto"/>
          <w:color w:val="auto"/>
        </w:rPr>
        <w:t>Changes of capital at a price different from the market price</w:t>
      </w:r>
      <w:r>
        <w:rPr>
          <w:rFonts w:ascii="Times New Roman" w:cs="Times New Roman" w:eastAsia="Times New Roman" w:hAnsi="Times New Roman"/>
          <w:sz w:val="17"/>
          <w:szCs w:val="17"/>
          <w:color w:val="auto"/>
        </w:rPr>
        <w:t>:</w:t>
      </w:r>
    </w:p>
    <w:p>
      <w:pPr>
        <w:spacing w:after="0" w:line="121" w:lineRule="exact"/>
        <w:rPr>
          <w:sz w:val="20"/>
          <w:szCs w:val="20"/>
          <w:color w:val="auto"/>
        </w:rPr>
      </w:pPr>
    </w:p>
    <w:p>
      <w:pPr>
        <w:ind w:left="544" w:right="100"/>
        <w:spacing w:after="0" w:line="282" w:lineRule="auto"/>
        <w:rPr>
          <w:sz w:val="20"/>
          <w:szCs w:val="20"/>
          <w:color w:val="auto"/>
        </w:rPr>
      </w:pPr>
      <w:r>
        <w:rPr>
          <w:rFonts w:ascii="Times New Roman" w:cs="Times New Roman" w:eastAsia="Times New Roman" w:hAnsi="Times New Roman"/>
          <w:sz w:val="18"/>
          <w:szCs w:val="18"/>
          <w:color w:val="auto"/>
        </w:rPr>
        <w:t>If it is decided to increase or reduce the share capital in Ascendis Pharma at a price below the market price (in relation to capital decreases also above the market price), warrants shall be adjusted as follows:</w:t>
      </w:r>
    </w:p>
    <w:p>
      <w:pPr>
        <w:spacing w:after="0" w:line="94"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0944"/>
          </w:cols>
          <w:pgMar w:left="436" w:top="266" w:right="519" w:bottom="1440" w:gutter="0" w:footer="0" w:header="0"/>
        </w:sectPr>
      </w:pPr>
    </w:p>
    <w:bookmarkStart w:id="47" w:name="page48"/>
    <w:bookmarkEnd w:id="47"/>
    <w:p>
      <w:pPr>
        <w:ind w:left="5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exercise price for each non-exercised warrant shall be multiplied by the factor: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348615</wp:posOffset>
            </wp:positionH>
            <wp:positionV relativeFrom="paragraph">
              <wp:posOffset>94615</wp:posOffset>
            </wp:positionV>
            <wp:extent cx="1525905" cy="3429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525905"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and the number of non-exercised warrants shall be multiplied by the factor:</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1</w:t>
      </w:r>
    </w:p>
    <w:p>
      <w:pPr>
        <w:spacing w:after="0" w:line="23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α</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where:</w:t>
      </w:r>
    </w:p>
    <w:p>
      <w:pPr>
        <w:spacing w:after="0" w:line="131" w:lineRule="exact"/>
        <w:rPr>
          <w:sz w:val="20"/>
          <w:szCs w:val="20"/>
          <w:color w:val="auto"/>
        </w:rPr>
      </w:pPr>
    </w:p>
    <w:p>
      <w:pPr>
        <w:ind w:left="1180" w:hanging="644"/>
        <w:spacing w:after="0"/>
        <w:tabs>
          <w:tab w:leader="none" w:pos="11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nominal share capital before the change in capital</w:t>
      </w:r>
    </w:p>
    <w:p>
      <w:pPr>
        <w:spacing w:after="0" w:line="27"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w:t>
      </w:r>
      <w:r>
        <w:rPr>
          <w:rFonts w:ascii="Times New Roman" w:cs="Times New Roman" w:eastAsia="Times New Roman" w:hAnsi="Times New Roman"/>
          <w:sz w:val="17"/>
          <w:szCs w:val="17"/>
          <w:color w:val="auto"/>
        </w:rPr>
        <w:t>=  nominal change in the share capital</w:t>
      </w:r>
    </w:p>
    <w:p>
      <w:pPr>
        <w:spacing w:after="0" w:line="9"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w:t>
      </w:r>
      <w:r>
        <w:rPr>
          <w:rFonts w:ascii="Times New Roman" w:cs="Times New Roman" w:eastAsia="Times New Roman" w:hAnsi="Times New Roman"/>
          <w:sz w:val="17"/>
          <w:szCs w:val="17"/>
          <w:color w:val="auto"/>
        </w:rPr>
        <w:t>=  market price / closing price of the share on the day prior to the announcement of the change in the share capital, and</w:t>
      </w:r>
    </w:p>
    <w:p>
      <w:pPr>
        <w:spacing w:after="0" w:line="9"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7"/>
          <w:szCs w:val="17"/>
          <w:color w:val="auto"/>
        </w:rPr>
        <w:t>=  subscription price/reduction price in relation to the change in the share capital</w:t>
      </w:r>
    </w:p>
    <w:p>
      <w:pPr>
        <w:spacing w:after="0" w:line="99" w:lineRule="exact"/>
        <w:rPr>
          <w:sz w:val="20"/>
          <w:szCs w:val="20"/>
          <w:color w:val="auto"/>
        </w:rPr>
      </w:pPr>
    </w:p>
    <w:p>
      <w:pPr>
        <w:ind w:left="540"/>
        <w:spacing w:after="0" w:line="282" w:lineRule="auto"/>
        <w:rPr>
          <w:sz w:val="20"/>
          <w:szCs w:val="20"/>
          <w:color w:val="auto"/>
        </w:rPr>
      </w:pPr>
      <w:r>
        <w:rPr>
          <w:rFonts w:ascii="Times New Roman" w:cs="Times New Roman" w:eastAsia="Times New Roman" w:hAnsi="Times New Roman"/>
          <w:sz w:val="18"/>
          <w:szCs w:val="18"/>
          <w:color w:val="auto"/>
        </w:rPr>
        <w:t>If the adjusted exercise price and/or the adjusted number of shares does not amount to whole numbers, each number shall be rounded down to the nearest whole number.</w:t>
      </w:r>
    </w:p>
    <w:p>
      <w:pPr>
        <w:spacing w:after="0" w:line="6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5.6</w:t>
      </w:r>
      <w:r>
        <w:rPr>
          <w:sz w:val="20"/>
          <w:szCs w:val="20"/>
          <w:color w:val="auto"/>
        </w:rPr>
        <w:tab/>
      </w:r>
      <w:r>
        <w:rPr>
          <w:rFonts w:ascii="Times New Roman" w:cs="Times New Roman" w:eastAsia="Times New Roman" w:hAnsi="Times New Roman"/>
          <w:sz w:val="17"/>
          <w:szCs w:val="17"/>
          <w:b w:val="1"/>
          <w:bCs w:val="1"/>
          <w:u w:val="single" w:color="auto"/>
          <w:color w:val="auto"/>
        </w:rPr>
        <w:t>Changes in the nominal value of each individual share</w:t>
      </w:r>
      <w:r>
        <w:rPr>
          <w:rFonts w:ascii="Times New Roman" w:cs="Times New Roman" w:eastAsia="Times New Roman" w:hAnsi="Times New Roman"/>
          <w:sz w:val="17"/>
          <w:szCs w:val="17"/>
          <w:color w:val="auto"/>
        </w:rPr>
        <w:t>:</w:t>
      </w:r>
    </w:p>
    <w:p>
      <w:pPr>
        <w:spacing w:after="0" w:line="1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If it is decided to change the nominal value of the shares, warrants shall be adjusted as follows:</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exercise price for each non-exercised warrant shall be multiplied by the factor: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348615</wp:posOffset>
            </wp:positionH>
            <wp:positionV relativeFrom="paragraph">
              <wp:posOffset>94615</wp:posOffset>
            </wp:positionV>
            <wp:extent cx="1114425" cy="3429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114425"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and the number of non-exercised warrants shall be multiplied by the factor:</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u w:val="single" w:color="auto"/>
          <w:color w:val="auto"/>
        </w:rPr>
        <w:t>1</w:t>
      </w:r>
    </w:p>
    <w:p>
      <w:pPr>
        <w:spacing w:after="0" w:line="23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α</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where:</w:t>
      </w:r>
    </w:p>
    <w:p>
      <w:pPr>
        <w:spacing w:after="0" w:line="131" w:lineRule="exact"/>
        <w:rPr>
          <w:sz w:val="20"/>
          <w:szCs w:val="20"/>
          <w:color w:val="auto"/>
        </w:rPr>
      </w:pPr>
    </w:p>
    <w:p>
      <w:pPr>
        <w:ind w:left="1180" w:hanging="644"/>
        <w:spacing w:after="0"/>
        <w:tabs>
          <w:tab w:leader="none" w:pos="11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nominal value of each share after the change, and</w:t>
      </w:r>
    </w:p>
    <w:p>
      <w:pPr>
        <w:spacing w:after="0" w:line="27"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w:t>
      </w:r>
      <w:r>
        <w:rPr>
          <w:rFonts w:ascii="Times New Roman" w:cs="Times New Roman" w:eastAsia="Times New Roman" w:hAnsi="Times New Roman"/>
          <w:sz w:val="17"/>
          <w:szCs w:val="17"/>
          <w:color w:val="auto"/>
        </w:rPr>
        <w:t>=  nominal value of each share before the change</w:t>
      </w:r>
    </w:p>
    <w:p>
      <w:pPr>
        <w:spacing w:after="0" w:line="99" w:lineRule="exact"/>
        <w:rPr>
          <w:sz w:val="20"/>
          <w:szCs w:val="20"/>
          <w:color w:val="auto"/>
        </w:rPr>
      </w:pPr>
    </w:p>
    <w:p>
      <w:pPr>
        <w:ind w:left="540"/>
        <w:spacing w:after="0" w:line="282" w:lineRule="auto"/>
        <w:rPr>
          <w:sz w:val="20"/>
          <w:szCs w:val="20"/>
          <w:color w:val="auto"/>
        </w:rPr>
      </w:pPr>
      <w:r>
        <w:rPr>
          <w:rFonts w:ascii="Times New Roman" w:cs="Times New Roman" w:eastAsia="Times New Roman" w:hAnsi="Times New Roman"/>
          <w:sz w:val="18"/>
          <w:szCs w:val="18"/>
          <w:color w:val="auto"/>
        </w:rPr>
        <w:t>If the adjusted exercise price and/or the adjusted number of shares does not amount to whole numbers, each number shall be rounded down to the nearest whole number.</w:t>
      </w:r>
    </w:p>
    <w:p>
      <w:pPr>
        <w:spacing w:after="0" w:line="9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0760"/>
          </w:cols>
          <w:pgMar w:left="440" w:top="270" w:right="699" w:bottom="1440" w:gutter="0" w:footer="0" w:header="0"/>
        </w:sectPr>
      </w:pPr>
    </w:p>
    <w:bookmarkStart w:id="48" w:name="page49"/>
    <w:bookmarkEnd w:id="48"/>
    <w:p>
      <w:pPr>
        <w:spacing w:after="0"/>
        <w:tabs>
          <w:tab w:leader="none" w:pos="5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5.7</w:t>
      </w:r>
      <w:r>
        <w:rPr>
          <w:sz w:val="20"/>
          <w:szCs w:val="20"/>
          <w:color w:val="auto"/>
        </w:rPr>
        <w:tab/>
      </w:r>
      <w:r>
        <w:rPr>
          <w:rFonts w:ascii="Times New Roman" w:cs="Times New Roman" w:eastAsia="Times New Roman" w:hAnsi="Times New Roman"/>
          <w:sz w:val="17"/>
          <w:szCs w:val="17"/>
          <w:b w:val="1"/>
          <w:bCs w:val="1"/>
          <w:u w:val="single" w:color="auto"/>
          <w:color w:val="auto"/>
        </w:rPr>
        <w:t>Payment of dividend</w:t>
      </w:r>
      <w:r>
        <w:rPr>
          <w:rFonts w:ascii="Times New Roman" w:cs="Times New Roman" w:eastAsia="Times New Roman" w:hAnsi="Times New Roman"/>
          <w:sz w:val="17"/>
          <w:szCs w:val="17"/>
          <w:color w:val="auto"/>
        </w:rPr>
        <w:t>:</w:t>
      </w:r>
    </w:p>
    <w:p>
      <w:pPr>
        <w:spacing w:after="0" w:line="121" w:lineRule="exact"/>
        <w:rPr>
          <w:sz w:val="20"/>
          <w:szCs w:val="20"/>
          <w:color w:val="auto"/>
        </w:rPr>
      </w:pPr>
    </w:p>
    <w:p>
      <w:pPr>
        <w:ind w:left="540"/>
        <w:spacing w:after="0" w:line="282" w:lineRule="auto"/>
        <w:rPr>
          <w:sz w:val="20"/>
          <w:szCs w:val="20"/>
          <w:color w:val="auto"/>
        </w:rPr>
      </w:pPr>
      <w:r>
        <w:rPr>
          <w:rFonts w:ascii="Times New Roman" w:cs="Times New Roman" w:eastAsia="Times New Roman" w:hAnsi="Times New Roman"/>
          <w:sz w:val="18"/>
          <w:szCs w:val="18"/>
          <w:color w:val="auto"/>
        </w:rPr>
        <w:t>If it is decided to pay dividends, the part of the dividends exceeding 10 per cent of the equity capital shall lead to adjustment of the exercise price according to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348615</wp:posOffset>
            </wp:positionH>
            <wp:positionV relativeFrom="paragraph">
              <wp:posOffset>53975</wp:posOffset>
            </wp:positionV>
            <wp:extent cx="1680210" cy="3429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68021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where:</w:t>
      </w:r>
    </w:p>
    <w:p>
      <w:pPr>
        <w:spacing w:after="0" w:line="131" w:lineRule="exact"/>
        <w:rPr>
          <w:sz w:val="20"/>
          <w:szCs w:val="20"/>
          <w:color w:val="auto"/>
        </w:rPr>
      </w:pPr>
    </w:p>
    <w:p>
      <w:pPr>
        <w:ind w:left="540"/>
        <w:spacing w:after="0"/>
        <w:tabs>
          <w:tab w:leader="none" w:pos="1160" w:val="left"/>
        </w:tabs>
        <w:rPr>
          <w:sz w:val="20"/>
          <w:szCs w:val="20"/>
          <w:color w:val="auto"/>
        </w:rPr>
      </w:pPr>
      <w:r>
        <w:rPr>
          <w:rFonts w:ascii="Times New Roman" w:cs="Times New Roman" w:eastAsia="Times New Roman" w:hAnsi="Times New Roman"/>
          <w:sz w:val="18"/>
          <w:szCs w:val="18"/>
          <w:color w:val="auto"/>
        </w:rPr>
        <w:t>E2</w:t>
      </w:r>
      <w:r>
        <w:rPr>
          <w:sz w:val="20"/>
          <w:szCs w:val="20"/>
          <w:color w:val="auto"/>
        </w:rPr>
        <w:tab/>
      </w:r>
      <w:r>
        <w:rPr>
          <w:rFonts w:ascii="Times New Roman" w:cs="Times New Roman" w:eastAsia="Times New Roman" w:hAnsi="Times New Roman"/>
          <w:sz w:val="18"/>
          <w:szCs w:val="18"/>
          <w:color w:val="auto"/>
        </w:rPr>
        <w:t>=  the adjusted exercise price</w:t>
      </w:r>
    </w:p>
    <w:p>
      <w:pPr>
        <w:spacing w:after="0" w:line="27" w:lineRule="exact"/>
        <w:rPr>
          <w:sz w:val="20"/>
          <w:szCs w:val="20"/>
          <w:color w:val="auto"/>
        </w:rPr>
      </w:pPr>
    </w:p>
    <w:p>
      <w:pPr>
        <w:ind w:left="540"/>
        <w:spacing w:after="0"/>
        <w:tabs>
          <w:tab w:leader="none" w:pos="1160" w:val="left"/>
        </w:tabs>
        <w:rPr>
          <w:sz w:val="20"/>
          <w:szCs w:val="20"/>
          <w:color w:val="auto"/>
        </w:rPr>
      </w:pPr>
      <w:r>
        <w:rPr>
          <w:rFonts w:ascii="Times New Roman" w:cs="Times New Roman" w:eastAsia="Times New Roman" w:hAnsi="Times New Roman"/>
          <w:sz w:val="18"/>
          <w:szCs w:val="18"/>
          <w:color w:val="auto"/>
        </w:rPr>
        <w:t>E1</w:t>
      </w:r>
      <w:r>
        <w:rPr>
          <w:sz w:val="20"/>
          <w:szCs w:val="20"/>
          <w:color w:val="auto"/>
        </w:rPr>
        <w:tab/>
      </w:r>
      <w:r>
        <w:rPr>
          <w:rFonts w:ascii="Times New Roman" w:cs="Times New Roman" w:eastAsia="Times New Roman" w:hAnsi="Times New Roman"/>
          <w:sz w:val="18"/>
          <w:szCs w:val="18"/>
          <w:color w:val="auto"/>
        </w:rPr>
        <w:t>=  the original exercise price</w:t>
      </w:r>
    </w:p>
    <w:p>
      <w:pPr>
        <w:spacing w:after="0" w:line="9" w:lineRule="exact"/>
        <w:rPr>
          <w:sz w:val="20"/>
          <w:szCs w:val="20"/>
          <w:color w:val="auto"/>
        </w:rPr>
      </w:pPr>
    </w:p>
    <w:p>
      <w:pPr>
        <w:ind w:left="1180" w:hanging="644"/>
        <w:spacing w:after="0"/>
        <w:tabs>
          <w:tab w:leader="none" w:pos="11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dividends paid out</w:t>
      </w:r>
    </w:p>
    <w:p>
      <w:pPr>
        <w:spacing w:after="0" w:line="207" w:lineRule="exact"/>
        <w:rPr>
          <w:sz w:val="20"/>
          <w:szCs w:val="20"/>
          <w:color w:val="auto"/>
        </w:rPr>
      </w:pPr>
    </w:p>
    <w:p>
      <w:pPr>
        <w:ind w:left="1180" w:hanging="644"/>
        <w:spacing w:after="0"/>
        <w:tabs>
          <w:tab w:leader="none" w:pos="11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total number of shares in Ascendis Pharma</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If the adjusted exercise price does not amount to a whole number, it shall be rounded down to the nearest whole number.</w:t>
      </w:r>
    </w:p>
    <w:p>
      <w:pPr>
        <w:spacing w:after="0" w:line="117" w:lineRule="exact"/>
        <w:rPr>
          <w:sz w:val="20"/>
          <w:szCs w:val="20"/>
          <w:color w:val="auto"/>
        </w:rPr>
      </w:pPr>
    </w:p>
    <w:p>
      <w:pPr>
        <w:ind w:left="540" w:right="420"/>
        <w:spacing w:after="0" w:line="282" w:lineRule="auto"/>
        <w:rPr>
          <w:sz w:val="20"/>
          <w:szCs w:val="20"/>
          <w:color w:val="auto"/>
        </w:rPr>
      </w:pPr>
      <w:r>
        <w:rPr>
          <w:rFonts w:ascii="Times New Roman" w:cs="Times New Roman" w:eastAsia="Times New Roman" w:hAnsi="Times New Roman"/>
          <w:sz w:val="18"/>
          <w:szCs w:val="18"/>
          <w:color w:val="auto"/>
        </w:rPr>
        <w:t>The equity capital that shall form the basis of the adjustment above is the equity capital stipulated in the Annual Report to be adopted at the General Meeting where dividends shall be approved before allocation hereof has been made in the Annual Report.</w:t>
      </w:r>
    </w:p>
    <w:p>
      <w:pPr>
        <w:spacing w:after="0" w:line="6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5.8</w:t>
      </w:r>
      <w:r>
        <w:rPr>
          <w:sz w:val="20"/>
          <w:szCs w:val="20"/>
          <w:color w:val="auto"/>
        </w:rPr>
        <w:tab/>
      </w:r>
      <w:r>
        <w:rPr>
          <w:rFonts w:ascii="Times New Roman" w:cs="Times New Roman" w:eastAsia="Times New Roman" w:hAnsi="Times New Roman"/>
          <w:sz w:val="17"/>
          <w:szCs w:val="17"/>
          <w:b w:val="1"/>
          <w:bCs w:val="1"/>
          <w:u w:val="single" w:color="auto"/>
          <w:color w:val="auto"/>
        </w:rPr>
        <w:t>Other changes in Ascendis Pharma’s capital position</w:t>
      </w:r>
      <w:r>
        <w:rPr>
          <w:rFonts w:ascii="Times New Roman" w:cs="Times New Roman" w:eastAsia="Times New Roman" w:hAnsi="Times New Roman"/>
          <w:sz w:val="17"/>
          <w:szCs w:val="17"/>
          <w:color w:val="auto"/>
        </w:rPr>
        <w:t>:</w:t>
      </w:r>
    </w:p>
    <w:p>
      <w:pPr>
        <w:spacing w:after="0" w:line="121" w:lineRule="exact"/>
        <w:rPr>
          <w:sz w:val="20"/>
          <w:szCs w:val="20"/>
          <w:color w:val="auto"/>
        </w:rPr>
      </w:pPr>
    </w:p>
    <w:p>
      <w:pPr>
        <w:ind w:left="540" w:right="260"/>
        <w:spacing w:after="0" w:line="282" w:lineRule="auto"/>
        <w:rPr>
          <w:sz w:val="20"/>
          <w:szCs w:val="20"/>
          <w:color w:val="auto"/>
        </w:rPr>
      </w:pPr>
      <w:r>
        <w:rPr>
          <w:rFonts w:ascii="Times New Roman" w:cs="Times New Roman" w:eastAsia="Times New Roman" w:hAnsi="Times New Roman"/>
          <w:sz w:val="18"/>
          <w:szCs w:val="18"/>
          <w:color w:val="auto"/>
        </w:rPr>
        <w:t>In the event of other changes in Ascendis Pharma’s capital position causing changes to the financial value of warrants, warrants shall (save as provided above) be adjusted in order to ensure that the changes do not influence the financial value of the warrants.</w:t>
      </w:r>
    </w:p>
    <w:p>
      <w:pPr>
        <w:spacing w:after="0" w:line="5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calculation method to be applied to the adjustment shall be decided by an external advisor appointed by the Board of Directors.</w:t>
      </w:r>
    </w:p>
    <w:p>
      <w:pPr>
        <w:spacing w:after="0" w:line="117" w:lineRule="exact"/>
        <w:rPr>
          <w:sz w:val="20"/>
          <w:szCs w:val="20"/>
          <w:color w:val="auto"/>
        </w:rPr>
      </w:pPr>
    </w:p>
    <w:p>
      <w:pPr>
        <w:ind w:left="540" w:right="120"/>
        <w:spacing w:after="0" w:line="282" w:lineRule="auto"/>
        <w:rPr>
          <w:sz w:val="20"/>
          <w:szCs w:val="20"/>
          <w:color w:val="auto"/>
        </w:rPr>
      </w:pPr>
      <w:r>
        <w:rPr>
          <w:rFonts w:ascii="Times New Roman" w:cs="Times New Roman" w:eastAsia="Times New Roman" w:hAnsi="Times New Roman"/>
          <w:sz w:val="18"/>
          <w:szCs w:val="18"/>
          <w:color w:val="auto"/>
        </w:rPr>
        <w:t>It is emphasized that increase or reduction of Ascendis Pharma’s share capital at market price does not lead to an adjustment of the subscription price or the number of shares to be subscribed.</w:t>
      </w:r>
    </w:p>
    <w:p>
      <w:pPr>
        <w:spacing w:after="0" w:line="6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5.9</w:t>
      </w:r>
      <w:r>
        <w:rPr>
          <w:sz w:val="20"/>
          <w:szCs w:val="20"/>
          <w:color w:val="auto"/>
        </w:rPr>
        <w:tab/>
      </w:r>
      <w:r>
        <w:rPr>
          <w:rFonts w:ascii="Times New Roman" w:cs="Times New Roman" w:eastAsia="Times New Roman" w:hAnsi="Times New Roman"/>
          <w:sz w:val="17"/>
          <w:szCs w:val="17"/>
          <w:b w:val="1"/>
          <w:bCs w:val="1"/>
          <w:u w:val="single" w:color="auto"/>
          <w:color w:val="auto"/>
        </w:rPr>
        <w:t>Winding-up</w:t>
      </w:r>
      <w:r>
        <w:rPr>
          <w:rFonts w:ascii="Times New Roman" w:cs="Times New Roman" w:eastAsia="Times New Roman" w:hAnsi="Times New Roman"/>
          <w:sz w:val="17"/>
          <w:szCs w:val="17"/>
          <w:color w:val="auto"/>
        </w:rPr>
        <w:t>:</w:t>
      </w:r>
    </w:p>
    <w:p>
      <w:pPr>
        <w:spacing w:after="0" w:line="121" w:lineRule="exact"/>
        <w:rPr>
          <w:sz w:val="20"/>
          <w:szCs w:val="20"/>
          <w:color w:val="auto"/>
        </w:rPr>
      </w:pPr>
    </w:p>
    <w:p>
      <w:pPr>
        <w:ind w:left="540" w:right="140"/>
        <w:spacing w:after="0" w:line="282" w:lineRule="auto"/>
        <w:rPr>
          <w:sz w:val="20"/>
          <w:szCs w:val="20"/>
          <w:color w:val="auto"/>
        </w:rPr>
      </w:pPr>
      <w:r>
        <w:rPr>
          <w:rFonts w:ascii="Times New Roman" w:cs="Times New Roman" w:eastAsia="Times New Roman" w:hAnsi="Times New Roman"/>
          <w:sz w:val="18"/>
          <w:szCs w:val="18"/>
          <w:color w:val="auto"/>
        </w:rPr>
        <w:t xml:space="preserve">Should Ascendis Pharma be liquidated, the vesting time for </w:t>
      </w:r>
      <w:r>
        <w:rPr>
          <w:rFonts w:ascii="Times New Roman" w:cs="Times New Roman" w:eastAsia="Times New Roman" w:hAnsi="Times New Roman"/>
          <w:sz w:val="18"/>
          <w:szCs w:val="18"/>
          <w:u w:val="single" w:color="auto"/>
          <w:color w:val="auto"/>
        </w:rPr>
        <w:t>all</w:t>
      </w:r>
      <w:r>
        <w:rPr>
          <w:rFonts w:ascii="Times New Roman" w:cs="Times New Roman" w:eastAsia="Times New Roman" w:hAnsi="Times New Roman"/>
          <w:sz w:val="18"/>
          <w:szCs w:val="18"/>
          <w:color w:val="auto"/>
        </w:rPr>
        <w:t xml:space="preserve"> non-exercised warrants shall be changed so that the Warrantholder may exercise his/her warrants in an extraordinary exercise period immediately preceding the relevant transaction.</w:t>
      </w:r>
    </w:p>
    <w:p>
      <w:pPr>
        <w:spacing w:after="0" w:line="6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5.10</w:t>
      </w:r>
      <w:r>
        <w:rPr>
          <w:sz w:val="20"/>
          <w:szCs w:val="20"/>
          <w:color w:val="auto"/>
        </w:rPr>
        <w:tab/>
      </w:r>
      <w:r>
        <w:rPr>
          <w:rFonts w:ascii="Times New Roman" w:cs="Times New Roman" w:eastAsia="Times New Roman" w:hAnsi="Times New Roman"/>
          <w:sz w:val="17"/>
          <w:szCs w:val="17"/>
          <w:b w:val="1"/>
          <w:bCs w:val="1"/>
          <w:u w:val="single" w:color="auto"/>
          <w:color w:val="auto"/>
        </w:rPr>
        <w:t>Merger and split</w:t>
      </w:r>
      <w:r>
        <w:rPr>
          <w:rFonts w:ascii="Times New Roman" w:cs="Times New Roman" w:eastAsia="Times New Roman" w:hAnsi="Times New Roman"/>
          <w:sz w:val="17"/>
          <w:szCs w:val="17"/>
          <w:color w:val="auto"/>
        </w:rPr>
        <w:t>:</w:t>
      </w:r>
    </w:p>
    <w:p>
      <w:pPr>
        <w:spacing w:after="0" w:line="121" w:lineRule="exact"/>
        <w:rPr>
          <w:sz w:val="20"/>
          <w:szCs w:val="20"/>
          <w:color w:val="auto"/>
        </w:rPr>
      </w:pPr>
    </w:p>
    <w:p>
      <w:pPr>
        <w:ind w:left="540" w:right="340"/>
        <w:spacing w:after="0" w:line="282" w:lineRule="auto"/>
        <w:rPr>
          <w:sz w:val="20"/>
          <w:szCs w:val="20"/>
          <w:color w:val="auto"/>
        </w:rPr>
      </w:pPr>
      <w:r>
        <w:rPr>
          <w:rFonts w:ascii="Times New Roman" w:cs="Times New Roman" w:eastAsia="Times New Roman" w:hAnsi="Times New Roman"/>
          <w:sz w:val="18"/>
          <w:szCs w:val="18"/>
          <w:color w:val="auto"/>
        </w:rPr>
        <w:t>If Ascendis Pharma merges as the continuing company, warrants shall remain unaffected unless, in connection with the merger, the capital is increased at a price other than the market price and in that case warrants shall be adjusted in accordance with clause 5.5.</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000"/>
          </w:cols>
          <w:pgMar w:left="440" w:top="266" w:right="459" w:bottom="1440" w:gutter="0" w:footer="0" w:header="0"/>
        </w:sectPr>
      </w:pPr>
    </w:p>
    <w:bookmarkStart w:id="49" w:name="page50"/>
    <w:bookmarkEnd w:id="49"/>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Ascendis Pharma merges as the terminating company or is split, the continuing company may choose one of the following possibilities:</w:t>
      </w:r>
    </w:p>
    <w:p>
      <w:pPr>
        <w:spacing w:after="0" w:line="131" w:lineRule="exact"/>
        <w:rPr>
          <w:sz w:val="20"/>
          <w:szCs w:val="20"/>
          <w:color w:val="auto"/>
        </w:rPr>
      </w:pPr>
    </w:p>
    <w:p>
      <w:pPr>
        <w:ind w:left="964" w:hanging="424"/>
        <w:spacing w:after="0"/>
        <w:tabs>
          <w:tab w:leader="none" w:pos="96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Warrantholder may exercise all non-exercised warrants (inclusive of warrants not yet vested) immediately before the merger/split, or</w:t>
      </w:r>
    </w:p>
    <w:p>
      <w:pPr>
        <w:spacing w:after="0" w:line="130" w:lineRule="exact"/>
        <w:rPr>
          <w:rFonts w:ascii="Times New Roman" w:cs="Times New Roman" w:eastAsia="Times New Roman" w:hAnsi="Times New Roman"/>
          <w:sz w:val="18"/>
          <w:szCs w:val="18"/>
          <w:color w:val="auto"/>
        </w:rPr>
      </w:pPr>
    </w:p>
    <w:p>
      <w:pPr>
        <w:ind w:left="964" w:hanging="424"/>
        <w:spacing w:after="0" w:line="282" w:lineRule="auto"/>
        <w:tabs>
          <w:tab w:leader="none" w:pos="96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share instruments in the continuing company/companies of a corresponding financial pre-tax value shall replace the warrants. On split the continuing companies may decide in which company/companies the Warrantholders shall receive the new share instruments.</w:t>
      </w:r>
    </w:p>
    <w:p>
      <w:pPr>
        <w:spacing w:after="0" w:line="6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5.11  </w:t>
      </w:r>
      <w:r>
        <w:rPr>
          <w:rFonts w:ascii="Times New Roman" w:cs="Times New Roman" w:eastAsia="Times New Roman" w:hAnsi="Times New Roman"/>
          <w:sz w:val="18"/>
          <w:szCs w:val="18"/>
          <w:b w:val="1"/>
          <w:bCs w:val="1"/>
          <w:u w:val="single" w:color="auto"/>
          <w:color w:val="auto"/>
        </w:rPr>
        <w:t>Sale and exchange of shares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444" w:right="580"/>
        <w:spacing w:after="0" w:line="282" w:lineRule="auto"/>
        <w:rPr>
          <w:sz w:val="20"/>
          <w:szCs w:val="20"/>
          <w:color w:val="auto"/>
        </w:rPr>
      </w:pPr>
      <w:r>
        <w:rPr>
          <w:rFonts w:ascii="Times New Roman" w:cs="Times New Roman" w:eastAsia="Times New Roman" w:hAnsi="Times New Roman"/>
          <w:sz w:val="18"/>
          <w:szCs w:val="18"/>
          <w:color w:val="auto"/>
        </w:rPr>
        <w:t>If more than 50 per cent of the share capital in Ascendis Pharma is sold or is part of a share swap, Ascendis Pharma may choose one of the following possibilities:</w:t>
      </w:r>
    </w:p>
    <w:p>
      <w:pPr>
        <w:spacing w:after="0" w:line="67" w:lineRule="exact"/>
        <w:rPr>
          <w:sz w:val="20"/>
          <w:szCs w:val="20"/>
          <w:color w:val="auto"/>
        </w:rPr>
      </w:pPr>
    </w:p>
    <w:p>
      <w:pPr>
        <w:ind w:left="964" w:right="140" w:hanging="424"/>
        <w:spacing w:after="0" w:line="266" w:lineRule="auto"/>
        <w:tabs>
          <w:tab w:leader="none" w:pos="96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Warrantholder may exercise all non-exercised warrants that are not declared null and void (inclusive of warrants not yet vested) immediately before the sale/swap of shares. Furthermore, the Warrantholder shall undertake an obligation to sell the subscribed shares on the same conditions as the other shareholders (when selling).</w:t>
      </w:r>
    </w:p>
    <w:p>
      <w:pPr>
        <w:spacing w:after="0" w:line="81"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instruments in the acquiring company of a corresponding pre-tax value shall replace the issued warrants.</w:t>
      </w:r>
    </w:p>
    <w:p>
      <w:pPr>
        <w:spacing w:after="0" w:line="1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5.12  </w:t>
      </w:r>
      <w:r>
        <w:rPr>
          <w:rFonts w:ascii="Times New Roman" w:cs="Times New Roman" w:eastAsia="Times New Roman" w:hAnsi="Times New Roman"/>
          <w:sz w:val="18"/>
          <w:szCs w:val="18"/>
          <w:b w:val="1"/>
          <w:bCs w:val="1"/>
          <w:u w:val="single" w:color="auto"/>
          <w:color w:val="auto"/>
        </w:rPr>
        <w:t>Common provisions regarding 5.9-5.11</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444" w:right="40"/>
        <w:spacing w:after="0" w:line="281" w:lineRule="auto"/>
        <w:rPr>
          <w:sz w:val="20"/>
          <w:szCs w:val="20"/>
          <w:color w:val="auto"/>
        </w:rPr>
      </w:pPr>
      <w:r>
        <w:rPr>
          <w:rFonts w:ascii="Times New Roman" w:cs="Times New Roman" w:eastAsia="Times New Roman" w:hAnsi="Times New Roman"/>
          <w:sz w:val="17"/>
          <w:szCs w:val="17"/>
          <w:color w:val="auto"/>
        </w:rPr>
        <w:t>If one of the transactions mentioned above is made, Ascendis Pharma shall inform the Warrantholder hereof by written notice. Upon receipt of the written notice, the Warrantholder shall have 2 weeks – in cases where the Warrantholder may extraordinarily exercise warrants, see 5.9-5.11 – to inform Ascendis Pharma in writing whether he/she will make use of the offer. If the Warrantholder has not answered Ascendis Pharma in writing within the limit of 2 weeks or fails to pay within the fixed time, warrants shall become null and void without further notice or compensation.</w:t>
      </w:r>
    </w:p>
    <w:p>
      <w:pPr>
        <w:spacing w:after="0" w:line="56" w:lineRule="exact"/>
        <w:rPr>
          <w:sz w:val="20"/>
          <w:szCs w:val="20"/>
          <w:color w:val="auto"/>
        </w:rPr>
      </w:pPr>
    </w:p>
    <w:p>
      <w:pPr>
        <w:ind w:left="444" w:right="540"/>
        <w:spacing w:after="0" w:line="312" w:lineRule="auto"/>
        <w:rPr>
          <w:sz w:val="20"/>
          <w:szCs w:val="20"/>
          <w:color w:val="auto"/>
        </w:rPr>
      </w:pPr>
      <w:r>
        <w:rPr>
          <w:rFonts w:ascii="Times New Roman" w:cs="Times New Roman" w:eastAsia="Times New Roman" w:hAnsi="Times New Roman"/>
          <w:sz w:val="17"/>
          <w:szCs w:val="17"/>
          <w:color w:val="auto"/>
        </w:rPr>
        <w:t>The Warrantholder’s rights in connection with decisions made by any competent company body, see clause 5.9-5.11, shall be contingent on subsequent registration of the relevant decision with the Danish Business Authority provided that registration is a condition of its validity.</w:t>
      </w:r>
    </w:p>
    <w:p>
      <w:pPr>
        <w:spacing w:after="0" w:line="284" w:lineRule="exact"/>
        <w:rPr>
          <w:sz w:val="20"/>
          <w:szCs w:val="20"/>
          <w:color w:val="auto"/>
        </w:rPr>
      </w:pPr>
    </w:p>
    <w:p>
      <w:pPr>
        <w:ind w:left="444" w:right="8060" w:hanging="444"/>
        <w:spacing w:after="0" w:line="406" w:lineRule="auto"/>
        <w:tabs>
          <w:tab w:leader="none" w:pos="436" w:val="left"/>
        </w:tabs>
        <w:numPr>
          <w:ilvl w:val="0"/>
          <w:numId w:val="5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STOCK EXCHANGE LISTING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intentionally left blank</w:t>
      </w:r>
      <w:r>
        <w:rPr>
          <w:rFonts w:ascii="Times New Roman" w:cs="Times New Roman" w:eastAsia="Times New Roman" w:hAnsi="Times New Roman"/>
          <w:sz w:val="17"/>
          <w:szCs w:val="17"/>
          <w:color w:val="auto"/>
        </w:rPr>
        <w:t>]</w:t>
      </w:r>
    </w:p>
    <w:p>
      <w:pPr>
        <w:ind w:left="424" w:hanging="424"/>
        <w:spacing w:after="0"/>
        <w:tabs>
          <w:tab w:leader="none" w:pos="424"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TRANSFER, PLEDGE AND ENFORCEMENT</w:t>
      </w:r>
    </w:p>
    <w:p>
      <w:pPr>
        <w:spacing w:after="0" w:line="135" w:lineRule="exact"/>
        <w:rPr>
          <w:sz w:val="20"/>
          <w:szCs w:val="20"/>
          <w:color w:val="auto"/>
        </w:rPr>
      </w:pPr>
    </w:p>
    <w:p>
      <w:pPr>
        <w:jc w:val="both"/>
        <w:ind w:left="424" w:right="60" w:hanging="431"/>
        <w:spacing w:after="0" w:line="261" w:lineRule="auto"/>
        <w:tabs>
          <w:tab w:leader="none" w:pos="404" w:val="left"/>
        </w:tabs>
        <w:rPr>
          <w:sz w:val="20"/>
          <w:szCs w:val="20"/>
          <w:color w:val="auto"/>
        </w:rPr>
      </w:pPr>
      <w:r>
        <w:rPr>
          <w:rFonts w:ascii="Times New Roman" w:cs="Times New Roman" w:eastAsia="Times New Roman" w:hAnsi="Times New Roman"/>
          <w:sz w:val="18"/>
          <w:szCs w:val="18"/>
          <w:color w:val="auto"/>
        </w:rPr>
        <w:t>7.1</w:t>
        <w:tab/>
        <w:t>Issued warrants shall not be subject to charging orders, transfer of any kind, including in connection with division of property on divorce or legal separation, for ownership or as security without the consent of the Board of Directors. The Warrantholder’s warrants may, however, be transferred to the Warrantholder’s spouse/cohabitant and/or issue in the event of the Warrantholder’s death. It is a condition precedent that the recipient signs the at any time applicable shareholders’ agreement.</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004"/>
          </w:cols>
          <w:pgMar w:left="436" w:top="270" w:right="459" w:bottom="1440" w:gutter="0" w:footer="0" w:header="0"/>
        </w:sectPr>
      </w:pPr>
    </w:p>
    <w:bookmarkStart w:id="50" w:name="page51"/>
    <w:bookmarkEnd w:id="50"/>
    <w:p>
      <w:pPr>
        <w:ind w:left="424" w:hanging="424"/>
        <w:spacing w:after="0"/>
        <w:tabs>
          <w:tab w:leader="none" w:pos="424"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SUBSCRIPTION FOR NEW SHARES BY EXERCISE OF WARRANTS</w:t>
      </w:r>
    </w:p>
    <w:p>
      <w:pPr>
        <w:spacing w:after="0" w:line="135" w:lineRule="exact"/>
        <w:rPr>
          <w:sz w:val="20"/>
          <w:szCs w:val="20"/>
          <w:color w:val="auto"/>
        </w:rPr>
      </w:pPr>
    </w:p>
    <w:p>
      <w:pPr>
        <w:ind w:left="424" w:hanging="431"/>
        <w:spacing w:after="0" w:line="261" w:lineRule="auto"/>
        <w:tabs>
          <w:tab w:leader="none" w:pos="404" w:val="left"/>
        </w:tabs>
        <w:rPr>
          <w:sz w:val="20"/>
          <w:szCs w:val="20"/>
          <w:color w:val="auto"/>
        </w:rPr>
      </w:pPr>
      <w:r>
        <w:rPr>
          <w:rFonts w:ascii="Times New Roman" w:cs="Times New Roman" w:eastAsia="Times New Roman" w:hAnsi="Times New Roman"/>
          <w:sz w:val="18"/>
          <w:szCs w:val="18"/>
          <w:color w:val="auto"/>
        </w:rPr>
        <w:t>8.1</w:t>
        <w:tab/>
        <w:t xml:space="preserve">Subscription for new shares by exercise of issued warrants must be made through submission by the Warrantholder </w:t>
      </w:r>
      <w:r>
        <w:rPr>
          <w:rFonts w:ascii="Times New Roman" w:cs="Times New Roman" w:eastAsia="Times New Roman" w:hAnsi="Times New Roman"/>
          <w:sz w:val="18"/>
          <w:szCs w:val="18"/>
          <w:u w:val="single" w:color="auto"/>
          <w:color w:val="auto"/>
        </w:rPr>
        <w:t>no later than</w:t>
      </w:r>
      <w:r>
        <w:rPr>
          <w:rFonts w:ascii="Times New Roman" w:cs="Times New Roman" w:eastAsia="Times New Roman" w:hAnsi="Times New Roman"/>
          <w:sz w:val="18"/>
          <w:szCs w:val="18"/>
          <w:color w:val="auto"/>
        </w:rPr>
        <w:t xml:space="preserve"> the last day of the relevant exercise period at 16:00 CET to Ascendis Pharma of an exercise notice drafted by Ascendis Pharma. The exercise notice shall be filled in with all information. The company must have received the exercise price for the new shares, payable as a cash contribution, by the last day of the relevant exercise period.</w:t>
      </w:r>
    </w:p>
    <w:p>
      <w:pPr>
        <w:spacing w:after="0" w:line="85" w:lineRule="exact"/>
        <w:rPr>
          <w:sz w:val="20"/>
          <w:szCs w:val="20"/>
          <w:color w:val="auto"/>
        </w:rPr>
      </w:pPr>
    </w:p>
    <w:p>
      <w:pPr>
        <w:ind w:left="424" w:right="100" w:hanging="431"/>
        <w:spacing w:after="0" w:line="266" w:lineRule="auto"/>
        <w:tabs>
          <w:tab w:leader="none" w:pos="404" w:val="left"/>
        </w:tabs>
        <w:rPr>
          <w:sz w:val="20"/>
          <w:szCs w:val="20"/>
          <w:color w:val="auto"/>
        </w:rPr>
      </w:pPr>
      <w:r>
        <w:rPr>
          <w:rFonts w:ascii="Times New Roman" w:cs="Times New Roman" w:eastAsia="Times New Roman" w:hAnsi="Times New Roman"/>
          <w:sz w:val="18"/>
          <w:szCs w:val="18"/>
          <w:color w:val="auto"/>
        </w:rPr>
        <w:t>8.2</w:t>
        <w:tab/>
        <w:t>If the limitation period set forth in clause 8.1 expires as a result of Ascendis Pharma not having received the filled-in exercise notice or the payment by 16:00 of the last day of the exercise period, the subscription shall be deemed invalid, and in this situation the Warrantholder shall not be considered as having exercised his/her warrants for a possible subsequent exercise period.</w:t>
      </w:r>
    </w:p>
    <w:p>
      <w:pPr>
        <w:spacing w:after="0" w:line="81"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8.3</w:t>
      </w:r>
      <w:r>
        <w:rPr>
          <w:sz w:val="20"/>
          <w:szCs w:val="20"/>
          <w:color w:val="auto"/>
        </w:rPr>
        <w:tab/>
      </w:r>
      <w:r>
        <w:rPr>
          <w:rFonts w:ascii="Times New Roman" w:cs="Times New Roman" w:eastAsia="Times New Roman" w:hAnsi="Times New Roman"/>
          <w:sz w:val="17"/>
          <w:szCs w:val="17"/>
          <w:color w:val="auto"/>
        </w:rPr>
        <w:t>Warrants not exercised by the Warrantholder during the last exercise period shall become null and void without notice or compensation.</w:t>
      </w:r>
    </w:p>
    <w:p>
      <w:pPr>
        <w:spacing w:after="0" w:line="131" w:lineRule="exact"/>
        <w:rPr>
          <w:sz w:val="20"/>
          <w:szCs w:val="20"/>
          <w:color w:val="auto"/>
        </w:rPr>
      </w:pPr>
    </w:p>
    <w:p>
      <w:pPr>
        <w:ind w:left="424" w:right="100" w:hanging="431"/>
        <w:spacing w:after="0" w:line="282" w:lineRule="auto"/>
        <w:tabs>
          <w:tab w:leader="none" w:pos="404" w:val="left"/>
        </w:tabs>
        <w:rPr>
          <w:sz w:val="20"/>
          <w:szCs w:val="20"/>
          <w:color w:val="auto"/>
        </w:rPr>
      </w:pPr>
      <w:r>
        <w:rPr>
          <w:rFonts w:ascii="Times New Roman" w:cs="Times New Roman" w:eastAsia="Times New Roman" w:hAnsi="Times New Roman"/>
          <w:sz w:val="18"/>
          <w:szCs w:val="18"/>
          <w:color w:val="auto"/>
        </w:rPr>
        <w:t>8.4</w:t>
        <w:tab/>
        <w:t>When the capital increase caused by exercise of warrants has been registered with the Danish Business Authority, the Warrantholder shall receive proof of his shareholding in Ascendis Pharma.</w:t>
      </w:r>
    </w:p>
    <w:p>
      <w:pPr>
        <w:spacing w:after="0" w:line="306" w:lineRule="exact"/>
        <w:rPr>
          <w:sz w:val="20"/>
          <w:szCs w:val="20"/>
          <w:color w:val="auto"/>
        </w:rPr>
      </w:pPr>
    </w:p>
    <w:p>
      <w:pPr>
        <w:ind w:left="424" w:hanging="424"/>
        <w:spacing w:after="0"/>
        <w:tabs>
          <w:tab w:leader="none" w:pos="424"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RIGHTS OF NEW ORDINARY SHARES</w:t>
      </w:r>
    </w:p>
    <w:p>
      <w:pPr>
        <w:spacing w:after="0" w:line="135" w:lineRule="exact"/>
        <w:rPr>
          <w:sz w:val="20"/>
          <w:szCs w:val="20"/>
          <w:color w:val="auto"/>
        </w:rPr>
      </w:pPr>
    </w:p>
    <w:p>
      <w:pPr>
        <w:jc w:val="center"/>
        <w:ind w:right="156"/>
        <w:spacing w:after="0" w:line="282" w:lineRule="auto"/>
        <w:rPr>
          <w:sz w:val="20"/>
          <w:szCs w:val="20"/>
          <w:color w:val="auto"/>
        </w:rPr>
      </w:pPr>
      <w:r>
        <w:rPr>
          <w:rFonts w:ascii="Times New Roman" w:cs="Times New Roman" w:eastAsia="Times New Roman" w:hAnsi="Times New Roman"/>
          <w:sz w:val="18"/>
          <w:szCs w:val="18"/>
          <w:color w:val="auto"/>
        </w:rPr>
        <w:t>9.1  New shares subscribed for by exercise of issued warrants shall in every respect have the same rights as the present shares in Ascendis Pharma in accordance with the Articles of Association for Ascendis Pharma in force from time to time. For the time being, the following shall apply:</w:t>
      </w:r>
    </w:p>
    <w:p>
      <w:pPr>
        <w:spacing w:after="0" w:line="67" w:lineRule="exact"/>
        <w:rPr>
          <w:sz w:val="20"/>
          <w:szCs w:val="20"/>
          <w:color w:val="auto"/>
        </w:rPr>
      </w:pPr>
    </w:p>
    <w:p>
      <w:pPr>
        <w:ind w:left="964" w:hanging="424"/>
        <w:spacing w:after="0"/>
        <w:tabs>
          <w:tab w:leader="none" w:pos="96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Ascendis Pharma’s shareholders shall hold no pre-emptive rights to subscribe for warrants;</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Ascendis Pharma’s shareholders shall hold no pre-emptive rights to subscribe for new shares issued on the basis of warrants;</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face value of each share shall be DKK 1 or multiples hereof;</w:t>
      </w:r>
    </w:p>
    <w:p>
      <w:pPr>
        <w:spacing w:after="0" w:line="130" w:lineRule="exact"/>
        <w:rPr>
          <w:rFonts w:ascii="Times New Roman" w:cs="Times New Roman" w:eastAsia="Times New Roman" w:hAnsi="Times New Roman"/>
          <w:sz w:val="18"/>
          <w:szCs w:val="18"/>
          <w:color w:val="auto"/>
        </w:rPr>
      </w:pPr>
    </w:p>
    <w:p>
      <w:pPr>
        <w:ind w:left="964" w:right="280" w:hanging="424"/>
        <w:spacing w:after="0" w:line="282" w:lineRule="auto"/>
        <w:tabs>
          <w:tab w:leader="none" w:pos="96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shares shall be non-negotiable instruments issued in the name of the holder and shall be registered in the name of the holder in Ascendis Pharma’s register of owners;</w:t>
      </w:r>
    </w:p>
    <w:p>
      <w:pPr>
        <w:spacing w:after="0" w:line="67" w:lineRule="exact"/>
        <w:rPr>
          <w:rFonts w:ascii="Times New Roman" w:cs="Times New Roman" w:eastAsia="Times New Roman" w:hAnsi="Times New Roman"/>
          <w:sz w:val="18"/>
          <w:szCs w:val="18"/>
          <w:color w:val="auto"/>
        </w:rPr>
      </w:pPr>
    </w:p>
    <w:p>
      <w:pPr>
        <w:ind w:left="964" w:right="280" w:hanging="424"/>
        <w:spacing w:after="0" w:line="282" w:lineRule="auto"/>
        <w:tabs>
          <w:tab w:leader="none" w:pos="96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new shares issued as a result of exercise of warrants shall carry the right to dividend and other rights in Ascendis Pharma from the time of registration of the capital increase with the Danish Business Authority.</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0984"/>
          </w:cols>
          <w:pgMar w:left="436" w:top="266" w:right="479" w:bottom="1440" w:gutter="0" w:footer="0" w:header="0"/>
        </w:sectPr>
      </w:pPr>
    </w:p>
    <w:bookmarkStart w:id="51" w:name="page52"/>
    <w:bookmarkEnd w:id="51"/>
    <w:p>
      <w:pPr>
        <w:ind w:left="424" w:right="160" w:hanging="431"/>
        <w:spacing w:after="0" w:line="282" w:lineRule="auto"/>
        <w:tabs>
          <w:tab w:leader="none" w:pos="40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9.2</w:t>
        <w:tab/>
        <w:t>Ascendis Pharma shall pay all costs connected with granting of warrants and later exercise thereof. Ascendis Pharma’s costs in connection with issue of warrants and the related capital increase are estimated to DKK 50,000.</w:t>
      </w:r>
    </w:p>
    <w:p>
      <w:pPr>
        <w:spacing w:after="0" w:line="306" w:lineRule="exact"/>
        <w:rPr>
          <w:sz w:val="20"/>
          <w:szCs w:val="20"/>
          <w:color w:val="auto"/>
        </w:rPr>
      </w:pPr>
    </w:p>
    <w:p>
      <w:pPr>
        <w:ind w:left="424" w:hanging="424"/>
        <w:spacing w:after="0"/>
        <w:tabs>
          <w:tab w:leader="none" w:pos="424"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SALE OF SHARES</w:t>
      </w:r>
    </w:p>
    <w:p>
      <w:pPr>
        <w:spacing w:after="0" w:line="119" w:lineRule="exact"/>
        <w:rPr>
          <w:rFonts w:ascii="Times New Roman" w:cs="Times New Roman" w:eastAsia="Times New Roman" w:hAnsi="Times New Roman"/>
          <w:sz w:val="18"/>
          <w:szCs w:val="18"/>
          <w:b w:val="1"/>
          <w:bCs w:val="1"/>
          <w:color w:val="auto"/>
        </w:rPr>
      </w:pPr>
    </w:p>
    <w:p>
      <w:pPr>
        <w:ind w:left="4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Intentionally left blank</w:t>
      </w:r>
      <w:r>
        <w:rPr>
          <w:rFonts w:ascii="Times New Roman" w:cs="Times New Roman" w:eastAsia="Times New Roman" w:hAnsi="Times New Roman"/>
          <w:sz w:val="18"/>
          <w:szCs w:val="18"/>
          <w:color w:val="auto"/>
        </w:rPr>
        <w:t>]</w:t>
      </w:r>
    </w:p>
    <w:p>
      <w:pPr>
        <w:spacing w:after="0" w:line="371"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PROVISONS</w:t>
      </w:r>
    </w:p>
    <w:p>
      <w:pPr>
        <w:spacing w:after="0" w:line="135" w:lineRule="exact"/>
        <w:rPr>
          <w:sz w:val="20"/>
          <w:szCs w:val="20"/>
          <w:color w:val="auto"/>
        </w:rPr>
      </w:pPr>
    </w:p>
    <w:p>
      <w:pPr>
        <w:ind w:left="424" w:right="740" w:hanging="431"/>
        <w:spacing w:after="0" w:line="312" w:lineRule="auto"/>
        <w:rPr>
          <w:sz w:val="20"/>
          <w:szCs w:val="20"/>
          <w:color w:val="auto"/>
        </w:rPr>
      </w:pPr>
      <w:r>
        <w:rPr>
          <w:rFonts w:ascii="Times New Roman" w:cs="Times New Roman" w:eastAsia="Times New Roman" w:hAnsi="Times New Roman"/>
          <w:sz w:val="17"/>
          <w:szCs w:val="17"/>
          <w:color w:val="auto"/>
        </w:rPr>
        <w:t>11.1 The value attached to the subscription right shall not be included in the Warrantholder’s salary, and any agreement made between the Warrantholder and Ascendis Pharma regarding pension or the like shall therefore not include the value of the Warrantholder’s warrants.</w:t>
      </w:r>
    </w:p>
    <w:p>
      <w:pPr>
        <w:spacing w:after="0" w:line="45" w:lineRule="exact"/>
        <w:rPr>
          <w:sz w:val="20"/>
          <w:szCs w:val="20"/>
          <w:color w:val="auto"/>
        </w:rPr>
      </w:pPr>
    </w:p>
    <w:p>
      <w:pPr>
        <w:ind w:left="424" w:right="100" w:hanging="431"/>
        <w:spacing w:after="0" w:line="261" w:lineRule="auto"/>
        <w:rPr>
          <w:sz w:val="20"/>
          <w:szCs w:val="20"/>
          <w:color w:val="auto"/>
        </w:rPr>
      </w:pPr>
      <w:r>
        <w:rPr>
          <w:rFonts w:ascii="Times New Roman" w:cs="Times New Roman" w:eastAsia="Times New Roman" w:hAnsi="Times New Roman"/>
          <w:sz w:val="18"/>
          <w:szCs w:val="18"/>
          <w:color w:val="auto"/>
        </w:rPr>
        <w:t>11.2 If a relevant authority should establish that the issuance and/or exercise of warrants shall be considered a salary allowance with the consequence that Ascendis Pharma shall pay holiday allowance or the like to the Warrantholder on the basis of the value of warrants, the subscription price shall be increased in order to compensate Ascendis Pharma for the amounts that have been paid to the Warrantholder in the form of holiday allowance or the like.</w:t>
      </w:r>
    </w:p>
    <w:p>
      <w:pPr>
        <w:spacing w:after="0" w:line="8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11.3  The fact that Ascendis Pharma offers warrants to Warrantholders shall not in any way obligate Ascendis Pharma to maintain the employment.</w:t>
      </w:r>
    </w:p>
    <w:p>
      <w:pPr>
        <w:spacing w:after="0" w:line="370" w:lineRule="exact"/>
        <w:rPr>
          <w:sz w:val="20"/>
          <w:szCs w:val="20"/>
          <w:color w:val="auto"/>
        </w:rPr>
      </w:pPr>
    </w:p>
    <w:p>
      <w:pPr>
        <w:ind w:left="424" w:hanging="424"/>
        <w:spacing w:after="0"/>
        <w:tabs>
          <w:tab w:leader="none" w:pos="424"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 IMPLICATIONS</w:t>
      </w:r>
    </w:p>
    <w:p>
      <w:pPr>
        <w:spacing w:after="0" w:line="13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12.1  The tax implications connected to the Warrantholder’s subscription for or exercise of warrants shall be of no concern to Ascendis Pharma.</w:t>
      </w:r>
    </w:p>
    <w:p>
      <w:pPr>
        <w:spacing w:after="0" w:line="370" w:lineRule="exact"/>
        <w:rPr>
          <w:sz w:val="20"/>
          <w:szCs w:val="20"/>
          <w:color w:val="auto"/>
        </w:rPr>
      </w:pPr>
    </w:p>
    <w:p>
      <w:pPr>
        <w:ind w:left="424" w:hanging="424"/>
        <w:spacing w:after="0"/>
        <w:tabs>
          <w:tab w:leader="none" w:pos="424"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GOVERNING LAW AND VENUE</w:t>
      </w:r>
    </w:p>
    <w:p>
      <w:pPr>
        <w:spacing w:after="0" w:line="135" w:lineRule="exact"/>
        <w:rPr>
          <w:sz w:val="20"/>
          <w:szCs w:val="20"/>
          <w:color w:val="auto"/>
        </w:rPr>
      </w:pPr>
    </w:p>
    <w:p>
      <w:pPr>
        <w:ind w:left="424" w:hanging="431"/>
        <w:spacing w:after="0" w:line="282" w:lineRule="auto"/>
        <w:rPr>
          <w:sz w:val="20"/>
          <w:szCs w:val="20"/>
          <w:color w:val="auto"/>
        </w:rPr>
      </w:pPr>
      <w:r>
        <w:rPr>
          <w:rFonts w:ascii="Times New Roman" w:cs="Times New Roman" w:eastAsia="Times New Roman" w:hAnsi="Times New Roman"/>
          <w:sz w:val="18"/>
          <w:szCs w:val="18"/>
          <w:color w:val="auto"/>
        </w:rPr>
        <w:t>13.1 Acceptance of warrants, the terms and conditions thereto and the exercise, and terms and conditions for future subscription for shares in Ascendis Pharma shall be governed by Danish law.</w:t>
      </w:r>
    </w:p>
    <w:p>
      <w:pPr>
        <w:spacing w:after="0" w:line="67" w:lineRule="exact"/>
        <w:rPr>
          <w:sz w:val="20"/>
          <w:szCs w:val="20"/>
          <w:color w:val="auto"/>
        </w:rPr>
      </w:pPr>
    </w:p>
    <w:p>
      <w:pPr>
        <w:ind w:left="424" w:right="280" w:hanging="431"/>
        <w:spacing w:after="0" w:line="282" w:lineRule="auto"/>
        <w:rPr>
          <w:sz w:val="20"/>
          <w:szCs w:val="20"/>
          <w:color w:val="auto"/>
        </w:rPr>
      </w:pPr>
      <w:r>
        <w:rPr>
          <w:rFonts w:ascii="Times New Roman" w:cs="Times New Roman" w:eastAsia="Times New Roman" w:hAnsi="Times New Roman"/>
          <w:sz w:val="18"/>
          <w:szCs w:val="18"/>
          <w:color w:val="auto"/>
        </w:rPr>
        <w:t>13.2 Any disagreement between the Warrantholder and Ascendis Pharma in relation to the understanding or implementation of the warrant scheme shall be settled amicably by negotiation between the parties.</w:t>
      </w:r>
    </w:p>
    <w:p>
      <w:pPr>
        <w:spacing w:after="0" w:line="6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13.3  If the parties fail to reach consensus, any disputes shall be settled in accordance with “Rules for hearing of cases in the Copenhagen Arbitration”.</w:t>
      </w:r>
    </w:p>
    <w:p>
      <w:pPr>
        <w:spacing w:after="0" w:line="27"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The Copenhagen Arbitration shall appoint one arbitrator who shall settle the dispute according to Danish law.</w:t>
      </w:r>
    </w:p>
    <w:p>
      <w:pPr>
        <w:spacing w:after="0" w:line="11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13.4  In the event of discrepancies between the English and the Danish text the Danish text shall prevail.</w:t>
      </w:r>
    </w:p>
    <w:p>
      <w:pPr>
        <w:spacing w:after="0" w:line="225" w:lineRule="exact"/>
        <w:rPr>
          <w:sz w:val="20"/>
          <w:szCs w:val="20"/>
          <w:color w:val="auto"/>
        </w:rPr>
      </w:pPr>
    </w:p>
    <w:p>
      <w:pPr>
        <w:jc w:val="center"/>
        <w:ind w:right="-103"/>
        <w:spacing w:after="0"/>
        <w:rPr>
          <w:sz w:val="20"/>
          <w:szCs w:val="20"/>
          <w:color w:val="auto"/>
        </w:rPr>
      </w:pPr>
      <w:r>
        <w:rPr>
          <w:rFonts w:ascii="Times New Roman" w:cs="Times New Roman" w:eastAsia="Times New Roman" w:hAnsi="Times New Roman"/>
          <w:sz w:val="18"/>
          <w:szCs w:val="18"/>
          <w:color w:val="auto"/>
        </w:rPr>
        <w:t>—-oo0oo—-</w:t>
      </w:r>
    </w:p>
    <w:p>
      <w:pPr>
        <w:spacing w:after="0" w:line="158" w:lineRule="exact"/>
        <w:rPr>
          <w:sz w:val="20"/>
          <w:szCs w:val="20"/>
          <w:color w:val="auto"/>
        </w:rPr>
      </w:pPr>
    </w:p>
    <w:p>
      <w:pPr>
        <w:jc w:val="center"/>
        <w:ind w:right="-103"/>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0924"/>
          </w:cols>
          <w:pgMar w:left="436" w:top="270" w:right="5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Appendix 3 to the Articles of Association of Ascendis Pharma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114300</wp:posOffset>
            </wp:positionV>
            <wp:extent cx="699516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77"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The general meeting has, and the company’s board of directors has, in accordance with authorization granted by the company’s shareholders granted warrants as set forth below and has on the grant date also resolved the capital increase(s) of the company’s share capital related to the exercise of the warrants granted.</w:t>
      </w:r>
    </w:p>
    <w:p>
      <w:pPr>
        <w:spacing w:after="0" w:line="17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Each warrant confers the right to subscribe one share of DKK 1 nom. value in the company against cash payment of the exercise price per share of DKK 1 nom. value subscribed.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numbers are shown (where relevant) adjusted following the bonus share issuance on 13 January 2015 in the ratio of 1:3.</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4"/>
          <w:szCs w:val="14"/>
          <w:b w:val="1"/>
          <w:bCs w:val="1"/>
          <w:color w:val="auto"/>
        </w:rPr>
        <w:t>ARRANTS</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UBJECT</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O</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RTICLE</w:t>
      </w:r>
      <w:r>
        <w:rPr>
          <w:rFonts w:ascii="Times New Roman" w:cs="Times New Roman" w:eastAsia="Times New Roman" w:hAnsi="Times New Roman"/>
          <w:sz w:val="18"/>
          <w:szCs w:val="18"/>
          <w:b w:val="1"/>
          <w:bCs w:val="1"/>
          <w:color w:val="auto"/>
        </w:rPr>
        <w:t xml:space="preserve"> 4C</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54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N</w:t>
            </w:r>
            <w:r>
              <w:rPr>
                <w:rFonts w:ascii="Times New Roman" w:cs="Times New Roman" w:eastAsia="Times New Roman" w:hAnsi="Times New Roman"/>
                <w:sz w:val="11"/>
                <w:szCs w:val="11"/>
                <w:b w:val="1"/>
                <w:bCs w:val="1"/>
                <w:color w:val="auto"/>
              </w:rPr>
              <w:t>UMBER</w:t>
            </w:r>
            <w:r>
              <w:rPr>
                <w:rFonts w:ascii="Times New Roman" w:cs="Times New Roman" w:eastAsia="Times New Roman" w:hAnsi="Times New Roman"/>
                <w:sz w:val="14"/>
                <w:szCs w:val="14"/>
                <w:b w:val="1"/>
                <w:bCs w:val="1"/>
                <w:color w:val="auto"/>
              </w:rPr>
              <w:t xml:space="preserve"> O</w:t>
            </w:r>
            <w:r>
              <w:rPr>
                <w:rFonts w:ascii="Times New Roman" w:cs="Times New Roman" w:eastAsia="Times New Roman" w:hAnsi="Times New Roman"/>
                <w:sz w:val="11"/>
                <w:szCs w:val="11"/>
                <w:b w:val="1"/>
                <w:bCs w:val="1"/>
                <w:color w:val="auto"/>
              </w:rPr>
              <w:t>F</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w:t>
            </w:r>
            <w:r>
              <w:rPr>
                <w:rFonts w:ascii="Times New Roman" w:cs="Times New Roman" w:eastAsia="Times New Roman" w:hAnsi="Times New Roman"/>
                <w:sz w:val="11"/>
                <w:szCs w:val="11"/>
                <w:b w:val="1"/>
                <w:bCs w:val="1"/>
                <w:color w:val="auto"/>
              </w:rPr>
              <w:t>XERCISE</w:t>
            </w:r>
          </w:p>
        </w:tc>
        <w:tc>
          <w:tcPr>
            <w:tcW w:w="15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w:t>
            </w:r>
            <w:r>
              <w:rPr>
                <w:rFonts w:ascii="Times New Roman" w:cs="Times New Roman" w:eastAsia="Times New Roman" w:hAnsi="Times New Roman"/>
                <w:sz w:val="11"/>
                <w:szCs w:val="11"/>
                <w:b w:val="1"/>
                <w:bCs w:val="1"/>
                <w:color w:val="auto"/>
              </w:rPr>
              <w:t>PPLICABLE</w:t>
            </w:r>
          </w:p>
        </w:tc>
        <w:tc>
          <w:tcPr>
            <w:tcW w:w="154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A</w:t>
            </w:r>
            <w:r>
              <w:rPr>
                <w:rFonts w:ascii="Times New Roman" w:cs="Times New Roman" w:eastAsia="Times New Roman" w:hAnsi="Times New Roman"/>
                <w:sz w:val="11"/>
                <w:szCs w:val="11"/>
                <w:b w:val="1"/>
                <w:bCs w:val="1"/>
                <w:color w:val="auto"/>
              </w:rPr>
              <w:t>NNULLED</w:t>
            </w:r>
          </w:p>
        </w:tc>
        <w:tc>
          <w:tcPr>
            <w:tcW w:w="154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W</w:t>
            </w:r>
            <w:r>
              <w:rPr>
                <w:rFonts w:ascii="Times New Roman" w:cs="Times New Roman" w:eastAsia="Times New Roman" w:hAnsi="Times New Roman"/>
                <w:sz w:val="11"/>
                <w:szCs w:val="11"/>
                <w:b w:val="1"/>
                <w:bCs w:val="1"/>
                <w:color w:val="auto"/>
              </w:rPr>
              <w:t>ARRANTS</w:t>
            </w:r>
          </w:p>
        </w:tc>
        <w:tc>
          <w:tcPr>
            <w:tcW w:w="1320" w:type="dxa"/>
            <w:vAlign w:val="bottom"/>
            <w:vMerge w:val="restart"/>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W</w:t>
            </w:r>
            <w:r>
              <w:rPr>
                <w:rFonts w:ascii="Times New Roman" w:cs="Times New Roman" w:eastAsia="Times New Roman" w:hAnsi="Times New Roman"/>
                <w:sz w:val="11"/>
                <w:szCs w:val="11"/>
                <w:b w:val="1"/>
                <w:bCs w:val="1"/>
                <w:color w:val="auto"/>
              </w:rPr>
              <w:t>ARRANTS</w:t>
            </w:r>
          </w:p>
        </w:tc>
        <w:tc>
          <w:tcPr>
            <w:tcW w:w="0" w:type="dxa"/>
            <w:vAlign w:val="bottom"/>
          </w:tcPr>
          <w:p>
            <w:pPr>
              <w:spacing w:after="0"/>
              <w:rPr>
                <w:sz w:val="1"/>
                <w:szCs w:val="1"/>
                <w:color w:val="auto"/>
              </w:rPr>
            </w:pPr>
          </w:p>
        </w:tc>
      </w:tr>
      <w:tr>
        <w:trPr>
          <w:trHeight w:val="148"/>
        </w:trPr>
        <w:tc>
          <w:tcPr>
            <w:tcW w:w="20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w:t>
            </w:r>
            <w:r>
              <w:rPr>
                <w:rFonts w:ascii="Times New Roman" w:cs="Times New Roman" w:eastAsia="Times New Roman" w:hAnsi="Times New Roman"/>
                <w:sz w:val="11"/>
                <w:szCs w:val="11"/>
                <w:b w:val="1"/>
                <w:bCs w:val="1"/>
                <w:color w:val="auto"/>
              </w:rPr>
              <w:t>ATE</w:t>
            </w:r>
            <w:r>
              <w:rPr>
                <w:rFonts w:ascii="Times New Roman" w:cs="Times New Roman" w:eastAsia="Times New Roman" w:hAnsi="Times New Roman"/>
                <w:sz w:val="14"/>
                <w:szCs w:val="14"/>
                <w:b w:val="1"/>
                <w:bCs w:val="1"/>
                <w:color w:val="auto"/>
              </w:rPr>
              <w:t xml:space="preserve"> O</w:t>
            </w:r>
            <w:r>
              <w:rPr>
                <w:rFonts w:ascii="Times New Roman" w:cs="Times New Roman" w:eastAsia="Times New Roman" w:hAnsi="Times New Roman"/>
                <w:sz w:val="11"/>
                <w:szCs w:val="11"/>
                <w:b w:val="1"/>
                <w:bCs w:val="1"/>
                <w:color w:val="auto"/>
              </w:rPr>
              <w:t>F</w:t>
            </w:r>
            <w:r>
              <w:rPr>
                <w:rFonts w:ascii="Times New Roman" w:cs="Times New Roman" w:eastAsia="Times New Roman" w:hAnsi="Times New Roman"/>
                <w:sz w:val="14"/>
                <w:szCs w:val="14"/>
                <w:b w:val="1"/>
                <w:bCs w:val="1"/>
                <w:color w:val="auto"/>
              </w:rPr>
              <w:t xml:space="preserve"> G</w:t>
            </w:r>
            <w:r>
              <w:rPr>
                <w:rFonts w:ascii="Times New Roman" w:cs="Times New Roman" w:eastAsia="Times New Roman" w:hAnsi="Times New Roman"/>
                <w:sz w:val="11"/>
                <w:szCs w:val="11"/>
                <w:b w:val="1"/>
                <w:bCs w:val="1"/>
                <w:color w:val="auto"/>
              </w:rPr>
              <w:t>RANT</w:t>
            </w:r>
          </w:p>
        </w:tc>
        <w:tc>
          <w:tcPr>
            <w:tcW w:w="1540" w:type="dxa"/>
            <w:vAlign w:val="bottom"/>
            <w:gridSpan w:val="2"/>
            <w:vMerge w:val="continue"/>
          </w:tcPr>
          <w:p>
            <w:pPr>
              <w:spacing w:after="0"/>
              <w:rPr>
                <w:sz w:val="12"/>
                <w:szCs w:val="12"/>
                <w:color w:val="auto"/>
              </w:rPr>
            </w:pPr>
          </w:p>
        </w:tc>
        <w:tc>
          <w:tcPr>
            <w:tcW w:w="15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w:t>
            </w:r>
            <w:r>
              <w:rPr>
                <w:rFonts w:ascii="Times New Roman" w:cs="Times New Roman" w:eastAsia="Times New Roman" w:hAnsi="Times New Roman"/>
                <w:sz w:val="11"/>
                <w:szCs w:val="11"/>
                <w:b w:val="1"/>
                <w:bCs w:val="1"/>
                <w:color w:val="auto"/>
              </w:rPr>
              <w:t>RICE</w:t>
            </w:r>
            <w:r>
              <w:rPr>
                <w:rFonts w:ascii="Times New Roman" w:cs="Times New Roman" w:eastAsia="Times New Roman" w:hAnsi="Times New Roman"/>
                <w:sz w:val="14"/>
                <w:szCs w:val="14"/>
                <w:b w:val="1"/>
                <w:bCs w:val="1"/>
                <w:color w:val="auto"/>
              </w:rPr>
              <w:t xml:space="preserve"> P</w:t>
            </w:r>
            <w:r>
              <w:rPr>
                <w:rFonts w:ascii="Times New Roman" w:cs="Times New Roman" w:eastAsia="Times New Roman" w:hAnsi="Times New Roman"/>
                <w:sz w:val="11"/>
                <w:szCs w:val="11"/>
                <w:b w:val="1"/>
                <w:bCs w:val="1"/>
                <w:color w:val="auto"/>
              </w:rPr>
              <w:t>ER</w:t>
            </w:r>
          </w:p>
        </w:tc>
        <w:tc>
          <w:tcPr>
            <w:tcW w:w="1540" w:type="dxa"/>
            <w:vAlign w:val="bottom"/>
            <w:gridSpan w:val="2"/>
            <w:vMerge w:val="continue"/>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00" w:type="dxa"/>
            <w:vAlign w:val="bottom"/>
            <w:gridSpan w:val="2"/>
            <w:vMerge w:val="continue"/>
          </w:tcPr>
          <w:p>
            <w:pPr>
              <w:spacing w:after="0"/>
              <w:rPr>
                <w:sz w:val="15"/>
                <w:szCs w:val="15"/>
                <w:color w:val="auto"/>
              </w:rPr>
            </w:pPr>
          </w:p>
        </w:tc>
        <w:tc>
          <w:tcPr>
            <w:tcW w:w="154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W</w:t>
            </w:r>
            <w:r>
              <w:rPr>
                <w:rFonts w:ascii="Times New Roman" w:cs="Times New Roman" w:eastAsia="Times New Roman" w:hAnsi="Times New Roman"/>
                <w:sz w:val="11"/>
                <w:szCs w:val="11"/>
                <w:b w:val="1"/>
                <w:bCs w:val="1"/>
                <w:color w:val="auto"/>
              </w:rPr>
              <w:t>ARRANTS</w:t>
            </w: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W</w:t>
            </w:r>
            <w:r>
              <w:rPr>
                <w:rFonts w:ascii="Times New Roman" w:cs="Times New Roman" w:eastAsia="Times New Roman" w:hAnsi="Times New Roman"/>
                <w:sz w:val="11"/>
                <w:szCs w:val="11"/>
                <w:b w:val="1"/>
                <w:bCs w:val="1"/>
                <w:color w:val="auto"/>
              </w:rPr>
              <w:t>ARRANT</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w:t>
            </w:r>
            <w:r>
              <w:rPr>
                <w:rFonts w:ascii="Times New Roman" w:cs="Times New Roman" w:eastAsia="Times New Roman" w:hAnsi="Times New Roman"/>
                <w:sz w:val="11"/>
                <w:szCs w:val="11"/>
                <w:b w:val="1"/>
                <w:bCs w:val="1"/>
                <w:color w:val="auto"/>
              </w:rPr>
              <w:t>XHIBIT</w:t>
            </w:r>
          </w:p>
        </w:tc>
        <w:tc>
          <w:tcPr>
            <w:tcW w:w="154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W</w:t>
            </w:r>
            <w:r>
              <w:rPr>
                <w:rFonts w:ascii="Times New Roman" w:cs="Times New Roman" w:eastAsia="Times New Roman" w:hAnsi="Times New Roman"/>
                <w:sz w:val="11"/>
                <w:szCs w:val="11"/>
                <w:b w:val="1"/>
                <w:bCs w:val="1"/>
                <w:color w:val="auto"/>
              </w:rPr>
              <w:t>ARRANTS</w:t>
            </w:r>
          </w:p>
        </w:tc>
        <w:tc>
          <w:tcPr>
            <w:tcW w:w="154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E</w:t>
            </w:r>
            <w:r>
              <w:rPr>
                <w:rFonts w:ascii="Times New Roman" w:cs="Times New Roman" w:eastAsia="Times New Roman" w:hAnsi="Times New Roman"/>
                <w:sz w:val="11"/>
                <w:szCs w:val="11"/>
                <w:b w:val="1"/>
                <w:bCs w:val="1"/>
                <w:color w:val="auto"/>
              </w:rPr>
              <w:t>XERCISED</w:t>
            </w:r>
          </w:p>
        </w:tc>
        <w:tc>
          <w:tcPr>
            <w:tcW w:w="132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L</w:t>
            </w:r>
            <w:r>
              <w:rPr>
                <w:rFonts w:ascii="Times New Roman" w:cs="Times New Roman" w:eastAsia="Times New Roman" w:hAnsi="Times New Roman"/>
                <w:sz w:val="11"/>
                <w:szCs w:val="11"/>
                <w:b w:val="1"/>
                <w:bCs w:val="1"/>
                <w:color w:val="auto"/>
              </w:rPr>
              <w:t>APSED</w:t>
            </w:r>
          </w:p>
        </w:tc>
        <w:tc>
          <w:tcPr>
            <w:tcW w:w="0" w:type="dxa"/>
            <w:vAlign w:val="bottom"/>
          </w:tcPr>
          <w:p>
            <w:pPr>
              <w:spacing w:after="0"/>
              <w:rPr>
                <w:sz w:val="1"/>
                <w:szCs w:val="1"/>
                <w:color w:val="auto"/>
              </w:rPr>
            </w:pPr>
          </w:p>
        </w:tc>
      </w:tr>
      <w:tr>
        <w:trPr>
          <w:trHeight w:val="20"/>
        </w:trPr>
        <w:tc>
          <w:tcPr>
            <w:tcW w:w="1040" w:type="dxa"/>
            <w:vAlign w:val="bottom"/>
            <w:tcBorders>
              <w:bottom w:val="single" w:sz="8" w:color="CCEEFF"/>
            </w:tcBorders>
            <w:shd w:val="clear" w:color="auto" w:fill="000000"/>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0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26. november 2014</w:t>
            </w:r>
          </w:p>
        </w:tc>
        <w:tc>
          <w:tcPr>
            <w:tcW w:w="14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566.504</w:t>
            </w: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8"/>
              </w:rPr>
              <w:t>USD 32,45</w:t>
            </w: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534.150</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32.354</w:t>
            </w:r>
          </w:p>
        </w:tc>
        <w:tc>
          <w:tcPr>
            <w:tcW w:w="0" w:type="dxa"/>
            <w:vAlign w:val="bottom"/>
          </w:tcPr>
          <w:p>
            <w:pPr>
              <w:spacing w:after="0"/>
              <w:rPr>
                <w:sz w:val="1"/>
                <w:szCs w:val="1"/>
                <w:color w:val="auto"/>
              </w:rPr>
            </w:pPr>
          </w:p>
        </w:tc>
      </w:tr>
      <w:tr>
        <w:trPr>
          <w:trHeight w:val="238"/>
        </w:trPr>
        <w:tc>
          <w:tcPr>
            <w:tcW w:w="2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566.504</w:t>
            </w: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534.150</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32.354</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Hereinafter, the authorization under article 4c is fully exhausted.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566,504 warrants under article 4c have been exercised, have been annulled or have lapsed as of 16 November 2023.</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020"/>
          </w:cols>
          <w:pgMar w:left="440" w:top="266" w:right="4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w:t>
      </w:r>
      <w:r>
        <w:rPr>
          <w:rFonts w:ascii="Times New Roman" w:cs="Times New Roman" w:eastAsia="Times New Roman" w:hAnsi="Times New Roman"/>
          <w:sz w:val="14"/>
          <w:szCs w:val="14"/>
          <w:b w:val="1"/>
          <w:bCs w:val="1"/>
          <w:color w:val="auto"/>
        </w:rPr>
        <w:t>ARRANTS</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UBJECT</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O</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RTICLES</w:t>
      </w:r>
      <w:r>
        <w:rPr>
          <w:rFonts w:ascii="Times New Roman" w:cs="Times New Roman" w:eastAsia="Times New Roman" w:hAnsi="Times New Roman"/>
          <w:sz w:val="18"/>
          <w:szCs w:val="18"/>
          <w:b w:val="1"/>
          <w:bCs w:val="1"/>
          <w:color w:val="auto"/>
        </w:rPr>
        <w:t xml:space="preserve"> 4</w:t>
      </w:r>
      <w:r>
        <w:rPr>
          <w:rFonts w:ascii="Times New Roman" w:cs="Times New Roman" w:eastAsia="Times New Roman" w:hAnsi="Times New Roman"/>
          <w:sz w:val="14"/>
          <w:szCs w:val="14"/>
          <w:b w:val="1"/>
          <w:bCs w:val="1"/>
          <w:color w:val="auto"/>
        </w:rPr>
        <w:t>A</w:t>
      </w:r>
      <w:r>
        <w:rPr>
          <w:rFonts w:ascii="Times New Roman" w:cs="Times New Roman" w:eastAsia="Times New Roman" w:hAnsi="Times New Roman"/>
          <w:sz w:val="18"/>
          <w:szCs w:val="18"/>
          <w:b w:val="1"/>
          <w:bCs w:val="1"/>
          <w:color w:val="auto"/>
        </w:rPr>
        <w:t>, 4</w:t>
      </w:r>
      <w:r>
        <w:rPr>
          <w:rFonts w:ascii="Times New Roman" w:cs="Times New Roman" w:eastAsia="Times New Roman" w:hAnsi="Times New Roman"/>
          <w:sz w:val="14"/>
          <w:szCs w:val="14"/>
          <w:b w:val="1"/>
          <w:bCs w:val="1"/>
          <w:color w:val="auto"/>
        </w:rPr>
        <w:t>F</w:t>
      </w:r>
      <w:r>
        <w:rPr>
          <w:rFonts w:ascii="Times New Roman" w:cs="Times New Roman" w:eastAsia="Times New Roman" w:hAnsi="Times New Roman"/>
          <w:sz w:val="18"/>
          <w:szCs w:val="18"/>
          <w:b w:val="1"/>
          <w:bCs w:val="1"/>
          <w:color w:val="auto"/>
        </w:rPr>
        <w:t>, 4</w:t>
      </w:r>
      <w:r>
        <w:rPr>
          <w:rFonts w:ascii="Times New Roman" w:cs="Times New Roman" w:eastAsia="Times New Roman" w:hAnsi="Times New Roman"/>
          <w:sz w:val="14"/>
          <w:szCs w:val="14"/>
          <w:b w:val="1"/>
          <w:bCs w:val="1"/>
          <w:color w:val="auto"/>
        </w:rPr>
        <w:t>G</w:t>
      </w:r>
      <w:r>
        <w:rPr>
          <w:rFonts w:ascii="Times New Roman" w:cs="Times New Roman" w:eastAsia="Times New Roman" w:hAnsi="Times New Roman"/>
          <w:sz w:val="18"/>
          <w:szCs w:val="18"/>
          <w:b w:val="1"/>
          <w:bCs w:val="1"/>
          <w:color w:val="auto"/>
        </w:rPr>
        <w:t>, 4</w:t>
      </w:r>
      <w:r>
        <w:rPr>
          <w:rFonts w:ascii="Times New Roman" w:cs="Times New Roman" w:eastAsia="Times New Roman" w:hAnsi="Times New Roman"/>
          <w:sz w:val="14"/>
          <w:szCs w:val="14"/>
          <w:b w:val="1"/>
          <w:bCs w:val="1"/>
          <w:color w:val="auto"/>
        </w:rPr>
        <w:t>H</w:t>
      </w:r>
      <w:r>
        <w:rPr>
          <w:rFonts w:ascii="Times New Roman" w:cs="Times New Roman" w:eastAsia="Times New Roman" w:hAnsi="Times New Roman"/>
          <w:sz w:val="18"/>
          <w:szCs w:val="18"/>
          <w:b w:val="1"/>
          <w:bCs w:val="1"/>
          <w:color w:val="auto"/>
        </w:rPr>
        <w:t xml:space="preserve"> AND 4I</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w:t>
            </w:r>
            <w:r>
              <w:rPr>
                <w:rFonts w:ascii="Times New Roman" w:cs="Times New Roman" w:eastAsia="Times New Roman" w:hAnsi="Times New Roman"/>
                <w:sz w:val="11"/>
                <w:szCs w:val="11"/>
                <w:b w:val="1"/>
                <w:bCs w:val="1"/>
                <w:color w:val="auto"/>
              </w:rPr>
              <w:t>ATE</w:t>
            </w:r>
            <w:r>
              <w:rPr>
                <w:rFonts w:ascii="Times New Roman" w:cs="Times New Roman" w:eastAsia="Times New Roman" w:hAnsi="Times New Roman"/>
                <w:sz w:val="14"/>
                <w:szCs w:val="14"/>
                <w:b w:val="1"/>
                <w:bCs w:val="1"/>
                <w:color w:val="auto"/>
              </w:rPr>
              <w:t xml:space="preserve"> O</w:t>
            </w:r>
            <w:r>
              <w:rPr>
                <w:rFonts w:ascii="Times New Roman" w:cs="Times New Roman" w:eastAsia="Times New Roman" w:hAnsi="Times New Roman"/>
                <w:sz w:val="11"/>
                <w:szCs w:val="11"/>
                <w:b w:val="1"/>
                <w:bCs w:val="1"/>
                <w:color w:val="auto"/>
              </w:rPr>
              <w:t>F</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N</w:t>
            </w:r>
            <w:r>
              <w:rPr>
                <w:rFonts w:ascii="Times New Roman" w:cs="Times New Roman" w:eastAsia="Times New Roman" w:hAnsi="Times New Roman"/>
                <w:sz w:val="11"/>
                <w:szCs w:val="11"/>
                <w:b w:val="1"/>
                <w:bCs w:val="1"/>
                <w:color w:val="auto"/>
              </w:rPr>
              <w:t>UMBER</w:t>
            </w:r>
            <w:r>
              <w:rPr>
                <w:rFonts w:ascii="Times New Roman" w:cs="Times New Roman" w:eastAsia="Times New Roman" w:hAnsi="Times New Roman"/>
                <w:sz w:val="14"/>
                <w:szCs w:val="14"/>
                <w:b w:val="1"/>
                <w:bCs w:val="1"/>
                <w:color w:val="auto"/>
              </w:rPr>
              <w:t xml:space="preserve"> O</w:t>
            </w:r>
            <w:r>
              <w:rPr>
                <w:rFonts w:ascii="Times New Roman" w:cs="Times New Roman" w:eastAsia="Times New Roman" w:hAnsi="Times New Roman"/>
                <w:sz w:val="11"/>
                <w:szCs w:val="11"/>
                <w:b w:val="1"/>
                <w:bCs w:val="1"/>
                <w:color w:val="auto"/>
              </w:rPr>
              <w:t>F</w:t>
            </w:r>
          </w:p>
        </w:tc>
        <w:tc>
          <w:tcPr>
            <w:tcW w:w="190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E</w:t>
            </w:r>
            <w:r>
              <w:rPr>
                <w:rFonts w:ascii="Times New Roman" w:cs="Times New Roman" w:eastAsia="Times New Roman" w:hAnsi="Times New Roman"/>
                <w:sz w:val="11"/>
                <w:szCs w:val="11"/>
                <w:b w:val="1"/>
                <w:bCs w:val="1"/>
                <w:color w:val="auto"/>
              </w:rPr>
              <w:t>XERCISE</w:t>
            </w:r>
            <w:r>
              <w:rPr>
                <w:rFonts w:ascii="Times New Roman" w:cs="Times New Roman" w:eastAsia="Times New Roman" w:hAnsi="Times New Roman"/>
                <w:sz w:val="14"/>
                <w:szCs w:val="14"/>
                <w:b w:val="1"/>
                <w:bCs w:val="1"/>
                <w:color w:val="auto"/>
              </w:rPr>
              <w:t xml:space="preserve"> P</w:t>
            </w:r>
            <w:r>
              <w:rPr>
                <w:rFonts w:ascii="Times New Roman" w:cs="Times New Roman" w:eastAsia="Times New Roman" w:hAnsi="Times New Roman"/>
                <w:sz w:val="11"/>
                <w:szCs w:val="11"/>
                <w:b w:val="1"/>
                <w:bCs w:val="1"/>
                <w:color w:val="auto"/>
              </w:rPr>
              <w:t>RICE</w:t>
            </w:r>
          </w:p>
        </w:tc>
        <w:tc>
          <w:tcPr>
            <w:tcW w:w="16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w:t>
            </w:r>
            <w:r>
              <w:rPr>
                <w:rFonts w:ascii="Times New Roman" w:cs="Times New Roman" w:eastAsia="Times New Roman" w:hAnsi="Times New Roman"/>
                <w:sz w:val="11"/>
                <w:szCs w:val="11"/>
                <w:b w:val="1"/>
                <w:bCs w:val="1"/>
                <w:color w:val="auto"/>
              </w:rPr>
              <w:t>PPLICABLE</w:t>
            </w:r>
          </w:p>
        </w:tc>
        <w:tc>
          <w:tcPr>
            <w:tcW w:w="160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A</w:t>
            </w:r>
            <w:r>
              <w:rPr>
                <w:rFonts w:ascii="Times New Roman" w:cs="Times New Roman" w:eastAsia="Times New Roman" w:hAnsi="Times New Roman"/>
                <w:sz w:val="11"/>
                <w:szCs w:val="11"/>
                <w:b w:val="1"/>
                <w:bCs w:val="1"/>
                <w:color w:val="auto"/>
              </w:rPr>
              <w:t>NNULLED</w:t>
            </w:r>
          </w:p>
        </w:tc>
        <w:tc>
          <w:tcPr>
            <w:tcW w:w="160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W</w:t>
            </w:r>
            <w:r>
              <w:rPr>
                <w:rFonts w:ascii="Times New Roman" w:cs="Times New Roman" w:eastAsia="Times New Roman" w:hAnsi="Times New Roman"/>
                <w:sz w:val="11"/>
                <w:szCs w:val="11"/>
                <w:b w:val="1"/>
                <w:bCs w:val="1"/>
                <w:color w:val="auto"/>
              </w:rPr>
              <w:t>ARRANTS</w:t>
            </w:r>
          </w:p>
        </w:tc>
        <w:tc>
          <w:tcPr>
            <w:tcW w:w="140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W</w:t>
            </w:r>
            <w:r>
              <w:rPr>
                <w:rFonts w:ascii="Times New Roman" w:cs="Times New Roman" w:eastAsia="Times New Roman" w:hAnsi="Times New Roman"/>
                <w:sz w:val="11"/>
                <w:szCs w:val="11"/>
                <w:b w:val="1"/>
                <w:bCs w:val="1"/>
                <w:color w:val="auto"/>
              </w:rPr>
              <w:t>ARRANTS</w:t>
            </w:r>
          </w:p>
        </w:tc>
      </w:tr>
      <w:tr>
        <w:trPr>
          <w:trHeight w:val="182"/>
        </w:trPr>
        <w:tc>
          <w:tcPr>
            <w:tcW w:w="4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G</w:t>
            </w:r>
            <w:r>
              <w:rPr>
                <w:rFonts w:ascii="Times New Roman" w:cs="Times New Roman" w:eastAsia="Times New Roman" w:hAnsi="Times New Roman"/>
                <w:sz w:val="11"/>
                <w:szCs w:val="11"/>
                <w:b w:val="1"/>
                <w:bCs w:val="1"/>
                <w:color w:val="auto"/>
              </w:rPr>
              <w:t>RANT</w:t>
            </w:r>
          </w:p>
        </w:tc>
        <w:tc>
          <w:tcPr>
            <w:tcW w:w="1400" w:type="dxa"/>
            <w:vAlign w:val="bottom"/>
          </w:tcPr>
          <w:p>
            <w:pPr>
              <w:spacing w:after="0"/>
              <w:rPr>
                <w:sz w:val="15"/>
                <w:szCs w:val="15"/>
                <w:color w:val="auto"/>
              </w:rPr>
            </w:pP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W</w:t>
            </w:r>
            <w:r>
              <w:rPr>
                <w:rFonts w:ascii="Times New Roman" w:cs="Times New Roman" w:eastAsia="Times New Roman" w:hAnsi="Times New Roman"/>
                <w:sz w:val="11"/>
                <w:szCs w:val="11"/>
                <w:b w:val="1"/>
                <w:bCs w:val="1"/>
                <w:color w:val="auto"/>
              </w:rPr>
              <w:t>ARRANTS</w:t>
            </w:r>
          </w:p>
        </w:tc>
        <w:tc>
          <w:tcPr>
            <w:tcW w:w="190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P</w:t>
            </w:r>
            <w:r>
              <w:rPr>
                <w:rFonts w:ascii="Times New Roman" w:cs="Times New Roman" w:eastAsia="Times New Roman" w:hAnsi="Times New Roman"/>
                <w:sz w:val="11"/>
                <w:szCs w:val="11"/>
                <w:b w:val="1"/>
                <w:bCs w:val="1"/>
                <w:color w:val="auto"/>
              </w:rPr>
              <w:t>ER</w:t>
            </w:r>
            <w:r>
              <w:rPr>
                <w:rFonts w:ascii="Times New Roman" w:cs="Times New Roman" w:eastAsia="Times New Roman" w:hAnsi="Times New Roman"/>
                <w:sz w:val="14"/>
                <w:szCs w:val="14"/>
                <w:b w:val="1"/>
                <w:bCs w:val="1"/>
                <w:color w:val="auto"/>
              </w:rPr>
              <w:t xml:space="preserve"> W</w:t>
            </w:r>
            <w:r>
              <w:rPr>
                <w:rFonts w:ascii="Times New Roman" w:cs="Times New Roman" w:eastAsia="Times New Roman" w:hAnsi="Times New Roman"/>
                <w:sz w:val="11"/>
                <w:szCs w:val="11"/>
                <w:b w:val="1"/>
                <w:bCs w:val="1"/>
                <w:color w:val="auto"/>
              </w:rPr>
              <w:t>ARRANT</w:t>
            </w:r>
          </w:p>
        </w:tc>
        <w:tc>
          <w:tcPr>
            <w:tcW w:w="16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w:t>
            </w:r>
            <w:r>
              <w:rPr>
                <w:rFonts w:ascii="Times New Roman" w:cs="Times New Roman" w:eastAsia="Times New Roman" w:hAnsi="Times New Roman"/>
                <w:sz w:val="11"/>
                <w:szCs w:val="11"/>
                <w:b w:val="1"/>
                <w:bCs w:val="1"/>
                <w:color w:val="auto"/>
              </w:rPr>
              <w:t>XHIBIT</w:t>
            </w:r>
          </w:p>
        </w:tc>
        <w:tc>
          <w:tcPr>
            <w:tcW w:w="160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W</w:t>
            </w:r>
            <w:r>
              <w:rPr>
                <w:rFonts w:ascii="Times New Roman" w:cs="Times New Roman" w:eastAsia="Times New Roman" w:hAnsi="Times New Roman"/>
                <w:sz w:val="11"/>
                <w:szCs w:val="11"/>
                <w:b w:val="1"/>
                <w:bCs w:val="1"/>
                <w:color w:val="auto"/>
              </w:rPr>
              <w:t>ARRANTS</w:t>
            </w:r>
          </w:p>
        </w:tc>
        <w:tc>
          <w:tcPr>
            <w:tcW w:w="160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E</w:t>
            </w:r>
            <w:r>
              <w:rPr>
                <w:rFonts w:ascii="Times New Roman" w:cs="Times New Roman" w:eastAsia="Times New Roman" w:hAnsi="Times New Roman"/>
                <w:sz w:val="11"/>
                <w:szCs w:val="11"/>
                <w:b w:val="1"/>
                <w:bCs w:val="1"/>
                <w:color w:val="auto"/>
              </w:rPr>
              <w:t>XERCISED</w:t>
            </w:r>
          </w:p>
        </w:tc>
        <w:tc>
          <w:tcPr>
            <w:tcW w:w="140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L</w:t>
            </w:r>
            <w:r>
              <w:rPr>
                <w:rFonts w:ascii="Times New Roman" w:cs="Times New Roman" w:eastAsia="Times New Roman" w:hAnsi="Times New Roman"/>
                <w:sz w:val="11"/>
                <w:szCs w:val="11"/>
                <w:b w:val="1"/>
                <w:bCs w:val="1"/>
                <w:color w:val="auto"/>
              </w:rPr>
              <w:t>APSED</w:t>
            </w:r>
          </w:p>
        </w:tc>
      </w:tr>
      <w:tr>
        <w:trPr>
          <w:trHeight w:val="203"/>
        </w:trPr>
        <w:tc>
          <w:tcPr>
            <w:tcW w:w="2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97"/>
              </w:rPr>
              <w:t>10.</w:t>
            </w:r>
          </w:p>
        </w:tc>
        <w:tc>
          <w:tcPr>
            <w:tcW w:w="1620" w:type="dxa"/>
            <w:vAlign w:val="bottom"/>
            <w:tcBorders>
              <w:top w:val="single" w:sz="8" w:color="CCEEFF"/>
            </w:tcBorders>
            <w:gridSpan w:val="2"/>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color w:val="auto"/>
              </w:rPr>
              <w:t>September 2008</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623.880</w:t>
            </w:r>
          </w:p>
        </w:tc>
        <w:tc>
          <w:tcPr>
            <w:tcW w:w="28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98"/>
              </w:rPr>
              <w:t>€ 2,6483/DKK 19,7491</w:t>
            </w:r>
          </w:p>
        </w:tc>
        <w:tc>
          <w:tcPr>
            <w:tcW w:w="20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N/A</w:t>
            </w:r>
          </w:p>
        </w:tc>
        <w:tc>
          <w:tcPr>
            <w:tcW w:w="22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w:t>
            </w:r>
          </w:p>
        </w:tc>
        <w:tc>
          <w:tcPr>
            <w:tcW w:w="22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621.880</w:t>
            </w:r>
          </w:p>
        </w:tc>
        <w:tc>
          <w:tcPr>
            <w:tcW w:w="22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2.000</w:t>
            </w:r>
          </w:p>
        </w:tc>
      </w:tr>
      <w:tr>
        <w:trPr>
          <w:trHeight w:val="216"/>
        </w:trPr>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19.</w:t>
            </w:r>
          </w:p>
        </w:tc>
        <w:tc>
          <w:tcPr>
            <w:tcW w:w="1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 2009</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331.020</w:t>
            </w:r>
          </w:p>
        </w:tc>
        <w:tc>
          <w:tcPr>
            <w:tcW w:w="1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€2,6483 /DKK 19,7332</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331.020</w:t>
            </w:r>
          </w:p>
        </w:tc>
        <w:tc>
          <w:tcPr>
            <w:tcW w:w="1400" w:type="dxa"/>
            <w:vAlign w:val="bottom"/>
          </w:tcPr>
          <w:p>
            <w:pPr>
              <w:spacing w:after="0"/>
              <w:rPr>
                <w:sz w:val="18"/>
                <w:szCs w:val="18"/>
                <w:color w:val="auto"/>
              </w:rPr>
            </w:pPr>
          </w:p>
        </w:tc>
      </w:tr>
      <w:tr>
        <w:trPr>
          <w:trHeight w:val="216"/>
        </w:trPr>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9.</w:t>
            </w:r>
          </w:p>
        </w:tc>
        <w:tc>
          <w:tcPr>
            <w:tcW w:w="1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2009</w:t>
            </w: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170.908</w:t>
            </w:r>
          </w:p>
        </w:tc>
        <w:tc>
          <w:tcPr>
            <w:tcW w:w="1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€ 2,6483 DKK 19,7072</w:t>
            </w:r>
          </w:p>
        </w:tc>
        <w:tc>
          <w:tcPr>
            <w:tcW w:w="1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1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332</w:t>
            </w:r>
          </w:p>
        </w:tc>
        <w:tc>
          <w:tcPr>
            <w:tcW w:w="1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170.576</w:t>
            </w:r>
          </w:p>
        </w:tc>
        <w:tc>
          <w:tcPr>
            <w:tcW w:w="1400" w:type="dxa"/>
            <w:vAlign w:val="bottom"/>
            <w:shd w:val="clear" w:color="auto" w:fill="CCEEFF"/>
          </w:tcPr>
          <w:p>
            <w:pPr>
              <w:spacing w:after="0"/>
              <w:rPr>
                <w:sz w:val="18"/>
                <w:szCs w:val="18"/>
                <w:color w:val="auto"/>
              </w:rPr>
            </w:pPr>
          </w:p>
        </w:tc>
      </w:tr>
      <w:tr>
        <w:trPr>
          <w:trHeight w:val="216"/>
        </w:trPr>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13.</w:t>
            </w:r>
          </w:p>
        </w:tc>
        <w:tc>
          <w:tcPr>
            <w:tcW w:w="1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2011</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58.000</w:t>
            </w:r>
          </w:p>
        </w:tc>
        <w:tc>
          <w:tcPr>
            <w:tcW w:w="1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€ 7,9962/DKK 59,4644</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1.832</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56.000</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r>
      <w:tr>
        <w:trPr>
          <w:trHeight w:val="216"/>
        </w:trPr>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8.</w:t>
            </w:r>
          </w:p>
        </w:tc>
        <w:tc>
          <w:tcPr>
            <w:tcW w:w="1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2012</w:t>
            </w: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66.000</w:t>
            </w:r>
          </w:p>
        </w:tc>
        <w:tc>
          <w:tcPr>
            <w:tcW w:w="1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€ 7,9962/DKK 59,6267</w:t>
            </w:r>
          </w:p>
        </w:tc>
        <w:tc>
          <w:tcPr>
            <w:tcW w:w="1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1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66.000</w:t>
            </w:r>
          </w:p>
        </w:tc>
        <w:tc>
          <w:tcPr>
            <w:tcW w:w="1400" w:type="dxa"/>
            <w:vAlign w:val="bottom"/>
            <w:shd w:val="clear" w:color="auto" w:fill="CCEEFF"/>
          </w:tcPr>
          <w:p>
            <w:pPr>
              <w:spacing w:after="0"/>
              <w:rPr>
                <w:sz w:val="18"/>
                <w:szCs w:val="18"/>
                <w:color w:val="auto"/>
              </w:rPr>
            </w:pPr>
          </w:p>
        </w:tc>
      </w:tr>
      <w:tr>
        <w:trPr>
          <w:trHeight w:val="216"/>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17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December 2012</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690.604</w:t>
            </w:r>
          </w:p>
        </w:tc>
        <w:tc>
          <w:tcPr>
            <w:tcW w:w="1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€ 7,9962/DKK 59,6531</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681.608</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8.996</w:t>
            </w:r>
          </w:p>
        </w:tc>
      </w:tr>
      <w:tr>
        <w:trPr>
          <w:trHeight w:val="216"/>
        </w:trPr>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7"/>
              </w:rPr>
              <w:t>19.</w:t>
            </w:r>
          </w:p>
        </w:tc>
        <w:tc>
          <w:tcPr>
            <w:tcW w:w="1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2013</w:t>
            </w: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28.400</w:t>
            </w:r>
          </w:p>
        </w:tc>
        <w:tc>
          <w:tcPr>
            <w:tcW w:w="1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€ 7,9962/DKK 59,6507</w:t>
            </w:r>
          </w:p>
        </w:tc>
        <w:tc>
          <w:tcPr>
            <w:tcW w:w="1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1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28.400</w:t>
            </w:r>
          </w:p>
        </w:tc>
        <w:tc>
          <w:tcPr>
            <w:tcW w:w="1400" w:type="dxa"/>
            <w:vAlign w:val="bottom"/>
            <w:shd w:val="clear" w:color="auto" w:fill="CCEEFF"/>
          </w:tcPr>
          <w:p>
            <w:pPr>
              <w:spacing w:after="0"/>
              <w:rPr>
                <w:sz w:val="18"/>
                <w:szCs w:val="18"/>
                <w:color w:val="auto"/>
              </w:rPr>
            </w:pPr>
          </w:p>
        </w:tc>
      </w:tr>
      <w:tr>
        <w:trPr>
          <w:trHeight w:val="216"/>
        </w:trPr>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27.</w:t>
            </w:r>
          </w:p>
        </w:tc>
        <w:tc>
          <w:tcPr>
            <w:tcW w:w="1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June 2013</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87.488</w:t>
            </w:r>
          </w:p>
        </w:tc>
        <w:tc>
          <w:tcPr>
            <w:tcW w:w="1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€ 7,9962/DKK 59,6459</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87.488</w:t>
            </w:r>
          </w:p>
        </w:tc>
        <w:tc>
          <w:tcPr>
            <w:tcW w:w="1400" w:type="dxa"/>
            <w:vAlign w:val="bottom"/>
          </w:tcPr>
          <w:p>
            <w:pPr>
              <w:spacing w:after="0"/>
              <w:rPr>
                <w:sz w:val="18"/>
                <w:szCs w:val="18"/>
                <w:color w:val="auto"/>
              </w:rPr>
            </w:pPr>
          </w:p>
        </w:tc>
      </w:tr>
      <w:tr>
        <w:trPr>
          <w:trHeight w:val="216"/>
        </w:trPr>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7"/>
              </w:rPr>
              <w:t>24.</w:t>
            </w:r>
          </w:p>
        </w:tc>
        <w:tc>
          <w:tcPr>
            <w:tcW w:w="1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2013</w:t>
            </w: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56.000</w:t>
            </w:r>
          </w:p>
        </w:tc>
        <w:tc>
          <w:tcPr>
            <w:tcW w:w="1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€ 7,9962/DKK 59,6283</w:t>
            </w:r>
          </w:p>
        </w:tc>
        <w:tc>
          <w:tcPr>
            <w:tcW w:w="1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1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17.416</w:t>
            </w:r>
          </w:p>
        </w:tc>
        <w:tc>
          <w:tcPr>
            <w:tcW w:w="1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35.709</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2.875</w:t>
            </w:r>
          </w:p>
        </w:tc>
      </w:tr>
      <w:tr>
        <w:trPr>
          <w:trHeight w:val="216"/>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5.</w:t>
            </w:r>
          </w:p>
        </w:tc>
        <w:tc>
          <w:tcPr>
            <w:tcW w:w="17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December 2013</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12.000</w:t>
            </w:r>
          </w:p>
        </w:tc>
        <w:tc>
          <w:tcPr>
            <w:tcW w:w="1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€ 7,9962/DKK 59,6483</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12.000</w:t>
            </w:r>
          </w:p>
        </w:tc>
        <w:tc>
          <w:tcPr>
            <w:tcW w:w="1400" w:type="dxa"/>
            <w:vAlign w:val="bottom"/>
          </w:tcPr>
          <w:p>
            <w:pPr>
              <w:spacing w:after="0"/>
              <w:rPr>
                <w:sz w:val="18"/>
                <w:szCs w:val="18"/>
                <w:color w:val="auto"/>
              </w:rPr>
            </w:pPr>
          </w:p>
        </w:tc>
      </w:tr>
      <w:tr>
        <w:trPr>
          <w:trHeight w:val="216"/>
        </w:trPr>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7"/>
              </w:rPr>
              <w:t>16.</w:t>
            </w:r>
          </w:p>
        </w:tc>
        <w:tc>
          <w:tcPr>
            <w:tcW w:w="1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2014</w:t>
            </w: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132.592</w:t>
            </w:r>
          </w:p>
        </w:tc>
        <w:tc>
          <w:tcPr>
            <w:tcW w:w="1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€ 7,9962/DKK 59,6675</w:t>
            </w:r>
          </w:p>
        </w:tc>
        <w:tc>
          <w:tcPr>
            <w:tcW w:w="1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1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56.413</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76.179</w:t>
            </w:r>
          </w:p>
        </w:tc>
      </w:tr>
      <w:tr>
        <w:trPr>
          <w:trHeight w:val="216"/>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6.</w:t>
            </w:r>
          </w:p>
        </w:tc>
        <w:tc>
          <w:tcPr>
            <w:tcW w:w="17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March 2014</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28.000</w:t>
            </w:r>
          </w:p>
        </w:tc>
        <w:tc>
          <w:tcPr>
            <w:tcW w:w="1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€ 7,9962/DKK 59,6731</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28.000</w:t>
            </w:r>
          </w:p>
        </w:tc>
        <w:tc>
          <w:tcPr>
            <w:tcW w:w="1400" w:type="dxa"/>
            <w:vAlign w:val="bottom"/>
          </w:tcPr>
          <w:p>
            <w:pPr>
              <w:spacing w:after="0"/>
              <w:rPr>
                <w:sz w:val="18"/>
                <w:szCs w:val="18"/>
                <w:color w:val="auto"/>
              </w:rPr>
            </w:pPr>
          </w:p>
        </w:tc>
      </w:tr>
      <w:tr>
        <w:trPr>
          <w:trHeight w:val="216"/>
        </w:trPr>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7"/>
              </w:rPr>
              <w:t>19.</w:t>
            </w:r>
          </w:p>
        </w:tc>
        <w:tc>
          <w:tcPr>
            <w:tcW w:w="1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2014</w:t>
            </w: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168.008</w:t>
            </w:r>
          </w:p>
        </w:tc>
        <w:tc>
          <w:tcPr>
            <w:tcW w:w="1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€ 7,9962/DKK 59,6227</w:t>
            </w:r>
          </w:p>
        </w:tc>
        <w:tc>
          <w:tcPr>
            <w:tcW w:w="1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1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168.008</w:t>
            </w:r>
          </w:p>
        </w:tc>
        <w:tc>
          <w:tcPr>
            <w:tcW w:w="1400" w:type="dxa"/>
            <w:vAlign w:val="bottom"/>
            <w:shd w:val="clear" w:color="auto" w:fill="CCEEFF"/>
          </w:tcPr>
          <w:p>
            <w:pPr>
              <w:spacing w:after="0"/>
              <w:rPr>
                <w:sz w:val="18"/>
                <w:szCs w:val="18"/>
                <w:color w:val="auto"/>
              </w:rPr>
            </w:pPr>
          </w:p>
        </w:tc>
      </w:tr>
      <w:tr>
        <w:trPr>
          <w:trHeight w:val="216"/>
        </w:trPr>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18.</w:t>
            </w:r>
          </w:p>
        </w:tc>
        <w:tc>
          <w:tcPr>
            <w:tcW w:w="1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2015</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1.022.908</w:t>
            </w:r>
          </w:p>
        </w:tc>
        <w:tc>
          <w:tcPr>
            <w:tcW w:w="1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USD 16,99</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967.414</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55.494</w:t>
            </w:r>
          </w:p>
        </w:tc>
      </w:tr>
      <w:tr>
        <w:trPr>
          <w:trHeight w:val="216"/>
        </w:trPr>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7"/>
              </w:rPr>
              <w:t>15.</w:t>
            </w:r>
          </w:p>
        </w:tc>
        <w:tc>
          <w:tcPr>
            <w:tcW w:w="1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2016</w:t>
            </w: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178.500</w:t>
            </w:r>
          </w:p>
        </w:tc>
        <w:tc>
          <w:tcPr>
            <w:tcW w:w="1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USD 18,14</w:t>
            </w:r>
          </w:p>
        </w:tc>
        <w:tc>
          <w:tcPr>
            <w:tcW w:w="1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176.000</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r>
      <w:tr>
        <w:trPr>
          <w:trHeight w:val="216"/>
        </w:trPr>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10.</w:t>
            </w:r>
          </w:p>
        </w:tc>
        <w:tc>
          <w:tcPr>
            <w:tcW w:w="1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May 2016</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42.500</w:t>
            </w:r>
          </w:p>
        </w:tc>
        <w:tc>
          <w:tcPr>
            <w:tcW w:w="1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USD 15,68</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42.500</w:t>
            </w:r>
          </w:p>
        </w:tc>
        <w:tc>
          <w:tcPr>
            <w:tcW w:w="1400" w:type="dxa"/>
            <w:vAlign w:val="bottom"/>
          </w:tcPr>
          <w:p>
            <w:pPr>
              <w:spacing w:after="0"/>
              <w:rPr>
                <w:sz w:val="18"/>
                <w:szCs w:val="18"/>
                <w:color w:val="auto"/>
              </w:rPr>
            </w:pPr>
          </w:p>
        </w:tc>
      </w:tr>
      <w:tr>
        <w:trPr>
          <w:trHeight w:val="216"/>
        </w:trPr>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9.</w:t>
            </w:r>
          </w:p>
        </w:tc>
        <w:tc>
          <w:tcPr>
            <w:tcW w:w="1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2016</w:t>
            </w: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58.000</w:t>
            </w:r>
          </w:p>
        </w:tc>
        <w:tc>
          <w:tcPr>
            <w:tcW w:w="1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USD 13,59</w:t>
            </w:r>
          </w:p>
        </w:tc>
        <w:tc>
          <w:tcPr>
            <w:tcW w:w="1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56.500</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w:t>
            </w:r>
          </w:p>
        </w:tc>
      </w:tr>
      <w:tr>
        <w:trPr>
          <w:trHeight w:val="216"/>
        </w:trPr>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12.</w:t>
            </w:r>
          </w:p>
        </w:tc>
        <w:tc>
          <w:tcPr>
            <w:tcW w:w="1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July 2016</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2.500</w:t>
            </w:r>
          </w:p>
        </w:tc>
        <w:tc>
          <w:tcPr>
            <w:tcW w:w="1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USD 12,97</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2.500</w:t>
            </w:r>
          </w:p>
        </w:tc>
        <w:tc>
          <w:tcPr>
            <w:tcW w:w="1400" w:type="dxa"/>
            <w:vAlign w:val="bottom"/>
          </w:tcPr>
          <w:p>
            <w:pPr>
              <w:spacing w:after="0"/>
              <w:rPr>
                <w:sz w:val="18"/>
                <w:szCs w:val="18"/>
                <w:color w:val="auto"/>
              </w:rPr>
            </w:pPr>
          </w:p>
        </w:tc>
      </w:tr>
      <w:tr>
        <w:trPr>
          <w:trHeight w:val="216"/>
        </w:trPr>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9.</w:t>
            </w:r>
          </w:p>
        </w:tc>
        <w:tc>
          <w:tcPr>
            <w:tcW w:w="1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2016</w:t>
            </w: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129.000</w:t>
            </w:r>
          </w:p>
        </w:tc>
        <w:tc>
          <w:tcPr>
            <w:tcW w:w="1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USD 14,50</w:t>
            </w:r>
          </w:p>
        </w:tc>
        <w:tc>
          <w:tcPr>
            <w:tcW w:w="1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129.000</w:t>
            </w:r>
          </w:p>
        </w:tc>
        <w:tc>
          <w:tcPr>
            <w:tcW w:w="1400" w:type="dxa"/>
            <w:vAlign w:val="bottom"/>
            <w:shd w:val="clear" w:color="auto" w:fill="CCEEFF"/>
          </w:tcPr>
          <w:p>
            <w:pPr>
              <w:spacing w:after="0"/>
              <w:rPr>
                <w:sz w:val="18"/>
                <w:szCs w:val="18"/>
                <w:color w:val="auto"/>
              </w:rPr>
            </w:pPr>
          </w:p>
        </w:tc>
      </w:tr>
      <w:tr>
        <w:trPr>
          <w:trHeight w:val="234"/>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8.</w:t>
            </w:r>
          </w:p>
        </w:tc>
        <w:tc>
          <w:tcPr>
            <w:tcW w:w="17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November 2016</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9.000</w:t>
            </w:r>
          </w:p>
        </w:tc>
        <w:tc>
          <w:tcPr>
            <w:tcW w:w="1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USD 19,34</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8.895</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346"/>
        </w:trPr>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r>
    </w:tbl>
    <w:p>
      <w:pPr>
        <w:sectPr>
          <w:pgSz w:w="11900" w:h="16838" w:orient="portrait"/>
          <w:cols w:equalWidth="0" w:num="1">
            <w:col w:w="11020"/>
          </w:cols>
          <w:pgMar w:left="440" w:top="266" w:right="4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w:t>
      </w:r>
      <w:r>
        <w:rPr>
          <w:rFonts w:ascii="Times New Roman" w:cs="Times New Roman" w:eastAsia="Times New Roman" w:hAnsi="Times New Roman"/>
          <w:sz w:val="14"/>
          <w:szCs w:val="14"/>
          <w:b w:val="1"/>
          <w:bCs w:val="1"/>
          <w:color w:val="auto"/>
        </w:rPr>
        <w:t>ARRANTS</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UBJECT</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O</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RTICLES</w:t>
      </w:r>
      <w:r>
        <w:rPr>
          <w:rFonts w:ascii="Times New Roman" w:cs="Times New Roman" w:eastAsia="Times New Roman" w:hAnsi="Times New Roman"/>
          <w:sz w:val="18"/>
          <w:szCs w:val="18"/>
          <w:b w:val="1"/>
          <w:bCs w:val="1"/>
          <w:color w:val="auto"/>
        </w:rPr>
        <w:t xml:space="preserve"> 4</w:t>
      </w:r>
      <w:r>
        <w:rPr>
          <w:rFonts w:ascii="Times New Roman" w:cs="Times New Roman" w:eastAsia="Times New Roman" w:hAnsi="Times New Roman"/>
          <w:sz w:val="14"/>
          <w:szCs w:val="14"/>
          <w:b w:val="1"/>
          <w:bCs w:val="1"/>
          <w:color w:val="auto"/>
        </w:rPr>
        <w:t>A</w:t>
      </w:r>
      <w:r>
        <w:rPr>
          <w:rFonts w:ascii="Times New Roman" w:cs="Times New Roman" w:eastAsia="Times New Roman" w:hAnsi="Times New Roman"/>
          <w:sz w:val="18"/>
          <w:szCs w:val="18"/>
          <w:b w:val="1"/>
          <w:bCs w:val="1"/>
          <w:color w:val="auto"/>
        </w:rPr>
        <w:t>, 4</w:t>
      </w:r>
      <w:r>
        <w:rPr>
          <w:rFonts w:ascii="Times New Roman" w:cs="Times New Roman" w:eastAsia="Times New Roman" w:hAnsi="Times New Roman"/>
          <w:sz w:val="14"/>
          <w:szCs w:val="14"/>
          <w:b w:val="1"/>
          <w:bCs w:val="1"/>
          <w:color w:val="auto"/>
        </w:rPr>
        <w:t>F</w:t>
      </w:r>
      <w:r>
        <w:rPr>
          <w:rFonts w:ascii="Times New Roman" w:cs="Times New Roman" w:eastAsia="Times New Roman" w:hAnsi="Times New Roman"/>
          <w:sz w:val="18"/>
          <w:szCs w:val="18"/>
          <w:b w:val="1"/>
          <w:bCs w:val="1"/>
          <w:color w:val="auto"/>
        </w:rPr>
        <w:t>, 4</w:t>
      </w:r>
      <w:r>
        <w:rPr>
          <w:rFonts w:ascii="Times New Roman" w:cs="Times New Roman" w:eastAsia="Times New Roman" w:hAnsi="Times New Roman"/>
          <w:sz w:val="14"/>
          <w:szCs w:val="14"/>
          <w:b w:val="1"/>
          <w:bCs w:val="1"/>
          <w:color w:val="auto"/>
        </w:rPr>
        <w:t>G</w:t>
      </w:r>
      <w:r>
        <w:rPr>
          <w:rFonts w:ascii="Times New Roman" w:cs="Times New Roman" w:eastAsia="Times New Roman" w:hAnsi="Times New Roman"/>
          <w:sz w:val="18"/>
          <w:szCs w:val="18"/>
          <w:b w:val="1"/>
          <w:bCs w:val="1"/>
          <w:color w:val="auto"/>
        </w:rPr>
        <w:t>, 4</w:t>
      </w:r>
      <w:r>
        <w:rPr>
          <w:rFonts w:ascii="Times New Roman" w:cs="Times New Roman" w:eastAsia="Times New Roman" w:hAnsi="Times New Roman"/>
          <w:sz w:val="14"/>
          <w:szCs w:val="14"/>
          <w:b w:val="1"/>
          <w:bCs w:val="1"/>
          <w:color w:val="auto"/>
        </w:rPr>
        <w:t>H</w:t>
      </w:r>
      <w:r>
        <w:rPr>
          <w:rFonts w:ascii="Times New Roman" w:cs="Times New Roman" w:eastAsia="Times New Roman" w:hAnsi="Times New Roman"/>
          <w:sz w:val="18"/>
          <w:szCs w:val="18"/>
          <w:b w:val="1"/>
          <w:bCs w:val="1"/>
          <w:color w:val="auto"/>
        </w:rPr>
        <w:t xml:space="preserve"> AND 4I</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5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w:t>
            </w:r>
            <w:r>
              <w:rPr>
                <w:rFonts w:ascii="Times New Roman" w:cs="Times New Roman" w:eastAsia="Times New Roman" w:hAnsi="Times New Roman"/>
                <w:sz w:val="11"/>
                <w:szCs w:val="11"/>
                <w:b w:val="1"/>
                <w:bCs w:val="1"/>
                <w:color w:val="auto"/>
              </w:rPr>
              <w:t>UMBER</w:t>
            </w:r>
            <w:r>
              <w:rPr>
                <w:rFonts w:ascii="Times New Roman" w:cs="Times New Roman" w:eastAsia="Times New Roman" w:hAnsi="Times New Roman"/>
                <w:sz w:val="14"/>
                <w:szCs w:val="14"/>
                <w:b w:val="1"/>
                <w:bCs w:val="1"/>
                <w:color w:val="auto"/>
              </w:rPr>
              <w:t xml:space="preserve"> O</w:t>
            </w:r>
            <w:r>
              <w:rPr>
                <w:rFonts w:ascii="Times New Roman" w:cs="Times New Roman" w:eastAsia="Times New Roman" w:hAnsi="Times New Roman"/>
                <w:sz w:val="11"/>
                <w:szCs w:val="11"/>
                <w:b w:val="1"/>
                <w:bCs w:val="1"/>
                <w:color w:val="auto"/>
              </w:rPr>
              <w:t>F</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w:t>
            </w:r>
            <w:r>
              <w:rPr>
                <w:rFonts w:ascii="Times New Roman" w:cs="Times New Roman" w:eastAsia="Times New Roman" w:hAnsi="Times New Roman"/>
                <w:sz w:val="11"/>
                <w:szCs w:val="11"/>
                <w:b w:val="1"/>
                <w:bCs w:val="1"/>
                <w:color w:val="auto"/>
              </w:rPr>
              <w:t>XERCISE</w:t>
            </w:r>
          </w:p>
        </w:tc>
        <w:tc>
          <w:tcPr>
            <w:tcW w:w="15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w:t>
            </w:r>
            <w:r>
              <w:rPr>
                <w:rFonts w:ascii="Times New Roman" w:cs="Times New Roman" w:eastAsia="Times New Roman" w:hAnsi="Times New Roman"/>
                <w:sz w:val="11"/>
                <w:szCs w:val="11"/>
                <w:b w:val="1"/>
                <w:bCs w:val="1"/>
                <w:color w:val="auto"/>
              </w:rPr>
              <w:t>PPLICABLE</w:t>
            </w:r>
          </w:p>
        </w:tc>
        <w:tc>
          <w:tcPr>
            <w:tcW w:w="154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A</w:t>
            </w:r>
            <w:r>
              <w:rPr>
                <w:rFonts w:ascii="Times New Roman" w:cs="Times New Roman" w:eastAsia="Times New Roman" w:hAnsi="Times New Roman"/>
                <w:sz w:val="11"/>
                <w:szCs w:val="11"/>
                <w:b w:val="1"/>
                <w:bCs w:val="1"/>
                <w:color w:val="auto"/>
              </w:rPr>
              <w:t>NNULLED</w:t>
            </w:r>
          </w:p>
        </w:tc>
        <w:tc>
          <w:tcPr>
            <w:tcW w:w="154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W</w:t>
            </w:r>
            <w:r>
              <w:rPr>
                <w:rFonts w:ascii="Times New Roman" w:cs="Times New Roman" w:eastAsia="Times New Roman" w:hAnsi="Times New Roman"/>
                <w:sz w:val="11"/>
                <w:szCs w:val="11"/>
                <w:b w:val="1"/>
                <w:bCs w:val="1"/>
                <w:color w:val="auto"/>
              </w:rPr>
              <w:t>ARRANTS</w:t>
            </w:r>
          </w:p>
        </w:tc>
        <w:tc>
          <w:tcPr>
            <w:tcW w:w="1320" w:type="dxa"/>
            <w:vAlign w:val="bottom"/>
            <w:vMerge w:val="restart"/>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W</w:t>
            </w:r>
            <w:r>
              <w:rPr>
                <w:rFonts w:ascii="Times New Roman" w:cs="Times New Roman" w:eastAsia="Times New Roman" w:hAnsi="Times New Roman"/>
                <w:sz w:val="11"/>
                <w:szCs w:val="11"/>
                <w:b w:val="1"/>
                <w:bCs w:val="1"/>
                <w:color w:val="auto"/>
              </w:rPr>
              <w:t>ARRANTS</w:t>
            </w:r>
          </w:p>
        </w:tc>
        <w:tc>
          <w:tcPr>
            <w:tcW w:w="0" w:type="dxa"/>
            <w:vAlign w:val="bottom"/>
          </w:tcPr>
          <w:p>
            <w:pPr>
              <w:spacing w:after="0"/>
              <w:rPr>
                <w:sz w:val="1"/>
                <w:szCs w:val="1"/>
                <w:color w:val="auto"/>
              </w:rPr>
            </w:pPr>
          </w:p>
        </w:tc>
      </w:tr>
      <w:tr>
        <w:trPr>
          <w:trHeight w:val="148"/>
        </w:trPr>
        <w:tc>
          <w:tcPr>
            <w:tcW w:w="20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w:t>
            </w:r>
            <w:r>
              <w:rPr>
                <w:rFonts w:ascii="Times New Roman" w:cs="Times New Roman" w:eastAsia="Times New Roman" w:hAnsi="Times New Roman"/>
                <w:sz w:val="11"/>
                <w:szCs w:val="11"/>
                <w:b w:val="1"/>
                <w:bCs w:val="1"/>
                <w:color w:val="auto"/>
              </w:rPr>
              <w:t>ATE</w:t>
            </w:r>
            <w:r>
              <w:rPr>
                <w:rFonts w:ascii="Times New Roman" w:cs="Times New Roman" w:eastAsia="Times New Roman" w:hAnsi="Times New Roman"/>
                <w:sz w:val="14"/>
                <w:szCs w:val="14"/>
                <w:b w:val="1"/>
                <w:bCs w:val="1"/>
                <w:color w:val="auto"/>
              </w:rPr>
              <w:t xml:space="preserve"> O</w:t>
            </w:r>
            <w:r>
              <w:rPr>
                <w:rFonts w:ascii="Times New Roman" w:cs="Times New Roman" w:eastAsia="Times New Roman" w:hAnsi="Times New Roman"/>
                <w:sz w:val="11"/>
                <w:szCs w:val="11"/>
                <w:b w:val="1"/>
                <w:bCs w:val="1"/>
                <w:color w:val="auto"/>
              </w:rPr>
              <w:t>F</w:t>
            </w:r>
            <w:r>
              <w:rPr>
                <w:rFonts w:ascii="Times New Roman" w:cs="Times New Roman" w:eastAsia="Times New Roman" w:hAnsi="Times New Roman"/>
                <w:sz w:val="14"/>
                <w:szCs w:val="14"/>
                <w:b w:val="1"/>
                <w:bCs w:val="1"/>
                <w:color w:val="auto"/>
              </w:rPr>
              <w:t xml:space="preserve"> G</w:t>
            </w:r>
            <w:r>
              <w:rPr>
                <w:rFonts w:ascii="Times New Roman" w:cs="Times New Roman" w:eastAsia="Times New Roman" w:hAnsi="Times New Roman"/>
                <w:sz w:val="11"/>
                <w:szCs w:val="11"/>
                <w:b w:val="1"/>
                <w:bCs w:val="1"/>
                <w:color w:val="auto"/>
              </w:rPr>
              <w:t>RANT</w:t>
            </w:r>
          </w:p>
        </w:tc>
        <w:tc>
          <w:tcPr>
            <w:tcW w:w="1540" w:type="dxa"/>
            <w:vAlign w:val="bottom"/>
            <w:gridSpan w:val="2"/>
            <w:vMerge w:val="continue"/>
          </w:tcPr>
          <w:p>
            <w:pPr>
              <w:spacing w:after="0"/>
              <w:rPr>
                <w:sz w:val="12"/>
                <w:szCs w:val="12"/>
                <w:color w:val="auto"/>
              </w:rPr>
            </w:pPr>
          </w:p>
        </w:tc>
        <w:tc>
          <w:tcPr>
            <w:tcW w:w="15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w:t>
            </w:r>
            <w:r>
              <w:rPr>
                <w:rFonts w:ascii="Times New Roman" w:cs="Times New Roman" w:eastAsia="Times New Roman" w:hAnsi="Times New Roman"/>
                <w:sz w:val="11"/>
                <w:szCs w:val="11"/>
                <w:b w:val="1"/>
                <w:bCs w:val="1"/>
                <w:color w:val="auto"/>
              </w:rPr>
              <w:t>RICE</w:t>
            </w:r>
            <w:r>
              <w:rPr>
                <w:rFonts w:ascii="Times New Roman" w:cs="Times New Roman" w:eastAsia="Times New Roman" w:hAnsi="Times New Roman"/>
                <w:sz w:val="14"/>
                <w:szCs w:val="14"/>
                <w:b w:val="1"/>
                <w:bCs w:val="1"/>
                <w:color w:val="auto"/>
              </w:rPr>
              <w:t xml:space="preserve"> P</w:t>
            </w:r>
            <w:r>
              <w:rPr>
                <w:rFonts w:ascii="Times New Roman" w:cs="Times New Roman" w:eastAsia="Times New Roman" w:hAnsi="Times New Roman"/>
                <w:sz w:val="11"/>
                <w:szCs w:val="11"/>
                <w:b w:val="1"/>
                <w:bCs w:val="1"/>
                <w:color w:val="auto"/>
              </w:rPr>
              <w:t>ER</w:t>
            </w:r>
          </w:p>
        </w:tc>
        <w:tc>
          <w:tcPr>
            <w:tcW w:w="1540" w:type="dxa"/>
            <w:vAlign w:val="bottom"/>
            <w:gridSpan w:val="2"/>
            <w:vMerge w:val="continue"/>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00" w:type="dxa"/>
            <w:vAlign w:val="bottom"/>
            <w:gridSpan w:val="3"/>
            <w:vMerge w:val="continue"/>
          </w:tcPr>
          <w:p>
            <w:pPr>
              <w:spacing w:after="0"/>
              <w:rPr>
                <w:sz w:val="15"/>
                <w:szCs w:val="15"/>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w:t>
            </w:r>
            <w:r>
              <w:rPr>
                <w:rFonts w:ascii="Times New Roman" w:cs="Times New Roman" w:eastAsia="Times New Roman" w:hAnsi="Times New Roman"/>
                <w:sz w:val="11"/>
                <w:szCs w:val="11"/>
                <w:b w:val="1"/>
                <w:bCs w:val="1"/>
                <w:color w:val="auto"/>
              </w:rPr>
              <w:t>ARRANTS</w:t>
            </w: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W</w:t>
            </w:r>
            <w:r>
              <w:rPr>
                <w:rFonts w:ascii="Times New Roman" w:cs="Times New Roman" w:eastAsia="Times New Roman" w:hAnsi="Times New Roman"/>
                <w:sz w:val="11"/>
                <w:szCs w:val="11"/>
                <w:b w:val="1"/>
                <w:bCs w:val="1"/>
                <w:color w:val="auto"/>
              </w:rPr>
              <w:t>ARRANT</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w:t>
            </w:r>
            <w:r>
              <w:rPr>
                <w:rFonts w:ascii="Times New Roman" w:cs="Times New Roman" w:eastAsia="Times New Roman" w:hAnsi="Times New Roman"/>
                <w:sz w:val="11"/>
                <w:szCs w:val="11"/>
                <w:b w:val="1"/>
                <w:bCs w:val="1"/>
                <w:color w:val="auto"/>
              </w:rPr>
              <w:t>XHIBIT</w:t>
            </w:r>
          </w:p>
        </w:tc>
        <w:tc>
          <w:tcPr>
            <w:tcW w:w="154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W</w:t>
            </w:r>
            <w:r>
              <w:rPr>
                <w:rFonts w:ascii="Times New Roman" w:cs="Times New Roman" w:eastAsia="Times New Roman" w:hAnsi="Times New Roman"/>
                <w:sz w:val="11"/>
                <w:szCs w:val="11"/>
                <w:b w:val="1"/>
                <w:bCs w:val="1"/>
                <w:color w:val="auto"/>
              </w:rPr>
              <w:t>ARRANTS</w:t>
            </w:r>
          </w:p>
        </w:tc>
        <w:tc>
          <w:tcPr>
            <w:tcW w:w="154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E</w:t>
            </w:r>
            <w:r>
              <w:rPr>
                <w:rFonts w:ascii="Times New Roman" w:cs="Times New Roman" w:eastAsia="Times New Roman" w:hAnsi="Times New Roman"/>
                <w:sz w:val="11"/>
                <w:szCs w:val="11"/>
                <w:b w:val="1"/>
                <w:bCs w:val="1"/>
                <w:color w:val="auto"/>
              </w:rPr>
              <w:t>XERCISED</w:t>
            </w:r>
          </w:p>
        </w:tc>
        <w:tc>
          <w:tcPr>
            <w:tcW w:w="1320" w:type="dxa"/>
            <w:vAlign w:val="bottom"/>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L</w:t>
            </w:r>
            <w:r>
              <w:rPr>
                <w:rFonts w:ascii="Times New Roman" w:cs="Times New Roman" w:eastAsia="Times New Roman" w:hAnsi="Times New Roman"/>
                <w:sz w:val="11"/>
                <w:szCs w:val="11"/>
                <w:b w:val="1"/>
                <w:bCs w:val="1"/>
                <w:color w:val="auto"/>
              </w:rPr>
              <w:t>APSED</w:t>
            </w:r>
          </w:p>
        </w:tc>
        <w:tc>
          <w:tcPr>
            <w:tcW w:w="0" w:type="dxa"/>
            <w:vAlign w:val="bottom"/>
          </w:tcPr>
          <w:p>
            <w:pPr>
              <w:spacing w:after="0"/>
              <w:rPr>
                <w:sz w:val="1"/>
                <w:szCs w:val="1"/>
                <w:color w:val="auto"/>
              </w:rPr>
            </w:pPr>
          </w:p>
        </w:tc>
      </w:tr>
      <w:tr>
        <w:trPr>
          <w:trHeight w:val="20"/>
        </w:trPr>
        <w:tc>
          <w:tcPr>
            <w:tcW w:w="240" w:type="dxa"/>
            <w:vAlign w:val="bottom"/>
            <w:tcBorders>
              <w:bottom w:val="single" w:sz="8" w:color="CCEEFF"/>
            </w:tcBorders>
            <w:shd w:val="clear" w:color="auto" w:fill="000000"/>
          </w:tcPr>
          <w:p>
            <w:pPr>
              <w:spacing w:after="0" w:line="20" w:lineRule="exact"/>
              <w:rPr>
                <w:sz w:val="1"/>
                <w:szCs w:val="1"/>
                <w:color w:val="auto"/>
              </w:rPr>
            </w:pPr>
          </w:p>
        </w:tc>
        <w:tc>
          <w:tcPr>
            <w:tcW w:w="800" w:type="dxa"/>
            <w:vAlign w:val="bottom"/>
            <w:tcBorders>
              <w:bottom w:val="single" w:sz="8" w:color="CCEEFF"/>
            </w:tcBorders>
            <w:shd w:val="clear" w:color="auto" w:fill="000000"/>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7"/>
              </w:rPr>
              <w:t>14.</w:t>
            </w:r>
          </w:p>
        </w:tc>
        <w:tc>
          <w:tcPr>
            <w:tcW w:w="1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2016</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783.000</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w w:val="98"/>
              </w:rPr>
              <w:t>USD 20,67</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727.401</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52.225</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w w:val="97"/>
              </w:rPr>
              <w:t>10.</w:t>
            </w: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January 2017</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16.000</w:t>
            </w:r>
          </w:p>
        </w:tc>
        <w:tc>
          <w:tcPr>
            <w:tcW w:w="154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USD 20,72</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13.937</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0" w:type="dxa"/>
            <w:vAlign w:val="bottom"/>
          </w:tcPr>
          <w:p>
            <w:pPr>
              <w:spacing w:after="0"/>
              <w:rPr>
                <w:sz w:val="1"/>
                <w:szCs w:val="1"/>
                <w:color w:val="auto"/>
              </w:rPr>
            </w:pPr>
          </w:p>
        </w:tc>
      </w:tr>
      <w:tr>
        <w:trPr>
          <w:trHeight w:val="216"/>
        </w:trPr>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7"/>
              </w:rPr>
              <w:t>14.</w:t>
            </w:r>
          </w:p>
        </w:tc>
        <w:tc>
          <w:tcPr>
            <w:tcW w:w="1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2017</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5.000</w:t>
            </w:r>
          </w:p>
        </w:tc>
        <w:tc>
          <w:tcPr>
            <w:tcW w:w="154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USD 26,01</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4.790</w:t>
            </w: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w w:val="97"/>
              </w:rPr>
              <w:t>14.</w:t>
            </w: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 2017</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27.000</w:t>
            </w:r>
          </w:p>
        </w:tc>
        <w:tc>
          <w:tcPr>
            <w:tcW w:w="154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USD 28,54</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26.166</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0" w:type="dxa"/>
            <w:vAlign w:val="bottom"/>
          </w:tcPr>
          <w:p>
            <w:pPr>
              <w:spacing w:after="0"/>
              <w:rPr>
                <w:sz w:val="1"/>
                <w:szCs w:val="1"/>
                <w:color w:val="auto"/>
              </w:rPr>
            </w:pPr>
          </w:p>
        </w:tc>
      </w:tr>
      <w:tr>
        <w:trPr>
          <w:trHeight w:val="230"/>
        </w:trPr>
        <w:tc>
          <w:tcPr>
            <w:tcW w:w="2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11. April 2017</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36.000</w:t>
            </w:r>
          </w:p>
        </w:tc>
        <w:tc>
          <w:tcPr>
            <w:tcW w:w="154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USD 27,48</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18.035</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4.948</w:t>
            </w:r>
          </w:p>
        </w:tc>
        <w:tc>
          <w:tcPr>
            <w:tcW w:w="0" w:type="dxa"/>
            <w:vAlign w:val="bottom"/>
          </w:tcPr>
          <w:p>
            <w:pPr>
              <w:spacing w:after="0"/>
              <w:rPr>
                <w:sz w:val="1"/>
                <w:szCs w:val="1"/>
                <w:color w:val="auto"/>
              </w:rPr>
            </w:pPr>
          </w:p>
        </w:tc>
      </w:tr>
      <w:tr>
        <w:trPr>
          <w:trHeight w:val="216"/>
        </w:trPr>
        <w:tc>
          <w:tcPr>
            <w:tcW w:w="2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9. May 2017</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3.000</w:t>
            </w:r>
          </w:p>
        </w:tc>
        <w:tc>
          <w:tcPr>
            <w:tcW w:w="154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USD 27,65</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2.500</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7"/>
              </w:rPr>
              <w:t>13.</w:t>
            </w:r>
          </w:p>
        </w:tc>
        <w:tc>
          <w:tcPr>
            <w:tcW w:w="1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2017</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40.500</w:t>
            </w:r>
          </w:p>
        </w:tc>
        <w:tc>
          <w:tcPr>
            <w:tcW w:w="154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USD 22,76</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40.500</w:t>
            </w: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11. July 2017</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2.500</w:t>
            </w:r>
          </w:p>
        </w:tc>
        <w:tc>
          <w:tcPr>
            <w:tcW w:w="154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USD 27,99</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2.500</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8. August 2017</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6.500</w:t>
            </w:r>
          </w:p>
        </w:tc>
        <w:tc>
          <w:tcPr>
            <w:tcW w:w="154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USD 27,81</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6.500</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w w:val="97"/>
              </w:rPr>
              <w:t>12.</w:t>
            </w: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September 2017</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89.000</w:t>
            </w:r>
          </w:p>
        </w:tc>
        <w:tc>
          <w:tcPr>
            <w:tcW w:w="154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USD 29,45</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72.750</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7"/>
              </w:rPr>
              <w:t>10.</w:t>
            </w:r>
          </w:p>
        </w:tc>
        <w:tc>
          <w:tcPr>
            <w:tcW w:w="1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2017</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9.000</w:t>
            </w:r>
          </w:p>
        </w:tc>
        <w:tc>
          <w:tcPr>
            <w:tcW w:w="154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USD 36,14</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6.500</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w w:val="97"/>
              </w:rPr>
              <w:t>14.</w:t>
            </w: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November 2017</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4.000</w:t>
            </w:r>
          </w:p>
        </w:tc>
        <w:tc>
          <w:tcPr>
            <w:tcW w:w="154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USD 35,50</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7"/>
              </w:rPr>
              <w:t>12.</w:t>
            </w:r>
          </w:p>
        </w:tc>
        <w:tc>
          <w:tcPr>
            <w:tcW w:w="1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2017</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957.500</w:t>
            </w:r>
          </w:p>
        </w:tc>
        <w:tc>
          <w:tcPr>
            <w:tcW w:w="154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USD 37,18</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562.919</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56.821</w:t>
            </w:r>
          </w:p>
        </w:tc>
        <w:tc>
          <w:tcPr>
            <w:tcW w:w="0" w:type="dxa"/>
            <w:vAlign w:val="bottom"/>
          </w:tcPr>
          <w:p>
            <w:pPr>
              <w:spacing w:after="0"/>
              <w:rPr>
                <w:sz w:val="1"/>
                <w:szCs w:val="1"/>
                <w:color w:val="auto"/>
              </w:rPr>
            </w:pPr>
          </w:p>
        </w:tc>
      </w:tr>
      <w:tr>
        <w:trPr>
          <w:trHeight w:val="216"/>
        </w:trPr>
        <w:tc>
          <w:tcPr>
            <w:tcW w:w="2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9. January 2018</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14.000</w:t>
            </w:r>
          </w:p>
        </w:tc>
        <w:tc>
          <w:tcPr>
            <w:tcW w:w="154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USD 46,00</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13.500</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0"/>
        </w:trPr>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7"/>
              </w:rPr>
              <w:t>13.</w:t>
            </w:r>
          </w:p>
        </w:tc>
        <w:tc>
          <w:tcPr>
            <w:tcW w:w="1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2018</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25.000</w:t>
            </w:r>
          </w:p>
        </w:tc>
        <w:tc>
          <w:tcPr>
            <w:tcW w:w="154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USD 51,37</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20.817</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2.804</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w w:val="97"/>
              </w:rPr>
              <w:t>13.</w:t>
            </w: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 2018</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8.000</w:t>
            </w:r>
          </w:p>
        </w:tc>
        <w:tc>
          <w:tcPr>
            <w:tcW w:w="154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USD 66,96</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4.500</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7"/>
              </w:rPr>
              <w:t>10.</w:t>
            </w:r>
          </w:p>
        </w:tc>
        <w:tc>
          <w:tcPr>
            <w:tcW w:w="1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2018</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117.000</w:t>
            </w:r>
          </w:p>
        </w:tc>
        <w:tc>
          <w:tcPr>
            <w:tcW w:w="154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USD 62,15</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91.602</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23.180</w:t>
            </w:r>
          </w:p>
        </w:tc>
        <w:tc>
          <w:tcPr>
            <w:tcW w:w="0" w:type="dxa"/>
            <w:vAlign w:val="bottom"/>
          </w:tcPr>
          <w:p>
            <w:pPr>
              <w:spacing w:after="0"/>
              <w:rPr>
                <w:sz w:val="1"/>
                <w:szCs w:val="1"/>
                <w:color w:val="auto"/>
              </w:rPr>
            </w:pPr>
          </w:p>
        </w:tc>
      </w:tr>
      <w:tr>
        <w:trPr>
          <w:trHeight w:val="216"/>
        </w:trPr>
        <w:tc>
          <w:tcPr>
            <w:tcW w:w="2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8. May 2018</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11.500</w:t>
            </w:r>
          </w:p>
        </w:tc>
        <w:tc>
          <w:tcPr>
            <w:tcW w:w="154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USD 62,80</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8.500</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7"/>
              </w:rPr>
              <w:t>12.</w:t>
            </w:r>
          </w:p>
        </w:tc>
        <w:tc>
          <w:tcPr>
            <w:tcW w:w="1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2018</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14.125</w:t>
            </w:r>
          </w:p>
        </w:tc>
        <w:tc>
          <w:tcPr>
            <w:tcW w:w="154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USD 71,00</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12.003</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w w:val="97"/>
              </w:rPr>
              <w:t>10.</w:t>
            </w: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July 2018</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18.500</w:t>
            </w:r>
          </w:p>
        </w:tc>
        <w:tc>
          <w:tcPr>
            <w:tcW w:w="154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USD 69,79</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10.476</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3.866</w:t>
            </w:r>
          </w:p>
        </w:tc>
        <w:tc>
          <w:tcPr>
            <w:tcW w:w="0" w:type="dxa"/>
            <w:vAlign w:val="bottom"/>
          </w:tcPr>
          <w:p>
            <w:pPr>
              <w:spacing w:after="0"/>
              <w:rPr>
                <w:sz w:val="1"/>
                <w:szCs w:val="1"/>
                <w:color w:val="auto"/>
              </w:rPr>
            </w:pPr>
          </w:p>
        </w:tc>
      </w:tr>
      <w:tr>
        <w:trPr>
          <w:trHeight w:val="229"/>
        </w:trPr>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7"/>
              </w:rPr>
              <w:t>14.</w:t>
            </w:r>
          </w:p>
        </w:tc>
        <w:tc>
          <w:tcPr>
            <w:tcW w:w="1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2018</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70.000</w:t>
            </w:r>
          </w:p>
        </w:tc>
        <w:tc>
          <w:tcPr>
            <w:tcW w:w="154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USD 68,00</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45.161</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10.418</w:t>
            </w:r>
          </w:p>
        </w:tc>
        <w:tc>
          <w:tcPr>
            <w:tcW w:w="0" w:type="dxa"/>
            <w:vAlign w:val="bottom"/>
          </w:tcPr>
          <w:p>
            <w:pPr>
              <w:spacing w:after="0"/>
              <w:rPr>
                <w:sz w:val="1"/>
                <w:szCs w:val="1"/>
                <w:color w:val="auto"/>
              </w:rPr>
            </w:pPr>
          </w:p>
        </w:tc>
      </w:tr>
      <w:tr>
        <w:trPr>
          <w:trHeight w:val="229"/>
        </w:trPr>
        <w:tc>
          <w:tcPr>
            <w:tcW w:w="2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11. September 2018</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123.000</w:t>
            </w:r>
          </w:p>
        </w:tc>
        <w:tc>
          <w:tcPr>
            <w:tcW w:w="154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USD 63,77</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98.656</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0" w:type="dxa"/>
            <w:vAlign w:val="bottom"/>
          </w:tcPr>
          <w:p>
            <w:pPr>
              <w:spacing w:after="0"/>
              <w:rPr>
                <w:sz w:val="1"/>
                <w:szCs w:val="1"/>
                <w:color w:val="auto"/>
              </w:rPr>
            </w:pPr>
          </w:p>
        </w:tc>
      </w:tr>
      <w:tr>
        <w:trPr>
          <w:trHeight w:val="216"/>
        </w:trPr>
        <w:tc>
          <w:tcPr>
            <w:tcW w:w="2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9. October 2018</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85.750</w:t>
            </w:r>
          </w:p>
        </w:tc>
        <w:tc>
          <w:tcPr>
            <w:tcW w:w="154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USD 65,28</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44.134</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10.471</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w w:val="97"/>
              </w:rPr>
              <w:t>13.</w:t>
            </w: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November 2018</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76.000</w:t>
            </w:r>
          </w:p>
        </w:tc>
        <w:tc>
          <w:tcPr>
            <w:tcW w:w="154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USD 61,00</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22.415</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14.377</w:t>
            </w:r>
          </w:p>
        </w:tc>
        <w:tc>
          <w:tcPr>
            <w:tcW w:w="0" w:type="dxa"/>
            <w:vAlign w:val="bottom"/>
          </w:tcPr>
          <w:p>
            <w:pPr>
              <w:spacing w:after="0"/>
              <w:rPr>
                <w:sz w:val="1"/>
                <w:szCs w:val="1"/>
                <w:color w:val="auto"/>
              </w:rPr>
            </w:pPr>
          </w:p>
        </w:tc>
      </w:tr>
      <w:tr>
        <w:trPr>
          <w:trHeight w:val="229"/>
        </w:trPr>
        <w:tc>
          <w:tcPr>
            <w:tcW w:w="2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11. December 2018</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1.074.500</w:t>
            </w:r>
          </w:p>
        </w:tc>
        <w:tc>
          <w:tcPr>
            <w:tcW w:w="154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USD 62,17</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430.984</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53.406</w:t>
            </w:r>
          </w:p>
        </w:tc>
        <w:tc>
          <w:tcPr>
            <w:tcW w:w="0" w:type="dxa"/>
            <w:vAlign w:val="bottom"/>
          </w:tcPr>
          <w:p>
            <w:pPr>
              <w:spacing w:after="0"/>
              <w:rPr>
                <w:sz w:val="1"/>
                <w:szCs w:val="1"/>
                <w:color w:val="auto"/>
              </w:rPr>
            </w:pPr>
          </w:p>
        </w:tc>
      </w:tr>
      <w:tr>
        <w:trPr>
          <w:trHeight w:val="216"/>
        </w:trPr>
        <w:tc>
          <w:tcPr>
            <w:tcW w:w="2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8. January 2019</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40.000</w:t>
            </w:r>
          </w:p>
        </w:tc>
        <w:tc>
          <w:tcPr>
            <w:tcW w:w="154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USD 70,94</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27.071</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3.700</w:t>
            </w:r>
          </w:p>
        </w:tc>
        <w:tc>
          <w:tcPr>
            <w:tcW w:w="0" w:type="dxa"/>
            <w:vAlign w:val="bottom"/>
          </w:tcPr>
          <w:p>
            <w:pPr>
              <w:spacing w:after="0"/>
              <w:rPr>
                <w:sz w:val="1"/>
                <w:szCs w:val="1"/>
                <w:color w:val="auto"/>
              </w:rPr>
            </w:pPr>
          </w:p>
        </w:tc>
      </w:tr>
      <w:tr>
        <w:trPr>
          <w:trHeight w:val="216"/>
        </w:trPr>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7"/>
              </w:rPr>
              <w:t>12.</w:t>
            </w:r>
          </w:p>
        </w:tc>
        <w:tc>
          <w:tcPr>
            <w:tcW w:w="1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2019</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14.500</w:t>
            </w:r>
          </w:p>
        </w:tc>
        <w:tc>
          <w:tcPr>
            <w:tcW w:w="154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USD 70,20</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8.908</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3.022</w:t>
            </w:r>
          </w:p>
        </w:tc>
        <w:tc>
          <w:tcPr>
            <w:tcW w:w="0" w:type="dxa"/>
            <w:vAlign w:val="bottom"/>
          </w:tcPr>
          <w:p>
            <w:pPr>
              <w:spacing w:after="0"/>
              <w:rPr>
                <w:sz w:val="1"/>
                <w:szCs w:val="1"/>
                <w:color w:val="auto"/>
              </w:rPr>
            </w:pPr>
          </w:p>
        </w:tc>
      </w:tr>
      <w:tr>
        <w:trPr>
          <w:trHeight w:val="365"/>
        </w:trPr>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jc w:val="right"/>
              <w:ind w:right="831"/>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w:t>
      </w:r>
      <w:r>
        <w:rPr>
          <w:rFonts w:ascii="Times New Roman" w:cs="Times New Roman" w:eastAsia="Times New Roman" w:hAnsi="Times New Roman"/>
          <w:sz w:val="14"/>
          <w:szCs w:val="14"/>
          <w:b w:val="1"/>
          <w:bCs w:val="1"/>
          <w:color w:val="auto"/>
        </w:rPr>
        <w:t>ARRANTS</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UBJECT</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O</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RTICLES</w:t>
      </w:r>
      <w:r>
        <w:rPr>
          <w:rFonts w:ascii="Times New Roman" w:cs="Times New Roman" w:eastAsia="Times New Roman" w:hAnsi="Times New Roman"/>
          <w:sz w:val="18"/>
          <w:szCs w:val="18"/>
          <w:b w:val="1"/>
          <w:bCs w:val="1"/>
          <w:color w:val="auto"/>
        </w:rPr>
        <w:t xml:space="preserve"> 4</w:t>
      </w:r>
      <w:r>
        <w:rPr>
          <w:rFonts w:ascii="Times New Roman" w:cs="Times New Roman" w:eastAsia="Times New Roman" w:hAnsi="Times New Roman"/>
          <w:sz w:val="14"/>
          <w:szCs w:val="14"/>
          <w:b w:val="1"/>
          <w:bCs w:val="1"/>
          <w:color w:val="auto"/>
        </w:rPr>
        <w:t>A</w:t>
      </w:r>
      <w:r>
        <w:rPr>
          <w:rFonts w:ascii="Times New Roman" w:cs="Times New Roman" w:eastAsia="Times New Roman" w:hAnsi="Times New Roman"/>
          <w:sz w:val="18"/>
          <w:szCs w:val="18"/>
          <w:b w:val="1"/>
          <w:bCs w:val="1"/>
          <w:color w:val="auto"/>
        </w:rPr>
        <w:t>, 4</w:t>
      </w:r>
      <w:r>
        <w:rPr>
          <w:rFonts w:ascii="Times New Roman" w:cs="Times New Roman" w:eastAsia="Times New Roman" w:hAnsi="Times New Roman"/>
          <w:sz w:val="14"/>
          <w:szCs w:val="14"/>
          <w:b w:val="1"/>
          <w:bCs w:val="1"/>
          <w:color w:val="auto"/>
        </w:rPr>
        <w:t>F</w:t>
      </w:r>
      <w:r>
        <w:rPr>
          <w:rFonts w:ascii="Times New Roman" w:cs="Times New Roman" w:eastAsia="Times New Roman" w:hAnsi="Times New Roman"/>
          <w:sz w:val="18"/>
          <w:szCs w:val="18"/>
          <w:b w:val="1"/>
          <w:bCs w:val="1"/>
          <w:color w:val="auto"/>
        </w:rPr>
        <w:t>, 4</w:t>
      </w:r>
      <w:r>
        <w:rPr>
          <w:rFonts w:ascii="Times New Roman" w:cs="Times New Roman" w:eastAsia="Times New Roman" w:hAnsi="Times New Roman"/>
          <w:sz w:val="14"/>
          <w:szCs w:val="14"/>
          <w:b w:val="1"/>
          <w:bCs w:val="1"/>
          <w:color w:val="auto"/>
        </w:rPr>
        <w:t>G</w:t>
      </w:r>
      <w:r>
        <w:rPr>
          <w:rFonts w:ascii="Times New Roman" w:cs="Times New Roman" w:eastAsia="Times New Roman" w:hAnsi="Times New Roman"/>
          <w:sz w:val="18"/>
          <w:szCs w:val="18"/>
          <w:b w:val="1"/>
          <w:bCs w:val="1"/>
          <w:color w:val="auto"/>
        </w:rPr>
        <w:t>, 4</w:t>
      </w:r>
      <w:r>
        <w:rPr>
          <w:rFonts w:ascii="Times New Roman" w:cs="Times New Roman" w:eastAsia="Times New Roman" w:hAnsi="Times New Roman"/>
          <w:sz w:val="14"/>
          <w:szCs w:val="14"/>
          <w:b w:val="1"/>
          <w:bCs w:val="1"/>
          <w:color w:val="auto"/>
        </w:rPr>
        <w:t>H</w:t>
      </w:r>
      <w:r>
        <w:rPr>
          <w:rFonts w:ascii="Times New Roman" w:cs="Times New Roman" w:eastAsia="Times New Roman" w:hAnsi="Times New Roman"/>
          <w:sz w:val="18"/>
          <w:szCs w:val="18"/>
          <w:b w:val="1"/>
          <w:bCs w:val="1"/>
          <w:color w:val="auto"/>
        </w:rPr>
        <w:t xml:space="preserve"> AND 4I</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D</w:t>
            </w:r>
            <w:r>
              <w:rPr>
                <w:rFonts w:ascii="Times New Roman" w:cs="Times New Roman" w:eastAsia="Times New Roman" w:hAnsi="Times New Roman"/>
                <w:sz w:val="11"/>
                <w:szCs w:val="11"/>
                <w:b w:val="1"/>
                <w:bCs w:val="1"/>
                <w:color w:val="auto"/>
              </w:rPr>
              <w:t>ATE</w:t>
            </w:r>
            <w:r>
              <w:rPr>
                <w:rFonts w:ascii="Times New Roman" w:cs="Times New Roman" w:eastAsia="Times New Roman" w:hAnsi="Times New Roman"/>
                <w:sz w:val="14"/>
                <w:szCs w:val="14"/>
                <w:b w:val="1"/>
                <w:bCs w:val="1"/>
                <w:color w:val="auto"/>
              </w:rPr>
              <w:t xml:space="preserve"> O</w:t>
            </w:r>
            <w:r>
              <w:rPr>
                <w:rFonts w:ascii="Times New Roman" w:cs="Times New Roman" w:eastAsia="Times New Roman" w:hAnsi="Times New Roman"/>
                <w:sz w:val="11"/>
                <w:szCs w:val="11"/>
                <w:b w:val="1"/>
                <w:bCs w:val="1"/>
                <w:color w:val="auto"/>
              </w:rPr>
              <w:t>F</w:t>
            </w:r>
            <w:r>
              <w:rPr>
                <w:rFonts w:ascii="Times New Roman" w:cs="Times New Roman" w:eastAsia="Times New Roman" w:hAnsi="Times New Roman"/>
                <w:sz w:val="14"/>
                <w:szCs w:val="14"/>
                <w:b w:val="1"/>
                <w:bCs w:val="1"/>
                <w:color w:val="auto"/>
              </w:rPr>
              <w:t xml:space="preserve"> G</w:t>
            </w:r>
            <w:r>
              <w:rPr>
                <w:rFonts w:ascii="Times New Roman" w:cs="Times New Roman" w:eastAsia="Times New Roman" w:hAnsi="Times New Roman"/>
                <w:sz w:val="11"/>
                <w:szCs w:val="11"/>
                <w:b w:val="1"/>
                <w:bCs w:val="1"/>
                <w:color w:val="auto"/>
              </w:rPr>
              <w:t>RANT</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w:t>
            </w:r>
            <w:r>
              <w:rPr>
                <w:rFonts w:ascii="Times New Roman" w:cs="Times New Roman" w:eastAsia="Times New Roman" w:hAnsi="Times New Roman"/>
                <w:sz w:val="11"/>
                <w:szCs w:val="11"/>
                <w:b w:val="1"/>
                <w:bCs w:val="1"/>
                <w:color w:val="auto"/>
              </w:rPr>
              <w:t>UMBER</w:t>
            </w:r>
            <w:r>
              <w:rPr>
                <w:rFonts w:ascii="Times New Roman" w:cs="Times New Roman" w:eastAsia="Times New Roman" w:hAnsi="Times New Roman"/>
                <w:sz w:val="14"/>
                <w:szCs w:val="14"/>
                <w:b w:val="1"/>
                <w:bCs w:val="1"/>
                <w:color w:val="auto"/>
              </w:rPr>
              <w:t xml:space="preserve"> O</w:t>
            </w:r>
            <w:r>
              <w:rPr>
                <w:rFonts w:ascii="Times New Roman" w:cs="Times New Roman" w:eastAsia="Times New Roman" w:hAnsi="Times New Roman"/>
                <w:sz w:val="11"/>
                <w:szCs w:val="11"/>
                <w:b w:val="1"/>
                <w:bCs w:val="1"/>
                <w:color w:val="auto"/>
              </w:rPr>
              <w:t>F</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w:t>
            </w:r>
            <w:r>
              <w:rPr>
                <w:rFonts w:ascii="Times New Roman" w:cs="Times New Roman" w:eastAsia="Times New Roman" w:hAnsi="Times New Roman"/>
                <w:sz w:val="11"/>
                <w:szCs w:val="11"/>
                <w:b w:val="1"/>
                <w:bCs w:val="1"/>
                <w:color w:val="auto"/>
              </w:rPr>
              <w:t>XERCISE</w:t>
            </w:r>
            <w:r>
              <w:rPr>
                <w:rFonts w:ascii="Times New Roman" w:cs="Times New Roman" w:eastAsia="Times New Roman" w:hAnsi="Times New Roman"/>
                <w:sz w:val="14"/>
                <w:szCs w:val="14"/>
                <w:b w:val="1"/>
                <w:bCs w:val="1"/>
                <w:color w:val="auto"/>
              </w:rPr>
              <w:t xml:space="preserve"> P</w:t>
            </w:r>
            <w:r>
              <w:rPr>
                <w:rFonts w:ascii="Times New Roman" w:cs="Times New Roman" w:eastAsia="Times New Roman" w:hAnsi="Times New Roman"/>
                <w:sz w:val="11"/>
                <w:szCs w:val="11"/>
                <w:b w:val="1"/>
                <w:bCs w:val="1"/>
                <w:color w:val="auto"/>
              </w:rPr>
              <w:t>RICE</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w:t>
            </w:r>
            <w:r>
              <w:rPr>
                <w:rFonts w:ascii="Times New Roman" w:cs="Times New Roman" w:eastAsia="Times New Roman" w:hAnsi="Times New Roman"/>
                <w:sz w:val="11"/>
                <w:szCs w:val="11"/>
                <w:b w:val="1"/>
                <w:bCs w:val="1"/>
                <w:color w:val="auto"/>
              </w:rPr>
              <w:t>PPLICABLE</w:t>
            </w:r>
          </w:p>
        </w:tc>
        <w:tc>
          <w:tcPr>
            <w:tcW w:w="154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A</w:t>
            </w:r>
            <w:r>
              <w:rPr>
                <w:rFonts w:ascii="Times New Roman" w:cs="Times New Roman" w:eastAsia="Times New Roman" w:hAnsi="Times New Roman"/>
                <w:sz w:val="11"/>
                <w:szCs w:val="11"/>
                <w:b w:val="1"/>
                <w:bCs w:val="1"/>
                <w:color w:val="auto"/>
              </w:rPr>
              <w:t>NNULLED</w:t>
            </w:r>
          </w:p>
        </w:tc>
        <w:tc>
          <w:tcPr>
            <w:tcW w:w="154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W</w:t>
            </w:r>
            <w:r>
              <w:rPr>
                <w:rFonts w:ascii="Times New Roman" w:cs="Times New Roman" w:eastAsia="Times New Roman" w:hAnsi="Times New Roman"/>
                <w:sz w:val="11"/>
                <w:szCs w:val="11"/>
                <w:b w:val="1"/>
                <w:bCs w:val="1"/>
                <w:color w:val="auto"/>
              </w:rPr>
              <w:t>ARRANTS</w:t>
            </w:r>
          </w:p>
        </w:tc>
        <w:tc>
          <w:tcPr>
            <w:tcW w:w="132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W</w:t>
            </w:r>
            <w:r>
              <w:rPr>
                <w:rFonts w:ascii="Times New Roman" w:cs="Times New Roman" w:eastAsia="Times New Roman" w:hAnsi="Times New Roman"/>
                <w:sz w:val="11"/>
                <w:szCs w:val="11"/>
                <w:b w:val="1"/>
                <w:bCs w:val="1"/>
                <w:color w:val="auto"/>
              </w:rPr>
              <w:t>ARRANTS</w:t>
            </w:r>
          </w:p>
        </w:tc>
        <w:tc>
          <w:tcPr>
            <w:tcW w:w="0" w:type="dxa"/>
            <w:vAlign w:val="bottom"/>
          </w:tcPr>
          <w:p>
            <w:pPr>
              <w:spacing w:after="0"/>
              <w:rPr>
                <w:sz w:val="1"/>
                <w:szCs w:val="1"/>
                <w:color w:val="auto"/>
              </w:rPr>
            </w:pPr>
          </w:p>
        </w:tc>
      </w:tr>
      <w:tr>
        <w:trPr>
          <w:trHeight w:val="193"/>
        </w:trPr>
        <w:tc>
          <w:tcPr>
            <w:tcW w:w="2000" w:type="dxa"/>
            <w:vAlign w:val="bottom"/>
            <w:gridSpan w:val="4"/>
            <w:vMerge w:val="continue"/>
          </w:tcPr>
          <w:p>
            <w:pPr>
              <w:spacing w:after="0"/>
              <w:rPr>
                <w:sz w:val="16"/>
                <w:szCs w:val="16"/>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w:t>
            </w:r>
            <w:r>
              <w:rPr>
                <w:rFonts w:ascii="Times New Roman" w:cs="Times New Roman" w:eastAsia="Times New Roman" w:hAnsi="Times New Roman"/>
                <w:sz w:val="11"/>
                <w:szCs w:val="11"/>
                <w:b w:val="1"/>
                <w:bCs w:val="1"/>
                <w:color w:val="auto"/>
              </w:rPr>
              <w:t>ARRANTS</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w:t>
            </w:r>
            <w:r>
              <w:rPr>
                <w:rFonts w:ascii="Times New Roman" w:cs="Times New Roman" w:eastAsia="Times New Roman" w:hAnsi="Times New Roman"/>
                <w:sz w:val="11"/>
                <w:szCs w:val="11"/>
                <w:b w:val="1"/>
                <w:bCs w:val="1"/>
                <w:color w:val="auto"/>
              </w:rPr>
              <w:t>ER</w:t>
            </w:r>
            <w:r>
              <w:rPr>
                <w:rFonts w:ascii="Times New Roman" w:cs="Times New Roman" w:eastAsia="Times New Roman" w:hAnsi="Times New Roman"/>
                <w:sz w:val="14"/>
                <w:szCs w:val="14"/>
                <w:b w:val="1"/>
                <w:bCs w:val="1"/>
                <w:color w:val="auto"/>
              </w:rPr>
              <w:t xml:space="preserve"> W</w:t>
            </w:r>
            <w:r>
              <w:rPr>
                <w:rFonts w:ascii="Times New Roman" w:cs="Times New Roman" w:eastAsia="Times New Roman" w:hAnsi="Times New Roman"/>
                <w:sz w:val="11"/>
                <w:szCs w:val="11"/>
                <w:b w:val="1"/>
                <w:bCs w:val="1"/>
                <w:color w:val="auto"/>
              </w:rPr>
              <w:t>ARRANT</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w:t>
            </w:r>
            <w:r>
              <w:rPr>
                <w:rFonts w:ascii="Times New Roman" w:cs="Times New Roman" w:eastAsia="Times New Roman" w:hAnsi="Times New Roman"/>
                <w:sz w:val="11"/>
                <w:szCs w:val="11"/>
                <w:b w:val="1"/>
                <w:bCs w:val="1"/>
                <w:color w:val="auto"/>
              </w:rPr>
              <w:t>XHIBIT</w:t>
            </w:r>
          </w:p>
        </w:tc>
        <w:tc>
          <w:tcPr>
            <w:tcW w:w="154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W</w:t>
            </w:r>
            <w:r>
              <w:rPr>
                <w:rFonts w:ascii="Times New Roman" w:cs="Times New Roman" w:eastAsia="Times New Roman" w:hAnsi="Times New Roman"/>
                <w:sz w:val="11"/>
                <w:szCs w:val="11"/>
                <w:b w:val="1"/>
                <w:bCs w:val="1"/>
                <w:color w:val="auto"/>
              </w:rPr>
              <w:t>ARRANTS</w:t>
            </w:r>
          </w:p>
        </w:tc>
        <w:tc>
          <w:tcPr>
            <w:tcW w:w="154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E</w:t>
            </w:r>
            <w:r>
              <w:rPr>
                <w:rFonts w:ascii="Times New Roman" w:cs="Times New Roman" w:eastAsia="Times New Roman" w:hAnsi="Times New Roman"/>
                <w:sz w:val="11"/>
                <w:szCs w:val="11"/>
                <w:b w:val="1"/>
                <w:bCs w:val="1"/>
                <w:color w:val="auto"/>
              </w:rPr>
              <w:t>XERCISED</w:t>
            </w:r>
          </w:p>
        </w:tc>
        <w:tc>
          <w:tcPr>
            <w:tcW w:w="1320" w:type="dxa"/>
            <w:vAlign w:val="bottom"/>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L</w:t>
            </w:r>
            <w:r>
              <w:rPr>
                <w:rFonts w:ascii="Times New Roman" w:cs="Times New Roman" w:eastAsia="Times New Roman" w:hAnsi="Times New Roman"/>
                <w:sz w:val="11"/>
                <w:szCs w:val="11"/>
                <w:b w:val="1"/>
                <w:bCs w:val="1"/>
                <w:color w:val="auto"/>
              </w:rPr>
              <w:t>APSED</w:t>
            </w:r>
          </w:p>
        </w:tc>
        <w:tc>
          <w:tcPr>
            <w:tcW w:w="0" w:type="dxa"/>
            <w:vAlign w:val="bottom"/>
          </w:tcPr>
          <w:p>
            <w:pPr>
              <w:spacing w:after="0"/>
              <w:rPr>
                <w:sz w:val="1"/>
                <w:szCs w:val="1"/>
                <w:color w:val="auto"/>
              </w:rPr>
            </w:pPr>
          </w:p>
        </w:tc>
      </w:tr>
      <w:tr>
        <w:trPr>
          <w:trHeight w:val="217"/>
        </w:trPr>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9.</w:t>
            </w:r>
          </w:p>
        </w:tc>
        <w:tc>
          <w:tcPr>
            <w:tcW w:w="88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2019</w:t>
            </w:r>
          </w:p>
        </w:tc>
        <w:tc>
          <w:tcPr>
            <w:tcW w:w="96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118.000</w:t>
            </w:r>
          </w:p>
        </w:tc>
        <w:tc>
          <w:tcPr>
            <w:tcW w:w="1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USD 119,13</w:t>
            </w:r>
          </w:p>
        </w:tc>
        <w:tc>
          <w:tcPr>
            <w:tcW w:w="1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98.520</w:t>
            </w:r>
          </w:p>
        </w:tc>
        <w:tc>
          <w:tcPr>
            <w:tcW w:w="10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4.637</w:t>
            </w:r>
          </w:p>
        </w:tc>
        <w:tc>
          <w:tcPr>
            <w:tcW w:w="0" w:type="dxa"/>
            <w:vAlign w:val="bottom"/>
          </w:tcPr>
          <w:p>
            <w:pPr>
              <w:spacing w:after="0"/>
              <w:rPr>
                <w:sz w:val="1"/>
                <w:szCs w:val="1"/>
                <w:color w:val="auto"/>
              </w:rPr>
            </w:pPr>
          </w:p>
        </w:tc>
      </w:tr>
      <w:tr>
        <w:trPr>
          <w:trHeight w:val="216"/>
        </w:trPr>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14.</w:t>
            </w: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May 2019</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37.000</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USD 120,28</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19.186</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7.212</w:t>
            </w:r>
          </w:p>
        </w:tc>
        <w:tc>
          <w:tcPr>
            <w:tcW w:w="0" w:type="dxa"/>
            <w:vAlign w:val="bottom"/>
          </w:tcPr>
          <w:p>
            <w:pPr>
              <w:spacing w:after="0"/>
              <w:rPr>
                <w:sz w:val="1"/>
                <w:szCs w:val="1"/>
                <w:color w:val="auto"/>
              </w:rPr>
            </w:pPr>
          </w:p>
        </w:tc>
      </w:tr>
      <w:tr>
        <w:trPr>
          <w:trHeight w:val="216"/>
        </w:trPr>
        <w:tc>
          <w:tcPr>
            <w:tcW w:w="20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11. June 2019</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17.000</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USD 118,80</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6.500</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3.219</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9.</w:t>
            </w:r>
          </w:p>
        </w:tc>
        <w:tc>
          <w:tcPr>
            <w:tcW w:w="18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July 2019</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44.000</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USD 114,13</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12.500</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5.325</w:t>
            </w:r>
          </w:p>
        </w:tc>
        <w:tc>
          <w:tcPr>
            <w:tcW w:w="0" w:type="dxa"/>
            <w:vAlign w:val="bottom"/>
          </w:tcPr>
          <w:p>
            <w:pPr>
              <w:spacing w:after="0"/>
              <w:rPr>
                <w:sz w:val="1"/>
                <w:szCs w:val="1"/>
                <w:color w:val="auto"/>
              </w:rPr>
            </w:pPr>
          </w:p>
        </w:tc>
      </w:tr>
      <w:tr>
        <w:trPr>
          <w:trHeight w:val="216"/>
        </w:trPr>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7"/>
              </w:rPr>
              <w:t>13.</w:t>
            </w:r>
          </w:p>
        </w:tc>
        <w:tc>
          <w:tcPr>
            <w:tcW w:w="1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2019</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50.000</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USD 114,96</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31.453</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10.711</w:t>
            </w:r>
          </w:p>
        </w:tc>
        <w:tc>
          <w:tcPr>
            <w:tcW w:w="0" w:type="dxa"/>
            <w:vAlign w:val="bottom"/>
          </w:tcPr>
          <w:p>
            <w:pPr>
              <w:spacing w:after="0"/>
              <w:rPr>
                <w:sz w:val="1"/>
                <w:szCs w:val="1"/>
                <w:color w:val="auto"/>
              </w:rPr>
            </w:pPr>
          </w:p>
        </w:tc>
      </w:tr>
      <w:tr>
        <w:trPr>
          <w:trHeight w:val="229"/>
        </w:trPr>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10.</w:t>
            </w: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September 2019</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45.000</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USD 105,31</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33.364</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7.813</w:t>
            </w: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8.</w:t>
            </w:r>
          </w:p>
        </w:tc>
        <w:tc>
          <w:tcPr>
            <w:tcW w:w="18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2019</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45.000</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USD 92,54</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31.339</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3.492</w:t>
            </w:r>
          </w:p>
        </w:tc>
        <w:tc>
          <w:tcPr>
            <w:tcW w:w="0" w:type="dxa"/>
            <w:vAlign w:val="bottom"/>
          </w:tcPr>
          <w:p>
            <w:pPr>
              <w:spacing w:after="0"/>
              <w:rPr>
                <w:sz w:val="1"/>
                <w:szCs w:val="1"/>
                <w:color w:val="auto"/>
              </w:rPr>
            </w:pPr>
          </w:p>
        </w:tc>
      </w:tr>
      <w:tr>
        <w:trPr>
          <w:trHeight w:val="216"/>
        </w:trPr>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12.</w:t>
            </w: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November 2019</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31.500</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USD 111,24</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23.647</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7.086</w:t>
            </w:r>
          </w:p>
        </w:tc>
        <w:tc>
          <w:tcPr>
            <w:tcW w:w="0" w:type="dxa"/>
            <w:vAlign w:val="bottom"/>
          </w:tcPr>
          <w:p>
            <w:pPr>
              <w:spacing w:after="0"/>
              <w:rPr>
                <w:sz w:val="1"/>
                <w:szCs w:val="1"/>
                <w:color w:val="auto"/>
              </w:rPr>
            </w:pPr>
          </w:p>
        </w:tc>
      </w:tr>
      <w:tr>
        <w:trPr>
          <w:trHeight w:val="230"/>
        </w:trPr>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7"/>
              </w:rPr>
              <w:t>10.</w:t>
            </w:r>
          </w:p>
        </w:tc>
        <w:tc>
          <w:tcPr>
            <w:tcW w:w="1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2019</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858.600</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USD 108,00</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177.377</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88.618</w:t>
            </w:r>
          </w:p>
        </w:tc>
        <w:tc>
          <w:tcPr>
            <w:tcW w:w="0" w:type="dxa"/>
            <w:vAlign w:val="bottom"/>
          </w:tcPr>
          <w:p>
            <w:pPr>
              <w:spacing w:after="0"/>
              <w:rPr>
                <w:sz w:val="1"/>
                <w:szCs w:val="1"/>
                <w:color w:val="auto"/>
              </w:rPr>
            </w:pPr>
          </w:p>
        </w:tc>
      </w:tr>
      <w:tr>
        <w:trPr>
          <w:trHeight w:val="229"/>
        </w:trPr>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14.</w:t>
            </w: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January 2020</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116.300</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USD 138,82</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36.822</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17.150</w:t>
            </w:r>
          </w:p>
        </w:tc>
        <w:tc>
          <w:tcPr>
            <w:tcW w:w="0" w:type="dxa"/>
            <w:vAlign w:val="bottom"/>
          </w:tcPr>
          <w:p>
            <w:pPr>
              <w:spacing w:after="0"/>
              <w:rPr>
                <w:sz w:val="1"/>
                <w:szCs w:val="1"/>
                <w:color w:val="auto"/>
              </w:rPr>
            </w:pPr>
          </w:p>
        </w:tc>
      </w:tr>
      <w:tr>
        <w:trPr>
          <w:trHeight w:val="216"/>
        </w:trPr>
        <w:tc>
          <w:tcPr>
            <w:tcW w:w="20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11. February 2020</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15.000</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USD 142,76</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8.706</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w:t>
            </w:r>
          </w:p>
        </w:tc>
        <w:tc>
          <w:tcPr>
            <w:tcW w:w="0" w:type="dxa"/>
            <w:vAlign w:val="bottom"/>
          </w:tcPr>
          <w:p>
            <w:pPr>
              <w:spacing w:after="0"/>
              <w:rPr>
                <w:sz w:val="1"/>
                <w:szCs w:val="1"/>
                <w:color w:val="auto"/>
              </w:rPr>
            </w:pPr>
          </w:p>
        </w:tc>
      </w:tr>
      <w:tr>
        <w:trPr>
          <w:trHeight w:val="216"/>
        </w:trPr>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10.</w:t>
            </w: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 2020</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58.900</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USD 127,61</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19.717</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23.693</w:t>
            </w:r>
          </w:p>
        </w:tc>
        <w:tc>
          <w:tcPr>
            <w:tcW w:w="0" w:type="dxa"/>
            <w:vAlign w:val="bottom"/>
          </w:tcPr>
          <w:p>
            <w:pPr>
              <w:spacing w:after="0"/>
              <w:rPr>
                <w:sz w:val="1"/>
                <w:szCs w:val="1"/>
                <w:color w:val="auto"/>
              </w:rPr>
            </w:pPr>
          </w:p>
        </w:tc>
      </w:tr>
      <w:tr>
        <w:trPr>
          <w:trHeight w:val="216"/>
        </w:trPr>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7"/>
              </w:rPr>
              <w:t>12.</w:t>
            </w:r>
          </w:p>
        </w:tc>
        <w:tc>
          <w:tcPr>
            <w:tcW w:w="1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May 2020</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58.300</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USD 137,78</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25.558</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15.526</w:t>
            </w:r>
          </w:p>
        </w:tc>
        <w:tc>
          <w:tcPr>
            <w:tcW w:w="0" w:type="dxa"/>
            <w:vAlign w:val="bottom"/>
          </w:tcPr>
          <w:p>
            <w:pPr>
              <w:spacing w:after="0"/>
              <w:rPr>
                <w:sz w:val="1"/>
                <w:szCs w:val="1"/>
                <w:color w:val="auto"/>
              </w:rPr>
            </w:pPr>
          </w:p>
        </w:tc>
      </w:tr>
      <w:tr>
        <w:trPr>
          <w:trHeight w:val="229"/>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9.</w:t>
            </w:r>
          </w:p>
        </w:tc>
        <w:tc>
          <w:tcPr>
            <w:tcW w:w="18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June 2020</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155.100</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USD 141,64</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111.736</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38.358</w:t>
            </w:r>
          </w:p>
        </w:tc>
        <w:tc>
          <w:tcPr>
            <w:tcW w:w="0" w:type="dxa"/>
            <w:vAlign w:val="bottom"/>
          </w:tcPr>
          <w:p>
            <w:pPr>
              <w:spacing w:after="0"/>
              <w:rPr>
                <w:sz w:val="1"/>
                <w:szCs w:val="1"/>
                <w:color w:val="auto"/>
              </w:rPr>
            </w:pPr>
          </w:p>
        </w:tc>
      </w:tr>
      <w:tr>
        <w:trPr>
          <w:trHeight w:val="216"/>
        </w:trPr>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7"/>
              </w:rPr>
              <w:t>14.</w:t>
            </w:r>
          </w:p>
        </w:tc>
        <w:tc>
          <w:tcPr>
            <w:tcW w:w="1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2020</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20.700</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USD 137,84</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7.000</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2.245</w:t>
            </w:r>
          </w:p>
        </w:tc>
        <w:tc>
          <w:tcPr>
            <w:tcW w:w="0" w:type="dxa"/>
            <w:vAlign w:val="bottom"/>
          </w:tcPr>
          <w:p>
            <w:pPr>
              <w:spacing w:after="0"/>
              <w:rPr>
                <w:sz w:val="1"/>
                <w:szCs w:val="1"/>
                <w:color w:val="auto"/>
              </w:rPr>
            </w:pPr>
          </w:p>
        </w:tc>
      </w:tr>
      <w:tr>
        <w:trPr>
          <w:trHeight w:val="216"/>
        </w:trPr>
        <w:tc>
          <w:tcPr>
            <w:tcW w:w="2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11. August 2020</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30.900</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USD 140,49</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8.350</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13.990</w:t>
            </w: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8.</w:t>
            </w:r>
          </w:p>
        </w:tc>
        <w:tc>
          <w:tcPr>
            <w:tcW w:w="18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2020</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30.600</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USD 143,13</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12.307</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5.853</w:t>
            </w:r>
          </w:p>
        </w:tc>
        <w:tc>
          <w:tcPr>
            <w:tcW w:w="0" w:type="dxa"/>
            <w:vAlign w:val="bottom"/>
          </w:tcPr>
          <w:p>
            <w:pPr>
              <w:spacing w:after="0"/>
              <w:rPr>
                <w:sz w:val="1"/>
                <w:szCs w:val="1"/>
                <w:color w:val="auto"/>
              </w:rPr>
            </w:pPr>
          </w:p>
        </w:tc>
      </w:tr>
      <w:tr>
        <w:trPr>
          <w:trHeight w:val="229"/>
        </w:trPr>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13.</w:t>
            </w: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October 2020</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15.000</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USD 160,00</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2.168</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4.688</w:t>
            </w:r>
          </w:p>
        </w:tc>
        <w:tc>
          <w:tcPr>
            <w:tcW w:w="0" w:type="dxa"/>
            <w:vAlign w:val="bottom"/>
          </w:tcPr>
          <w:p>
            <w:pPr>
              <w:spacing w:after="0"/>
              <w:rPr>
                <w:sz w:val="1"/>
                <w:szCs w:val="1"/>
                <w:color w:val="auto"/>
              </w:rPr>
            </w:pPr>
          </w:p>
        </w:tc>
      </w:tr>
      <w:tr>
        <w:trPr>
          <w:trHeight w:val="216"/>
        </w:trPr>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7"/>
              </w:rPr>
              <w:t>10.</w:t>
            </w:r>
          </w:p>
        </w:tc>
        <w:tc>
          <w:tcPr>
            <w:tcW w:w="1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November 2020</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90.700</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USD 161,58</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4.316</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51.436</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8.</w:t>
            </w:r>
          </w:p>
        </w:tc>
        <w:tc>
          <w:tcPr>
            <w:tcW w:w="18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December 2020</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29.100</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USD 174,89</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350</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12.258</w:t>
            </w:r>
          </w:p>
        </w:tc>
        <w:tc>
          <w:tcPr>
            <w:tcW w:w="0" w:type="dxa"/>
            <w:vAlign w:val="bottom"/>
          </w:tcPr>
          <w:p>
            <w:pPr>
              <w:spacing w:after="0"/>
              <w:rPr>
                <w:sz w:val="1"/>
                <w:szCs w:val="1"/>
                <w:color w:val="auto"/>
              </w:rPr>
            </w:pPr>
          </w:p>
        </w:tc>
      </w:tr>
      <w:tr>
        <w:trPr>
          <w:trHeight w:val="230"/>
        </w:trPr>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7"/>
              </w:rPr>
              <w:t>10.</w:t>
            </w:r>
          </w:p>
        </w:tc>
        <w:tc>
          <w:tcPr>
            <w:tcW w:w="1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2020</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865.331</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USD 176,28</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58.973</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123.248</w:t>
            </w:r>
          </w:p>
        </w:tc>
        <w:tc>
          <w:tcPr>
            <w:tcW w:w="0" w:type="dxa"/>
            <w:vAlign w:val="bottom"/>
          </w:tcPr>
          <w:p>
            <w:pPr>
              <w:spacing w:after="0"/>
              <w:rPr>
                <w:sz w:val="1"/>
                <w:szCs w:val="1"/>
                <w:color w:val="auto"/>
              </w:rPr>
            </w:pPr>
          </w:p>
        </w:tc>
      </w:tr>
      <w:tr>
        <w:trPr>
          <w:trHeight w:val="216"/>
        </w:trPr>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12.</w:t>
            </w: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January 2021</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31.910</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USD 173,21</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6.630</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6.564</w:t>
            </w: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9.</w:t>
            </w:r>
          </w:p>
        </w:tc>
        <w:tc>
          <w:tcPr>
            <w:tcW w:w="18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2021</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29.700</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USD 154,08</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9.862</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8.085</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9.</w:t>
            </w:r>
          </w:p>
        </w:tc>
        <w:tc>
          <w:tcPr>
            <w:tcW w:w="18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March 2021</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18.450</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USD 145,07</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7.909</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4.789</w:t>
            </w:r>
          </w:p>
        </w:tc>
        <w:tc>
          <w:tcPr>
            <w:tcW w:w="0" w:type="dxa"/>
            <w:vAlign w:val="bottom"/>
          </w:tcPr>
          <w:p>
            <w:pPr>
              <w:spacing w:after="0"/>
              <w:rPr>
                <w:sz w:val="1"/>
                <w:szCs w:val="1"/>
                <w:color w:val="auto"/>
              </w:rPr>
            </w:pPr>
          </w:p>
        </w:tc>
      </w:tr>
      <w:tr>
        <w:trPr>
          <w:trHeight w:val="216"/>
        </w:trPr>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7"/>
              </w:rPr>
              <w:t>13.</w:t>
            </w:r>
          </w:p>
        </w:tc>
        <w:tc>
          <w:tcPr>
            <w:tcW w:w="1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2021</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22.480</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USD 124,81</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4.019</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9.182</w:t>
            </w:r>
          </w:p>
        </w:tc>
        <w:tc>
          <w:tcPr>
            <w:tcW w:w="0" w:type="dxa"/>
            <w:vAlign w:val="bottom"/>
          </w:tcPr>
          <w:p>
            <w:pPr>
              <w:spacing w:after="0"/>
              <w:rPr>
                <w:sz w:val="1"/>
                <w:szCs w:val="1"/>
                <w:color w:val="auto"/>
              </w:rPr>
            </w:pPr>
          </w:p>
        </w:tc>
      </w:tr>
      <w:tr>
        <w:trPr>
          <w:trHeight w:val="216"/>
        </w:trPr>
        <w:tc>
          <w:tcPr>
            <w:tcW w:w="2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11. May 2021</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41.620</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USD 133,64</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11.618</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6.357</w:t>
            </w: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8.</w:t>
            </w:r>
          </w:p>
        </w:tc>
        <w:tc>
          <w:tcPr>
            <w:tcW w:w="18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2021</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14.430</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USD 130,83</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1.735</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2.439</w:t>
            </w:r>
          </w:p>
        </w:tc>
        <w:tc>
          <w:tcPr>
            <w:tcW w:w="0" w:type="dxa"/>
            <w:vAlign w:val="bottom"/>
          </w:tcPr>
          <w:p>
            <w:pPr>
              <w:spacing w:after="0"/>
              <w:rPr>
                <w:sz w:val="1"/>
                <w:szCs w:val="1"/>
                <w:color w:val="auto"/>
              </w:rPr>
            </w:pPr>
          </w:p>
        </w:tc>
      </w:tr>
      <w:tr>
        <w:trPr>
          <w:trHeight w:val="216"/>
        </w:trPr>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13.</w:t>
            </w: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July 2021</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107.935</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USD 124,52</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13.907</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2.476</w:t>
            </w:r>
          </w:p>
        </w:tc>
        <w:tc>
          <w:tcPr>
            <w:tcW w:w="0" w:type="dxa"/>
            <w:vAlign w:val="bottom"/>
          </w:tcPr>
          <w:p>
            <w:pPr>
              <w:spacing w:after="0"/>
              <w:rPr>
                <w:sz w:val="1"/>
                <w:szCs w:val="1"/>
                <w:color w:val="auto"/>
              </w:rPr>
            </w:pPr>
          </w:p>
        </w:tc>
      </w:tr>
      <w:tr>
        <w:trPr>
          <w:trHeight w:val="216"/>
        </w:trPr>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7"/>
              </w:rPr>
              <w:t>10.</w:t>
            </w:r>
          </w:p>
        </w:tc>
        <w:tc>
          <w:tcPr>
            <w:tcW w:w="1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2021</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14.230</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USD 125,25</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6.092</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4.128</w:t>
            </w:r>
          </w:p>
        </w:tc>
        <w:tc>
          <w:tcPr>
            <w:tcW w:w="0" w:type="dxa"/>
            <w:vAlign w:val="bottom"/>
          </w:tcPr>
          <w:p>
            <w:pPr>
              <w:spacing w:after="0"/>
              <w:rPr>
                <w:sz w:val="1"/>
                <w:szCs w:val="1"/>
                <w:color w:val="auto"/>
              </w:rPr>
            </w:pPr>
          </w:p>
        </w:tc>
      </w:tr>
      <w:tr>
        <w:trPr>
          <w:trHeight w:val="365"/>
        </w:trPr>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jc w:val="right"/>
              <w:ind w:right="831"/>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w:t>
      </w:r>
      <w:r>
        <w:rPr>
          <w:rFonts w:ascii="Times New Roman" w:cs="Times New Roman" w:eastAsia="Times New Roman" w:hAnsi="Times New Roman"/>
          <w:sz w:val="14"/>
          <w:szCs w:val="14"/>
          <w:b w:val="1"/>
          <w:bCs w:val="1"/>
          <w:color w:val="auto"/>
        </w:rPr>
        <w:t>ARRANTS</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UBJECT</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O</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RTICLES</w:t>
      </w:r>
      <w:r>
        <w:rPr>
          <w:rFonts w:ascii="Times New Roman" w:cs="Times New Roman" w:eastAsia="Times New Roman" w:hAnsi="Times New Roman"/>
          <w:sz w:val="18"/>
          <w:szCs w:val="18"/>
          <w:b w:val="1"/>
          <w:bCs w:val="1"/>
          <w:color w:val="auto"/>
        </w:rPr>
        <w:t xml:space="preserve"> 4</w:t>
      </w:r>
      <w:r>
        <w:rPr>
          <w:rFonts w:ascii="Times New Roman" w:cs="Times New Roman" w:eastAsia="Times New Roman" w:hAnsi="Times New Roman"/>
          <w:sz w:val="14"/>
          <w:szCs w:val="14"/>
          <w:b w:val="1"/>
          <w:bCs w:val="1"/>
          <w:color w:val="auto"/>
        </w:rPr>
        <w:t>A</w:t>
      </w:r>
      <w:r>
        <w:rPr>
          <w:rFonts w:ascii="Times New Roman" w:cs="Times New Roman" w:eastAsia="Times New Roman" w:hAnsi="Times New Roman"/>
          <w:sz w:val="18"/>
          <w:szCs w:val="18"/>
          <w:b w:val="1"/>
          <w:bCs w:val="1"/>
          <w:color w:val="auto"/>
        </w:rPr>
        <w:t>, 4</w:t>
      </w:r>
      <w:r>
        <w:rPr>
          <w:rFonts w:ascii="Times New Roman" w:cs="Times New Roman" w:eastAsia="Times New Roman" w:hAnsi="Times New Roman"/>
          <w:sz w:val="14"/>
          <w:szCs w:val="14"/>
          <w:b w:val="1"/>
          <w:bCs w:val="1"/>
          <w:color w:val="auto"/>
        </w:rPr>
        <w:t>F</w:t>
      </w:r>
      <w:r>
        <w:rPr>
          <w:rFonts w:ascii="Times New Roman" w:cs="Times New Roman" w:eastAsia="Times New Roman" w:hAnsi="Times New Roman"/>
          <w:sz w:val="18"/>
          <w:szCs w:val="18"/>
          <w:b w:val="1"/>
          <w:bCs w:val="1"/>
          <w:color w:val="auto"/>
        </w:rPr>
        <w:t>, 4</w:t>
      </w:r>
      <w:r>
        <w:rPr>
          <w:rFonts w:ascii="Times New Roman" w:cs="Times New Roman" w:eastAsia="Times New Roman" w:hAnsi="Times New Roman"/>
          <w:sz w:val="14"/>
          <w:szCs w:val="14"/>
          <w:b w:val="1"/>
          <w:bCs w:val="1"/>
          <w:color w:val="auto"/>
        </w:rPr>
        <w:t>G</w:t>
      </w:r>
      <w:r>
        <w:rPr>
          <w:rFonts w:ascii="Times New Roman" w:cs="Times New Roman" w:eastAsia="Times New Roman" w:hAnsi="Times New Roman"/>
          <w:sz w:val="18"/>
          <w:szCs w:val="18"/>
          <w:b w:val="1"/>
          <w:bCs w:val="1"/>
          <w:color w:val="auto"/>
        </w:rPr>
        <w:t>, 4</w:t>
      </w:r>
      <w:r>
        <w:rPr>
          <w:rFonts w:ascii="Times New Roman" w:cs="Times New Roman" w:eastAsia="Times New Roman" w:hAnsi="Times New Roman"/>
          <w:sz w:val="14"/>
          <w:szCs w:val="14"/>
          <w:b w:val="1"/>
          <w:bCs w:val="1"/>
          <w:color w:val="auto"/>
        </w:rPr>
        <w:t>H</w:t>
      </w:r>
      <w:r>
        <w:rPr>
          <w:rFonts w:ascii="Times New Roman" w:cs="Times New Roman" w:eastAsia="Times New Roman" w:hAnsi="Times New Roman"/>
          <w:sz w:val="18"/>
          <w:szCs w:val="18"/>
          <w:b w:val="1"/>
          <w:bCs w:val="1"/>
          <w:color w:val="auto"/>
        </w:rPr>
        <w:t xml:space="preserve"> AND 4</w:t>
      </w:r>
      <w:r>
        <w:rPr>
          <w:rFonts w:ascii="Times New Roman" w:cs="Times New Roman" w:eastAsia="Times New Roman" w:hAnsi="Times New Roman"/>
          <w:sz w:val="14"/>
          <w:szCs w:val="14"/>
          <w:b w:val="1"/>
          <w:bCs w:val="1"/>
          <w:color w:val="auto"/>
        </w:rPr>
        <w:t>I</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5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w:t>
            </w:r>
            <w:r>
              <w:rPr>
                <w:rFonts w:ascii="Times New Roman" w:cs="Times New Roman" w:eastAsia="Times New Roman" w:hAnsi="Times New Roman"/>
                <w:sz w:val="11"/>
                <w:szCs w:val="11"/>
                <w:b w:val="1"/>
                <w:bCs w:val="1"/>
                <w:color w:val="auto"/>
              </w:rPr>
              <w:t>UMBER</w:t>
            </w:r>
            <w:r>
              <w:rPr>
                <w:rFonts w:ascii="Times New Roman" w:cs="Times New Roman" w:eastAsia="Times New Roman" w:hAnsi="Times New Roman"/>
                <w:sz w:val="14"/>
                <w:szCs w:val="14"/>
                <w:b w:val="1"/>
                <w:bCs w:val="1"/>
                <w:color w:val="auto"/>
              </w:rPr>
              <w:t xml:space="preserve"> O</w:t>
            </w:r>
            <w:r>
              <w:rPr>
                <w:rFonts w:ascii="Times New Roman" w:cs="Times New Roman" w:eastAsia="Times New Roman" w:hAnsi="Times New Roman"/>
                <w:sz w:val="11"/>
                <w:szCs w:val="11"/>
                <w:b w:val="1"/>
                <w:bCs w:val="1"/>
                <w:color w:val="auto"/>
              </w:rPr>
              <w:t>F</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w:t>
            </w:r>
            <w:r>
              <w:rPr>
                <w:rFonts w:ascii="Times New Roman" w:cs="Times New Roman" w:eastAsia="Times New Roman" w:hAnsi="Times New Roman"/>
                <w:sz w:val="11"/>
                <w:szCs w:val="11"/>
                <w:b w:val="1"/>
                <w:bCs w:val="1"/>
                <w:color w:val="auto"/>
              </w:rPr>
              <w:t>XERCISE</w:t>
            </w:r>
          </w:p>
        </w:tc>
        <w:tc>
          <w:tcPr>
            <w:tcW w:w="15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w:t>
            </w:r>
            <w:r>
              <w:rPr>
                <w:rFonts w:ascii="Times New Roman" w:cs="Times New Roman" w:eastAsia="Times New Roman" w:hAnsi="Times New Roman"/>
                <w:sz w:val="11"/>
                <w:szCs w:val="11"/>
                <w:b w:val="1"/>
                <w:bCs w:val="1"/>
                <w:color w:val="auto"/>
              </w:rPr>
              <w:t>PPLICABLE</w:t>
            </w:r>
          </w:p>
        </w:tc>
        <w:tc>
          <w:tcPr>
            <w:tcW w:w="154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A</w:t>
            </w:r>
            <w:r>
              <w:rPr>
                <w:rFonts w:ascii="Times New Roman" w:cs="Times New Roman" w:eastAsia="Times New Roman" w:hAnsi="Times New Roman"/>
                <w:sz w:val="11"/>
                <w:szCs w:val="11"/>
                <w:b w:val="1"/>
                <w:bCs w:val="1"/>
                <w:color w:val="auto"/>
              </w:rPr>
              <w:t>NNULLED</w:t>
            </w:r>
          </w:p>
        </w:tc>
        <w:tc>
          <w:tcPr>
            <w:tcW w:w="154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W</w:t>
            </w:r>
            <w:r>
              <w:rPr>
                <w:rFonts w:ascii="Times New Roman" w:cs="Times New Roman" w:eastAsia="Times New Roman" w:hAnsi="Times New Roman"/>
                <w:sz w:val="11"/>
                <w:szCs w:val="11"/>
                <w:b w:val="1"/>
                <w:bCs w:val="1"/>
                <w:color w:val="auto"/>
              </w:rPr>
              <w:t>ARRANTS</w:t>
            </w:r>
          </w:p>
        </w:tc>
        <w:tc>
          <w:tcPr>
            <w:tcW w:w="1320" w:type="dxa"/>
            <w:vAlign w:val="bottom"/>
            <w:vMerge w:val="restart"/>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W</w:t>
            </w:r>
            <w:r>
              <w:rPr>
                <w:rFonts w:ascii="Times New Roman" w:cs="Times New Roman" w:eastAsia="Times New Roman" w:hAnsi="Times New Roman"/>
                <w:sz w:val="11"/>
                <w:szCs w:val="11"/>
                <w:b w:val="1"/>
                <w:bCs w:val="1"/>
                <w:color w:val="auto"/>
              </w:rPr>
              <w:t>ARRANTS</w:t>
            </w:r>
          </w:p>
        </w:tc>
        <w:tc>
          <w:tcPr>
            <w:tcW w:w="0" w:type="dxa"/>
            <w:vAlign w:val="bottom"/>
          </w:tcPr>
          <w:p>
            <w:pPr>
              <w:spacing w:after="0"/>
              <w:rPr>
                <w:sz w:val="1"/>
                <w:szCs w:val="1"/>
                <w:color w:val="auto"/>
              </w:rPr>
            </w:pPr>
          </w:p>
        </w:tc>
      </w:tr>
      <w:tr>
        <w:trPr>
          <w:trHeight w:val="148"/>
        </w:trPr>
        <w:tc>
          <w:tcPr>
            <w:tcW w:w="200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D</w:t>
            </w:r>
            <w:r>
              <w:rPr>
                <w:rFonts w:ascii="Times New Roman" w:cs="Times New Roman" w:eastAsia="Times New Roman" w:hAnsi="Times New Roman"/>
                <w:sz w:val="11"/>
                <w:szCs w:val="11"/>
                <w:b w:val="1"/>
                <w:bCs w:val="1"/>
                <w:color w:val="auto"/>
              </w:rPr>
              <w:t>ATE</w:t>
            </w:r>
            <w:r>
              <w:rPr>
                <w:rFonts w:ascii="Times New Roman" w:cs="Times New Roman" w:eastAsia="Times New Roman" w:hAnsi="Times New Roman"/>
                <w:sz w:val="14"/>
                <w:szCs w:val="14"/>
                <w:b w:val="1"/>
                <w:bCs w:val="1"/>
                <w:color w:val="auto"/>
              </w:rPr>
              <w:t xml:space="preserve"> O</w:t>
            </w:r>
            <w:r>
              <w:rPr>
                <w:rFonts w:ascii="Times New Roman" w:cs="Times New Roman" w:eastAsia="Times New Roman" w:hAnsi="Times New Roman"/>
                <w:sz w:val="11"/>
                <w:szCs w:val="11"/>
                <w:b w:val="1"/>
                <w:bCs w:val="1"/>
                <w:color w:val="auto"/>
              </w:rPr>
              <w:t>F</w:t>
            </w:r>
            <w:r>
              <w:rPr>
                <w:rFonts w:ascii="Times New Roman" w:cs="Times New Roman" w:eastAsia="Times New Roman" w:hAnsi="Times New Roman"/>
                <w:sz w:val="14"/>
                <w:szCs w:val="14"/>
                <w:b w:val="1"/>
                <w:bCs w:val="1"/>
                <w:color w:val="auto"/>
              </w:rPr>
              <w:t xml:space="preserve"> G</w:t>
            </w:r>
            <w:r>
              <w:rPr>
                <w:rFonts w:ascii="Times New Roman" w:cs="Times New Roman" w:eastAsia="Times New Roman" w:hAnsi="Times New Roman"/>
                <w:sz w:val="11"/>
                <w:szCs w:val="11"/>
                <w:b w:val="1"/>
                <w:bCs w:val="1"/>
                <w:color w:val="auto"/>
              </w:rPr>
              <w:t>RANT</w:t>
            </w:r>
          </w:p>
        </w:tc>
        <w:tc>
          <w:tcPr>
            <w:tcW w:w="1540" w:type="dxa"/>
            <w:vAlign w:val="bottom"/>
            <w:gridSpan w:val="3"/>
            <w:vMerge w:val="continue"/>
          </w:tcPr>
          <w:p>
            <w:pPr>
              <w:spacing w:after="0"/>
              <w:rPr>
                <w:sz w:val="12"/>
                <w:szCs w:val="12"/>
                <w:color w:val="auto"/>
              </w:rPr>
            </w:pPr>
          </w:p>
        </w:tc>
        <w:tc>
          <w:tcPr>
            <w:tcW w:w="15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w:t>
            </w:r>
            <w:r>
              <w:rPr>
                <w:rFonts w:ascii="Times New Roman" w:cs="Times New Roman" w:eastAsia="Times New Roman" w:hAnsi="Times New Roman"/>
                <w:sz w:val="11"/>
                <w:szCs w:val="11"/>
                <w:b w:val="1"/>
                <w:bCs w:val="1"/>
                <w:color w:val="auto"/>
              </w:rPr>
              <w:t>RICE</w:t>
            </w:r>
            <w:r>
              <w:rPr>
                <w:rFonts w:ascii="Times New Roman" w:cs="Times New Roman" w:eastAsia="Times New Roman" w:hAnsi="Times New Roman"/>
                <w:sz w:val="14"/>
                <w:szCs w:val="14"/>
                <w:b w:val="1"/>
                <w:bCs w:val="1"/>
                <w:color w:val="auto"/>
              </w:rPr>
              <w:t xml:space="preserve"> P</w:t>
            </w:r>
            <w:r>
              <w:rPr>
                <w:rFonts w:ascii="Times New Roman" w:cs="Times New Roman" w:eastAsia="Times New Roman" w:hAnsi="Times New Roman"/>
                <w:sz w:val="11"/>
                <w:szCs w:val="11"/>
                <w:b w:val="1"/>
                <w:bCs w:val="1"/>
                <w:color w:val="auto"/>
              </w:rPr>
              <w:t>ER</w:t>
            </w:r>
          </w:p>
        </w:tc>
        <w:tc>
          <w:tcPr>
            <w:tcW w:w="1540" w:type="dxa"/>
            <w:vAlign w:val="bottom"/>
            <w:gridSpan w:val="2"/>
            <w:vMerge w:val="continue"/>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00" w:type="dxa"/>
            <w:vAlign w:val="bottom"/>
            <w:gridSpan w:val="4"/>
            <w:vMerge w:val="continue"/>
          </w:tcPr>
          <w:p>
            <w:pPr>
              <w:spacing w:after="0"/>
              <w:rPr>
                <w:sz w:val="15"/>
                <w:szCs w:val="15"/>
                <w:color w:val="auto"/>
              </w:rPr>
            </w:pPr>
          </w:p>
        </w:tc>
        <w:tc>
          <w:tcPr>
            <w:tcW w:w="15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w:t>
            </w:r>
            <w:r>
              <w:rPr>
                <w:rFonts w:ascii="Times New Roman" w:cs="Times New Roman" w:eastAsia="Times New Roman" w:hAnsi="Times New Roman"/>
                <w:sz w:val="11"/>
                <w:szCs w:val="11"/>
                <w:b w:val="1"/>
                <w:bCs w:val="1"/>
                <w:color w:val="auto"/>
              </w:rPr>
              <w:t>ARRANTS</w:t>
            </w: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W</w:t>
            </w:r>
            <w:r>
              <w:rPr>
                <w:rFonts w:ascii="Times New Roman" w:cs="Times New Roman" w:eastAsia="Times New Roman" w:hAnsi="Times New Roman"/>
                <w:sz w:val="11"/>
                <w:szCs w:val="11"/>
                <w:b w:val="1"/>
                <w:bCs w:val="1"/>
                <w:color w:val="auto"/>
              </w:rPr>
              <w:t>ARRANT</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w:t>
            </w:r>
            <w:r>
              <w:rPr>
                <w:rFonts w:ascii="Times New Roman" w:cs="Times New Roman" w:eastAsia="Times New Roman" w:hAnsi="Times New Roman"/>
                <w:sz w:val="11"/>
                <w:szCs w:val="11"/>
                <w:b w:val="1"/>
                <w:bCs w:val="1"/>
                <w:color w:val="auto"/>
              </w:rPr>
              <w:t>XHIBIT</w:t>
            </w:r>
          </w:p>
        </w:tc>
        <w:tc>
          <w:tcPr>
            <w:tcW w:w="154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W</w:t>
            </w:r>
            <w:r>
              <w:rPr>
                <w:rFonts w:ascii="Times New Roman" w:cs="Times New Roman" w:eastAsia="Times New Roman" w:hAnsi="Times New Roman"/>
                <w:sz w:val="11"/>
                <w:szCs w:val="11"/>
                <w:b w:val="1"/>
                <w:bCs w:val="1"/>
                <w:color w:val="auto"/>
              </w:rPr>
              <w:t>ARRANTS</w:t>
            </w:r>
          </w:p>
        </w:tc>
        <w:tc>
          <w:tcPr>
            <w:tcW w:w="154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E</w:t>
            </w:r>
            <w:r>
              <w:rPr>
                <w:rFonts w:ascii="Times New Roman" w:cs="Times New Roman" w:eastAsia="Times New Roman" w:hAnsi="Times New Roman"/>
                <w:sz w:val="11"/>
                <w:szCs w:val="11"/>
                <w:b w:val="1"/>
                <w:bCs w:val="1"/>
                <w:color w:val="auto"/>
              </w:rPr>
              <w:t>XERCISED</w:t>
            </w:r>
          </w:p>
        </w:tc>
        <w:tc>
          <w:tcPr>
            <w:tcW w:w="1320" w:type="dxa"/>
            <w:vAlign w:val="bottom"/>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L</w:t>
            </w:r>
            <w:r>
              <w:rPr>
                <w:rFonts w:ascii="Times New Roman" w:cs="Times New Roman" w:eastAsia="Times New Roman" w:hAnsi="Times New Roman"/>
                <w:sz w:val="11"/>
                <w:szCs w:val="11"/>
                <w:b w:val="1"/>
                <w:bCs w:val="1"/>
                <w:color w:val="auto"/>
              </w:rPr>
              <w:t>APSED</w:t>
            </w:r>
          </w:p>
        </w:tc>
        <w:tc>
          <w:tcPr>
            <w:tcW w:w="0" w:type="dxa"/>
            <w:vAlign w:val="bottom"/>
          </w:tcPr>
          <w:p>
            <w:pPr>
              <w:spacing w:after="0"/>
              <w:rPr>
                <w:sz w:val="1"/>
                <w:szCs w:val="1"/>
                <w:color w:val="auto"/>
              </w:rPr>
            </w:pPr>
          </w:p>
        </w:tc>
      </w:tr>
      <w:tr>
        <w:trPr>
          <w:trHeight w:val="20"/>
        </w:trPr>
        <w:tc>
          <w:tcPr>
            <w:tcW w:w="160" w:type="dxa"/>
            <w:vAlign w:val="bottom"/>
            <w:tcBorders>
              <w:bottom w:val="single" w:sz="8" w:color="CCEEFF"/>
            </w:tcBorders>
            <w:shd w:val="clear" w:color="auto" w:fill="000000"/>
          </w:tcPr>
          <w:p>
            <w:pPr>
              <w:spacing w:after="0" w:line="20" w:lineRule="exact"/>
              <w:rPr>
                <w:sz w:val="1"/>
                <w:szCs w:val="1"/>
                <w:color w:val="auto"/>
              </w:rPr>
            </w:pPr>
          </w:p>
        </w:tc>
        <w:tc>
          <w:tcPr>
            <w:tcW w:w="80" w:type="dxa"/>
            <w:vAlign w:val="bottom"/>
            <w:tcBorders>
              <w:bottom w:val="single" w:sz="8" w:color="CCEEFF"/>
            </w:tcBorders>
            <w:shd w:val="clear" w:color="auto" w:fill="000000"/>
          </w:tcPr>
          <w:p>
            <w:pPr>
              <w:spacing w:after="0" w:line="20" w:lineRule="exact"/>
              <w:rPr>
                <w:sz w:val="1"/>
                <w:szCs w:val="1"/>
                <w:color w:val="auto"/>
              </w:rPr>
            </w:pPr>
          </w:p>
        </w:tc>
        <w:tc>
          <w:tcPr>
            <w:tcW w:w="800" w:type="dxa"/>
            <w:vAlign w:val="bottom"/>
            <w:tcBorders>
              <w:bottom w:val="single" w:sz="8" w:color="CCEEFF"/>
            </w:tcBorders>
            <w:shd w:val="clear" w:color="auto" w:fill="000000"/>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4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97"/>
              </w:rPr>
              <w:t>14.</w:t>
            </w:r>
          </w:p>
        </w:tc>
        <w:tc>
          <w:tcPr>
            <w:tcW w:w="1760" w:type="dxa"/>
            <w:vAlign w:val="bottom"/>
            <w:gridSpan w:val="2"/>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color w:val="auto"/>
              </w:rPr>
              <w:t>September 2021</w:t>
            </w:r>
          </w:p>
        </w:tc>
        <w:tc>
          <w:tcPr>
            <w:tcW w:w="14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28.670</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USD 153,54</w:t>
            </w: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5.815</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3.414</w:t>
            </w:r>
          </w:p>
        </w:tc>
        <w:tc>
          <w:tcPr>
            <w:tcW w:w="0" w:type="dxa"/>
            <w:vAlign w:val="bottom"/>
          </w:tcPr>
          <w:p>
            <w:pPr>
              <w:spacing w:after="0"/>
              <w:rPr>
                <w:sz w:val="1"/>
                <w:szCs w:val="1"/>
                <w:color w:val="auto"/>
              </w:rPr>
            </w:pPr>
          </w:p>
        </w:tc>
      </w:tr>
      <w:tr>
        <w:trPr>
          <w:trHeight w:val="216"/>
        </w:trPr>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12.</w:t>
            </w: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October 2021</w:t>
            </w: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15.880</w:t>
            </w:r>
          </w:p>
        </w:tc>
        <w:tc>
          <w:tcPr>
            <w:tcW w:w="8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USD 168,74</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3.044</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3.049</w:t>
            </w:r>
          </w:p>
        </w:tc>
        <w:tc>
          <w:tcPr>
            <w:tcW w:w="0" w:type="dxa"/>
            <w:vAlign w:val="bottom"/>
          </w:tcPr>
          <w:p>
            <w:pPr>
              <w:spacing w:after="0"/>
              <w:rPr>
                <w:sz w:val="1"/>
                <w:szCs w:val="1"/>
                <w:color w:val="auto"/>
              </w:rPr>
            </w:pPr>
          </w:p>
        </w:tc>
      </w:tr>
      <w:tr>
        <w:trPr>
          <w:trHeight w:val="229"/>
        </w:trPr>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9.</w:t>
            </w:r>
          </w:p>
        </w:tc>
        <w:tc>
          <w:tcPr>
            <w:tcW w:w="18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November 2021</w:t>
            </w:r>
          </w:p>
        </w:tc>
        <w:tc>
          <w:tcPr>
            <w:tcW w:w="1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14.220</w:t>
            </w:r>
          </w:p>
        </w:tc>
        <w:tc>
          <w:tcPr>
            <w:tcW w:w="8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USD 158,75</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2.250</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9.</w:t>
            </w:r>
          </w:p>
        </w:tc>
        <w:tc>
          <w:tcPr>
            <w:tcW w:w="18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December 2021</w:t>
            </w: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1.077.526</w:t>
            </w:r>
          </w:p>
        </w:tc>
        <w:tc>
          <w:tcPr>
            <w:tcW w:w="80" w:type="dxa"/>
            <w:vAlign w:val="bottom"/>
          </w:tcPr>
          <w:p>
            <w:pPr>
              <w:spacing w:after="0"/>
              <w:rPr>
                <w:sz w:val="19"/>
                <w:szCs w:val="19"/>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USD 139,65</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1a</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141.448</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293.908</w:t>
            </w:r>
          </w:p>
        </w:tc>
        <w:tc>
          <w:tcPr>
            <w:tcW w:w="0" w:type="dxa"/>
            <w:vAlign w:val="bottom"/>
          </w:tcPr>
          <w:p>
            <w:pPr>
              <w:spacing w:after="0"/>
              <w:rPr>
                <w:sz w:val="1"/>
                <w:szCs w:val="1"/>
                <w:color w:val="auto"/>
              </w:rPr>
            </w:pPr>
          </w:p>
        </w:tc>
      </w:tr>
      <w:tr>
        <w:trPr>
          <w:trHeight w:val="216"/>
        </w:trPr>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7"/>
              </w:rPr>
              <w:t>14.</w:t>
            </w:r>
          </w:p>
        </w:tc>
        <w:tc>
          <w:tcPr>
            <w:tcW w:w="1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2021</w:t>
            </w:r>
          </w:p>
        </w:tc>
        <w:tc>
          <w:tcPr>
            <w:tcW w:w="1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28.930</w:t>
            </w:r>
          </w:p>
        </w:tc>
        <w:tc>
          <w:tcPr>
            <w:tcW w:w="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USD 136,64</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1a</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8.676</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7.176</w:t>
            </w:r>
          </w:p>
        </w:tc>
        <w:tc>
          <w:tcPr>
            <w:tcW w:w="0" w:type="dxa"/>
            <w:vAlign w:val="bottom"/>
          </w:tcPr>
          <w:p>
            <w:pPr>
              <w:spacing w:after="0"/>
              <w:rPr>
                <w:sz w:val="1"/>
                <w:szCs w:val="1"/>
                <w:color w:val="auto"/>
              </w:rPr>
            </w:pPr>
          </w:p>
        </w:tc>
      </w:tr>
      <w:tr>
        <w:trPr>
          <w:trHeight w:val="216"/>
        </w:trPr>
        <w:tc>
          <w:tcPr>
            <w:tcW w:w="2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11. January 2022</w:t>
            </w: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22.860</w:t>
            </w:r>
          </w:p>
        </w:tc>
        <w:tc>
          <w:tcPr>
            <w:tcW w:w="8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USD 118,88</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1a</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8.182</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4.110</w:t>
            </w: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8.</w:t>
            </w:r>
          </w:p>
        </w:tc>
        <w:tc>
          <w:tcPr>
            <w:tcW w:w="18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2022</w:t>
            </w:r>
          </w:p>
        </w:tc>
        <w:tc>
          <w:tcPr>
            <w:tcW w:w="1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17.740</w:t>
            </w:r>
          </w:p>
        </w:tc>
        <w:tc>
          <w:tcPr>
            <w:tcW w:w="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USD 123,44</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1a</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6.239</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5.222</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8.</w:t>
            </w:r>
          </w:p>
        </w:tc>
        <w:tc>
          <w:tcPr>
            <w:tcW w:w="18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March 2022</w:t>
            </w: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26.350</w:t>
            </w:r>
          </w:p>
        </w:tc>
        <w:tc>
          <w:tcPr>
            <w:tcW w:w="8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USD 105,77</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1a</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8.776</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7.452</w:t>
            </w:r>
          </w:p>
        </w:tc>
        <w:tc>
          <w:tcPr>
            <w:tcW w:w="0" w:type="dxa"/>
            <w:vAlign w:val="bottom"/>
          </w:tcPr>
          <w:p>
            <w:pPr>
              <w:spacing w:after="0"/>
              <w:rPr>
                <w:sz w:val="1"/>
                <w:szCs w:val="1"/>
                <w:color w:val="auto"/>
              </w:rPr>
            </w:pPr>
          </w:p>
        </w:tc>
      </w:tr>
      <w:tr>
        <w:trPr>
          <w:trHeight w:val="216"/>
        </w:trPr>
        <w:tc>
          <w:tcPr>
            <w:tcW w:w="20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12. April 2022</w:t>
            </w:r>
          </w:p>
        </w:tc>
        <w:tc>
          <w:tcPr>
            <w:tcW w:w="1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37.265</w:t>
            </w:r>
          </w:p>
        </w:tc>
        <w:tc>
          <w:tcPr>
            <w:tcW w:w="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USD 108,84</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1a</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6.909</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15.548</w:t>
            </w:r>
          </w:p>
        </w:tc>
        <w:tc>
          <w:tcPr>
            <w:tcW w:w="0" w:type="dxa"/>
            <w:vAlign w:val="bottom"/>
          </w:tcPr>
          <w:p>
            <w:pPr>
              <w:spacing w:after="0"/>
              <w:rPr>
                <w:sz w:val="1"/>
                <w:szCs w:val="1"/>
                <w:color w:val="auto"/>
              </w:rPr>
            </w:pPr>
          </w:p>
        </w:tc>
      </w:tr>
      <w:tr>
        <w:trPr>
          <w:trHeight w:val="216"/>
        </w:trPr>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10.</w:t>
            </w: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May 2022</w:t>
            </w: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36.790</w:t>
            </w:r>
          </w:p>
        </w:tc>
        <w:tc>
          <w:tcPr>
            <w:tcW w:w="8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USD 82,64</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1a</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12.838</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6.003</w:t>
            </w:r>
          </w:p>
        </w:tc>
        <w:tc>
          <w:tcPr>
            <w:tcW w:w="0" w:type="dxa"/>
            <w:vAlign w:val="bottom"/>
          </w:tcPr>
          <w:p>
            <w:pPr>
              <w:spacing w:after="0"/>
              <w:rPr>
                <w:sz w:val="1"/>
                <w:szCs w:val="1"/>
                <w:color w:val="auto"/>
              </w:rPr>
            </w:pPr>
          </w:p>
        </w:tc>
      </w:tr>
      <w:tr>
        <w:trPr>
          <w:trHeight w:val="216"/>
        </w:trPr>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7"/>
              </w:rPr>
              <w:t>14.</w:t>
            </w:r>
          </w:p>
        </w:tc>
        <w:tc>
          <w:tcPr>
            <w:tcW w:w="1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2022</w:t>
            </w:r>
          </w:p>
        </w:tc>
        <w:tc>
          <w:tcPr>
            <w:tcW w:w="1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29.810</w:t>
            </w:r>
          </w:p>
        </w:tc>
        <w:tc>
          <w:tcPr>
            <w:tcW w:w="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USD 81,24</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1a</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13.453</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7.865</w:t>
            </w:r>
          </w:p>
        </w:tc>
        <w:tc>
          <w:tcPr>
            <w:tcW w:w="0" w:type="dxa"/>
            <w:vAlign w:val="bottom"/>
          </w:tcPr>
          <w:p>
            <w:pPr>
              <w:spacing w:after="0"/>
              <w:rPr>
                <w:sz w:val="1"/>
                <w:szCs w:val="1"/>
                <w:color w:val="auto"/>
              </w:rPr>
            </w:pPr>
          </w:p>
        </w:tc>
      </w:tr>
      <w:tr>
        <w:trPr>
          <w:trHeight w:val="216"/>
        </w:trPr>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12.</w:t>
            </w: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July 2022</w:t>
            </w: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12.780</w:t>
            </w:r>
          </w:p>
        </w:tc>
        <w:tc>
          <w:tcPr>
            <w:tcW w:w="8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USD 90,06</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1a</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2.491</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4.790</w:t>
            </w:r>
          </w:p>
        </w:tc>
        <w:tc>
          <w:tcPr>
            <w:tcW w:w="0" w:type="dxa"/>
            <w:vAlign w:val="bottom"/>
          </w:tcPr>
          <w:p>
            <w:pPr>
              <w:spacing w:after="0"/>
              <w:rPr>
                <w:sz w:val="1"/>
                <w:szCs w:val="1"/>
                <w:color w:val="auto"/>
              </w:rPr>
            </w:pPr>
          </w:p>
        </w:tc>
      </w:tr>
      <w:tr>
        <w:trPr>
          <w:trHeight w:val="230"/>
        </w:trPr>
        <w:tc>
          <w:tcPr>
            <w:tcW w:w="20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9. August 2022</w:t>
            </w:r>
          </w:p>
        </w:tc>
        <w:tc>
          <w:tcPr>
            <w:tcW w:w="1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23.165</w:t>
            </w:r>
          </w:p>
        </w:tc>
        <w:tc>
          <w:tcPr>
            <w:tcW w:w="8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USD 93,15</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1a</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6.013</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6.836</w:t>
            </w:r>
          </w:p>
        </w:tc>
        <w:tc>
          <w:tcPr>
            <w:tcW w:w="0" w:type="dxa"/>
            <w:vAlign w:val="bottom"/>
          </w:tcPr>
          <w:p>
            <w:pPr>
              <w:spacing w:after="0"/>
              <w:rPr>
                <w:sz w:val="1"/>
                <w:szCs w:val="1"/>
                <w:color w:val="auto"/>
              </w:rPr>
            </w:pPr>
          </w:p>
        </w:tc>
      </w:tr>
      <w:tr>
        <w:trPr>
          <w:trHeight w:val="216"/>
        </w:trPr>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13.</w:t>
            </w: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September 2022</w:t>
            </w: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51.590</w:t>
            </w:r>
          </w:p>
        </w:tc>
        <w:tc>
          <w:tcPr>
            <w:tcW w:w="8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USD 102,70</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1a</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7.585</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13.118</w:t>
            </w:r>
          </w:p>
        </w:tc>
        <w:tc>
          <w:tcPr>
            <w:tcW w:w="0" w:type="dxa"/>
            <w:vAlign w:val="bottom"/>
          </w:tcPr>
          <w:p>
            <w:pPr>
              <w:spacing w:after="0"/>
              <w:rPr>
                <w:sz w:val="1"/>
                <w:szCs w:val="1"/>
                <w:color w:val="auto"/>
              </w:rPr>
            </w:pPr>
          </w:p>
        </w:tc>
      </w:tr>
      <w:tr>
        <w:trPr>
          <w:trHeight w:val="216"/>
        </w:trPr>
        <w:tc>
          <w:tcPr>
            <w:tcW w:w="20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11. October 2022</w:t>
            </w:r>
          </w:p>
        </w:tc>
        <w:tc>
          <w:tcPr>
            <w:tcW w:w="1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30.042</w:t>
            </w:r>
          </w:p>
        </w:tc>
        <w:tc>
          <w:tcPr>
            <w:tcW w:w="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USD 110,00</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1a</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5.635</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10.684</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8.</w:t>
            </w:r>
          </w:p>
        </w:tc>
        <w:tc>
          <w:tcPr>
            <w:tcW w:w="18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November 2022</w:t>
            </w: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24.490</w:t>
            </w:r>
          </w:p>
        </w:tc>
        <w:tc>
          <w:tcPr>
            <w:tcW w:w="8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USD 123,91</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1a</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2.378</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4.899</w:t>
            </w:r>
          </w:p>
        </w:tc>
        <w:tc>
          <w:tcPr>
            <w:tcW w:w="0" w:type="dxa"/>
            <w:vAlign w:val="bottom"/>
          </w:tcPr>
          <w:p>
            <w:pPr>
              <w:spacing w:after="0"/>
              <w:rPr>
                <w:sz w:val="1"/>
                <w:szCs w:val="1"/>
                <w:color w:val="auto"/>
              </w:rPr>
            </w:pPr>
          </w:p>
        </w:tc>
      </w:tr>
      <w:tr>
        <w:trPr>
          <w:trHeight w:val="216"/>
        </w:trPr>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7"/>
              </w:rPr>
              <w:t>13.</w:t>
            </w:r>
          </w:p>
        </w:tc>
        <w:tc>
          <w:tcPr>
            <w:tcW w:w="1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2022</w:t>
            </w:r>
          </w:p>
        </w:tc>
        <w:tc>
          <w:tcPr>
            <w:tcW w:w="1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44.210</w:t>
            </w:r>
          </w:p>
        </w:tc>
        <w:tc>
          <w:tcPr>
            <w:tcW w:w="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USD 122,81</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1a</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7.762</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17.676</w:t>
            </w:r>
          </w:p>
        </w:tc>
        <w:tc>
          <w:tcPr>
            <w:tcW w:w="0" w:type="dxa"/>
            <w:vAlign w:val="bottom"/>
          </w:tcPr>
          <w:p>
            <w:pPr>
              <w:spacing w:after="0"/>
              <w:rPr>
                <w:sz w:val="1"/>
                <w:szCs w:val="1"/>
                <w:color w:val="auto"/>
              </w:rPr>
            </w:pPr>
          </w:p>
        </w:tc>
      </w:tr>
      <w:tr>
        <w:trPr>
          <w:trHeight w:val="216"/>
        </w:trPr>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10.</w:t>
            </w: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January 2023</w:t>
            </w: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47.365</w:t>
            </w:r>
          </w:p>
        </w:tc>
        <w:tc>
          <w:tcPr>
            <w:tcW w:w="8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USD 112,61</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1a</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13.171</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14.229</w:t>
            </w:r>
          </w:p>
        </w:tc>
        <w:tc>
          <w:tcPr>
            <w:tcW w:w="0" w:type="dxa"/>
            <w:vAlign w:val="bottom"/>
          </w:tcPr>
          <w:p>
            <w:pPr>
              <w:spacing w:after="0"/>
              <w:rPr>
                <w:sz w:val="1"/>
                <w:szCs w:val="1"/>
                <w:color w:val="auto"/>
              </w:rPr>
            </w:pPr>
          </w:p>
        </w:tc>
      </w:tr>
      <w:tr>
        <w:trPr>
          <w:trHeight w:val="230"/>
        </w:trPr>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7"/>
              </w:rPr>
              <w:t>14.</w:t>
            </w:r>
          </w:p>
        </w:tc>
        <w:tc>
          <w:tcPr>
            <w:tcW w:w="1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2023</w:t>
            </w:r>
          </w:p>
        </w:tc>
        <w:tc>
          <w:tcPr>
            <w:tcW w:w="1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36.480</w:t>
            </w:r>
          </w:p>
        </w:tc>
        <w:tc>
          <w:tcPr>
            <w:tcW w:w="8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USD 111,00</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1a</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8.209</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13.133</w:t>
            </w:r>
          </w:p>
        </w:tc>
        <w:tc>
          <w:tcPr>
            <w:tcW w:w="0" w:type="dxa"/>
            <w:vAlign w:val="bottom"/>
          </w:tcPr>
          <w:p>
            <w:pPr>
              <w:spacing w:after="0"/>
              <w:rPr>
                <w:sz w:val="1"/>
                <w:szCs w:val="1"/>
                <w:color w:val="auto"/>
              </w:rPr>
            </w:pPr>
          </w:p>
        </w:tc>
      </w:tr>
      <w:tr>
        <w:trPr>
          <w:trHeight w:val="216"/>
        </w:trPr>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14.</w:t>
            </w: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 2023</w:t>
            </w: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29.740</w:t>
            </w:r>
          </w:p>
        </w:tc>
        <w:tc>
          <w:tcPr>
            <w:tcW w:w="8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USD 109,36</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1a</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8.789</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12.172</w:t>
            </w:r>
          </w:p>
        </w:tc>
        <w:tc>
          <w:tcPr>
            <w:tcW w:w="0" w:type="dxa"/>
            <w:vAlign w:val="bottom"/>
          </w:tcPr>
          <w:p>
            <w:pPr>
              <w:spacing w:after="0"/>
              <w:rPr>
                <w:sz w:val="1"/>
                <w:szCs w:val="1"/>
                <w:color w:val="auto"/>
              </w:rPr>
            </w:pPr>
          </w:p>
        </w:tc>
      </w:tr>
      <w:tr>
        <w:trPr>
          <w:trHeight w:val="216"/>
        </w:trPr>
        <w:tc>
          <w:tcPr>
            <w:tcW w:w="20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11. April 2023</w:t>
            </w:r>
          </w:p>
        </w:tc>
        <w:tc>
          <w:tcPr>
            <w:tcW w:w="1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52.210</w:t>
            </w:r>
          </w:p>
        </w:tc>
        <w:tc>
          <w:tcPr>
            <w:tcW w:w="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USD 80,18</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1a</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23.269</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11.170</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9.</w:t>
            </w:r>
          </w:p>
        </w:tc>
        <w:tc>
          <w:tcPr>
            <w:tcW w:w="18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May 2023</w:t>
            </w: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31.250</w:t>
            </w:r>
          </w:p>
        </w:tc>
        <w:tc>
          <w:tcPr>
            <w:tcW w:w="8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USD 97,20</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1a</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4.504</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12.001</w:t>
            </w:r>
          </w:p>
        </w:tc>
        <w:tc>
          <w:tcPr>
            <w:tcW w:w="0" w:type="dxa"/>
            <w:vAlign w:val="bottom"/>
          </w:tcPr>
          <w:p>
            <w:pPr>
              <w:spacing w:after="0"/>
              <w:rPr>
                <w:sz w:val="1"/>
                <w:szCs w:val="1"/>
                <w:color w:val="auto"/>
              </w:rPr>
            </w:pPr>
          </w:p>
        </w:tc>
      </w:tr>
      <w:tr>
        <w:trPr>
          <w:trHeight w:val="216"/>
        </w:trPr>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7"/>
              </w:rPr>
              <w:t>13.</w:t>
            </w:r>
          </w:p>
        </w:tc>
        <w:tc>
          <w:tcPr>
            <w:tcW w:w="1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2023</w:t>
            </w:r>
          </w:p>
        </w:tc>
        <w:tc>
          <w:tcPr>
            <w:tcW w:w="1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77.000</w:t>
            </w:r>
          </w:p>
        </w:tc>
        <w:tc>
          <w:tcPr>
            <w:tcW w:w="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USD 92,93</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1a</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38.839</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33.138</w:t>
            </w:r>
          </w:p>
        </w:tc>
        <w:tc>
          <w:tcPr>
            <w:tcW w:w="0" w:type="dxa"/>
            <w:vAlign w:val="bottom"/>
          </w:tcPr>
          <w:p>
            <w:pPr>
              <w:spacing w:after="0"/>
              <w:rPr>
                <w:sz w:val="1"/>
                <w:szCs w:val="1"/>
                <w:color w:val="auto"/>
              </w:rPr>
            </w:pPr>
          </w:p>
        </w:tc>
      </w:tr>
      <w:tr>
        <w:trPr>
          <w:trHeight w:val="216"/>
        </w:trPr>
        <w:tc>
          <w:tcPr>
            <w:tcW w:w="2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11. July 2023</w:t>
            </w: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24.220</w:t>
            </w:r>
          </w:p>
        </w:tc>
        <w:tc>
          <w:tcPr>
            <w:tcW w:w="8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USD 87,98</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1a</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9.728</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4.478</w:t>
            </w:r>
          </w:p>
        </w:tc>
        <w:tc>
          <w:tcPr>
            <w:tcW w:w="0" w:type="dxa"/>
            <w:vAlign w:val="bottom"/>
          </w:tcPr>
          <w:p>
            <w:pPr>
              <w:spacing w:after="0"/>
              <w:rPr>
                <w:sz w:val="1"/>
                <w:szCs w:val="1"/>
                <w:color w:val="auto"/>
              </w:rPr>
            </w:pPr>
          </w:p>
        </w:tc>
      </w:tr>
      <w:tr>
        <w:trPr>
          <w:trHeight w:val="216"/>
        </w:trPr>
        <w:tc>
          <w:tcPr>
            <w:tcW w:w="20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8. August 2023</w:t>
            </w:r>
          </w:p>
        </w:tc>
        <w:tc>
          <w:tcPr>
            <w:tcW w:w="1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12.410</w:t>
            </w:r>
          </w:p>
        </w:tc>
        <w:tc>
          <w:tcPr>
            <w:tcW w:w="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USD 94,09</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1a</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4.143</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w:t>
            </w:r>
          </w:p>
        </w:tc>
        <w:tc>
          <w:tcPr>
            <w:tcW w:w="0" w:type="dxa"/>
            <w:vAlign w:val="bottom"/>
          </w:tcPr>
          <w:p>
            <w:pPr>
              <w:spacing w:after="0"/>
              <w:rPr>
                <w:sz w:val="1"/>
                <w:szCs w:val="1"/>
                <w:color w:val="auto"/>
              </w:rPr>
            </w:pPr>
          </w:p>
        </w:tc>
      </w:tr>
      <w:tr>
        <w:trPr>
          <w:trHeight w:val="216"/>
        </w:trPr>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12.</w:t>
            </w: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September 2023</w:t>
            </w: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22.430</w:t>
            </w:r>
          </w:p>
        </w:tc>
        <w:tc>
          <w:tcPr>
            <w:tcW w:w="8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USD 102,56</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1a</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5.456</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6.399</w:t>
            </w:r>
          </w:p>
        </w:tc>
        <w:tc>
          <w:tcPr>
            <w:tcW w:w="0" w:type="dxa"/>
            <w:vAlign w:val="bottom"/>
          </w:tcPr>
          <w:p>
            <w:pPr>
              <w:spacing w:after="0"/>
              <w:rPr>
                <w:sz w:val="1"/>
                <w:szCs w:val="1"/>
                <w:color w:val="auto"/>
              </w:rPr>
            </w:pPr>
          </w:p>
        </w:tc>
      </w:tr>
      <w:tr>
        <w:trPr>
          <w:trHeight w:val="216"/>
        </w:trPr>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7"/>
              </w:rPr>
              <w:t>10.</w:t>
            </w:r>
          </w:p>
        </w:tc>
        <w:tc>
          <w:tcPr>
            <w:tcW w:w="1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2023</w:t>
            </w:r>
          </w:p>
        </w:tc>
        <w:tc>
          <w:tcPr>
            <w:tcW w:w="1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24.910</w:t>
            </w:r>
          </w:p>
        </w:tc>
        <w:tc>
          <w:tcPr>
            <w:tcW w:w="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USD 93,61</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1a</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1.044</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11.800</w:t>
            </w:r>
          </w:p>
        </w:tc>
        <w:tc>
          <w:tcPr>
            <w:tcW w:w="0" w:type="dxa"/>
            <w:vAlign w:val="bottom"/>
          </w:tcPr>
          <w:p>
            <w:pPr>
              <w:spacing w:after="0"/>
              <w:rPr>
                <w:sz w:val="1"/>
                <w:szCs w:val="1"/>
                <w:color w:val="auto"/>
              </w:rPr>
            </w:pPr>
          </w:p>
        </w:tc>
      </w:tr>
      <w:tr>
        <w:trPr>
          <w:trHeight w:val="216"/>
        </w:trPr>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14.</w:t>
            </w: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November 2023</w:t>
            </w: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12.170</w:t>
            </w:r>
          </w:p>
        </w:tc>
        <w:tc>
          <w:tcPr>
            <w:tcW w:w="8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USD 94,70</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1a</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5.360</w:t>
            </w:r>
          </w:p>
        </w:tc>
        <w:tc>
          <w:tcPr>
            <w:tcW w:w="0" w:type="dxa"/>
            <w:vAlign w:val="bottom"/>
          </w:tcPr>
          <w:p>
            <w:pPr>
              <w:spacing w:after="0"/>
              <w:rPr>
                <w:sz w:val="1"/>
                <w:szCs w:val="1"/>
                <w:color w:val="auto"/>
              </w:rPr>
            </w:pPr>
          </w:p>
        </w:tc>
      </w:tr>
      <w:tr>
        <w:trPr>
          <w:trHeight w:val="216"/>
        </w:trPr>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7"/>
              </w:rPr>
              <w:t>12.</w:t>
            </w:r>
          </w:p>
        </w:tc>
        <w:tc>
          <w:tcPr>
            <w:tcW w:w="1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2023</w:t>
            </w:r>
          </w:p>
        </w:tc>
        <w:tc>
          <w:tcPr>
            <w:tcW w:w="1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25.090</w:t>
            </w:r>
          </w:p>
        </w:tc>
        <w:tc>
          <w:tcPr>
            <w:tcW w:w="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USD 110,19</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1a</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2.903</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2.825</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9.</w:t>
            </w:r>
          </w:p>
        </w:tc>
        <w:tc>
          <w:tcPr>
            <w:tcW w:w="18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January 2024</w:t>
            </w: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37.380</w:t>
            </w:r>
          </w:p>
        </w:tc>
        <w:tc>
          <w:tcPr>
            <w:tcW w:w="8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USD 137,10</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1a</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6.535</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2.058</w:t>
            </w:r>
          </w:p>
        </w:tc>
        <w:tc>
          <w:tcPr>
            <w:tcW w:w="0" w:type="dxa"/>
            <w:vAlign w:val="bottom"/>
          </w:tcPr>
          <w:p>
            <w:pPr>
              <w:spacing w:after="0"/>
              <w:rPr>
                <w:sz w:val="1"/>
                <w:szCs w:val="1"/>
                <w:color w:val="auto"/>
              </w:rPr>
            </w:pPr>
          </w:p>
        </w:tc>
      </w:tr>
      <w:tr>
        <w:trPr>
          <w:trHeight w:val="216"/>
        </w:trPr>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7"/>
              </w:rPr>
              <w:t>13.</w:t>
            </w:r>
          </w:p>
        </w:tc>
        <w:tc>
          <w:tcPr>
            <w:tcW w:w="1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2024</w:t>
            </w:r>
          </w:p>
        </w:tc>
        <w:tc>
          <w:tcPr>
            <w:tcW w:w="1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14.320</w:t>
            </w:r>
          </w:p>
        </w:tc>
        <w:tc>
          <w:tcPr>
            <w:tcW w:w="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USD 143,35</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1a</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1.989</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2.685</w:t>
            </w:r>
          </w:p>
        </w:tc>
        <w:tc>
          <w:tcPr>
            <w:tcW w:w="0" w:type="dxa"/>
            <w:vAlign w:val="bottom"/>
          </w:tcPr>
          <w:p>
            <w:pPr>
              <w:spacing w:after="0"/>
              <w:rPr>
                <w:sz w:val="1"/>
                <w:szCs w:val="1"/>
                <w:color w:val="auto"/>
              </w:rPr>
            </w:pPr>
          </w:p>
        </w:tc>
      </w:tr>
      <w:tr>
        <w:trPr>
          <w:trHeight w:val="216"/>
        </w:trPr>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12.</w:t>
            </w: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 2024</w:t>
            </w: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37.680</w:t>
            </w:r>
          </w:p>
        </w:tc>
        <w:tc>
          <w:tcPr>
            <w:tcW w:w="8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USD 153,80</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1a</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3.375</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8.629</w:t>
            </w: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9.</w:t>
            </w:r>
          </w:p>
        </w:tc>
        <w:tc>
          <w:tcPr>
            <w:tcW w:w="18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2024</w:t>
            </w:r>
          </w:p>
        </w:tc>
        <w:tc>
          <w:tcPr>
            <w:tcW w:w="1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51.905</w:t>
            </w:r>
          </w:p>
        </w:tc>
        <w:tc>
          <w:tcPr>
            <w:tcW w:w="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USD 153,67</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1a</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8.045</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4.373</w:t>
            </w:r>
          </w:p>
        </w:tc>
        <w:tc>
          <w:tcPr>
            <w:tcW w:w="0" w:type="dxa"/>
            <w:vAlign w:val="bottom"/>
          </w:tcPr>
          <w:p>
            <w:pPr>
              <w:spacing w:after="0"/>
              <w:rPr>
                <w:sz w:val="1"/>
                <w:szCs w:val="1"/>
                <w:color w:val="auto"/>
              </w:rPr>
            </w:pPr>
          </w:p>
        </w:tc>
      </w:tr>
      <w:tr>
        <w:trPr>
          <w:trHeight w:val="229"/>
        </w:trPr>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15.</w:t>
            </w: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May 2024</w:t>
            </w: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38.335</w:t>
            </w:r>
          </w:p>
        </w:tc>
        <w:tc>
          <w:tcPr>
            <w:tcW w:w="80" w:type="dxa"/>
            <w:vAlign w:val="bottom"/>
          </w:tcPr>
          <w:p>
            <w:pPr>
              <w:spacing w:after="0"/>
              <w:rPr>
                <w:sz w:val="19"/>
                <w:szCs w:val="19"/>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USD 124,04</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1a</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3.318</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5.209</w:t>
            </w:r>
          </w:p>
        </w:tc>
        <w:tc>
          <w:tcPr>
            <w:tcW w:w="0" w:type="dxa"/>
            <w:vAlign w:val="bottom"/>
          </w:tcPr>
          <w:p>
            <w:pPr>
              <w:spacing w:after="0"/>
              <w:rPr>
                <w:sz w:val="1"/>
                <w:szCs w:val="1"/>
                <w:color w:val="auto"/>
              </w:rPr>
            </w:pPr>
          </w:p>
        </w:tc>
      </w:tr>
      <w:tr>
        <w:trPr>
          <w:trHeight w:val="216"/>
        </w:trPr>
        <w:tc>
          <w:tcPr>
            <w:tcW w:w="20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11. June 2024</w:t>
            </w:r>
          </w:p>
        </w:tc>
        <w:tc>
          <w:tcPr>
            <w:tcW w:w="1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18.235</w:t>
            </w:r>
          </w:p>
        </w:tc>
        <w:tc>
          <w:tcPr>
            <w:tcW w:w="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USD 131,93</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1a</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1.734</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4.896</w:t>
            </w:r>
          </w:p>
        </w:tc>
        <w:tc>
          <w:tcPr>
            <w:tcW w:w="0" w:type="dxa"/>
            <w:vAlign w:val="bottom"/>
          </w:tcPr>
          <w:p>
            <w:pPr>
              <w:spacing w:after="0"/>
              <w:rPr>
                <w:sz w:val="1"/>
                <w:szCs w:val="1"/>
                <w:color w:val="auto"/>
              </w:rPr>
            </w:pPr>
          </w:p>
        </w:tc>
      </w:tr>
      <w:tr>
        <w:trPr>
          <w:trHeight w:val="216"/>
        </w:trPr>
        <w:tc>
          <w:tcPr>
            <w:tcW w:w="2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9 July 2024</w:t>
            </w: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32.900</w:t>
            </w:r>
          </w:p>
        </w:tc>
        <w:tc>
          <w:tcPr>
            <w:tcW w:w="8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USD 136,45</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1a</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8.597</w:t>
            </w:r>
          </w:p>
        </w:tc>
        <w:tc>
          <w:tcPr>
            <w:tcW w:w="0" w:type="dxa"/>
            <w:vAlign w:val="bottom"/>
          </w:tcPr>
          <w:p>
            <w:pPr>
              <w:spacing w:after="0"/>
              <w:rPr>
                <w:sz w:val="1"/>
                <w:szCs w:val="1"/>
                <w:color w:val="auto"/>
              </w:rPr>
            </w:pPr>
          </w:p>
        </w:tc>
      </w:tr>
      <w:tr>
        <w:trPr>
          <w:trHeight w:val="216"/>
        </w:trPr>
        <w:tc>
          <w:tcPr>
            <w:tcW w:w="20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13. August 2024</w:t>
            </w:r>
          </w:p>
        </w:tc>
        <w:tc>
          <w:tcPr>
            <w:tcW w:w="1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36.805</w:t>
            </w:r>
          </w:p>
        </w:tc>
        <w:tc>
          <w:tcPr>
            <w:tcW w:w="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USD 139,66</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1a</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765</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3.669</w:t>
            </w:r>
          </w:p>
        </w:tc>
        <w:tc>
          <w:tcPr>
            <w:tcW w:w="0" w:type="dxa"/>
            <w:vAlign w:val="bottom"/>
          </w:tcPr>
          <w:p>
            <w:pPr>
              <w:spacing w:after="0"/>
              <w:rPr>
                <w:sz w:val="1"/>
                <w:szCs w:val="1"/>
                <w:color w:val="auto"/>
              </w:rPr>
            </w:pPr>
          </w:p>
        </w:tc>
      </w:tr>
      <w:tr>
        <w:trPr>
          <w:trHeight w:val="216"/>
        </w:trPr>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10.</w:t>
            </w: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September 2024</w:t>
            </w: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97.660</w:t>
            </w:r>
          </w:p>
        </w:tc>
        <w:tc>
          <w:tcPr>
            <w:tcW w:w="8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USD 114,76</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1a</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7.191</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11.594</w:t>
            </w:r>
          </w:p>
        </w:tc>
        <w:tc>
          <w:tcPr>
            <w:tcW w:w="0" w:type="dxa"/>
            <w:vAlign w:val="bottom"/>
          </w:tcPr>
          <w:p>
            <w:pPr>
              <w:spacing w:after="0"/>
              <w:rPr>
                <w:sz w:val="1"/>
                <w:szCs w:val="1"/>
                <w:color w:val="auto"/>
              </w:rPr>
            </w:pPr>
          </w:p>
        </w:tc>
      </w:tr>
      <w:tr>
        <w:trPr>
          <w:trHeight w:val="216"/>
        </w:trPr>
        <w:tc>
          <w:tcPr>
            <w:tcW w:w="20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8 October 2024</w:t>
            </w:r>
          </w:p>
        </w:tc>
        <w:tc>
          <w:tcPr>
            <w:tcW w:w="1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26.280</w:t>
            </w:r>
          </w:p>
        </w:tc>
        <w:tc>
          <w:tcPr>
            <w:tcW w:w="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USD 132,05</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1a</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4.558</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2.686</w:t>
            </w:r>
          </w:p>
        </w:tc>
        <w:tc>
          <w:tcPr>
            <w:tcW w:w="0" w:type="dxa"/>
            <w:vAlign w:val="bottom"/>
          </w:tcPr>
          <w:p>
            <w:pPr>
              <w:spacing w:after="0"/>
              <w:rPr>
                <w:sz w:val="1"/>
                <w:szCs w:val="1"/>
                <w:color w:val="auto"/>
              </w:rPr>
            </w:pPr>
          </w:p>
        </w:tc>
      </w:tr>
      <w:tr>
        <w:trPr>
          <w:trHeight w:val="216"/>
        </w:trPr>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12.</w:t>
            </w: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November 2024</w:t>
            </w: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58.180</w:t>
            </w:r>
          </w:p>
        </w:tc>
        <w:tc>
          <w:tcPr>
            <w:tcW w:w="8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USD 127,67</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1a</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7.108</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13.040</w:t>
            </w:r>
          </w:p>
        </w:tc>
        <w:tc>
          <w:tcPr>
            <w:tcW w:w="0" w:type="dxa"/>
            <w:vAlign w:val="bottom"/>
          </w:tcPr>
          <w:p>
            <w:pPr>
              <w:spacing w:after="0"/>
              <w:rPr>
                <w:sz w:val="1"/>
                <w:szCs w:val="1"/>
                <w:color w:val="auto"/>
              </w:rPr>
            </w:pPr>
          </w:p>
        </w:tc>
      </w:tr>
      <w:tr>
        <w:trPr>
          <w:trHeight w:val="216"/>
        </w:trPr>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7"/>
              </w:rPr>
              <w:t>10.</w:t>
            </w:r>
          </w:p>
        </w:tc>
        <w:tc>
          <w:tcPr>
            <w:tcW w:w="1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2024</w:t>
            </w:r>
          </w:p>
        </w:tc>
        <w:tc>
          <w:tcPr>
            <w:tcW w:w="1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54.425</w:t>
            </w:r>
          </w:p>
        </w:tc>
        <w:tc>
          <w:tcPr>
            <w:tcW w:w="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USD 129,67</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1a</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2.520</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6.814</w:t>
            </w:r>
          </w:p>
        </w:tc>
        <w:tc>
          <w:tcPr>
            <w:tcW w:w="0" w:type="dxa"/>
            <w:vAlign w:val="bottom"/>
          </w:tcPr>
          <w:p>
            <w:pPr>
              <w:spacing w:after="0"/>
              <w:rPr>
                <w:sz w:val="1"/>
                <w:szCs w:val="1"/>
                <w:color w:val="auto"/>
              </w:rPr>
            </w:pPr>
          </w:p>
        </w:tc>
      </w:tr>
      <w:tr>
        <w:trPr>
          <w:trHeight w:val="216"/>
        </w:trPr>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14.</w:t>
            </w: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January 2025</w:t>
            </w: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82.103</w:t>
            </w:r>
          </w:p>
        </w:tc>
        <w:tc>
          <w:tcPr>
            <w:tcW w:w="8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USD 131,57</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1a</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3.955</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2.205</w:t>
            </w:r>
          </w:p>
        </w:tc>
        <w:tc>
          <w:tcPr>
            <w:tcW w:w="0" w:type="dxa"/>
            <w:vAlign w:val="bottom"/>
          </w:tcPr>
          <w:p>
            <w:pPr>
              <w:spacing w:after="0"/>
              <w:rPr>
                <w:sz w:val="1"/>
                <w:szCs w:val="1"/>
                <w:color w:val="auto"/>
              </w:rPr>
            </w:pPr>
          </w:p>
        </w:tc>
      </w:tr>
      <w:tr>
        <w:trPr>
          <w:trHeight w:val="216"/>
        </w:trPr>
        <w:tc>
          <w:tcPr>
            <w:tcW w:w="20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11 February 2025</w:t>
            </w:r>
          </w:p>
        </w:tc>
        <w:tc>
          <w:tcPr>
            <w:tcW w:w="1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31.040</w:t>
            </w:r>
          </w:p>
        </w:tc>
        <w:tc>
          <w:tcPr>
            <w:tcW w:w="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USD 119,51</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1a</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4.672</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4.231</w:t>
            </w:r>
          </w:p>
        </w:tc>
        <w:tc>
          <w:tcPr>
            <w:tcW w:w="0" w:type="dxa"/>
            <w:vAlign w:val="bottom"/>
          </w:tcPr>
          <w:p>
            <w:pPr>
              <w:spacing w:after="0"/>
              <w:rPr>
                <w:sz w:val="1"/>
                <w:szCs w:val="1"/>
                <w:color w:val="auto"/>
              </w:rPr>
            </w:pPr>
          </w:p>
        </w:tc>
      </w:tr>
      <w:tr>
        <w:trPr>
          <w:trHeight w:val="216"/>
        </w:trPr>
        <w:tc>
          <w:tcPr>
            <w:tcW w:w="2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11. March 2025</w:t>
            </w: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35.520</w:t>
            </w:r>
          </w:p>
        </w:tc>
        <w:tc>
          <w:tcPr>
            <w:tcW w:w="8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USD 145,63</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1a</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2.219</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6.696</w:t>
            </w: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8.</w:t>
            </w:r>
          </w:p>
        </w:tc>
        <w:tc>
          <w:tcPr>
            <w:tcW w:w="18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2025</w:t>
            </w:r>
          </w:p>
        </w:tc>
        <w:tc>
          <w:tcPr>
            <w:tcW w:w="1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36.760</w:t>
            </w:r>
          </w:p>
        </w:tc>
        <w:tc>
          <w:tcPr>
            <w:tcW w:w="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USD 137,41</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1a</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1.325</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11.760</w:t>
            </w:r>
          </w:p>
        </w:tc>
        <w:tc>
          <w:tcPr>
            <w:tcW w:w="0" w:type="dxa"/>
            <w:vAlign w:val="bottom"/>
          </w:tcPr>
          <w:p>
            <w:pPr>
              <w:spacing w:after="0"/>
              <w:rPr>
                <w:sz w:val="1"/>
                <w:szCs w:val="1"/>
                <w:color w:val="auto"/>
              </w:rPr>
            </w:pPr>
          </w:p>
        </w:tc>
      </w:tr>
      <w:tr>
        <w:trPr>
          <w:trHeight w:val="216"/>
        </w:trPr>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13.</w:t>
            </w: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May 2025</w:t>
            </w: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36.390</w:t>
            </w:r>
          </w:p>
        </w:tc>
        <w:tc>
          <w:tcPr>
            <w:tcW w:w="8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USD 161,52</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1a</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267</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1.540</w:t>
            </w:r>
          </w:p>
        </w:tc>
        <w:tc>
          <w:tcPr>
            <w:tcW w:w="0" w:type="dxa"/>
            <w:vAlign w:val="bottom"/>
          </w:tcPr>
          <w:p>
            <w:pPr>
              <w:spacing w:after="0"/>
              <w:rPr>
                <w:sz w:val="1"/>
                <w:szCs w:val="1"/>
                <w:color w:val="auto"/>
              </w:rPr>
            </w:pPr>
          </w:p>
        </w:tc>
      </w:tr>
      <w:tr>
        <w:trPr>
          <w:trHeight w:val="216"/>
        </w:trPr>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7"/>
              </w:rPr>
              <w:t>10.</w:t>
            </w:r>
          </w:p>
        </w:tc>
        <w:tc>
          <w:tcPr>
            <w:tcW w:w="1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2025</w:t>
            </w:r>
          </w:p>
        </w:tc>
        <w:tc>
          <w:tcPr>
            <w:tcW w:w="1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24.930</w:t>
            </w:r>
          </w:p>
        </w:tc>
        <w:tc>
          <w:tcPr>
            <w:tcW w:w="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USD 172,35</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1a</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11.300</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8.</w:t>
            </w:r>
          </w:p>
        </w:tc>
        <w:tc>
          <w:tcPr>
            <w:tcW w:w="18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July 2025</w:t>
            </w: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25.020</w:t>
            </w:r>
          </w:p>
        </w:tc>
        <w:tc>
          <w:tcPr>
            <w:tcW w:w="8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USD 168,17</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1a</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4.150</w:t>
            </w:r>
          </w:p>
        </w:tc>
        <w:tc>
          <w:tcPr>
            <w:tcW w:w="0" w:type="dxa"/>
            <w:vAlign w:val="bottom"/>
          </w:tcPr>
          <w:p>
            <w:pPr>
              <w:spacing w:after="0"/>
              <w:rPr>
                <w:sz w:val="1"/>
                <w:szCs w:val="1"/>
                <w:color w:val="auto"/>
              </w:rPr>
            </w:pPr>
          </w:p>
        </w:tc>
      </w:tr>
      <w:tr>
        <w:trPr>
          <w:trHeight w:val="216"/>
        </w:trPr>
        <w:tc>
          <w:tcPr>
            <w:tcW w:w="20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12. August 2025</w:t>
            </w:r>
          </w:p>
        </w:tc>
        <w:tc>
          <w:tcPr>
            <w:tcW w:w="1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28.480</w:t>
            </w:r>
          </w:p>
        </w:tc>
        <w:tc>
          <w:tcPr>
            <w:tcW w:w="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USD 195,98</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1a</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9.</w:t>
            </w:r>
          </w:p>
        </w:tc>
        <w:tc>
          <w:tcPr>
            <w:tcW w:w="18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September 2025</w:t>
            </w: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33.890</w:t>
            </w:r>
          </w:p>
        </w:tc>
        <w:tc>
          <w:tcPr>
            <w:tcW w:w="8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USD 202,91</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1a</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7"/>
              </w:rPr>
              <w:t>14.</w:t>
            </w:r>
          </w:p>
        </w:tc>
        <w:tc>
          <w:tcPr>
            <w:tcW w:w="1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2025</w:t>
            </w:r>
          </w:p>
        </w:tc>
        <w:tc>
          <w:tcPr>
            <w:tcW w:w="1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31.710</w:t>
            </w:r>
          </w:p>
        </w:tc>
        <w:tc>
          <w:tcPr>
            <w:tcW w:w="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USD 208,71</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1a</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4.750</w:t>
            </w:r>
          </w:p>
        </w:tc>
        <w:tc>
          <w:tcPr>
            <w:tcW w:w="0" w:type="dxa"/>
            <w:vAlign w:val="bottom"/>
          </w:tcPr>
          <w:p>
            <w:pPr>
              <w:spacing w:after="0"/>
              <w:rPr>
                <w:sz w:val="1"/>
                <w:szCs w:val="1"/>
                <w:color w:val="auto"/>
              </w:rPr>
            </w:pPr>
          </w:p>
        </w:tc>
      </w:tr>
      <w:tr>
        <w:trPr>
          <w:trHeight w:val="216"/>
        </w:trPr>
        <w:tc>
          <w:tcPr>
            <w:tcW w:w="2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11. November 2025</w:t>
            </w: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41.220</w:t>
            </w:r>
          </w:p>
        </w:tc>
        <w:tc>
          <w:tcPr>
            <w:tcW w:w="8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USD 201,16</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1a</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3.680</w:t>
            </w: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9.</w:t>
            </w:r>
          </w:p>
        </w:tc>
        <w:tc>
          <w:tcPr>
            <w:tcW w:w="18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2025</w:t>
            </w:r>
          </w:p>
        </w:tc>
        <w:tc>
          <w:tcPr>
            <w:tcW w:w="1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27.820</w:t>
            </w:r>
          </w:p>
        </w:tc>
        <w:tc>
          <w:tcPr>
            <w:tcW w:w="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USD 196,63</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1a</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0" w:type="dxa"/>
            <w:vAlign w:val="bottom"/>
          </w:tcPr>
          <w:p>
            <w:pPr>
              <w:spacing w:after="0"/>
              <w:rPr>
                <w:sz w:val="1"/>
                <w:szCs w:val="1"/>
                <w:color w:val="auto"/>
              </w:rPr>
            </w:pPr>
          </w:p>
        </w:tc>
      </w:tr>
      <w:tr>
        <w:trPr>
          <w:trHeight w:val="216"/>
        </w:trPr>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13.</w:t>
            </w: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January 2026</w:t>
            </w: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42.030</w:t>
            </w:r>
          </w:p>
        </w:tc>
        <w:tc>
          <w:tcPr>
            <w:tcW w:w="8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USD 215,05</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1a</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7"/>
              </w:rPr>
              <w:t>10.</w:t>
            </w:r>
          </w:p>
        </w:tc>
        <w:tc>
          <w:tcPr>
            <w:tcW w:w="1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2026</w:t>
            </w:r>
          </w:p>
        </w:tc>
        <w:tc>
          <w:tcPr>
            <w:tcW w:w="1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16.570</w:t>
            </w:r>
          </w:p>
        </w:tc>
        <w:tc>
          <w:tcPr>
            <w:tcW w:w="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USD 224,19</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1a</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0" w:type="dxa"/>
            <w:vAlign w:val="bottom"/>
          </w:tcPr>
          <w:p>
            <w:pPr>
              <w:spacing w:after="0"/>
              <w:rPr>
                <w:sz w:val="1"/>
                <w:szCs w:val="1"/>
                <w:color w:val="auto"/>
              </w:rPr>
            </w:pPr>
          </w:p>
        </w:tc>
      </w:tr>
      <w:tr>
        <w:trPr>
          <w:trHeight w:val="216"/>
        </w:trPr>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10.</w:t>
            </w: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 2026</w:t>
            </w: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22.480</w:t>
            </w:r>
          </w:p>
        </w:tc>
        <w:tc>
          <w:tcPr>
            <w:tcW w:w="8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USD 240,52</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1a</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0" w:type="dxa"/>
            <w:vAlign w:val="bottom"/>
          </w:tcPr>
          <w:p>
            <w:pPr>
              <w:spacing w:after="0"/>
              <w:rPr>
                <w:sz w:val="1"/>
                <w:szCs w:val="1"/>
                <w:color w:val="auto"/>
              </w:rPr>
            </w:pPr>
          </w:p>
        </w:tc>
      </w:tr>
      <w:tr>
        <w:trPr>
          <w:trHeight w:val="216"/>
        </w:trPr>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7"/>
              </w:rPr>
              <w:t>14.</w:t>
            </w:r>
          </w:p>
        </w:tc>
        <w:tc>
          <w:tcPr>
            <w:tcW w:w="1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2026</w:t>
            </w:r>
          </w:p>
        </w:tc>
        <w:tc>
          <w:tcPr>
            <w:tcW w:w="1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32.310</w:t>
            </w:r>
          </w:p>
        </w:tc>
        <w:tc>
          <w:tcPr>
            <w:tcW w:w="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USD 249,84</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1a</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0" w:type="dxa"/>
            <w:vAlign w:val="bottom"/>
          </w:tcPr>
          <w:p>
            <w:pPr>
              <w:spacing w:after="0"/>
              <w:rPr>
                <w:sz w:val="1"/>
                <w:szCs w:val="1"/>
                <w:color w:val="auto"/>
              </w:rPr>
            </w:pPr>
          </w:p>
        </w:tc>
      </w:tr>
      <w:tr>
        <w:trPr>
          <w:trHeight w:val="216"/>
        </w:trPr>
        <w:tc>
          <w:tcPr>
            <w:tcW w:w="2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12. May 2026</w:t>
            </w: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31.250</w:t>
            </w:r>
          </w:p>
        </w:tc>
        <w:tc>
          <w:tcPr>
            <w:tcW w:w="8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USD 237,65</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1a</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9.</w:t>
            </w:r>
          </w:p>
        </w:tc>
        <w:tc>
          <w:tcPr>
            <w:tcW w:w="18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2026</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27.030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USD 213,23</w:t>
            </w:r>
          </w:p>
        </w:tc>
        <w:tc>
          <w:tcPr>
            <w:tcW w:w="100" w:type="dxa"/>
            <w:vAlign w:val="bottom"/>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1a</w:t>
            </w:r>
          </w:p>
        </w:tc>
        <w:tc>
          <w:tcPr>
            <w:tcW w:w="100" w:type="dxa"/>
            <w:vAlign w:val="bottom"/>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6"/>
        </w:trPr>
        <w:tc>
          <w:tcPr>
            <w:tcW w:w="20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13.607.220</w:t>
            </w:r>
          </w:p>
        </w:tc>
        <w:tc>
          <w:tcPr>
            <w:tcW w:w="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19.580</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7.271.222</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1.553.753</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Hereinafter, the authorization under article 4a is fully exhausted.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Hereinafter, the authorization under article 4g is fully exhausted.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Hereinafter, the previous authorization under article 4h is fully exhausted and replaced by a new authorisation.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Hereinafter, the authorization under article 4i is fully exhausted.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Hereinafter, there are in total 4,762,665 outstanding warrants under articles 4a, 4f, 4g, 4h, and 4i.</w:t>
      </w:r>
    </w:p>
    <w:p>
      <w:pPr>
        <w:sectPr>
          <w:pgSz w:w="11900" w:h="16838" w:orient="portrait"/>
          <w:cols w:equalWidth="0" w:num="1">
            <w:col w:w="11020"/>
          </w:cols>
          <w:pgMar w:left="440" w:top="266" w:right="439" w:bottom="0" w:gutter="0" w:footer="0" w:header="0"/>
        </w:sectPr>
      </w:pPr>
    </w:p>
    <w:bookmarkStart w:id="57" w:name="page58"/>
    <w:bookmarkEnd w:id="57"/>
    <w:p>
      <w:pPr>
        <w:ind w:left="4"/>
        <w:spacing w:after="0"/>
        <w:rPr>
          <w:sz w:val="20"/>
          <w:szCs w:val="20"/>
          <w:color w:val="auto"/>
        </w:rPr>
      </w:pPr>
      <w:r>
        <w:rPr>
          <w:rFonts w:ascii="Times New Roman" w:cs="Times New Roman" w:eastAsia="Times New Roman" w:hAnsi="Times New Roman"/>
          <w:sz w:val="18"/>
          <w:szCs w:val="18"/>
          <w:color w:val="auto"/>
        </w:rPr>
        <w:t>The warrants granted vest as follows:</w:t>
      </w:r>
    </w:p>
    <w:p>
      <w:pPr>
        <w:spacing w:after="0" w:line="255" w:lineRule="exact"/>
        <w:rPr>
          <w:sz w:val="20"/>
          <w:szCs w:val="20"/>
          <w:color w:val="auto"/>
        </w:rPr>
      </w:pPr>
    </w:p>
    <w:tbl>
      <w:tblPr>
        <w:tblLayout w:type="fixed"/>
        <w:tblInd w:w="4" w:type="dxa"/>
        <w:tblCellMar>
          <w:top w:w="0" w:type="dxa"/>
          <w:left w:w="0" w:type="dxa"/>
          <w:bottom w:w="0" w:type="dxa"/>
          <w:right w:w="0" w:type="dxa"/>
        </w:tblCellMar>
      </w:tblPr>
      <w:tr>
        <w:trPr>
          <w:trHeight w:val="212"/>
        </w:trPr>
        <w:tc>
          <w:tcPr>
            <w:tcW w:w="17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w:t>
            </w:r>
            <w:r>
              <w:rPr>
                <w:rFonts w:ascii="Times New Roman" w:cs="Times New Roman" w:eastAsia="Times New Roman" w:hAnsi="Times New Roman"/>
                <w:sz w:val="13"/>
                <w:szCs w:val="13"/>
                <w:b w:val="1"/>
                <w:bCs w:val="1"/>
                <w:color w:val="auto"/>
              </w:rPr>
              <w:t>ATE</w:t>
            </w:r>
            <w:r>
              <w:rPr>
                <w:rFonts w:ascii="Times New Roman" w:cs="Times New Roman" w:eastAsia="Times New Roman" w:hAnsi="Times New Roman"/>
                <w:sz w:val="16"/>
                <w:szCs w:val="16"/>
                <w:b w:val="1"/>
                <w:bCs w:val="1"/>
                <w:color w:val="auto"/>
              </w:rPr>
              <w:t xml:space="preserve"> O</w:t>
            </w:r>
            <w:r>
              <w:rPr>
                <w:rFonts w:ascii="Times New Roman" w:cs="Times New Roman" w:eastAsia="Times New Roman" w:hAnsi="Times New Roman"/>
                <w:sz w:val="13"/>
                <w:szCs w:val="13"/>
                <w:b w:val="1"/>
                <w:bCs w:val="1"/>
                <w:color w:val="auto"/>
              </w:rPr>
              <w:t>F</w:t>
            </w:r>
            <w:r>
              <w:rPr>
                <w:rFonts w:ascii="Times New Roman" w:cs="Times New Roman" w:eastAsia="Times New Roman" w:hAnsi="Times New Roman"/>
                <w:sz w:val="16"/>
                <w:szCs w:val="16"/>
                <w:b w:val="1"/>
                <w:bCs w:val="1"/>
                <w:color w:val="auto"/>
              </w:rPr>
              <w:t xml:space="preserve"> G</w:t>
            </w:r>
            <w:r>
              <w:rPr>
                <w:rFonts w:ascii="Times New Roman" w:cs="Times New Roman" w:eastAsia="Times New Roman" w:hAnsi="Times New Roman"/>
                <w:sz w:val="13"/>
                <w:szCs w:val="13"/>
                <w:b w:val="1"/>
                <w:bCs w:val="1"/>
                <w:color w:val="auto"/>
              </w:rPr>
              <w:t>RANT</w:t>
            </w:r>
          </w:p>
        </w:tc>
        <w:tc>
          <w:tcPr>
            <w:tcW w:w="908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V</w:t>
            </w:r>
            <w:r>
              <w:rPr>
                <w:rFonts w:ascii="Times New Roman" w:cs="Times New Roman" w:eastAsia="Times New Roman" w:hAnsi="Times New Roman"/>
                <w:sz w:val="13"/>
                <w:szCs w:val="13"/>
                <w:b w:val="1"/>
                <w:bCs w:val="1"/>
                <w:color w:val="auto"/>
              </w:rPr>
              <w:t>ESTING</w:t>
            </w:r>
          </w:p>
        </w:tc>
      </w:tr>
      <w:tr>
        <w:trPr>
          <w:trHeight w:val="312"/>
        </w:trPr>
        <w:tc>
          <w:tcPr>
            <w:tcW w:w="1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 December 2012</w:t>
            </w:r>
          </w:p>
        </w:tc>
        <w:tc>
          <w:tcPr>
            <w:tcW w:w="908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9"/>
              </w:rPr>
              <w:t>1/48 per month from 3 December 2012 with respect to 665,188 warrants and by 1/48 per month from 1 October 2012 with</w:t>
            </w:r>
          </w:p>
        </w:tc>
      </w:tr>
      <w:tr>
        <w:trPr>
          <w:trHeight w:val="234"/>
        </w:trPr>
        <w:tc>
          <w:tcPr>
            <w:tcW w:w="2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9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respect to 25.416 warrants.</w:t>
            </w:r>
          </w:p>
        </w:tc>
      </w:tr>
      <w:tr>
        <w:trPr>
          <w:trHeight w:val="324"/>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w w:val="97"/>
              </w:rPr>
              <w:t>19.</w:t>
            </w:r>
          </w:p>
        </w:tc>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2013</w:t>
            </w:r>
          </w:p>
        </w:tc>
        <w:tc>
          <w:tcPr>
            <w:tcW w:w="9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warrants vest by 1/48 per month from 19 March 2013.</w:t>
            </w:r>
          </w:p>
        </w:tc>
      </w:tr>
      <w:tr>
        <w:trPr>
          <w:trHeight w:val="324"/>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w w:val="97"/>
              </w:rPr>
              <w:t>27.</w:t>
            </w:r>
          </w:p>
        </w:tc>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June 2013</w:t>
            </w:r>
          </w:p>
        </w:tc>
        <w:tc>
          <w:tcPr>
            <w:tcW w:w="9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warrants vest by 1/48 per month from 27 June 2013.</w:t>
            </w:r>
          </w:p>
        </w:tc>
      </w:tr>
      <w:tr>
        <w:trPr>
          <w:trHeight w:val="324"/>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w w:val="97"/>
              </w:rPr>
              <w:t>24.</w:t>
            </w:r>
          </w:p>
        </w:tc>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September 2013</w:t>
            </w:r>
          </w:p>
        </w:tc>
        <w:tc>
          <w:tcPr>
            <w:tcW w:w="9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warrants vest by 1/48 per month from 24 September 2013.</w:t>
            </w:r>
          </w:p>
        </w:tc>
      </w:tr>
      <w:tr>
        <w:trPr>
          <w:trHeight w:val="324"/>
        </w:trPr>
        <w:tc>
          <w:tcPr>
            <w:tcW w:w="1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 December 2013</w:t>
            </w:r>
          </w:p>
        </w:tc>
        <w:tc>
          <w:tcPr>
            <w:tcW w:w="9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warrants vest by 1/48 per month from 5 December 2013.</w:t>
            </w:r>
          </w:p>
        </w:tc>
      </w:tr>
      <w:tr>
        <w:trPr>
          <w:trHeight w:val="324"/>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w w:val="97"/>
              </w:rPr>
              <w:t>16.</w:t>
            </w:r>
          </w:p>
        </w:tc>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January 2014</w:t>
            </w:r>
          </w:p>
        </w:tc>
        <w:tc>
          <w:tcPr>
            <w:tcW w:w="9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warrants vest by 1/48 per month from 16 January 2014.</w:t>
            </w:r>
          </w:p>
        </w:tc>
      </w:tr>
      <w:tr>
        <w:trPr>
          <w:trHeight w:val="324"/>
        </w:trPr>
        <w:tc>
          <w:tcPr>
            <w:tcW w:w="1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6. March 2014</w:t>
            </w:r>
          </w:p>
        </w:tc>
        <w:tc>
          <w:tcPr>
            <w:tcW w:w="9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warrants vest by 1/48 per month from 6 March 2014.</w:t>
            </w:r>
          </w:p>
        </w:tc>
      </w:tr>
      <w:tr>
        <w:trPr>
          <w:trHeight w:val="324"/>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w w:val="97"/>
              </w:rPr>
              <w:t>19.</w:t>
            </w:r>
          </w:p>
        </w:tc>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June 2014</w:t>
            </w:r>
          </w:p>
        </w:tc>
        <w:tc>
          <w:tcPr>
            <w:tcW w:w="9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warrants vest by 1/48 per month from 19 June 2014.</w:t>
            </w:r>
          </w:p>
        </w:tc>
      </w:tr>
    </w:tbl>
    <w:p>
      <w:pPr>
        <w:spacing w:after="0" w:line="90" w:lineRule="exact"/>
        <w:rPr>
          <w:sz w:val="20"/>
          <w:szCs w:val="20"/>
          <w:color w:val="auto"/>
        </w:rPr>
      </w:pPr>
    </w:p>
    <w:p>
      <w:pPr>
        <w:ind w:left="1984" w:right="4320" w:hanging="1984"/>
        <w:spacing w:after="0" w:line="454" w:lineRule="auto"/>
        <w:tabs>
          <w:tab w:leader="none" w:pos="-3164"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December 2015The warrants vest by 1/48 per month from 18 December 2015. 50</w:t>
      </w:r>
    </w:p>
    <w:p>
      <w:pPr>
        <w:sectPr>
          <w:pgSz w:w="11900" w:h="16838" w:orient="portrait"/>
          <w:cols w:equalWidth="0" w:num="1">
            <w:col w:w="10804"/>
          </w:cols>
          <w:pgMar w:left="436" w:top="121" w:right="659" w:bottom="1440" w:gutter="0" w:footer="0" w:header="0"/>
        </w:sectPr>
      </w:pPr>
    </w:p>
    <w:bookmarkStart w:id="58" w:name="page59"/>
    <w:bookmarkEnd w:id="58"/>
    <w:tbl>
      <w:tblPr>
        <w:tblLayout w:type="fixed"/>
        <w:tblInd w:w="4" w:type="dxa"/>
        <w:tblCellMar>
          <w:top w:w="0" w:type="dxa"/>
          <w:left w:w="0" w:type="dxa"/>
          <w:bottom w:w="0" w:type="dxa"/>
          <w:right w:w="0" w:type="dxa"/>
        </w:tblCellMar>
      </w:tblPr>
      <w:tr>
        <w:trPr>
          <w:trHeight w:val="212"/>
        </w:trPr>
        <w:tc>
          <w:tcPr>
            <w:tcW w:w="16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D</w:t>
            </w:r>
            <w:r>
              <w:rPr>
                <w:rFonts w:ascii="Times New Roman" w:cs="Times New Roman" w:eastAsia="Times New Roman" w:hAnsi="Times New Roman"/>
                <w:sz w:val="13"/>
                <w:szCs w:val="13"/>
                <w:b w:val="1"/>
                <w:bCs w:val="1"/>
                <w:color w:val="auto"/>
              </w:rPr>
              <w:t>ATE</w:t>
            </w:r>
            <w:r>
              <w:rPr>
                <w:rFonts w:ascii="Times New Roman" w:cs="Times New Roman" w:eastAsia="Times New Roman" w:hAnsi="Times New Roman"/>
                <w:sz w:val="16"/>
                <w:szCs w:val="16"/>
                <w:b w:val="1"/>
                <w:bCs w:val="1"/>
                <w:color w:val="auto"/>
              </w:rPr>
              <w:t xml:space="preserve"> O</w:t>
            </w:r>
            <w:r>
              <w:rPr>
                <w:rFonts w:ascii="Times New Roman" w:cs="Times New Roman" w:eastAsia="Times New Roman" w:hAnsi="Times New Roman"/>
                <w:sz w:val="13"/>
                <w:szCs w:val="13"/>
                <w:b w:val="1"/>
                <w:bCs w:val="1"/>
                <w:color w:val="auto"/>
              </w:rPr>
              <w:t>F</w:t>
            </w:r>
            <w:r>
              <w:rPr>
                <w:rFonts w:ascii="Times New Roman" w:cs="Times New Roman" w:eastAsia="Times New Roman" w:hAnsi="Times New Roman"/>
                <w:sz w:val="16"/>
                <w:szCs w:val="16"/>
                <w:b w:val="1"/>
                <w:bCs w:val="1"/>
                <w:color w:val="auto"/>
              </w:rPr>
              <w:t xml:space="preserve"> G</w:t>
            </w:r>
            <w:r>
              <w:rPr>
                <w:rFonts w:ascii="Times New Roman" w:cs="Times New Roman" w:eastAsia="Times New Roman" w:hAnsi="Times New Roman"/>
                <w:sz w:val="13"/>
                <w:szCs w:val="13"/>
                <w:b w:val="1"/>
                <w:bCs w:val="1"/>
                <w:color w:val="auto"/>
              </w:rPr>
              <w:t>RANT</w:t>
            </w:r>
          </w:p>
        </w:tc>
        <w:tc>
          <w:tcPr>
            <w:tcW w:w="3620" w:type="dxa"/>
            <w:vAlign w:val="bottom"/>
          </w:tcPr>
          <w:p>
            <w:pPr>
              <w:ind w:left="320"/>
              <w:spacing w:after="0"/>
              <w:rPr>
                <w:sz w:val="20"/>
                <w:szCs w:val="20"/>
                <w:color w:val="auto"/>
              </w:rPr>
            </w:pPr>
            <w:r>
              <w:rPr>
                <w:rFonts w:ascii="Times New Roman" w:cs="Times New Roman" w:eastAsia="Times New Roman" w:hAnsi="Times New Roman"/>
                <w:sz w:val="16"/>
                <w:szCs w:val="16"/>
                <w:b w:val="1"/>
                <w:bCs w:val="1"/>
                <w:color w:val="auto"/>
              </w:rPr>
              <w:t>V</w:t>
            </w:r>
            <w:r>
              <w:rPr>
                <w:rFonts w:ascii="Times New Roman" w:cs="Times New Roman" w:eastAsia="Times New Roman" w:hAnsi="Times New Roman"/>
                <w:sz w:val="13"/>
                <w:szCs w:val="13"/>
                <w:b w:val="1"/>
                <w:bCs w:val="1"/>
                <w:color w:val="auto"/>
              </w:rPr>
              <w:t>ESTING</w:t>
            </w:r>
          </w:p>
        </w:tc>
        <w:tc>
          <w:tcPr>
            <w:tcW w:w="1140" w:type="dxa"/>
            <w:vAlign w:val="bottom"/>
          </w:tcPr>
          <w:p>
            <w:pPr>
              <w:spacing w:after="0"/>
              <w:rPr>
                <w:sz w:val="18"/>
                <w:szCs w:val="18"/>
                <w:color w:val="auto"/>
              </w:rPr>
            </w:pPr>
          </w:p>
        </w:tc>
      </w:tr>
      <w:tr>
        <w:trPr>
          <w:trHeight w:val="330"/>
        </w:trPr>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15.</w:t>
            </w:r>
          </w:p>
        </w:tc>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2016</w:t>
            </w:r>
          </w:p>
        </w:tc>
        <w:tc>
          <w:tcPr>
            <w:tcW w:w="3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The warrants vest by 1/48 per month from 15</w:t>
            </w:r>
          </w:p>
        </w:tc>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2016.</w:t>
            </w:r>
          </w:p>
        </w:tc>
      </w:tr>
      <w:tr>
        <w:trPr>
          <w:trHeight w:val="324"/>
        </w:trPr>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10.</w:t>
            </w:r>
          </w:p>
        </w:tc>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2016</w:t>
            </w:r>
          </w:p>
        </w:tc>
        <w:tc>
          <w:tcPr>
            <w:tcW w:w="3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The warrants vest by 1/48 per month from 10</w:t>
            </w:r>
          </w:p>
        </w:tc>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2016.</w:t>
            </w:r>
          </w:p>
        </w:tc>
      </w:tr>
      <w:tr>
        <w:trPr>
          <w:trHeight w:val="324"/>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9.</w:t>
            </w: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June 2016</w:t>
            </w:r>
          </w:p>
        </w:tc>
        <w:tc>
          <w:tcPr>
            <w:tcW w:w="47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The warrants vest by 1/48 per month from 9 June 2016.</w:t>
            </w:r>
          </w:p>
        </w:tc>
      </w:tr>
      <w:tr>
        <w:trPr>
          <w:trHeight w:val="324"/>
        </w:trPr>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12.</w:t>
            </w:r>
          </w:p>
        </w:tc>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July 2016</w:t>
            </w:r>
          </w:p>
        </w:tc>
        <w:tc>
          <w:tcPr>
            <w:tcW w:w="3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The warrants vest by 1/48 per month from 12</w:t>
            </w:r>
          </w:p>
        </w:tc>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July 2016.</w:t>
            </w:r>
          </w:p>
        </w:tc>
      </w:tr>
      <w:tr>
        <w:trPr>
          <w:trHeight w:val="324"/>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9.</w:t>
            </w: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August 2016</w:t>
            </w:r>
          </w:p>
        </w:tc>
        <w:tc>
          <w:tcPr>
            <w:tcW w:w="47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The warrants vest by 1/48 per month from 9 August 2016.</w:t>
            </w:r>
          </w:p>
        </w:tc>
      </w:tr>
      <w:tr>
        <w:trPr>
          <w:trHeight w:val="324"/>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8.</w:t>
            </w: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November 2016</w:t>
            </w:r>
          </w:p>
        </w:tc>
        <w:tc>
          <w:tcPr>
            <w:tcW w:w="47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w w:val="99"/>
              </w:rPr>
              <w:t>The warrants vest by 1/48 per month from 8 November 2016.</w:t>
            </w:r>
          </w:p>
        </w:tc>
      </w:tr>
    </w:tbl>
    <w:p>
      <w:pPr>
        <w:spacing w:after="0" w:line="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1984" w:right="3239" w:hanging="1984"/>
        <w:spacing w:after="0" w:line="312" w:lineRule="auto"/>
        <w:tabs>
          <w:tab w:leader="none" w:pos="269"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December 2016</w:t>
      </w:r>
      <w:r>
        <w:rPr>
          <w:rFonts w:ascii="Times New Roman" w:cs="Times New Roman" w:eastAsia="Times New Roman" w:hAnsi="Times New Roman"/>
          <w:sz w:val="17"/>
          <w:szCs w:val="17"/>
          <w:color w:val="auto"/>
        </w:rPr>
        <w:t>90,000 warrants vest by 1/24 per month from 14 December 2016. 693,000 warrants vest by 1/48 per month from 14 December 2016.</w:t>
      </w:r>
    </w:p>
    <w:p>
      <w:pPr>
        <w:spacing w:after="0" w:line="45"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w w:val="97"/>
              </w:rPr>
              <w:t>10.</w:t>
            </w:r>
          </w:p>
        </w:tc>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January 2017</w:t>
            </w:r>
          </w:p>
        </w:tc>
        <w:tc>
          <w:tcPr>
            <w:tcW w:w="48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The warrants vest by 1/48 per month from 10 January 2017.</w:t>
            </w:r>
          </w:p>
        </w:tc>
      </w:tr>
      <w:tr>
        <w:trPr>
          <w:trHeight w:val="324"/>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w w:val="97"/>
              </w:rPr>
              <w:t>14.</w:t>
            </w:r>
          </w:p>
        </w:tc>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2017</w:t>
            </w:r>
          </w:p>
        </w:tc>
        <w:tc>
          <w:tcPr>
            <w:tcW w:w="48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The warrants vest by 1/48 per month from 14 February 2017.</w:t>
            </w:r>
          </w:p>
        </w:tc>
      </w:tr>
      <w:tr>
        <w:trPr>
          <w:trHeight w:val="324"/>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w w:val="97"/>
              </w:rPr>
              <w:t>14.</w:t>
            </w:r>
          </w:p>
        </w:tc>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2017</w:t>
            </w:r>
          </w:p>
        </w:tc>
        <w:tc>
          <w:tcPr>
            <w:tcW w:w="48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The warrants vest by 1/48 per month from 14 March 2017.</w:t>
            </w:r>
          </w:p>
        </w:tc>
      </w:tr>
      <w:tr>
        <w:trPr>
          <w:trHeight w:val="324"/>
        </w:trPr>
        <w:tc>
          <w:tcPr>
            <w:tcW w:w="1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11. April 2017</w:t>
            </w:r>
          </w:p>
        </w:tc>
        <w:tc>
          <w:tcPr>
            <w:tcW w:w="48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The warrants vest by 1/48 per month from 11 April 2017.</w:t>
            </w:r>
          </w:p>
        </w:tc>
      </w:tr>
      <w:tr>
        <w:trPr>
          <w:trHeight w:val="324"/>
        </w:trPr>
        <w:tc>
          <w:tcPr>
            <w:tcW w:w="1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9. May 2017</w:t>
            </w:r>
          </w:p>
        </w:tc>
        <w:tc>
          <w:tcPr>
            <w:tcW w:w="48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The warrants vest by 1/48 per month from 9 May 2017.</w:t>
            </w:r>
          </w:p>
        </w:tc>
      </w:tr>
      <w:tr>
        <w:trPr>
          <w:trHeight w:val="324"/>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w w:val="97"/>
              </w:rPr>
              <w:t>13.</w:t>
            </w:r>
          </w:p>
        </w:tc>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June 2017</w:t>
            </w:r>
          </w:p>
        </w:tc>
        <w:tc>
          <w:tcPr>
            <w:tcW w:w="48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The warrants vest by 1/48 per month from 13 June 2017.</w:t>
            </w:r>
          </w:p>
        </w:tc>
      </w:tr>
      <w:tr>
        <w:trPr>
          <w:trHeight w:val="324"/>
        </w:trPr>
        <w:tc>
          <w:tcPr>
            <w:tcW w:w="1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11. July 2017</w:t>
            </w:r>
          </w:p>
        </w:tc>
        <w:tc>
          <w:tcPr>
            <w:tcW w:w="48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The warrants vest by 1/48 per month from 11 July 2017.</w:t>
            </w:r>
          </w:p>
        </w:tc>
      </w:tr>
      <w:tr>
        <w:trPr>
          <w:trHeight w:val="324"/>
        </w:trPr>
        <w:tc>
          <w:tcPr>
            <w:tcW w:w="1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8. August 2017</w:t>
            </w:r>
          </w:p>
        </w:tc>
        <w:tc>
          <w:tcPr>
            <w:tcW w:w="48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The warrants vest by 1/48 per month from 8 August 2017.</w:t>
            </w:r>
          </w:p>
        </w:tc>
      </w:tr>
      <w:tr>
        <w:trPr>
          <w:trHeight w:val="324"/>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w w:val="97"/>
              </w:rPr>
              <w:t>12.</w:t>
            </w:r>
          </w:p>
        </w:tc>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September 2017</w:t>
            </w:r>
          </w:p>
        </w:tc>
        <w:tc>
          <w:tcPr>
            <w:tcW w:w="3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warrants vest by 1/48 per month from 12</w:t>
            </w:r>
          </w:p>
        </w:tc>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8"/>
              </w:rPr>
              <w:t>September 2017.</w:t>
            </w:r>
          </w:p>
        </w:tc>
      </w:tr>
      <w:tr>
        <w:trPr>
          <w:trHeight w:val="324"/>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w w:val="97"/>
              </w:rPr>
              <w:t>10.</w:t>
            </w:r>
          </w:p>
        </w:tc>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October 2017</w:t>
            </w:r>
          </w:p>
        </w:tc>
        <w:tc>
          <w:tcPr>
            <w:tcW w:w="3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warrants vest by 1/48 per month from 10</w:t>
            </w:r>
          </w:p>
        </w:tc>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October 2017.</w:t>
            </w:r>
          </w:p>
        </w:tc>
      </w:tr>
      <w:tr>
        <w:trPr>
          <w:trHeight w:val="324"/>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w w:val="97"/>
              </w:rPr>
              <w:t>14.</w:t>
            </w:r>
          </w:p>
        </w:tc>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2017</w:t>
            </w:r>
          </w:p>
        </w:tc>
        <w:tc>
          <w:tcPr>
            <w:tcW w:w="3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warrants vest by 1/48 per month from 14</w:t>
            </w:r>
          </w:p>
        </w:tc>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November 2017.</w:t>
            </w:r>
          </w:p>
        </w:tc>
      </w:tr>
    </w:tbl>
    <w:p>
      <w:pPr>
        <w:spacing w:after="0" w:line="90" w:lineRule="exact"/>
        <w:rPr>
          <w:sz w:val="20"/>
          <w:szCs w:val="20"/>
          <w:color w:val="auto"/>
        </w:rPr>
      </w:pPr>
    </w:p>
    <w:p>
      <w:pPr>
        <w:ind w:left="1984" w:right="3239" w:hanging="1984"/>
        <w:spacing w:after="0" w:line="312" w:lineRule="auto"/>
        <w:tabs>
          <w:tab w:leader="none" w:pos="269"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December 2017</w:t>
      </w:r>
      <w:r>
        <w:rPr>
          <w:rFonts w:ascii="Times New Roman" w:cs="Times New Roman" w:eastAsia="Times New Roman" w:hAnsi="Times New Roman"/>
          <w:sz w:val="17"/>
          <w:szCs w:val="17"/>
          <w:color w:val="auto"/>
        </w:rPr>
        <w:t>90,000 warrants vest by 1/24 per month from 12 December 2017. 867,500 warrants vest by 1/48 per month from 12 December 2017.</w:t>
      </w:r>
    </w:p>
    <w:p>
      <w:pPr>
        <w:spacing w:after="0" w:line="45"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9. January 2018</w:t>
            </w:r>
          </w:p>
        </w:tc>
        <w:tc>
          <w:tcPr>
            <w:tcW w:w="47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The warrants vest by 1/48 per month from 9 January 2018.</w:t>
            </w:r>
          </w:p>
        </w:tc>
      </w:tr>
      <w:tr>
        <w:trPr>
          <w:trHeight w:val="324"/>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w w:val="97"/>
              </w:rPr>
              <w:t>13.</w:t>
            </w:r>
          </w:p>
        </w:tc>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2018</w:t>
            </w:r>
          </w:p>
        </w:tc>
        <w:tc>
          <w:tcPr>
            <w:tcW w:w="3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The warrants vest by 1/48 per month from 13</w:t>
            </w:r>
          </w:p>
        </w:tc>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8"/>
              </w:rPr>
              <w:t>February 2018.</w:t>
            </w:r>
          </w:p>
        </w:tc>
      </w:tr>
      <w:tr>
        <w:trPr>
          <w:trHeight w:val="324"/>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w w:val="97"/>
              </w:rPr>
              <w:t>13.</w:t>
            </w:r>
          </w:p>
        </w:tc>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2018</w:t>
            </w:r>
          </w:p>
        </w:tc>
        <w:tc>
          <w:tcPr>
            <w:tcW w:w="3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The warrants vest by 1/48 per month from 13</w:t>
            </w:r>
          </w:p>
        </w:tc>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2018.</w:t>
            </w:r>
          </w:p>
        </w:tc>
      </w:tr>
      <w:tr>
        <w:trPr>
          <w:trHeight w:val="324"/>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w w:val="97"/>
              </w:rPr>
              <w:t>10.</w:t>
            </w:r>
          </w:p>
        </w:tc>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April 2018</w:t>
            </w:r>
          </w:p>
        </w:tc>
        <w:tc>
          <w:tcPr>
            <w:tcW w:w="47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The warrants vest by 1/48 per month from 10 April 2018.</w:t>
            </w:r>
          </w:p>
        </w:tc>
      </w:tr>
      <w:tr>
        <w:trPr>
          <w:trHeight w:val="365"/>
        </w:trPr>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12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51</w:t>
            </w:r>
          </w:p>
        </w:tc>
      </w:tr>
    </w:tbl>
    <w:p>
      <w:pPr>
        <w:sectPr>
          <w:pgSz w:w="11900" w:h="16838" w:orient="portrait"/>
          <w:cols w:equalWidth="0" w:num="1">
            <w:col w:w="10023"/>
          </w:cols>
          <w:pgMar w:left="436" w:top="272" w:right="1440" w:bottom="1440" w:gutter="0" w:footer="0" w:header="0"/>
        </w:sectPr>
      </w:pPr>
    </w:p>
    <w:bookmarkStart w:id="59" w:name="page60"/>
    <w:bookmarkEnd w:id="5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4" w:type="dxa"/>
        <w:tblCellMar>
          <w:top w:w="0" w:type="dxa"/>
          <w:left w:w="0" w:type="dxa"/>
          <w:bottom w:w="0" w:type="dxa"/>
          <w:right w:w="0" w:type="dxa"/>
        </w:tblCellMar>
      </w:tblPr>
      <w:tr>
        <w:trPr>
          <w:trHeight w:val="212"/>
        </w:trPr>
        <w:tc>
          <w:tcPr>
            <w:tcW w:w="17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w:t>
            </w:r>
            <w:r>
              <w:rPr>
                <w:rFonts w:ascii="Times New Roman" w:cs="Times New Roman" w:eastAsia="Times New Roman" w:hAnsi="Times New Roman"/>
                <w:sz w:val="13"/>
                <w:szCs w:val="13"/>
                <w:b w:val="1"/>
                <w:bCs w:val="1"/>
                <w:color w:val="auto"/>
              </w:rPr>
              <w:t>ATE</w:t>
            </w:r>
            <w:r>
              <w:rPr>
                <w:rFonts w:ascii="Times New Roman" w:cs="Times New Roman" w:eastAsia="Times New Roman" w:hAnsi="Times New Roman"/>
                <w:sz w:val="16"/>
                <w:szCs w:val="16"/>
                <w:b w:val="1"/>
                <w:bCs w:val="1"/>
                <w:color w:val="auto"/>
              </w:rPr>
              <w:t xml:space="preserve"> O</w:t>
            </w:r>
            <w:r>
              <w:rPr>
                <w:rFonts w:ascii="Times New Roman" w:cs="Times New Roman" w:eastAsia="Times New Roman" w:hAnsi="Times New Roman"/>
                <w:sz w:val="13"/>
                <w:szCs w:val="13"/>
                <w:b w:val="1"/>
                <w:bCs w:val="1"/>
                <w:color w:val="auto"/>
              </w:rPr>
              <w:t>F</w:t>
            </w:r>
            <w:r>
              <w:rPr>
                <w:rFonts w:ascii="Times New Roman" w:cs="Times New Roman" w:eastAsia="Times New Roman" w:hAnsi="Times New Roman"/>
                <w:sz w:val="16"/>
                <w:szCs w:val="16"/>
                <w:b w:val="1"/>
                <w:bCs w:val="1"/>
                <w:color w:val="auto"/>
              </w:rPr>
              <w:t xml:space="preserve"> G</w:t>
            </w:r>
            <w:r>
              <w:rPr>
                <w:rFonts w:ascii="Times New Roman" w:cs="Times New Roman" w:eastAsia="Times New Roman" w:hAnsi="Times New Roman"/>
                <w:sz w:val="13"/>
                <w:szCs w:val="13"/>
                <w:b w:val="1"/>
                <w:bCs w:val="1"/>
                <w:color w:val="auto"/>
              </w:rPr>
              <w:t>RANT</w:t>
            </w:r>
          </w:p>
        </w:tc>
        <w:tc>
          <w:tcPr>
            <w:tcW w:w="3580" w:type="dxa"/>
            <w:vAlign w:val="bottom"/>
          </w:tcPr>
          <w:p>
            <w:pPr>
              <w:ind w:left="280"/>
              <w:spacing w:after="0"/>
              <w:rPr>
                <w:sz w:val="20"/>
                <w:szCs w:val="20"/>
                <w:color w:val="auto"/>
              </w:rPr>
            </w:pPr>
            <w:r>
              <w:rPr>
                <w:rFonts w:ascii="Times New Roman" w:cs="Times New Roman" w:eastAsia="Times New Roman" w:hAnsi="Times New Roman"/>
                <w:sz w:val="16"/>
                <w:szCs w:val="16"/>
                <w:b w:val="1"/>
                <w:bCs w:val="1"/>
                <w:color w:val="auto"/>
              </w:rPr>
              <w:t>V</w:t>
            </w:r>
            <w:r>
              <w:rPr>
                <w:rFonts w:ascii="Times New Roman" w:cs="Times New Roman" w:eastAsia="Times New Roman" w:hAnsi="Times New Roman"/>
                <w:sz w:val="13"/>
                <w:szCs w:val="13"/>
                <w:b w:val="1"/>
                <w:bCs w:val="1"/>
                <w:color w:val="auto"/>
              </w:rPr>
              <w:t>ESTING</w:t>
            </w:r>
          </w:p>
        </w:tc>
        <w:tc>
          <w:tcPr>
            <w:tcW w:w="1220" w:type="dxa"/>
            <w:vAlign w:val="bottom"/>
          </w:tcPr>
          <w:p>
            <w:pPr>
              <w:spacing w:after="0"/>
              <w:rPr>
                <w:sz w:val="18"/>
                <w:szCs w:val="18"/>
                <w:color w:val="auto"/>
              </w:rPr>
            </w:pPr>
          </w:p>
        </w:tc>
      </w:tr>
      <w:tr>
        <w:trPr>
          <w:trHeight w:val="330"/>
        </w:trPr>
        <w:tc>
          <w:tcPr>
            <w:tcW w:w="1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8. May 2018</w:t>
            </w:r>
          </w:p>
        </w:tc>
        <w:tc>
          <w:tcPr>
            <w:tcW w:w="48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The warrants vest by 1/48 per month from 8 May 2018.</w:t>
            </w:r>
          </w:p>
        </w:tc>
      </w:tr>
      <w:tr>
        <w:trPr>
          <w:trHeight w:val="324"/>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w w:val="97"/>
              </w:rPr>
              <w:t>12.</w:t>
            </w:r>
          </w:p>
        </w:tc>
        <w:tc>
          <w:tcPr>
            <w:tcW w:w="1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June 2018</w:t>
            </w:r>
          </w:p>
        </w:tc>
        <w:tc>
          <w:tcPr>
            <w:tcW w:w="3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The warrants vest by 1/48 per month from 12</w:t>
            </w:r>
          </w:p>
        </w:tc>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June 2018.</w:t>
            </w:r>
          </w:p>
        </w:tc>
      </w:tr>
      <w:tr>
        <w:trPr>
          <w:trHeight w:val="324"/>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w w:val="97"/>
              </w:rPr>
              <w:t>10.</w:t>
            </w:r>
          </w:p>
        </w:tc>
        <w:tc>
          <w:tcPr>
            <w:tcW w:w="1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July 2018</w:t>
            </w:r>
          </w:p>
        </w:tc>
        <w:tc>
          <w:tcPr>
            <w:tcW w:w="3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The warrants vest by 1/48 per month from 10</w:t>
            </w:r>
          </w:p>
        </w:tc>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July 2018.</w:t>
            </w:r>
          </w:p>
        </w:tc>
      </w:tr>
      <w:tr>
        <w:trPr>
          <w:trHeight w:val="324"/>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w w:val="97"/>
              </w:rPr>
              <w:t>14.</w:t>
            </w:r>
          </w:p>
        </w:tc>
        <w:tc>
          <w:tcPr>
            <w:tcW w:w="1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August 2018</w:t>
            </w:r>
          </w:p>
        </w:tc>
        <w:tc>
          <w:tcPr>
            <w:tcW w:w="48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The warrants vest by 1/48 per month from 14 August 2018.</w:t>
            </w:r>
          </w:p>
        </w:tc>
      </w:tr>
      <w:tr>
        <w:trPr>
          <w:trHeight w:val="324"/>
        </w:trPr>
        <w:tc>
          <w:tcPr>
            <w:tcW w:w="1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11. September 2018</w:t>
            </w:r>
          </w:p>
        </w:tc>
        <w:tc>
          <w:tcPr>
            <w:tcW w:w="48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w w:val="99"/>
              </w:rPr>
              <w:t>The warrants vest by 1/48 per month from 11 September 2018.</w:t>
            </w:r>
          </w:p>
        </w:tc>
      </w:tr>
      <w:tr>
        <w:trPr>
          <w:trHeight w:val="324"/>
        </w:trPr>
        <w:tc>
          <w:tcPr>
            <w:tcW w:w="1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9. October 2018</w:t>
            </w:r>
          </w:p>
        </w:tc>
        <w:tc>
          <w:tcPr>
            <w:tcW w:w="48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The warrants vest by 1/48 per month from 9 October 2018.</w:t>
            </w:r>
          </w:p>
        </w:tc>
      </w:tr>
    </w:tbl>
    <w:p>
      <w:pPr>
        <w:spacing w:after="0" w:line="90" w:lineRule="exact"/>
        <w:rPr>
          <w:sz w:val="20"/>
          <w:szCs w:val="20"/>
          <w:color w:val="auto"/>
        </w:rPr>
      </w:pPr>
    </w:p>
    <w:p>
      <w:pPr>
        <w:ind w:left="264" w:hanging="264"/>
        <w:spacing w:after="0"/>
        <w:tabs>
          <w:tab w:leader="none" w:pos="264"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November 2018</w:t>
      </w:r>
      <w:r>
        <w:rPr>
          <w:rFonts w:ascii="Times New Roman" w:cs="Times New Roman" w:eastAsia="Times New Roman" w:hAnsi="Times New Roman"/>
          <w:sz w:val="17"/>
          <w:szCs w:val="17"/>
          <w:color w:val="auto"/>
        </w:rPr>
        <w:t>The warrants vest by 1/48 per month from 13 November 2018.</w:t>
      </w:r>
    </w:p>
    <w:p>
      <w:pPr>
        <w:spacing w:after="0" w:line="117"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December 201852,000 warrants vest by 1/24 per month from 11 December 2018.</w:t>
      </w:r>
    </w:p>
    <w:p>
      <w:pPr>
        <w:spacing w:after="0" w:line="131"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20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9"/>
              </w:rPr>
              <w:t>1,022,500 warrants vest by 1/48 per month from 11 December 2018.</w:t>
            </w:r>
          </w:p>
        </w:tc>
      </w:tr>
      <w:tr>
        <w:trPr>
          <w:trHeight w:val="338"/>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8.</w:t>
            </w:r>
          </w:p>
        </w:tc>
        <w:tc>
          <w:tcPr>
            <w:tcW w:w="1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January 2019</w:t>
            </w:r>
          </w:p>
        </w:tc>
        <w:tc>
          <w:tcPr>
            <w:tcW w:w="5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warrants vest by 1/48 per month from 8 January 2019.</w:t>
            </w:r>
          </w:p>
        </w:tc>
      </w:tr>
      <w:tr>
        <w:trPr>
          <w:trHeight w:val="324"/>
        </w:trPr>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12.</w:t>
            </w:r>
          </w:p>
        </w:tc>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2019</w:t>
            </w:r>
          </w:p>
        </w:tc>
        <w:tc>
          <w:tcPr>
            <w:tcW w:w="5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warrants vest by 1/48 per month from 12 February 2019.</w:t>
            </w:r>
          </w:p>
        </w:tc>
      </w:tr>
      <w:tr>
        <w:trPr>
          <w:trHeight w:val="324"/>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9.</w:t>
            </w:r>
          </w:p>
        </w:tc>
        <w:tc>
          <w:tcPr>
            <w:tcW w:w="1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April 2019</w:t>
            </w:r>
          </w:p>
        </w:tc>
        <w:tc>
          <w:tcPr>
            <w:tcW w:w="5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warrants vest by 1/48 per month from 9 April 2019.</w:t>
            </w:r>
          </w:p>
        </w:tc>
      </w:tr>
      <w:tr>
        <w:trPr>
          <w:trHeight w:val="324"/>
        </w:trPr>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14.</w:t>
            </w:r>
          </w:p>
        </w:tc>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2019</w:t>
            </w:r>
          </w:p>
        </w:tc>
        <w:tc>
          <w:tcPr>
            <w:tcW w:w="5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warrants vest by 1/48 per month from 14 May 2019.</w:t>
            </w:r>
          </w:p>
        </w:tc>
      </w:tr>
      <w:tr>
        <w:trPr>
          <w:trHeight w:val="324"/>
        </w:trPr>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11. June 2019</w:t>
            </w:r>
          </w:p>
        </w:tc>
        <w:tc>
          <w:tcPr>
            <w:tcW w:w="5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warrants vest by 1/48 per month from 11 June 2019.</w:t>
            </w:r>
          </w:p>
        </w:tc>
      </w:tr>
      <w:tr>
        <w:trPr>
          <w:trHeight w:val="324"/>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9.</w:t>
            </w:r>
          </w:p>
        </w:tc>
        <w:tc>
          <w:tcPr>
            <w:tcW w:w="1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July 2019</w:t>
            </w:r>
          </w:p>
        </w:tc>
        <w:tc>
          <w:tcPr>
            <w:tcW w:w="5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warrants vest by 1/48 per month from 9 July 2019.</w:t>
            </w:r>
          </w:p>
        </w:tc>
      </w:tr>
      <w:tr>
        <w:trPr>
          <w:trHeight w:val="324"/>
        </w:trPr>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13.</w:t>
            </w:r>
          </w:p>
        </w:tc>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August 2019</w:t>
            </w:r>
          </w:p>
        </w:tc>
        <w:tc>
          <w:tcPr>
            <w:tcW w:w="5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warrants vest by 1/48 per month from 13 August 2019.</w:t>
            </w:r>
          </w:p>
        </w:tc>
      </w:tr>
      <w:tr>
        <w:trPr>
          <w:trHeight w:val="324"/>
        </w:trPr>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10.</w:t>
            </w:r>
          </w:p>
        </w:tc>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September 2019</w:t>
            </w:r>
          </w:p>
        </w:tc>
        <w:tc>
          <w:tcPr>
            <w:tcW w:w="5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warrants vest by 1/48 per month from 10 September 2019.</w:t>
            </w:r>
          </w:p>
        </w:tc>
      </w:tr>
      <w:tr>
        <w:trPr>
          <w:trHeight w:val="324"/>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8.</w:t>
            </w:r>
          </w:p>
        </w:tc>
        <w:tc>
          <w:tcPr>
            <w:tcW w:w="1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October 2019</w:t>
            </w:r>
          </w:p>
        </w:tc>
        <w:tc>
          <w:tcPr>
            <w:tcW w:w="5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warrants vest by 1/48 per month from 8 October 2019.</w:t>
            </w:r>
          </w:p>
        </w:tc>
      </w:tr>
      <w:tr>
        <w:trPr>
          <w:trHeight w:val="324"/>
        </w:trPr>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12.</w:t>
            </w:r>
          </w:p>
        </w:tc>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2019</w:t>
            </w:r>
          </w:p>
        </w:tc>
        <w:tc>
          <w:tcPr>
            <w:tcW w:w="5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warrants vest by 1/48 per month from 12 November 2019.</w:t>
            </w:r>
          </w:p>
        </w:tc>
      </w:tr>
    </w:tbl>
    <w:p>
      <w:pPr>
        <w:spacing w:after="0" w:line="90" w:lineRule="exact"/>
        <w:rPr>
          <w:sz w:val="20"/>
          <w:szCs w:val="20"/>
          <w:color w:val="auto"/>
        </w:rPr>
      </w:pPr>
    </w:p>
    <w:p>
      <w:pPr>
        <w:ind w:left="1984" w:hanging="1984"/>
        <w:spacing w:after="0" w:line="282" w:lineRule="auto"/>
        <w:tabs>
          <w:tab w:leader="none" w:pos="269"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December 201937,500 warrants vest by 1/24 per month from 10 December 2019. 821,100 warrants vest by 1/48 per month from 10 December 2019.</w:t>
      </w:r>
    </w:p>
    <w:p>
      <w:pPr>
        <w:spacing w:after="0" w:line="54"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w w:val="97"/>
              </w:rPr>
              <w:t>14.</w:t>
            </w:r>
          </w:p>
        </w:tc>
        <w:tc>
          <w:tcPr>
            <w:tcW w:w="1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January 2020</w:t>
            </w:r>
          </w:p>
        </w:tc>
        <w:tc>
          <w:tcPr>
            <w:tcW w:w="3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warrants vest by 1/48 per month from 14</w:t>
            </w:r>
          </w:p>
        </w:tc>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January 2020.</w:t>
            </w:r>
          </w:p>
        </w:tc>
      </w:tr>
      <w:tr>
        <w:trPr>
          <w:trHeight w:val="324"/>
        </w:trPr>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11. February 2020</w:t>
            </w:r>
          </w:p>
        </w:tc>
        <w:tc>
          <w:tcPr>
            <w:tcW w:w="47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w w:val="99"/>
              </w:rPr>
              <w:t>The warrants vest by 1/48 per month from 11 February 2020.</w:t>
            </w:r>
          </w:p>
        </w:tc>
      </w:tr>
      <w:tr>
        <w:trPr>
          <w:trHeight w:val="324"/>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w w:val="97"/>
              </w:rPr>
              <w:t>10.</w:t>
            </w:r>
          </w:p>
        </w:tc>
        <w:tc>
          <w:tcPr>
            <w:tcW w:w="1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2020</w:t>
            </w:r>
          </w:p>
        </w:tc>
        <w:tc>
          <w:tcPr>
            <w:tcW w:w="3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warrants vest by 1/48 per month from 10</w:t>
            </w:r>
          </w:p>
        </w:tc>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2020.</w:t>
            </w:r>
          </w:p>
        </w:tc>
      </w:tr>
      <w:tr>
        <w:trPr>
          <w:trHeight w:val="324"/>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w w:val="97"/>
              </w:rPr>
              <w:t>12.</w:t>
            </w:r>
          </w:p>
        </w:tc>
        <w:tc>
          <w:tcPr>
            <w:tcW w:w="1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2020</w:t>
            </w:r>
          </w:p>
        </w:tc>
        <w:tc>
          <w:tcPr>
            <w:tcW w:w="3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warrants vest by 1/48 per month from 12</w:t>
            </w:r>
          </w:p>
        </w:tc>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2020.</w:t>
            </w:r>
          </w:p>
        </w:tc>
      </w:tr>
      <w:tr>
        <w:trPr>
          <w:trHeight w:val="324"/>
        </w:trPr>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9. June 2020</w:t>
            </w:r>
          </w:p>
        </w:tc>
        <w:tc>
          <w:tcPr>
            <w:tcW w:w="47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The warrants vest by 1/48 per month from 9 June 2020.</w:t>
            </w:r>
          </w:p>
        </w:tc>
      </w:tr>
      <w:tr>
        <w:trPr>
          <w:trHeight w:val="365"/>
        </w:trPr>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10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52</w:t>
            </w:r>
          </w:p>
        </w:tc>
      </w:tr>
    </w:tbl>
    <w:p>
      <w:pPr>
        <w:sectPr>
          <w:pgSz w:w="11900" w:h="16838" w:orient="portrait"/>
          <w:cols w:equalWidth="0" w:num="1">
            <w:col w:w="10104"/>
          </w:cols>
          <w:pgMar w:left="436" w:top="272" w:right="1359" w:bottom="1440" w:gutter="0" w:footer="0" w:header="0"/>
        </w:sectPr>
      </w:pPr>
    </w:p>
    <w:bookmarkStart w:id="60" w:name="page61"/>
    <w:bookmarkEnd w:id="6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4" w:type="dxa"/>
        <w:tblCellMar>
          <w:top w:w="0" w:type="dxa"/>
          <w:left w:w="0" w:type="dxa"/>
          <w:bottom w:w="0" w:type="dxa"/>
          <w:right w:w="0" w:type="dxa"/>
        </w:tblCellMar>
      </w:tblPr>
      <w:tr>
        <w:trPr>
          <w:trHeight w:val="212"/>
        </w:trPr>
        <w:tc>
          <w:tcPr>
            <w:tcW w:w="17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w:t>
            </w:r>
            <w:r>
              <w:rPr>
                <w:rFonts w:ascii="Times New Roman" w:cs="Times New Roman" w:eastAsia="Times New Roman" w:hAnsi="Times New Roman"/>
                <w:sz w:val="13"/>
                <w:szCs w:val="13"/>
                <w:b w:val="1"/>
                <w:bCs w:val="1"/>
                <w:color w:val="auto"/>
              </w:rPr>
              <w:t>ATE</w:t>
            </w:r>
            <w:r>
              <w:rPr>
                <w:rFonts w:ascii="Times New Roman" w:cs="Times New Roman" w:eastAsia="Times New Roman" w:hAnsi="Times New Roman"/>
                <w:sz w:val="16"/>
                <w:szCs w:val="16"/>
                <w:b w:val="1"/>
                <w:bCs w:val="1"/>
                <w:color w:val="auto"/>
              </w:rPr>
              <w:t xml:space="preserve"> O</w:t>
            </w:r>
            <w:r>
              <w:rPr>
                <w:rFonts w:ascii="Times New Roman" w:cs="Times New Roman" w:eastAsia="Times New Roman" w:hAnsi="Times New Roman"/>
                <w:sz w:val="13"/>
                <w:szCs w:val="13"/>
                <w:b w:val="1"/>
                <w:bCs w:val="1"/>
                <w:color w:val="auto"/>
              </w:rPr>
              <w:t>F</w:t>
            </w:r>
            <w:r>
              <w:rPr>
                <w:rFonts w:ascii="Times New Roman" w:cs="Times New Roman" w:eastAsia="Times New Roman" w:hAnsi="Times New Roman"/>
                <w:sz w:val="16"/>
                <w:szCs w:val="16"/>
                <w:b w:val="1"/>
                <w:bCs w:val="1"/>
                <w:color w:val="auto"/>
              </w:rPr>
              <w:t xml:space="preserve"> G</w:t>
            </w:r>
            <w:r>
              <w:rPr>
                <w:rFonts w:ascii="Times New Roman" w:cs="Times New Roman" w:eastAsia="Times New Roman" w:hAnsi="Times New Roman"/>
                <w:sz w:val="13"/>
                <w:szCs w:val="13"/>
                <w:b w:val="1"/>
                <w:bCs w:val="1"/>
                <w:color w:val="auto"/>
              </w:rPr>
              <w:t>RANT</w:t>
            </w:r>
          </w:p>
        </w:tc>
        <w:tc>
          <w:tcPr>
            <w:tcW w:w="3580" w:type="dxa"/>
            <w:vAlign w:val="bottom"/>
          </w:tcPr>
          <w:p>
            <w:pPr>
              <w:ind w:left="280"/>
              <w:spacing w:after="0"/>
              <w:rPr>
                <w:sz w:val="20"/>
                <w:szCs w:val="20"/>
                <w:color w:val="auto"/>
              </w:rPr>
            </w:pPr>
            <w:r>
              <w:rPr>
                <w:rFonts w:ascii="Times New Roman" w:cs="Times New Roman" w:eastAsia="Times New Roman" w:hAnsi="Times New Roman"/>
                <w:sz w:val="16"/>
                <w:szCs w:val="16"/>
                <w:b w:val="1"/>
                <w:bCs w:val="1"/>
                <w:color w:val="auto"/>
              </w:rPr>
              <w:t>V</w:t>
            </w:r>
            <w:r>
              <w:rPr>
                <w:rFonts w:ascii="Times New Roman" w:cs="Times New Roman" w:eastAsia="Times New Roman" w:hAnsi="Times New Roman"/>
                <w:sz w:val="13"/>
                <w:szCs w:val="13"/>
                <w:b w:val="1"/>
                <w:bCs w:val="1"/>
                <w:color w:val="auto"/>
              </w:rPr>
              <w:t>ESTING</w:t>
            </w:r>
          </w:p>
        </w:tc>
        <w:tc>
          <w:tcPr>
            <w:tcW w:w="1220" w:type="dxa"/>
            <w:vAlign w:val="bottom"/>
          </w:tcPr>
          <w:p>
            <w:pPr>
              <w:spacing w:after="0"/>
              <w:rPr>
                <w:sz w:val="18"/>
                <w:szCs w:val="18"/>
                <w:color w:val="auto"/>
              </w:rPr>
            </w:pPr>
          </w:p>
        </w:tc>
      </w:tr>
      <w:tr>
        <w:trPr>
          <w:trHeight w:val="330"/>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w w:val="97"/>
              </w:rPr>
              <w:t>14.</w:t>
            </w:r>
          </w:p>
        </w:tc>
        <w:tc>
          <w:tcPr>
            <w:tcW w:w="1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July 2020</w:t>
            </w:r>
          </w:p>
        </w:tc>
        <w:tc>
          <w:tcPr>
            <w:tcW w:w="3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The warrants vest by 1/48 per month from 14</w:t>
            </w:r>
          </w:p>
        </w:tc>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July 2020.</w:t>
            </w:r>
          </w:p>
        </w:tc>
      </w:tr>
      <w:tr>
        <w:trPr>
          <w:trHeight w:val="324"/>
        </w:trPr>
        <w:tc>
          <w:tcPr>
            <w:tcW w:w="1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11. August 2020</w:t>
            </w:r>
          </w:p>
        </w:tc>
        <w:tc>
          <w:tcPr>
            <w:tcW w:w="48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The warrants vest by 1/48 per month from 11 August 2020.</w:t>
            </w:r>
          </w:p>
        </w:tc>
      </w:tr>
      <w:tr>
        <w:trPr>
          <w:trHeight w:val="324"/>
        </w:trPr>
        <w:tc>
          <w:tcPr>
            <w:tcW w:w="1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8. September 2020</w:t>
            </w:r>
          </w:p>
        </w:tc>
        <w:tc>
          <w:tcPr>
            <w:tcW w:w="48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The warrants vest by 1/48 per month from 8 September 2020.</w:t>
            </w:r>
          </w:p>
        </w:tc>
      </w:tr>
      <w:tr>
        <w:trPr>
          <w:trHeight w:val="324"/>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w w:val="97"/>
              </w:rPr>
              <w:t>13.</w:t>
            </w:r>
          </w:p>
        </w:tc>
        <w:tc>
          <w:tcPr>
            <w:tcW w:w="1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October 2020</w:t>
            </w:r>
          </w:p>
        </w:tc>
        <w:tc>
          <w:tcPr>
            <w:tcW w:w="3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The warrants vest by 1/48 per month from 13</w:t>
            </w:r>
          </w:p>
        </w:tc>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October 2020.</w:t>
            </w:r>
          </w:p>
        </w:tc>
      </w:tr>
      <w:tr>
        <w:trPr>
          <w:trHeight w:val="324"/>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w w:val="97"/>
              </w:rPr>
              <w:t>10.</w:t>
            </w:r>
          </w:p>
        </w:tc>
        <w:tc>
          <w:tcPr>
            <w:tcW w:w="1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2020</w:t>
            </w:r>
          </w:p>
        </w:tc>
        <w:tc>
          <w:tcPr>
            <w:tcW w:w="3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The warrants vest by 1/48 per month from 10</w:t>
            </w:r>
          </w:p>
        </w:tc>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7"/>
              </w:rPr>
              <w:t>November 2020.</w:t>
            </w:r>
          </w:p>
        </w:tc>
      </w:tr>
      <w:tr>
        <w:trPr>
          <w:trHeight w:val="324"/>
        </w:trPr>
        <w:tc>
          <w:tcPr>
            <w:tcW w:w="1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8. December 2020</w:t>
            </w:r>
          </w:p>
        </w:tc>
        <w:tc>
          <w:tcPr>
            <w:tcW w:w="48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The warrants vest by 1/48 per month from 8 December 2020.</w:t>
            </w:r>
          </w:p>
        </w:tc>
      </w:tr>
    </w:tbl>
    <w:p>
      <w:pPr>
        <w:spacing w:after="0" w:line="90" w:lineRule="exact"/>
        <w:rPr>
          <w:sz w:val="20"/>
          <w:szCs w:val="20"/>
          <w:color w:val="auto"/>
        </w:rPr>
      </w:pPr>
    </w:p>
    <w:p>
      <w:pPr>
        <w:ind w:left="1984" w:right="760" w:hanging="1984"/>
        <w:spacing w:after="0" w:line="282" w:lineRule="auto"/>
        <w:tabs>
          <w:tab w:leader="none" w:pos="269"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December 202032,100 warrants vest by 1/24 per month from 10 December 2020. 833,231 warrants vest by 1/48 per month from 10 December 2020.</w:t>
      </w:r>
    </w:p>
    <w:p>
      <w:pPr>
        <w:spacing w:after="0" w:line="54"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12.</w:t>
            </w:r>
          </w:p>
        </w:tc>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January 2021</w:t>
            </w:r>
          </w:p>
        </w:tc>
        <w:tc>
          <w:tcPr>
            <w:tcW w:w="9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warrants vest by 1/48 per month from 12 January 2021.</w:t>
            </w:r>
          </w:p>
        </w:tc>
      </w:tr>
      <w:tr>
        <w:trPr>
          <w:trHeight w:val="324"/>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9.</w:t>
            </w:r>
          </w:p>
        </w:tc>
        <w:tc>
          <w:tcPr>
            <w:tcW w:w="1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February 2021</w:t>
            </w:r>
          </w:p>
        </w:tc>
        <w:tc>
          <w:tcPr>
            <w:tcW w:w="9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warrants vest by 1/48 per month from 9 February 2021.</w:t>
            </w:r>
          </w:p>
        </w:tc>
      </w:tr>
      <w:tr>
        <w:trPr>
          <w:trHeight w:val="324"/>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9.</w:t>
            </w:r>
          </w:p>
        </w:tc>
        <w:tc>
          <w:tcPr>
            <w:tcW w:w="1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 2021</w:t>
            </w:r>
          </w:p>
        </w:tc>
        <w:tc>
          <w:tcPr>
            <w:tcW w:w="9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warrants vest by 1/48 per month from 9 March 2021.</w:t>
            </w:r>
          </w:p>
        </w:tc>
      </w:tr>
      <w:tr>
        <w:trPr>
          <w:trHeight w:val="324"/>
        </w:trPr>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13.</w:t>
            </w:r>
          </w:p>
        </w:tc>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April 2021</w:t>
            </w:r>
          </w:p>
        </w:tc>
        <w:tc>
          <w:tcPr>
            <w:tcW w:w="9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warrants vest by 1/48 per month from 13 April 2021.</w:t>
            </w:r>
          </w:p>
        </w:tc>
      </w:tr>
      <w:tr>
        <w:trPr>
          <w:trHeight w:val="324"/>
        </w:trPr>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11. May 2021</w:t>
            </w:r>
          </w:p>
        </w:tc>
        <w:tc>
          <w:tcPr>
            <w:tcW w:w="9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warrants vest by 1/48 per month from 11 May 2021.</w:t>
            </w:r>
          </w:p>
        </w:tc>
      </w:tr>
      <w:tr>
        <w:trPr>
          <w:trHeight w:val="324"/>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8.</w:t>
            </w:r>
          </w:p>
        </w:tc>
        <w:tc>
          <w:tcPr>
            <w:tcW w:w="1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June 2021</w:t>
            </w:r>
          </w:p>
        </w:tc>
        <w:tc>
          <w:tcPr>
            <w:tcW w:w="9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warrants vest by 1/48 per month from 8 June 2021.</w:t>
            </w:r>
          </w:p>
        </w:tc>
      </w:tr>
      <w:tr>
        <w:trPr>
          <w:trHeight w:val="324"/>
        </w:trPr>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13.</w:t>
            </w:r>
          </w:p>
        </w:tc>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July 2021</w:t>
            </w:r>
          </w:p>
        </w:tc>
        <w:tc>
          <w:tcPr>
            <w:tcW w:w="9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warrants vest by 1/48 per month from 13 July 2021.</w:t>
            </w:r>
          </w:p>
        </w:tc>
      </w:tr>
      <w:tr>
        <w:trPr>
          <w:trHeight w:val="324"/>
        </w:trPr>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10.</w:t>
            </w:r>
          </w:p>
        </w:tc>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August 2021</w:t>
            </w:r>
          </w:p>
        </w:tc>
        <w:tc>
          <w:tcPr>
            <w:tcW w:w="9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warrants vest by 1/48 per month from 10 August 2021.</w:t>
            </w:r>
          </w:p>
        </w:tc>
      </w:tr>
      <w:tr>
        <w:trPr>
          <w:trHeight w:val="324"/>
        </w:trPr>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14.</w:t>
            </w:r>
          </w:p>
        </w:tc>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September 2021</w:t>
            </w:r>
          </w:p>
        </w:tc>
        <w:tc>
          <w:tcPr>
            <w:tcW w:w="9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warrants vest by 1/48 per month from 14 September 2021.</w:t>
            </w:r>
          </w:p>
        </w:tc>
      </w:tr>
      <w:tr>
        <w:trPr>
          <w:trHeight w:val="324"/>
        </w:trPr>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12.</w:t>
            </w:r>
          </w:p>
        </w:tc>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October 2021</w:t>
            </w:r>
          </w:p>
        </w:tc>
        <w:tc>
          <w:tcPr>
            <w:tcW w:w="9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warrants vest by 1/48 per month from 12 October 2021.</w:t>
            </w:r>
          </w:p>
        </w:tc>
      </w:tr>
      <w:tr>
        <w:trPr>
          <w:trHeight w:val="324"/>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9.</w:t>
            </w:r>
          </w:p>
        </w:tc>
        <w:tc>
          <w:tcPr>
            <w:tcW w:w="1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November 2021</w:t>
            </w:r>
          </w:p>
        </w:tc>
        <w:tc>
          <w:tcPr>
            <w:tcW w:w="9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warrants vest by 1/48 per month from 9 November 2021.</w:t>
            </w:r>
          </w:p>
        </w:tc>
      </w:tr>
      <w:tr>
        <w:trPr>
          <w:trHeight w:val="306"/>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9.</w:t>
            </w:r>
          </w:p>
        </w:tc>
        <w:tc>
          <w:tcPr>
            <w:tcW w:w="1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2021</w:t>
            </w:r>
          </w:p>
        </w:tc>
        <w:tc>
          <w:tcPr>
            <w:tcW w:w="906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9"/>
              </w:rPr>
              <w:t>50 % of 12,212 warrants vest by 9 December 2022 and the remaining 50 % of the 12,212 warrants vest by 1/12 per month</w:t>
            </w:r>
          </w:p>
        </w:tc>
      </w:tr>
      <w:tr>
        <w:trPr>
          <w:trHeight w:val="234"/>
        </w:trPr>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9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from 9 December 2022.</w:t>
            </w:r>
          </w:p>
        </w:tc>
      </w:tr>
    </w:tbl>
    <w:p>
      <w:pPr>
        <w:spacing w:after="0" w:line="103" w:lineRule="exact"/>
        <w:rPr>
          <w:sz w:val="20"/>
          <w:szCs w:val="20"/>
          <w:color w:val="auto"/>
        </w:rPr>
      </w:pPr>
    </w:p>
    <w:p>
      <w:pPr>
        <w:ind w:left="1984" w:right="140"/>
        <w:spacing w:after="0" w:line="282" w:lineRule="auto"/>
        <w:rPr>
          <w:sz w:val="20"/>
          <w:szCs w:val="20"/>
          <w:color w:val="auto"/>
        </w:rPr>
      </w:pPr>
      <w:r>
        <w:rPr>
          <w:rFonts w:ascii="Times New Roman" w:cs="Times New Roman" w:eastAsia="Times New Roman" w:hAnsi="Times New Roman"/>
          <w:sz w:val="18"/>
          <w:szCs w:val="18"/>
          <w:color w:val="auto"/>
        </w:rPr>
        <w:t>25 % of 1,065,314 warrants vest by 9 December 2022 and the remaining 75 % of the 1,065,314 warrants vest by 1/36 per month from 9 December 2022.</w:t>
      </w:r>
    </w:p>
    <w:p>
      <w:pPr>
        <w:spacing w:after="0" w:line="67" w:lineRule="exact"/>
        <w:rPr>
          <w:sz w:val="20"/>
          <w:szCs w:val="20"/>
          <w:color w:val="auto"/>
        </w:rPr>
      </w:pPr>
    </w:p>
    <w:p>
      <w:pPr>
        <w:ind w:left="1984" w:hanging="1984"/>
        <w:spacing w:after="0" w:line="282" w:lineRule="auto"/>
        <w:tabs>
          <w:tab w:leader="none" w:pos="269"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December 202125 % of 28.930 warrants vest by 14 December 2022 and the remaining 75 % of the 28,930 warrants vest by 1/36 per month from 14 December 2022.</w:t>
      </w:r>
    </w:p>
    <w:p>
      <w:pPr>
        <w:sectPr>
          <w:pgSz w:w="11900" w:h="16838" w:orient="portrait"/>
          <w:cols w:equalWidth="0" w:num="1">
            <w:col w:w="10864"/>
          </w:cols>
          <w:pgMar w:left="436" w:top="272" w:right="599" w:bottom="1440" w:gutter="0" w:footer="0" w:header="0"/>
        </w:sectPr>
      </w:pPr>
    </w:p>
    <w:p>
      <w:pPr>
        <w:spacing w:after="0" w:line="5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11. January 2022</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25 % of 22,860 warrants vest by 11 January 2023 and the remaining 75 % of the 22,860 warrants vest by 1/36 per month from 11 January 2023.</w:t>
      </w:r>
    </w:p>
    <w:p>
      <w:pPr>
        <w:spacing w:after="0" w:line="94" w:lineRule="exact"/>
        <w:rPr>
          <w:sz w:val="20"/>
          <w:szCs w:val="20"/>
          <w:color w:val="auto"/>
        </w:rPr>
      </w:pPr>
    </w:p>
    <w:p>
      <w:pPr>
        <w:sectPr>
          <w:pgSz w:w="11900" w:h="16838" w:orient="portrait"/>
          <w:cols w:equalWidth="0" w:num="2">
            <w:col w:w="1264" w:space="720"/>
            <w:col w:w="8880"/>
          </w:cols>
          <w:pgMar w:left="436" w:top="272" w:right="599" w:bottom="1440" w:gutter="0" w:footer="0" w:header="0"/>
          <w:type w:val="continuous"/>
        </w:sectPr>
      </w:pPr>
    </w:p>
    <w:p>
      <w:pPr>
        <w:jc w:val="center"/>
        <w:ind w:right="-163"/>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0864"/>
          </w:cols>
          <w:pgMar w:left="436" w:top="272" w:right="599" w:bottom="1440" w:gutter="0" w:footer="0" w:header="0"/>
          <w:type w:val="continuous"/>
        </w:sectPr>
      </w:pPr>
    </w:p>
    <w:bookmarkStart w:id="61" w:name="page62"/>
    <w:bookmarkEnd w:id="61"/>
    <w:p>
      <w:pPr>
        <w:spacing w:after="0" w:line="5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D</w:t>
      </w:r>
      <w:r>
        <w:rPr>
          <w:rFonts w:ascii="Times New Roman" w:cs="Times New Roman" w:eastAsia="Times New Roman" w:hAnsi="Times New Roman"/>
          <w:sz w:val="13"/>
          <w:szCs w:val="13"/>
          <w:b w:val="1"/>
          <w:bCs w:val="1"/>
          <w:color w:val="auto"/>
        </w:rPr>
        <w:t>ATE</w:t>
      </w:r>
      <w:r>
        <w:rPr>
          <w:rFonts w:ascii="Times New Roman" w:cs="Times New Roman" w:eastAsia="Times New Roman" w:hAnsi="Times New Roman"/>
          <w:sz w:val="16"/>
          <w:szCs w:val="16"/>
          <w:b w:val="1"/>
          <w:bCs w:val="1"/>
          <w:color w:val="auto"/>
        </w:rPr>
        <w:t xml:space="preserve"> O</w:t>
      </w:r>
      <w:r>
        <w:rPr>
          <w:rFonts w:ascii="Times New Roman" w:cs="Times New Roman" w:eastAsia="Times New Roman" w:hAnsi="Times New Roman"/>
          <w:sz w:val="13"/>
          <w:szCs w:val="13"/>
          <w:b w:val="1"/>
          <w:bCs w:val="1"/>
          <w:color w:val="auto"/>
        </w:rPr>
        <w:t>F</w:t>
      </w:r>
      <w:r>
        <w:rPr>
          <w:rFonts w:ascii="Times New Roman" w:cs="Times New Roman" w:eastAsia="Times New Roman" w:hAnsi="Times New Roman"/>
          <w:sz w:val="16"/>
          <w:szCs w:val="16"/>
          <w:b w:val="1"/>
          <w:bCs w:val="1"/>
          <w:color w:val="auto"/>
        </w:rPr>
        <w:t xml:space="preserve"> G</w:t>
      </w:r>
      <w:r>
        <w:rPr>
          <w:rFonts w:ascii="Times New Roman" w:cs="Times New Roman" w:eastAsia="Times New Roman" w:hAnsi="Times New Roman"/>
          <w:sz w:val="13"/>
          <w:szCs w:val="13"/>
          <w:b w:val="1"/>
          <w:bCs w:val="1"/>
          <w:color w:val="auto"/>
        </w:rPr>
        <w:t>RANT</w:t>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V</w:t>
      </w:r>
      <w:r>
        <w:rPr>
          <w:rFonts w:ascii="Times New Roman" w:cs="Times New Roman" w:eastAsia="Times New Roman" w:hAnsi="Times New Roman"/>
          <w:sz w:val="13"/>
          <w:szCs w:val="13"/>
          <w:b w:val="1"/>
          <w:bCs w:val="1"/>
          <w:color w:val="auto"/>
        </w:rPr>
        <w:t>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-1340485</wp:posOffset>
            </wp:positionH>
            <wp:positionV relativeFrom="paragraph">
              <wp:posOffset>-200660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124" w:lineRule="exact"/>
        <w:rPr>
          <w:sz w:val="20"/>
          <w:szCs w:val="20"/>
          <w:color w:val="auto"/>
        </w:rPr>
      </w:pPr>
    </w:p>
    <w:p>
      <w:pPr>
        <w:sectPr>
          <w:pgSz w:w="11900" w:h="16891" w:orient="portrait"/>
          <w:cols w:equalWidth="0" w:num="2">
            <w:col w:w="1264" w:space="720"/>
            <w:col w:w="9000"/>
          </w:cols>
          <w:pgMar w:left="436" w:top="272" w:right="479" w:bottom="0" w:gutter="0" w:footer="0" w:header="0"/>
        </w:sectPr>
      </w:pPr>
    </w:p>
    <w:p>
      <w:pPr>
        <w:ind w:left="4"/>
        <w:spacing w:after="0"/>
        <w:rPr>
          <w:sz w:val="20"/>
          <w:szCs w:val="20"/>
          <w:color w:val="auto"/>
        </w:rPr>
      </w:pPr>
      <w:r>
        <w:rPr>
          <w:rFonts w:ascii="Times New Roman" w:cs="Times New Roman" w:eastAsia="Times New Roman" w:hAnsi="Times New Roman"/>
          <w:sz w:val="18"/>
          <w:szCs w:val="18"/>
          <w:color w:val="auto"/>
        </w:rPr>
        <w:t>8. February 2022</w:t>
      </w:r>
    </w:p>
    <w:p>
      <w:pPr>
        <w:spacing w:after="0" w:line="20" w:lineRule="exact"/>
        <w:rPr>
          <w:sz w:val="20"/>
          <w:szCs w:val="20"/>
          <w:color w:val="auto"/>
        </w:rPr>
      </w:pPr>
      <w:r>
        <w:rPr>
          <w:sz w:val="20"/>
          <w:szCs w:val="20"/>
          <w:color w:val="auto"/>
        </w:rPr>
        <w:br w:type="column"/>
      </w:r>
    </w:p>
    <w:p>
      <w:pPr>
        <w:ind w:right="300"/>
        <w:spacing w:after="0" w:line="282" w:lineRule="auto"/>
        <w:rPr>
          <w:sz w:val="20"/>
          <w:szCs w:val="20"/>
          <w:color w:val="auto"/>
        </w:rPr>
      </w:pPr>
      <w:r>
        <w:rPr>
          <w:rFonts w:ascii="Times New Roman" w:cs="Times New Roman" w:eastAsia="Times New Roman" w:hAnsi="Times New Roman"/>
          <w:sz w:val="18"/>
          <w:szCs w:val="18"/>
          <w:color w:val="auto"/>
        </w:rPr>
        <w:t>25 % of 17,740 warrants vest by 8 February 2023 and the remaining 75 % of the 17,740 warrants vest by 1/36 per month from 8 February 2023.</w:t>
      </w:r>
    </w:p>
    <w:p>
      <w:pPr>
        <w:spacing w:after="0" w:line="54" w:lineRule="exact"/>
        <w:rPr>
          <w:sz w:val="20"/>
          <w:szCs w:val="20"/>
          <w:color w:val="auto"/>
        </w:rPr>
      </w:pPr>
    </w:p>
    <w:p>
      <w:pPr>
        <w:sectPr>
          <w:pgSz w:w="11900" w:h="16891" w:orient="portrait"/>
          <w:cols w:equalWidth="0" w:num="2">
            <w:col w:w="1264" w:space="720"/>
            <w:col w:w="9000"/>
          </w:cols>
          <w:pgMar w:left="436" w:top="272" w:right="479" w:bottom="0" w:gutter="0" w:footer="0" w:header="0"/>
          <w:type w:val="continuous"/>
        </w:sectPr>
      </w:pPr>
    </w:p>
    <w:p>
      <w:pPr>
        <w:ind w:left="4"/>
        <w:spacing w:after="0"/>
        <w:rPr>
          <w:sz w:val="20"/>
          <w:szCs w:val="20"/>
          <w:color w:val="auto"/>
        </w:rPr>
      </w:pPr>
      <w:r>
        <w:rPr>
          <w:rFonts w:ascii="Times New Roman" w:cs="Times New Roman" w:eastAsia="Times New Roman" w:hAnsi="Times New Roman"/>
          <w:sz w:val="18"/>
          <w:szCs w:val="18"/>
          <w:color w:val="auto"/>
        </w:rPr>
        <w:t>8. March 2022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25 % of 26,350 warrants vest by 8 March 2023 and the remaining 75 % of the 26,350 warrants vest by 1/36 per month from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 March 2023.</w:t>
      </w:r>
    </w:p>
    <w:p>
      <w:pPr>
        <w:spacing w:after="0" w:line="99" w:lineRule="exact"/>
        <w:rPr>
          <w:sz w:val="20"/>
          <w:szCs w:val="20"/>
          <w:color w:val="auto"/>
        </w:rPr>
      </w:pPr>
    </w:p>
    <w:p>
      <w:pPr>
        <w:sectPr>
          <w:pgSz w:w="11900" w:h="16891" w:orient="portrait"/>
          <w:cols w:equalWidth="0" w:num="2">
            <w:col w:w="1264" w:space="720"/>
            <w:col w:w="9000"/>
          </w:cols>
          <w:pgMar w:left="436" w:top="272" w:right="479" w:bottom="0" w:gutter="0" w:footer="0" w:header="0"/>
          <w:type w:val="continuous"/>
        </w:sectPr>
      </w:pPr>
    </w:p>
    <w:p>
      <w:pPr>
        <w:ind w:left="4"/>
        <w:spacing w:after="0"/>
        <w:rPr>
          <w:sz w:val="20"/>
          <w:szCs w:val="20"/>
          <w:color w:val="auto"/>
        </w:rPr>
      </w:pPr>
      <w:r>
        <w:rPr>
          <w:rFonts w:ascii="Times New Roman" w:cs="Times New Roman" w:eastAsia="Times New Roman" w:hAnsi="Times New Roman"/>
          <w:sz w:val="17"/>
          <w:szCs w:val="17"/>
          <w:color w:val="auto"/>
        </w:rPr>
        <w:t>12. April 2022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25 % of 37,265 warrants vest by 12 April 2023 and the remaining 75 % of the 37,265 warrants vest by 1/36 per month from</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 April 2023.</w:t>
      </w:r>
    </w:p>
    <w:p>
      <w:pPr>
        <w:spacing w:after="0" w:line="99" w:lineRule="exact"/>
        <w:rPr>
          <w:sz w:val="20"/>
          <w:szCs w:val="20"/>
          <w:color w:val="auto"/>
        </w:rPr>
      </w:pPr>
    </w:p>
    <w:p>
      <w:pPr>
        <w:sectPr>
          <w:pgSz w:w="11900" w:h="16891" w:orient="portrait"/>
          <w:cols w:equalWidth="0" w:num="2">
            <w:col w:w="1264" w:space="720"/>
            <w:col w:w="9000"/>
          </w:cols>
          <w:pgMar w:left="436" w:top="272" w:right="479" w:bottom="0" w:gutter="0" w:footer="0" w:header="0"/>
          <w:type w:val="continuous"/>
        </w:sectPr>
      </w:pPr>
    </w:p>
    <w:p>
      <w:pPr>
        <w:ind w:left="4"/>
        <w:spacing w:after="0"/>
        <w:rPr>
          <w:sz w:val="20"/>
          <w:szCs w:val="20"/>
          <w:color w:val="auto"/>
        </w:rPr>
      </w:pPr>
      <w:r>
        <w:rPr>
          <w:rFonts w:ascii="Times New Roman" w:cs="Times New Roman" w:eastAsia="Times New Roman" w:hAnsi="Times New Roman"/>
          <w:sz w:val="17"/>
          <w:szCs w:val="17"/>
          <w:color w:val="auto"/>
        </w:rPr>
        <w:t>10. May 2022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25 % of 36,790 warrants vest by 10 May 2023 and the remaining 75 % of the 36,790 warrants vest by 1/36 per month from</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 May 2023.</w:t>
      </w:r>
    </w:p>
    <w:p>
      <w:pPr>
        <w:spacing w:after="0" w:line="99" w:lineRule="exact"/>
        <w:rPr>
          <w:sz w:val="20"/>
          <w:szCs w:val="20"/>
          <w:color w:val="auto"/>
        </w:rPr>
      </w:pPr>
    </w:p>
    <w:p>
      <w:pPr>
        <w:sectPr>
          <w:pgSz w:w="11900" w:h="16891" w:orient="portrait"/>
          <w:cols w:equalWidth="0" w:num="2">
            <w:col w:w="1264" w:space="720"/>
            <w:col w:w="9000"/>
          </w:cols>
          <w:pgMar w:left="436" w:top="272" w:right="479" w:bottom="0" w:gutter="0" w:footer="0" w:header="0"/>
          <w:type w:val="continuous"/>
        </w:sectPr>
      </w:pPr>
    </w:p>
    <w:p>
      <w:pPr>
        <w:ind w:left="4"/>
        <w:spacing w:after="0"/>
        <w:rPr>
          <w:sz w:val="20"/>
          <w:szCs w:val="20"/>
          <w:color w:val="auto"/>
        </w:rPr>
      </w:pPr>
      <w:r>
        <w:rPr>
          <w:rFonts w:ascii="Times New Roman" w:cs="Times New Roman" w:eastAsia="Times New Roman" w:hAnsi="Times New Roman"/>
          <w:sz w:val="17"/>
          <w:szCs w:val="17"/>
          <w:color w:val="auto"/>
        </w:rPr>
        <w:t>14. June 2022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25 % of 29,810 warrants vest by 14 June 2023 and the remaining 75 % of the 29,810 warrants vest by 1/36 per month from</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 June 2023.</w:t>
      </w:r>
    </w:p>
    <w:p>
      <w:pPr>
        <w:spacing w:after="0" w:line="99" w:lineRule="exact"/>
        <w:rPr>
          <w:sz w:val="20"/>
          <w:szCs w:val="20"/>
          <w:color w:val="auto"/>
        </w:rPr>
      </w:pPr>
    </w:p>
    <w:p>
      <w:pPr>
        <w:sectPr>
          <w:pgSz w:w="11900" w:h="16891" w:orient="portrait"/>
          <w:cols w:equalWidth="0" w:num="2">
            <w:col w:w="1264" w:space="720"/>
            <w:col w:w="9000"/>
          </w:cols>
          <w:pgMar w:left="436" w:top="272" w:right="479" w:bottom="0" w:gutter="0" w:footer="0" w:header="0"/>
          <w:type w:val="continuous"/>
        </w:sectPr>
      </w:pPr>
    </w:p>
    <w:p>
      <w:pPr>
        <w:ind w:left="4"/>
        <w:spacing w:after="0"/>
        <w:rPr>
          <w:sz w:val="20"/>
          <w:szCs w:val="20"/>
          <w:color w:val="auto"/>
        </w:rPr>
      </w:pPr>
      <w:r>
        <w:rPr>
          <w:rFonts w:ascii="Times New Roman" w:cs="Times New Roman" w:eastAsia="Times New Roman" w:hAnsi="Times New Roman"/>
          <w:sz w:val="18"/>
          <w:szCs w:val="18"/>
          <w:color w:val="auto"/>
        </w:rPr>
        <w:t>12. July 2022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25 % of 12,780 warrants vest by 12 July 2023 and the remaining 75 % of the 12,780 warrants vest by 1/36 per month from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 July 2023.</w:t>
      </w:r>
    </w:p>
    <w:p>
      <w:pPr>
        <w:spacing w:after="0" w:line="99" w:lineRule="exact"/>
        <w:rPr>
          <w:sz w:val="20"/>
          <w:szCs w:val="20"/>
          <w:color w:val="auto"/>
        </w:rPr>
      </w:pPr>
    </w:p>
    <w:p>
      <w:pPr>
        <w:sectPr>
          <w:pgSz w:w="11900" w:h="16891" w:orient="portrait"/>
          <w:cols w:equalWidth="0" w:num="2">
            <w:col w:w="1264" w:space="720"/>
            <w:col w:w="9000"/>
          </w:cols>
          <w:pgMar w:left="436" w:top="272" w:right="479" w:bottom="0" w:gutter="0" w:footer="0" w:header="0"/>
          <w:type w:val="continuous"/>
        </w:sectPr>
      </w:pPr>
    </w:p>
    <w:p>
      <w:pPr>
        <w:ind w:left="4"/>
        <w:spacing w:after="0"/>
        <w:rPr>
          <w:sz w:val="20"/>
          <w:szCs w:val="20"/>
          <w:color w:val="auto"/>
        </w:rPr>
      </w:pPr>
      <w:r>
        <w:rPr>
          <w:rFonts w:ascii="Times New Roman" w:cs="Times New Roman" w:eastAsia="Times New Roman" w:hAnsi="Times New Roman"/>
          <w:sz w:val="17"/>
          <w:szCs w:val="17"/>
          <w:color w:val="auto"/>
        </w:rPr>
        <w:t>9. August 2022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25 % of 23,165 warrants vest by 9 August 2023 and the remaining 75 % of the 23,165 warrants vest by 1/36 per month from</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 August 2023.</w:t>
      </w:r>
    </w:p>
    <w:p>
      <w:pPr>
        <w:spacing w:after="0" w:line="99" w:lineRule="exact"/>
        <w:rPr>
          <w:sz w:val="20"/>
          <w:szCs w:val="20"/>
          <w:color w:val="auto"/>
        </w:rPr>
      </w:pPr>
    </w:p>
    <w:p>
      <w:pPr>
        <w:sectPr>
          <w:pgSz w:w="11900" w:h="16891" w:orient="portrait"/>
          <w:cols w:equalWidth="0" w:num="2">
            <w:col w:w="1264" w:space="720"/>
            <w:col w:w="9000"/>
          </w:cols>
          <w:pgMar w:left="436" w:top="272" w:right="479" w:bottom="0" w:gutter="0" w:footer="0" w:header="0"/>
          <w:type w:val="continuous"/>
        </w:sectPr>
      </w:pPr>
    </w:p>
    <w:p>
      <w:pPr>
        <w:ind w:left="1984" w:right="80" w:hanging="1984"/>
        <w:spacing w:after="0" w:line="282" w:lineRule="auto"/>
        <w:tabs>
          <w:tab w:leader="none" w:pos="269"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September 202225 % of 51,590 warrants vest by 13 September 2023 and the remaining 75 % of the 51,590 warrants vest by 1/36 per month from 13 September 2023.</w:t>
      </w:r>
    </w:p>
    <w:p>
      <w:pPr>
        <w:sectPr>
          <w:pgSz w:w="11900" w:h="16891" w:orient="portrait"/>
          <w:cols w:equalWidth="0" w:num="1">
            <w:col w:w="10984"/>
          </w:cols>
          <w:pgMar w:left="436" w:top="272" w:right="479" w:bottom="0" w:gutter="0" w:footer="0" w:header="0"/>
          <w:type w:val="continuous"/>
        </w:sectPr>
      </w:pPr>
    </w:p>
    <w:p>
      <w:pPr>
        <w:spacing w:after="0" w:line="5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11. October 2022</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25 % of 30,042 warrants vest by 11 October 2023 and the remaining 75 % of the 30,042 warrants vest by 1/36 per month from 11 October 2023.</w:t>
      </w:r>
    </w:p>
    <w:p>
      <w:pPr>
        <w:spacing w:after="0" w:line="54" w:lineRule="exact"/>
        <w:rPr>
          <w:sz w:val="20"/>
          <w:szCs w:val="20"/>
          <w:color w:val="auto"/>
        </w:rPr>
      </w:pPr>
    </w:p>
    <w:p>
      <w:pPr>
        <w:sectPr>
          <w:pgSz w:w="11900" w:h="16891" w:orient="portrait"/>
          <w:cols w:equalWidth="0" w:num="2">
            <w:col w:w="1264" w:space="720"/>
            <w:col w:w="9000"/>
          </w:cols>
          <w:pgMar w:left="436" w:top="272" w:right="479" w:bottom="0" w:gutter="0" w:footer="0" w:header="0"/>
          <w:type w:val="continuous"/>
        </w:sectPr>
      </w:pPr>
    </w:p>
    <w:p>
      <w:pPr>
        <w:ind w:left="4"/>
        <w:spacing w:after="0"/>
        <w:rPr>
          <w:sz w:val="20"/>
          <w:szCs w:val="20"/>
          <w:color w:val="auto"/>
        </w:rPr>
      </w:pPr>
      <w:r>
        <w:rPr>
          <w:rFonts w:ascii="Times New Roman" w:cs="Times New Roman" w:eastAsia="Times New Roman" w:hAnsi="Times New Roman"/>
          <w:sz w:val="17"/>
          <w:szCs w:val="17"/>
          <w:color w:val="auto"/>
        </w:rPr>
        <w:t>8. November 2022</w:t>
      </w:r>
    </w:p>
    <w:p>
      <w:pPr>
        <w:spacing w:after="0" w:line="20" w:lineRule="exact"/>
        <w:rPr>
          <w:sz w:val="20"/>
          <w:szCs w:val="20"/>
          <w:color w:val="auto"/>
        </w:rPr>
      </w:pPr>
      <w:r>
        <w:rPr>
          <w:sz w:val="20"/>
          <w:szCs w:val="20"/>
          <w:color w:val="auto"/>
        </w:rPr>
        <w:br w:type="column"/>
      </w:r>
    </w:p>
    <w:p>
      <w:pPr>
        <w:ind w:right="180"/>
        <w:spacing w:after="0" w:line="282" w:lineRule="auto"/>
        <w:rPr>
          <w:sz w:val="20"/>
          <w:szCs w:val="20"/>
          <w:color w:val="auto"/>
        </w:rPr>
      </w:pPr>
      <w:r>
        <w:rPr>
          <w:rFonts w:ascii="Times New Roman" w:cs="Times New Roman" w:eastAsia="Times New Roman" w:hAnsi="Times New Roman"/>
          <w:sz w:val="18"/>
          <w:szCs w:val="18"/>
          <w:color w:val="auto"/>
        </w:rPr>
        <w:t>25 % of 24,490 warrants vest by 8 November 2023 and the remaining 75 % of the 24,490 warrants vest by 1/36 per month from 8 November 2023.</w:t>
      </w:r>
    </w:p>
    <w:p>
      <w:pPr>
        <w:spacing w:after="0" w:line="54" w:lineRule="exact"/>
        <w:rPr>
          <w:sz w:val="20"/>
          <w:szCs w:val="20"/>
          <w:color w:val="auto"/>
        </w:rPr>
      </w:pPr>
    </w:p>
    <w:p>
      <w:pPr>
        <w:sectPr>
          <w:pgSz w:w="11900" w:h="16891" w:orient="portrait"/>
          <w:cols w:equalWidth="0" w:num="2">
            <w:col w:w="1344" w:space="640"/>
            <w:col w:w="9000"/>
          </w:cols>
          <w:pgMar w:left="436" w:top="272" w:right="479" w:bottom="0" w:gutter="0" w:footer="0" w:header="0"/>
          <w:type w:val="continuous"/>
        </w:sectPr>
      </w:pPr>
    </w:p>
    <w:p>
      <w:pPr>
        <w:ind w:left="1984" w:right="120" w:hanging="1984"/>
        <w:spacing w:after="0" w:line="282" w:lineRule="auto"/>
        <w:tabs>
          <w:tab w:leader="none" w:pos="269"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December 202225 % of 44,210 warrants vest by 13 December 2023 and the remaining 75 % of the 44,210 warrants vest by 1/36 per month from 13 December 2023.</w:t>
      </w:r>
    </w:p>
    <w:p>
      <w:pPr>
        <w:spacing w:after="0" w:line="54" w:lineRule="exact"/>
        <w:rPr>
          <w:sz w:val="20"/>
          <w:szCs w:val="20"/>
          <w:color w:val="auto"/>
        </w:rPr>
      </w:pPr>
    </w:p>
    <w:tbl>
      <w:tblPr>
        <w:tblLayout w:type="fixed"/>
        <w:tblInd w:w="4" w:type="dxa"/>
        <w:tblCellMar>
          <w:top w:w="0" w:type="dxa"/>
          <w:left w:w="0" w:type="dxa"/>
          <w:bottom w:w="0" w:type="dxa"/>
          <w:right w:w="0" w:type="dxa"/>
        </w:tblCellMar>
      </w:tblPr>
      <w:tr>
        <w:trPr>
          <w:trHeight w:val="216"/>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w w:val="97"/>
              </w:rPr>
              <w:t>10.</w:t>
            </w:r>
          </w:p>
        </w:tc>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January 2023</w:t>
            </w:r>
          </w:p>
        </w:tc>
        <w:tc>
          <w:tcPr>
            <w:tcW w:w="9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25 % of 47,365 warrants vest by 10 January 2024 and the remaining 75 % of the 47,365 warrants vest by 1/36 per month</w:t>
            </w:r>
          </w:p>
        </w:tc>
      </w:tr>
      <w:tr>
        <w:trPr>
          <w:trHeight w:val="234"/>
        </w:trPr>
        <w:tc>
          <w:tcPr>
            <w:tcW w:w="2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from 10 January 2024.</w:t>
            </w:r>
          </w:p>
        </w:tc>
      </w:tr>
      <w:tr>
        <w:trPr>
          <w:trHeight w:val="306"/>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w w:val="97"/>
              </w:rPr>
              <w:t>14.</w:t>
            </w:r>
          </w:p>
        </w:tc>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2023</w:t>
            </w:r>
          </w:p>
        </w:tc>
        <w:tc>
          <w:tcPr>
            <w:tcW w:w="9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25 % of 36,480 warrants vest by 14 February 2024 and the remaining 75 % of the 36,480 warrants vest by 1/36 per month</w:t>
            </w:r>
          </w:p>
        </w:tc>
      </w:tr>
      <w:tr>
        <w:trPr>
          <w:trHeight w:val="234"/>
        </w:trPr>
        <w:tc>
          <w:tcPr>
            <w:tcW w:w="2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from 14 February 2024.</w:t>
            </w:r>
          </w:p>
        </w:tc>
      </w:tr>
      <w:tr>
        <w:trPr>
          <w:trHeight w:val="306"/>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w w:val="97"/>
              </w:rPr>
              <w:t>14.</w:t>
            </w:r>
          </w:p>
        </w:tc>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2023</w:t>
            </w:r>
          </w:p>
        </w:tc>
        <w:tc>
          <w:tcPr>
            <w:tcW w:w="932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9"/>
              </w:rPr>
              <w:t>25 % of 29,740 warrants vest by 14 March 2024 and the remaining 75 % of the 29,740 warrants vest by 1/36 per month from</w:t>
            </w:r>
          </w:p>
        </w:tc>
      </w:tr>
      <w:tr>
        <w:trPr>
          <w:trHeight w:val="234"/>
        </w:trPr>
        <w:tc>
          <w:tcPr>
            <w:tcW w:w="2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14 March 2024.</w:t>
            </w:r>
          </w:p>
        </w:tc>
      </w:tr>
      <w:tr>
        <w:trPr>
          <w:trHeight w:val="306"/>
        </w:trPr>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11. April 2023</w:t>
            </w:r>
          </w:p>
        </w:tc>
        <w:tc>
          <w:tcPr>
            <w:tcW w:w="9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25 % of 52,210 warrants vest by 11 April 2024 and the remaining 75 % of the 52,210 warrants vest by 1/36 per month from</w:t>
            </w:r>
          </w:p>
        </w:tc>
      </w:tr>
      <w:tr>
        <w:trPr>
          <w:trHeight w:val="234"/>
        </w:trPr>
        <w:tc>
          <w:tcPr>
            <w:tcW w:w="2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11 April 2024.</w:t>
            </w:r>
          </w:p>
        </w:tc>
      </w:tr>
      <w:tr>
        <w:trPr>
          <w:trHeight w:val="306"/>
        </w:trPr>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9. May 2023</w:t>
            </w:r>
          </w:p>
        </w:tc>
        <w:tc>
          <w:tcPr>
            <w:tcW w:w="9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25 % of 31,250 warrants vest by 9 May 2024 and the remaining 75 % of the 31,250 warrants vest by 1/36 per month from</w:t>
            </w:r>
          </w:p>
        </w:tc>
      </w:tr>
      <w:tr>
        <w:trPr>
          <w:trHeight w:val="234"/>
        </w:trPr>
        <w:tc>
          <w:tcPr>
            <w:tcW w:w="2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9 May 2024.</w:t>
            </w:r>
          </w:p>
        </w:tc>
      </w:tr>
      <w:tr>
        <w:trPr>
          <w:trHeight w:val="306"/>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w w:val="97"/>
              </w:rPr>
              <w:t>13.</w:t>
            </w:r>
          </w:p>
        </w:tc>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June 2023</w:t>
            </w:r>
          </w:p>
        </w:tc>
        <w:tc>
          <w:tcPr>
            <w:tcW w:w="9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25 % of 77,000 warrants vest by 13 June 2024 and the remaining 75 % of the 77,000 warrants vest by 1/36 per month from</w:t>
            </w:r>
          </w:p>
        </w:tc>
      </w:tr>
      <w:tr>
        <w:trPr>
          <w:trHeight w:val="234"/>
        </w:trPr>
        <w:tc>
          <w:tcPr>
            <w:tcW w:w="2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13 June 2024.</w:t>
            </w:r>
          </w:p>
        </w:tc>
      </w:tr>
      <w:tr>
        <w:trPr>
          <w:trHeight w:val="306"/>
        </w:trPr>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11. July 2023</w:t>
            </w:r>
          </w:p>
        </w:tc>
        <w:tc>
          <w:tcPr>
            <w:tcW w:w="9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25 % of 24,220 warrants vest by 11 July 2024 and the remaining 75 % of the 24,220 warrants vest by 1/36 per month from</w:t>
            </w:r>
          </w:p>
        </w:tc>
      </w:tr>
      <w:tr>
        <w:trPr>
          <w:trHeight w:val="234"/>
        </w:trPr>
        <w:tc>
          <w:tcPr>
            <w:tcW w:w="2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11 July 2024.</w:t>
            </w:r>
          </w:p>
        </w:tc>
      </w:tr>
      <w:tr>
        <w:trPr>
          <w:trHeight w:val="306"/>
        </w:trPr>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8. August 2023</w:t>
            </w:r>
          </w:p>
        </w:tc>
        <w:tc>
          <w:tcPr>
            <w:tcW w:w="9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25 % of 12,410 warrants vest by 8 August 2024 and the remaining 75 % of the 12,410 warrants vest by 1/36 per month from</w:t>
            </w:r>
          </w:p>
        </w:tc>
      </w:tr>
      <w:tr>
        <w:trPr>
          <w:trHeight w:val="234"/>
        </w:trPr>
        <w:tc>
          <w:tcPr>
            <w:tcW w:w="2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8 August 2024.</w:t>
            </w:r>
          </w:p>
        </w:tc>
      </w:tr>
    </w:tbl>
    <w:p>
      <w:pPr>
        <w:spacing w:after="0" w:line="90" w:lineRule="exact"/>
        <w:rPr>
          <w:sz w:val="20"/>
          <w:szCs w:val="20"/>
          <w:color w:val="auto"/>
        </w:rPr>
      </w:pPr>
    </w:p>
    <w:p>
      <w:pPr>
        <w:ind w:left="1984" w:right="80" w:hanging="1984"/>
        <w:spacing w:after="0" w:line="282" w:lineRule="auto"/>
        <w:tabs>
          <w:tab w:leader="none" w:pos="269"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September 202325 % of 22,430 warrants vest by 12 September 2024 and the remaining 75 % of the 22,430 warrants vest by 1/36 per month from 12 September 2024.</w:t>
      </w:r>
    </w:p>
    <w:p>
      <w:pPr>
        <w:sectPr>
          <w:pgSz w:w="11900" w:h="16891" w:orient="portrait"/>
          <w:cols w:equalWidth="0" w:num="1">
            <w:col w:w="10984"/>
          </w:cols>
          <w:pgMar w:left="436" w:top="272" w:right="479" w:bottom="0" w:gutter="0" w:footer="0" w:header="0"/>
          <w:type w:val="continuous"/>
        </w:sectPr>
      </w:pPr>
    </w:p>
    <w:p>
      <w:pPr>
        <w:spacing w:after="0" w:line="5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10. October 2023</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25 % of 24,910 warrants vest by 10 October 2024 and the remaining 75 % of the 24,910 warrants vest by 1/36 per month from 10 October 2024.</w:t>
      </w:r>
    </w:p>
    <w:p>
      <w:pPr>
        <w:spacing w:after="0" w:line="54" w:lineRule="exact"/>
        <w:rPr>
          <w:sz w:val="20"/>
          <w:szCs w:val="20"/>
          <w:color w:val="auto"/>
        </w:rPr>
      </w:pPr>
    </w:p>
    <w:p>
      <w:pPr>
        <w:sectPr>
          <w:pgSz w:w="11900" w:h="16891" w:orient="portrait"/>
          <w:cols w:equalWidth="0" w:num="2">
            <w:col w:w="1264" w:space="720"/>
            <w:col w:w="9000"/>
          </w:cols>
          <w:pgMar w:left="436" w:top="272" w:right="479" w:bottom="0" w:gutter="0" w:footer="0" w:header="0"/>
          <w:type w:val="continuous"/>
        </w:sectPr>
      </w:pPr>
    </w:p>
    <w:p>
      <w:pPr>
        <w:ind w:left="1984" w:right="180" w:hanging="1984"/>
        <w:spacing w:after="0" w:line="282" w:lineRule="auto"/>
        <w:tabs>
          <w:tab w:leader="none" w:pos="269"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November 202325% of 12,170 warrants vest by 14 November 2024 and the remaining 75% of the 12,170 warrants vest by 1/36 per month from 14 November 2024.</w:t>
      </w:r>
    </w:p>
    <w:p>
      <w:pPr>
        <w:spacing w:after="0" w:line="54" w:lineRule="exact"/>
        <w:rPr>
          <w:sz w:val="20"/>
          <w:szCs w:val="20"/>
          <w:color w:val="auto"/>
        </w:rPr>
      </w:pPr>
    </w:p>
    <w:p>
      <w:pPr>
        <w:ind w:left="1984" w:right="120" w:hanging="1984"/>
        <w:spacing w:after="0" w:line="282" w:lineRule="auto"/>
        <w:tabs>
          <w:tab w:leader="none" w:pos="269"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December 202325 % of 25,090 warrants vest by 12 December 2024 and the remaining 75 % of the 25,090 warrants vest by 1/36 per month from 12 December 2024.</w:t>
      </w:r>
    </w:p>
    <w:p>
      <w:pPr>
        <w:spacing w:after="0" w:line="54" w:lineRule="exact"/>
        <w:rPr>
          <w:sz w:val="20"/>
          <w:szCs w:val="20"/>
          <w:color w:val="auto"/>
        </w:rPr>
      </w:pPr>
    </w:p>
    <w:tbl>
      <w:tblPr>
        <w:tblLayout w:type="fixed"/>
        <w:tblInd w:w="4" w:type="dxa"/>
        <w:tblCellMar>
          <w:top w:w="0" w:type="dxa"/>
          <w:left w:w="0" w:type="dxa"/>
          <w:bottom w:w="0" w:type="dxa"/>
          <w:right w:w="0" w:type="dxa"/>
        </w:tblCellMar>
      </w:tblPr>
      <w:tr>
        <w:trPr>
          <w:trHeight w:val="216"/>
        </w:trPr>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9. January 2024</w:t>
            </w:r>
          </w:p>
        </w:tc>
        <w:tc>
          <w:tcPr>
            <w:tcW w:w="932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9"/>
              </w:rPr>
              <w:t>25 % of 37,380 warrants vest by 9 January 2025 and the remaining 75 % of the 37,380 warrants vest by 1/36 per month from</w:t>
            </w:r>
          </w:p>
        </w:tc>
      </w:tr>
      <w:tr>
        <w:trPr>
          <w:trHeight w:val="234"/>
        </w:trPr>
        <w:tc>
          <w:tcPr>
            <w:tcW w:w="2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9 January 2025.</w:t>
            </w:r>
          </w:p>
        </w:tc>
      </w:tr>
      <w:tr>
        <w:trPr>
          <w:trHeight w:val="306"/>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w w:val="97"/>
              </w:rPr>
              <w:t>13.</w:t>
            </w:r>
          </w:p>
        </w:tc>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2024</w:t>
            </w:r>
          </w:p>
        </w:tc>
        <w:tc>
          <w:tcPr>
            <w:tcW w:w="9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25 % of 14,320 warrants vest by 13 February 2025 and the remaining 75 % of the 14,320 warrants vest by 1/36 per month</w:t>
            </w:r>
          </w:p>
        </w:tc>
      </w:tr>
      <w:tr>
        <w:trPr>
          <w:trHeight w:val="234"/>
        </w:trPr>
        <w:tc>
          <w:tcPr>
            <w:tcW w:w="2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from 13 February 2025.</w:t>
            </w:r>
          </w:p>
        </w:tc>
      </w:tr>
      <w:tr>
        <w:trPr>
          <w:trHeight w:val="306"/>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w w:val="97"/>
              </w:rPr>
              <w:t>12.</w:t>
            </w:r>
          </w:p>
        </w:tc>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2024</w:t>
            </w:r>
          </w:p>
        </w:tc>
        <w:tc>
          <w:tcPr>
            <w:tcW w:w="932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9"/>
              </w:rPr>
              <w:t>25 % of 37,680 warrants vest by 12 March 2025 and the remaining 75 % of the 37,680 warrants vest by 1/36 per month from</w:t>
            </w:r>
          </w:p>
        </w:tc>
      </w:tr>
      <w:tr>
        <w:trPr>
          <w:trHeight w:val="234"/>
        </w:trPr>
        <w:tc>
          <w:tcPr>
            <w:tcW w:w="2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12 March 2025.</w:t>
            </w:r>
          </w:p>
        </w:tc>
      </w:tr>
      <w:tr>
        <w:trPr>
          <w:trHeight w:val="306"/>
        </w:trPr>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9. April 2024</w:t>
            </w:r>
          </w:p>
        </w:tc>
        <w:tc>
          <w:tcPr>
            <w:tcW w:w="9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25 % of 51,905 warrants vest by 9 April 2025 and the remaining 75 % of the 51,905 warrants vest by 1/36 per month from</w:t>
            </w:r>
          </w:p>
        </w:tc>
      </w:tr>
      <w:tr>
        <w:trPr>
          <w:trHeight w:val="234"/>
        </w:trPr>
        <w:tc>
          <w:tcPr>
            <w:tcW w:w="2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9 April 2025.</w:t>
            </w:r>
          </w:p>
        </w:tc>
      </w:tr>
      <w:tr>
        <w:trPr>
          <w:trHeight w:val="306"/>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w w:val="97"/>
              </w:rPr>
              <w:t>15.</w:t>
            </w:r>
          </w:p>
        </w:tc>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2024</w:t>
            </w:r>
          </w:p>
        </w:tc>
        <w:tc>
          <w:tcPr>
            <w:tcW w:w="9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25 % of 38,335 warrants vest by 15 May 2025 and the remaining 75 % of the 38,335 warrants vest by 1/36 per month from</w:t>
            </w:r>
          </w:p>
        </w:tc>
      </w:tr>
      <w:tr>
        <w:trPr>
          <w:trHeight w:val="234"/>
        </w:trPr>
        <w:tc>
          <w:tcPr>
            <w:tcW w:w="2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15 May 2025.</w:t>
            </w:r>
          </w:p>
        </w:tc>
      </w:tr>
      <w:tr>
        <w:trPr>
          <w:trHeight w:val="306"/>
        </w:trPr>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11. June 2024</w:t>
            </w:r>
          </w:p>
        </w:tc>
        <w:tc>
          <w:tcPr>
            <w:tcW w:w="9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25 % of 18,235 warrants vest by 11 June 2025 and the remaining 75 % of the 18,235 warrants vest by 1/36 per month from</w:t>
            </w:r>
          </w:p>
        </w:tc>
      </w:tr>
      <w:tr>
        <w:trPr>
          <w:trHeight w:val="234"/>
        </w:trPr>
        <w:tc>
          <w:tcPr>
            <w:tcW w:w="2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11 June 2025.</w:t>
            </w:r>
          </w:p>
        </w:tc>
      </w:tr>
      <w:tr>
        <w:trPr>
          <w:trHeight w:val="306"/>
        </w:trPr>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9. July 2024</w:t>
            </w:r>
          </w:p>
        </w:tc>
        <w:tc>
          <w:tcPr>
            <w:tcW w:w="9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25 % of 32,900 warrants vest by 9 July 2025 and the remaining 75 % of the 32,900 warrants vest by 1/36 per month from</w:t>
            </w:r>
          </w:p>
        </w:tc>
      </w:tr>
      <w:tr>
        <w:trPr>
          <w:trHeight w:val="234"/>
        </w:trPr>
        <w:tc>
          <w:tcPr>
            <w:tcW w:w="2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9 July 2025.</w:t>
            </w:r>
          </w:p>
        </w:tc>
      </w:tr>
    </w:tbl>
    <w:p>
      <w:pPr>
        <w:sectPr>
          <w:pgSz w:w="11900" w:h="16891" w:orient="portrait"/>
          <w:cols w:equalWidth="0" w:num="1">
            <w:col w:w="10984"/>
          </w:cols>
          <w:pgMar w:left="436" w:top="272" w:right="479" w:bottom="0" w:gutter="0" w:footer="0" w:header="0"/>
          <w:type w:val="continuous"/>
        </w:sectPr>
      </w:pPr>
    </w:p>
    <w:bookmarkStart w:id="62" w:name="page63"/>
    <w:bookmarkEnd w:id="62"/>
    <w:p>
      <w:pPr>
        <w:ind w:left="4"/>
        <w:spacing w:after="0"/>
        <w:rPr>
          <w:sz w:val="20"/>
          <w:szCs w:val="20"/>
          <w:color w:val="auto"/>
        </w:rPr>
      </w:pPr>
      <w:r>
        <w:rPr>
          <w:rFonts w:ascii="Times New Roman" w:cs="Times New Roman" w:eastAsia="Times New Roman" w:hAnsi="Times New Roman"/>
          <w:sz w:val="17"/>
          <w:szCs w:val="17"/>
          <w:color w:val="auto"/>
        </w:rPr>
        <w:t>13. August 2024</w:t>
      </w:r>
    </w:p>
    <w:p>
      <w:pPr>
        <w:spacing w:after="0" w:line="20" w:lineRule="exact"/>
        <w:rPr>
          <w:sz w:val="20"/>
          <w:szCs w:val="20"/>
          <w:color w:val="auto"/>
        </w:rPr>
      </w:pPr>
      <w:r>
        <w:rPr>
          <w:sz w:val="20"/>
          <w:szCs w:val="20"/>
          <w:color w:val="auto"/>
        </w:rPr>
        <w:br w:type="column"/>
      </w:r>
    </w:p>
    <w:p>
      <w:pPr>
        <w:ind w:right="360"/>
        <w:spacing w:after="0" w:line="282" w:lineRule="auto"/>
        <w:rPr>
          <w:sz w:val="20"/>
          <w:szCs w:val="20"/>
          <w:color w:val="auto"/>
        </w:rPr>
      </w:pPr>
      <w:r>
        <w:rPr>
          <w:rFonts w:ascii="Times New Roman" w:cs="Times New Roman" w:eastAsia="Times New Roman" w:hAnsi="Times New Roman"/>
          <w:sz w:val="18"/>
          <w:szCs w:val="18"/>
          <w:color w:val="auto"/>
        </w:rPr>
        <w:t>25 % of 36,805 warrants vest by 13 August 2025 and the remaining 75 % of the 36,805 warrants vest by 1/36 per month from 13 August 2025.</w:t>
      </w:r>
    </w:p>
    <w:p>
      <w:pPr>
        <w:spacing w:after="0" w:line="54" w:lineRule="exact"/>
        <w:rPr>
          <w:sz w:val="20"/>
          <w:szCs w:val="20"/>
          <w:color w:val="auto"/>
        </w:rPr>
      </w:pPr>
    </w:p>
    <w:p>
      <w:pPr>
        <w:sectPr>
          <w:pgSz w:w="11900" w:h="16838" w:orient="portrait"/>
          <w:cols w:equalWidth="0" w:num="2">
            <w:col w:w="1264" w:space="720"/>
            <w:col w:w="9020"/>
          </w:cols>
          <w:pgMar w:left="436" w:top="202" w:right="459" w:bottom="1440" w:gutter="0" w:footer="0" w:header="0"/>
        </w:sectPr>
      </w:pPr>
    </w:p>
    <w:p>
      <w:pPr>
        <w:ind w:left="1984" w:right="100" w:hanging="1984"/>
        <w:spacing w:after="0" w:line="282" w:lineRule="auto"/>
        <w:tabs>
          <w:tab w:leader="none" w:pos="269"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September 202425 % of 97,660 warrants vest by 10 September 2025 and the remaining 75 % of the 97,660 warrants vest by 1/36 per month from 10 September 2025.</w:t>
      </w:r>
    </w:p>
    <w:p>
      <w:pPr>
        <w:sectPr>
          <w:pgSz w:w="11900" w:h="16838" w:orient="portrait"/>
          <w:cols w:equalWidth="0" w:num="1">
            <w:col w:w="11004"/>
          </w:cols>
          <w:pgMar w:left="436" w:top="202" w:right="459" w:bottom="1440" w:gutter="0" w:footer="0" w:header="0"/>
          <w:type w:val="continuous"/>
        </w:sectPr>
      </w:pPr>
    </w:p>
    <w:p>
      <w:pPr>
        <w:spacing w:after="0" w:line="5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8. October 2024</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25 % of 26,280 warrants vest by 8 October 2025 and the remaining 75 % of the 26,280 warrants vest by 1/36 per month from</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 October 2025.</w:t>
      </w:r>
    </w:p>
    <w:p>
      <w:pPr>
        <w:spacing w:after="0" w:line="99" w:lineRule="exact"/>
        <w:rPr>
          <w:sz w:val="20"/>
          <w:szCs w:val="20"/>
          <w:color w:val="auto"/>
        </w:rPr>
      </w:pPr>
    </w:p>
    <w:p>
      <w:pPr>
        <w:sectPr>
          <w:pgSz w:w="11900" w:h="16838" w:orient="portrait"/>
          <w:cols w:equalWidth="0" w:num="2">
            <w:col w:w="1264" w:space="720"/>
            <w:col w:w="9020"/>
          </w:cols>
          <w:pgMar w:left="436" w:top="202" w:right="459" w:bottom="1440" w:gutter="0" w:footer="0" w:header="0"/>
          <w:type w:val="continuous"/>
        </w:sectPr>
      </w:pPr>
    </w:p>
    <w:p>
      <w:pPr>
        <w:ind w:left="1984" w:right="120" w:hanging="1984"/>
        <w:spacing w:after="0" w:line="282" w:lineRule="auto"/>
        <w:tabs>
          <w:tab w:leader="none" w:pos="269"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November 202425 % of 58,180 warrants vest by 12 November 2025 and the remaining 75 % of the 58,180 warrants vest by 1/36 per month from 12 November 2025.</w:t>
      </w:r>
    </w:p>
    <w:p>
      <w:pPr>
        <w:spacing w:after="0" w:line="54" w:lineRule="exact"/>
        <w:rPr>
          <w:sz w:val="20"/>
          <w:szCs w:val="20"/>
          <w:color w:val="auto"/>
        </w:rPr>
      </w:pPr>
    </w:p>
    <w:p>
      <w:pPr>
        <w:ind w:left="1984" w:right="140" w:hanging="1984"/>
        <w:spacing w:after="0" w:line="282" w:lineRule="auto"/>
        <w:tabs>
          <w:tab w:leader="none" w:pos="269"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December 202425 % of 54,425 warrants vest by 10 December 2025 and the remaining 75 % of the 54,425 warrants vest by 1/36 per month from 10 December 2025.</w:t>
      </w:r>
    </w:p>
    <w:p>
      <w:pPr>
        <w:spacing w:after="0" w:line="54" w:lineRule="exact"/>
        <w:rPr>
          <w:sz w:val="20"/>
          <w:szCs w:val="20"/>
          <w:color w:val="auto"/>
        </w:rPr>
      </w:pPr>
    </w:p>
    <w:tbl>
      <w:tblPr>
        <w:tblLayout w:type="fixed"/>
        <w:tblInd w:w="4" w:type="dxa"/>
        <w:tblCellMar>
          <w:top w:w="0" w:type="dxa"/>
          <w:left w:w="0" w:type="dxa"/>
          <w:bottom w:w="0" w:type="dxa"/>
          <w:right w:w="0" w:type="dxa"/>
        </w:tblCellMar>
      </w:tblPr>
      <w:tr>
        <w:trPr>
          <w:trHeight w:val="216"/>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w w:val="97"/>
              </w:rPr>
              <w:t>14.</w:t>
            </w:r>
          </w:p>
        </w:tc>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January 2025</w:t>
            </w:r>
          </w:p>
        </w:tc>
        <w:tc>
          <w:tcPr>
            <w:tcW w:w="9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25 % of 82,103 warrants vest by 14 January 2026 and the remaining 75 % of the 82,103 warrants vest by 1/36 per month</w:t>
            </w:r>
          </w:p>
        </w:tc>
      </w:tr>
      <w:tr>
        <w:trPr>
          <w:trHeight w:val="234"/>
        </w:trPr>
        <w:tc>
          <w:tcPr>
            <w:tcW w:w="2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from 14 January 2026.</w:t>
            </w:r>
          </w:p>
        </w:tc>
      </w:tr>
      <w:tr>
        <w:trPr>
          <w:trHeight w:val="306"/>
        </w:trPr>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11. February 2025</w:t>
            </w:r>
          </w:p>
        </w:tc>
        <w:tc>
          <w:tcPr>
            <w:tcW w:w="9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25 % of 31,040 warrants vest by 11 February 2026 and the remaining 75 % of the 31,040 warrants vest by 1/36 per month</w:t>
            </w:r>
          </w:p>
        </w:tc>
      </w:tr>
      <w:tr>
        <w:trPr>
          <w:trHeight w:val="234"/>
        </w:trPr>
        <w:tc>
          <w:tcPr>
            <w:tcW w:w="2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from 11 February 2026.</w:t>
            </w:r>
          </w:p>
        </w:tc>
      </w:tr>
      <w:tr>
        <w:trPr>
          <w:trHeight w:val="306"/>
        </w:trPr>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11. March 2025</w:t>
            </w:r>
          </w:p>
        </w:tc>
        <w:tc>
          <w:tcPr>
            <w:tcW w:w="932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9"/>
              </w:rPr>
              <w:t>25 % of 35,520 warrants vest by 11 March 2026 and the remaining 75 % of the 35,520 warrants vest by 1/36 per month from</w:t>
            </w:r>
          </w:p>
        </w:tc>
      </w:tr>
      <w:tr>
        <w:trPr>
          <w:trHeight w:val="234"/>
        </w:trPr>
        <w:tc>
          <w:tcPr>
            <w:tcW w:w="2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11 March 2026.</w:t>
            </w:r>
          </w:p>
        </w:tc>
      </w:tr>
      <w:tr>
        <w:trPr>
          <w:trHeight w:val="306"/>
        </w:trPr>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8. April 2025</w:t>
            </w:r>
          </w:p>
        </w:tc>
        <w:tc>
          <w:tcPr>
            <w:tcW w:w="9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25 % of 36,760 warrants vest by 8 April 2026 and the remaining 75 % of the 36,760 warrants vest by 1/36 per month from 8</w:t>
            </w:r>
          </w:p>
        </w:tc>
      </w:tr>
      <w:tr>
        <w:trPr>
          <w:trHeight w:val="234"/>
        </w:trPr>
        <w:tc>
          <w:tcPr>
            <w:tcW w:w="2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April 2026.</w:t>
            </w:r>
          </w:p>
        </w:tc>
      </w:tr>
      <w:tr>
        <w:trPr>
          <w:trHeight w:val="306"/>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w w:val="97"/>
              </w:rPr>
              <w:t>13.</w:t>
            </w:r>
          </w:p>
        </w:tc>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2025</w:t>
            </w:r>
          </w:p>
        </w:tc>
        <w:tc>
          <w:tcPr>
            <w:tcW w:w="9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25 % of 36,390 warrants vest by 13 May 2026 and the remaining 75 % of the 36,390 warrants vest by 1/36 per month from</w:t>
            </w:r>
          </w:p>
        </w:tc>
      </w:tr>
      <w:tr>
        <w:trPr>
          <w:trHeight w:val="234"/>
        </w:trPr>
        <w:tc>
          <w:tcPr>
            <w:tcW w:w="2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13 May 2026.</w:t>
            </w:r>
          </w:p>
        </w:tc>
      </w:tr>
      <w:tr>
        <w:trPr>
          <w:trHeight w:val="306"/>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w w:val="97"/>
              </w:rPr>
              <w:t>10.</w:t>
            </w:r>
          </w:p>
        </w:tc>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June 2025</w:t>
            </w:r>
          </w:p>
        </w:tc>
        <w:tc>
          <w:tcPr>
            <w:tcW w:w="9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25 % of 24,930 warrants vest by 10 June 2026 and the remaining 75 % of the 24,930 warrants vest by 1/36 per month from</w:t>
            </w:r>
          </w:p>
        </w:tc>
      </w:tr>
      <w:tr>
        <w:trPr>
          <w:trHeight w:val="234"/>
        </w:trPr>
        <w:tc>
          <w:tcPr>
            <w:tcW w:w="2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10 June 2026.</w:t>
            </w:r>
          </w:p>
        </w:tc>
      </w:tr>
      <w:tr>
        <w:trPr>
          <w:trHeight w:val="306"/>
        </w:trPr>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8. July 2025</w:t>
            </w:r>
          </w:p>
        </w:tc>
        <w:tc>
          <w:tcPr>
            <w:tcW w:w="9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25 % of 25,020 warrants vest by 8 July 2026 and the remaining 75 % of the 25,020 warrants vest by 1/36 per month from 8</w:t>
            </w:r>
          </w:p>
        </w:tc>
      </w:tr>
      <w:tr>
        <w:trPr>
          <w:trHeight w:val="234"/>
        </w:trPr>
        <w:tc>
          <w:tcPr>
            <w:tcW w:w="2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July 2026.</w:t>
            </w:r>
          </w:p>
        </w:tc>
      </w:tr>
      <w:tr>
        <w:trPr>
          <w:trHeight w:val="306"/>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w w:val="97"/>
              </w:rPr>
              <w:t>12.</w:t>
            </w:r>
          </w:p>
        </w:tc>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August 2025</w:t>
            </w:r>
          </w:p>
        </w:tc>
        <w:tc>
          <w:tcPr>
            <w:tcW w:w="9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25 % of 28,480 warrants vest by 12 August 2026 and the remaining 75 % of the 28,480 warrants vest by 1/36 per month</w:t>
            </w:r>
          </w:p>
        </w:tc>
      </w:tr>
      <w:tr>
        <w:trPr>
          <w:trHeight w:val="234"/>
        </w:trPr>
        <w:tc>
          <w:tcPr>
            <w:tcW w:w="2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from 12 August 2026.</w:t>
            </w:r>
          </w:p>
        </w:tc>
      </w:tr>
      <w:tr>
        <w:trPr>
          <w:trHeight w:val="306"/>
        </w:trPr>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9. September 2025</w:t>
            </w:r>
          </w:p>
        </w:tc>
        <w:tc>
          <w:tcPr>
            <w:tcW w:w="9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25 % of 33,890 warrants vest by 9 September 2026 and the remaining 75 % of the 33,890 warrants vest by 1/36 per month</w:t>
            </w:r>
          </w:p>
        </w:tc>
      </w:tr>
      <w:tr>
        <w:trPr>
          <w:trHeight w:val="234"/>
        </w:trPr>
        <w:tc>
          <w:tcPr>
            <w:tcW w:w="2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from 9 September 2026.</w:t>
            </w:r>
          </w:p>
        </w:tc>
      </w:tr>
      <w:tr>
        <w:trPr>
          <w:trHeight w:val="306"/>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w w:val="97"/>
              </w:rPr>
              <w:t>14.</w:t>
            </w:r>
          </w:p>
        </w:tc>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October 2025</w:t>
            </w:r>
          </w:p>
        </w:tc>
        <w:tc>
          <w:tcPr>
            <w:tcW w:w="9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25 % of 31,710 warrants vest by 14 October 2026 and the remaining 75 % of the 31,710 warrants vest by 1/36 per month</w:t>
            </w:r>
          </w:p>
        </w:tc>
      </w:tr>
      <w:tr>
        <w:trPr>
          <w:trHeight w:val="234"/>
        </w:trPr>
        <w:tc>
          <w:tcPr>
            <w:tcW w:w="2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from 14 October 2026.</w:t>
            </w:r>
          </w:p>
        </w:tc>
      </w:tr>
    </w:tbl>
    <w:p>
      <w:pPr>
        <w:spacing w:after="0" w:line="90" w:lineRule="exact"/>
        <w:rPr>
          <w:sz w:val="20"/>
          <w:szCs w:val="20"/>
          <w:color w:val="auto"/>
        </w:rPr>
      </w:pPr>
    </w:p>
    <w:p>
      <w:pPr>
        <w:ind w:left="1984" w:right="120" w:hanging="1984"/>
        <w:spacing w:after="0" w:line="282" w:lineRule="auto"/>
        <w:tabs>
          <w:tab w:leader="none" w:pos="263"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November 202525 % of 41,220 warrants vest by 11 November 2026 and the remaining 75 % of the 41,220 warrants vest by 1/36 per month from 11 November 2026.</w:t>
      </w:r>
    </w:p>
    <w:p>
      <w:pPr>
        <w:spacing w:after="0" w:line="54" w:lineRule="exact"/>
        <w:rPr>
          <w:sz w:val="20"/>
          <w:szCs w:val="20"/>
          <w:color w:val="auto"/>
        </w:rPr>
      </w:pPr>
    </w:p>
    <w:tbl>
      <w:tblPr>
        <w:tblLayout w:type="fixed"/>
        <w:tblInd w:w="4" w:type="dxa"/>
        <w:tblCellMar>
          <w:top w:w="0" w:type="dxa"/>
          <w:left w:w="0" w:type="dxa"/>
          <w:bottom w:w="0" w:type="dxa"/>
          <w:right w:w="0" w:type="dxa"/>
        </w:tblCellMar>
      </w:tblPr>
      <w:tr>
        <w:trPr>
          <w:trHeight w:val="216"/>
        </w:trPr>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9. December 2025</w:t>
            </w:r>
          </w:p>
        </w:tc>
        <w:tc>
          <w:tcPr>
            <w:tcW w:w="9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25 % of 27,820 warrants vest by 9 December 2026 and the remaining 75 % of the 27,820 warrants vest by 1/36 per month</w:t>
            </w:r>
          </w:p>
        </w:tc>
      </w:tr>
      <w:tr>
        <w:trPr>
          <w:trHeight w:val="234"/>
        </w:trPr>
        <w:tc>
          <w:tcPr>
            <w:tcW w:w="2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from 9 December 2026.</w:t>
            </w:r>
          </w:p>
        </w:tc>
      </w:tr>
      <w:tr>
        <w:trPr>
          <w:trHeight w:val="306"/>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w w:val="97"/>
              </w:rPr>
              <w:t>13.</w:t>
            </w:r>
          </w:p>
        </w:tc>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January 2026</w:t>
            </w:r>
          </w:p>
        </w:tc>
        <w:tc>
          <w:tcPr>
            <w:tcW w:w="932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9"/>
              </w:rPr>
              <w:t>25% of 42,030 warrants vest by 13 January 2027 and the remaining 75% of the 42,030 warrants vest by 1/36 per month from</w:t>
            </w:r>
          </w:p>
        </w:tc>
      </w:tr>
      <w:tr>
        <w:trPr>
          <w:trHeight w:val="234"/>
        </w:trPr>
        <w:tc>
          <w:tcPr>
            <w:tcW w:w="2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13 January 2027.</w:t>
            </w:r>
          </w:p>
        </w:tc>
      </w:tr>
      <w:tr>
        <w:trPr>
          <w:trHeight w:val="306"/>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w w:val="97"/>
              </w:rPr>
              <w:t>10.</w:t>
            </w:r>
          </w:p>
        </w:tc>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2026</w:t>
            </w:r>
          </w:p>
        </w:tc>
        <w:tc>
          <w:tcPr>
            <w:tcW w:w="9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25% of 16,570 warrants vest by 10 February 2027 and the remaining 75% of the 16,570 warrants vest by 1/36 per month</w:t>
            </w:r>
          </w:p>
        </w:tc>
      </w:tr>
      <w:tr>
        <w:trPr>
          <w:trHeight w:val="234"/>
        </w:trPr>
        <w:tc>
          <w:tcPr>
            <w:tcW w:w="2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from 10 February 2027.</w:t>
            </w:r>
          </w:p>
        </w:tc>
      </w:tr>
      <w:tr>
        <w:trPr>
          <w:trHeight w:val="306"/>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w w:val="97"/>
              </w:rPr>
              <w:t>10.</w:t>
            </w:r>
          </w:p>
        </w:tc>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2026</w:t>
            </w:r>
          </w:p>
        </w:tc>
        <w:tc>
          <w:tcPr>
            <w:tcW w:w="932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9"/>
              </w:rPr>
              <w:t>25 % of 22,480 warrants vest by 10 March 2027 and the remaining 75 % of the 22,480 warrants vest by 1/36 per month from</w:t>
            </w:r>
          </w:p>
        </w:tc>
      </w:tr>
      <w:tr>
        <w:trPr>
          <w:trHeight w:val="234"/>
        </w:trPr>
        <w:tc>
          <w:tcPr>
            <w:tcW w:w="2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10 March 2027.</w:t>
            </w:r>
          </w:p>
        </w:tc>
      </w:tr>
      <w:tr>
        <w:trPr>
          <w:trHeight w:val="306"/>
        </w:trPr>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14. April 2026</w:t>
            </w:r>
          </w:p>
        </w:tc>
        <w:tc>
          <w:tcPr>
            <w:tcW w:w="9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25 % of 32,310 warrants vest by 14 April 2027 and the remaining 75 % of the 32,310 warrants vest by 1/36 per month from</w:t>
            </w:r>
          </w:p>
        </w:tc>
      </w:tr>
      <w:tr>
        <w:trPr>
          <w:trHeight w:val="234"/>
        </w:trPr>
        <w:tc>
          <w:tcPr>
            <w:tcW w:w="2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14 April 2027.</w:t>
            </w:r>
          </w:p>
        </w:tc>
      </w:tr>
      <w:tr>
        <w:trPr>
          <w:trHeight w:val="306"/>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w w:val="97"/>
              </w:rPr>
              <w:t>12.</w:t>
            </w:r>
          </w:p>
        </w:tc>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2026</w:t>
            </w:r>
          </w:p>
        </w:tc>
        <w:tc>
          <w:tcPr>
            <w:tcW w:w="9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25 % of 31,250 warrants vest by 12 May 2027 and the remaining 75 % of the 31,250 warrants vest by 1/36 per month from</w:t>
            </w:r>
          </w:p>
        </w:tc>
      </w:tr>
      <w:tr>
        <w:trPr>
          <w:trHeight w:val="234"/>
        </w:trPr>
        <w:tc>
          <w:tcPr>
            <w:tcW w:w="2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12 May 2027.</w:t>
            </w:r>
          </w:p>
        </w:tc>
      </w:tr>
      <w:tr>
        <w:trPr>
          <w:trHeight w:val="306"/>
        </w:trPr>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9. June 2026</w:t>
            </w:r>
          </w:p>
        </w:tc>
        <w:tc>
          <w:tcPr>
            <w:tcW w:w="9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25 % of 27,030 warrants vest by 9 June 2027 and the remaining 75 % of the 27,030 warrants vest by 1/36 per month from</w:t>
            </w:r>
          </w:p>
        </w:tc>
      </w:tr>
      <w:tr>
        <w:trPr>
          <w:trHeight w:val="234"/>
        </w:trPr>
        <w:tc>
          <w:tcPr>
            <w:tcW w:w="2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9 June 2027.</w:t>
            </w:r>
          </w:p>
        </w:tc>
      </w:tr>
      <w:tr>
        <w:trPr>
          <w:trHeight w:val="365"/>
        </w:trPr>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320" w:type="dxa"/>
            <w:vAlign w:val="bottom"/>
          </w:tcPr>
          <w:p>
            <w:pPr>
              <w:ind w:left="3760"/>
              <w:spacing w:after="0"/>
              <w:rPr>
                <w:sz w:val="20"/>
                <w:szCs w:val="20"/>
                <w:color w:val="auto"/>
              </w:rPr>
            </w:pPr>
            <w:r>
              <w:rPr>
                <w:rFonts w:ascii="Times New Roman" w:cs="Times New Roman" w:eastAsia="Times New Roman" w:hAnsi="Times New Roman"/>
                <w:sz w:val="18"/>
                <w:szCs w:val="18"/>
                <w:color w:val="auto"/>
              </w:rPr>
              <w:t>54</w:t>
            </w:r>
          </w:p>
        </w:tc>
      </w:tr>
    </w:tbl>
    <w:p>
      <w:pPr>
        <w:spacing w:after="0" w:line="1" w:lineRule="exact"/>
        <w:rPr>
          <w:sz w:val="20"/>
          <w:szCs w:val="20"/>
          <w:color w:val="auto"/>
        </w:rPr>
      </w:pPr>
    </w:p>
    <w:sectPr>
      <w:pgSz w:w="11900" w:h="16838" w:orient="portrait"/>
      <w:cols w:equalWidth="0" w:num="1">
        <w:col w:w="11004"/>
      </w:cols>
      <w:pgMar w:left="436" w:top="202" w:right="4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855585C"/>
    <w:multiLevelType w:val="hybridMultilevel"/>
    <w:lvl w:ilvl="0">
      <w:lvlJc w:val="left"/>
      <w:lvlText w:val="§"/>
      <w:numFmt w:val="bullet"/>
      <w:start w:val="1"/>
    </w:lvl>
  </w:abstractNum>
  <w:abstractNum w:abstractNumId="1">
    <w:nsid w:val="70A64E2A"/>
    <w:multiLevelType w:val="hybridMultilevel"/>
    <w:lvl w:ilvl="0">
      <w:lvlJc w:val="left"/>
      <w:lvlText w:val="§"/>
      <w:numFmt w:val="bullet"/>
      <w:start w:val="1"/>
    </w:lvl>
  </w:abstractNum>
  <w:abstractNum w:abstractNumId="2">
    <w:nsid w:val="6A2342EC"/>
    <w:multiLevelType w:val="hybridMultilevel"/>
    <w:lvl w:ilvl="0">
      <w:lvlJc w:val="left"/>
      <w:lvlText w:val="%1."/>
      <w:numFmt w:val="decimal"/>
      <w:start w:val="1"/>
    </w:lvl>
  </w:abstractNum>
  <w:abstractNum w:abstractNumId="3">
    <w:nsid w:val="2A487CB0"/>
    <w:multiLevelType w:val="hybridMultilevel"/>
    <w:lvl w:ilvl="0">
      <w:lvlJc w:val="left"/>
      <w:lvlText w:val="%1."/>
      <w:numFmt w:val="decimal"/>
      <w:start w:val="1"/>
    </w:lvl>
  </w:abstractNum>
  <w:abstractNum w:abstractNumId="4">
    <w:nsid w:val="1D4ED43B"/>
    <w:multiLevelType w:val="hybridMultilevel"/>
    <w:lvl w:ilvl="0">
      <w:lvlJc w:val="left"/>
      <w:lvlText w:val="%1."/>
      <w:numFmt w:val="decimal"/>
      <w:start w:val="2"/>
    </w:lvl>
  </w:abstractNum>
  <w:abstractNum w:abstractNumId="5">
    <w:nsid w:val="725A06FB"/>
    <w:multiLevelType w:val="hybridMultilevel"/>
    <w:lvl w:ilvl="0">
      <w:lvlJc w:val="left"/>
      <w:lvlText w:val="%1."/>
      <w:numFmt w:val="decimal"/>
      <w:start w:val="3"/>
    </w:lvl>
  </w:abstractNum>
  <w:abstractNum w:abstractNumId="6">
    <w:nsid w:val="2CD89A32"/>
    <w:multiLevelType w:val="hybridMultilevel"/>
    <w:lvl w:ilvl="0">
      <w:lvlJc w:val="left"/>
      <w:lvlText w:val="%1."/>
      <w:numFmt w:val="decimal"/>
      <w:start w:val="4"/>
    </w:lvl>
  </w:abstractNum>
  <w:abstractNum w:abstractNumId="7">
    <w:nsid w:val="57E4CCAF"/>
    <w:multiLevelType w:val="hybridMultilevel"/>
    <w:lvl w:ilvl="0">
      <w:lvlJc w:val="left"/>
      <w:lvlText w:val="%1)"/>
      <w:numFmt w:val="lowerLetter"/>
      <w:start w:val="1"/>
    </w:lvl>
  </w:abstractNum>
  <w:abstractNum w:abstractNumId="8">
    <w:nsid w:val="7A6D8D3C"/>
    <w:multiLevelType w:val="hybridMultilevel"/>
    <w:lvl w:ilvl="0">
      <w:lvlJc w:val="left"/>
      <w:lvlText w:val="%1"/>
      <w:numFmt w:val="decimal"/>
      <w:start w:val="1"/>
    </w:lvl>
    <w:lvl w:ilvl="1">
      <w:lvlJc w:val="left"/>
      <w:lvlText w:val="%2)"/>
      <w:numFmt w:val="lowerLetter"/>
      <w:start w:val="2"/>
    </w:lvl>
  </w:abstractNum>
  <w:abstractNum w:abstractNumId="9">
    <w:nsid w:val="4B588F54"/>
    <w:multiLevelType w:val="hybridMultilevel"/>
    <w:lvl w:ilvl="0">
      <w:lvlJc w:val="left"/>
      <w:lvlText w:val="%1."/>
      <w:numFmt w:val="decimal"/>
      <w:start w:val="5"/>
    </w:lvl>
    <w:lvl w:ilvl="1">
      <w:lvlJc w:val="left"/>
      <w:lvlText w:val="%2"/>
      <w:numFmt w:val="lowerLetter"/>
      <w:start w:val="1"/>
    </w:lvl>
  </w:abstractNum>
  <w:abstractNum w:abstractNumId="10">
    <w:nsid w:val="542289EC"/>
    <w:multiLevelType w:val="hybridMultilevel"/>
    <w:lvl w:ilvl="0">
      <w:lvlJc w:val="left"/>
      <w:lvlText w:val="A"/>
      <w:numFmt w:val="bullet"/>
      <w:start w:val="1"/>
    </w:lvl>
  </w:abstractNum>
  <w:abstractNum w:abstractNumId="11">
    <w:nsid w:val="6DE91B18"/>
    <w:multiLevelType w:val="hybridMultilevel"/>
    <w:lvl w:ilvl="0">
      <w:lvlJc w:val="left"/>
      <w:lvlText w:val="A"/>
      <w:numFmt w:val="bullet"/>
      <w:start w:val="1"/>
    </w:lvl>
  </w:abstractNum>
  <w:abstractNum w:abstractNumId="12">
    <w:nsid w:val="38437FDB"/>
    <w:multiLevelType w:val="hybridMultilevel"/>
    <w:lvl w:ilvl="0">
      <w:lvlJc w:val="left"/>
      <w:lvlText w:val="A"/>
      <w:numFmt w:val="bullet"/>
      <w:start w:val="1"/>
    </w:lvl>
  </w:abstractNum>
  <w:abstractNum w:abstractNumId="13">
    <w:nsid w:val="7644A45C"/>
    <w:multiLevelType w:val="hybridMultilevel"/>
    <w:lvl w:ilvl="0">
      <w:lvlJc w:val="left"/>
      <w:lvlText w:val="U"/>
      <w:numFmt w:val="bullet"/>
      <w:start w:val="1"/>
    </w:lvl>
  </w:abstractNum>
  <w:abstractNum w:abstractNumId="14">
    <w:nsid w:val="32FFF902"/>
    <w:multiLevelType w:val="hybridMultilevel"/>
    <w:lvl w:ilvl="0">
      <w:lvlJc w:val="left"/>
      <w:lvlText w:val="A"/>
      <w:numFmt w:val="bullet"/>
      <w:start w:val="1"/>
    </w:lvl>
  </w:abstractNum>
  <w:abstractNum w:abstractNumId="15">
    <w:nsid w:val="684A481A"/>
    <w:multiLevelType w:val="hybridMultilevel"/>
    <w:lvl w:ilvl="0">
      <w:lvlJc w:val="left"/>
      <w:lvlText w:val="•"/>
      <w:numFmt w:val="bullet"/>
      <w:start w:val="1"/>
    </w:lvl>
  </w:abstractNum>
  <w:abstractNum w:abstractNumId="16">
    <w:nsid w:val="579478FE"/>
    <w:multiLevelType w:val="hybridMultilevel"/>
    <w:lvl w:ilvl="0">
      <w:lvlJc w:val="left"/>
      <w:lvlText w:val="•"/>
      <w:numFmt w:val="bullet"/>
      <w:start w:val="1"/>
    </w:lvl>
  </w:abstractNum>
  <w:abstractNum w:abstractNumId="17">
    <w:nsid w:val="749ABB43"/>
    <w:multiLevelType w:val="hybridMultilevel"/>
    <w:lvl w:ilvl="0">
      <w:lvlJc w:val="left"/>
      <w:lvlText w:val="%1."/>
      <w:numFmt w:val="decimal"/>
      <w:start w:val="6"/>
    </w:lvl>
  </w:abstractNum>
  <w:abstractNum w:abstractNumId="18">
    <w:nsid w:val="3DC240FB"/>
    <w:multiLevelType w:val="hybridMultilevel"/>
    <w:lvl w:ilvl="0">
      <w:lvlJc w:val="left"/>
      <w:lvlText w:val="%1."/>
      <w:numFmt w:val="decimal"/>
      <w:start w:val="7"/>
    </w:lvl>
  </w:abstractNum>
  <w:abstractNum w:abstractNumId="19">
    <w:nsid w:val="1BA026FA"/>
    <w:multiLevelType w:val="hybridMultilevel"/>
    <w:lvl w:ilvl="0">
      <w:lvlJc w:val="left"/>
      <w:lvlText w:val="%1."/>
      <w:numFmt w:val="decimal"/>
      <w:start w:val="8"/>
    </w:lvl>
  </w:abstractNum>
  <w:abstractNum w:abstractNumId="20">
    <w:nsid w:val="79A1DEAA"/>
    <w:multiLevelType w:val="hybridMultilevel"/>
    <w:lvl w:ilvl="0">
      <w:lvlJc w:val="left"/>
      <w:lvlText w:val="•"/>
      <w:numFmt w:val="bullet"/>
      <w:start w:val="1"/>
    </w:lvl>
  </w:abstractNum>
  <w:abstractNum w:abstractNumId="21">
    <w:nsid w:val="75C6C33A"/>
    <w:multiLevelType w:val="hybridMultilevel"/>
    <w:lvl w:ilvl="0">
      <w:lvlJc w:val="left"/>
      <w:lvlText w:val="•"/>
      <w:numFmt w:val="bullet"/>
      <w:start w:val="1"/>
    </w:lvl>
  </w:abstractNum>
  <w:abstractNum w:abstractNumId="22">
    <w:nsid w:val="12E685FB"/>
    <w:multiLevelType w:val="hybridMultilevel"/>
    <w:lvl w:ilvl="0">
      <w:lvlJc w:val="left"/>
      <w:lvlText w:val="%1."/>
      <w:numFmt w:val="decimal"/>
      <w:start w:val="9"/>
    </w:lvl>
  </w:abstractNum>
  <w:abstractNum w:abstractNumId="23">
    <w:nsid w:val="70C6A529"/>
    <w:multiLevelType w:val="hybridMultilevel"/>
    <w:lvl w:ilvl="0">
      <w:lvlJc w:val="left"/>
      <w:lvlText w:val="%1."/>
      <w:numFmt w:val="decimal"/>
      <w:start w:val="10"/>
    </w:lvl>
  </w:abstractNum>
  <w:abstractNum w:abstractNumId="24">
    <w:nsid w:val="520EEDD1"/>
    <w:multiLevelType w:val="hybridMultilevel"/>
    <w:lvl w:ilvl="0">
      <w:lvlJc w:val="left"/>
      <w:lvlText w:val="%1."/>
      <w:numFmt w:val="decimal"/>
      <w:start w:val="11"/>
    </w:lvl>
  </w:abstractNum>
  <w:abstractNum w:abstractNumId="25">
    <w:nsid w:val="374A3FE6"/>
    <w:multiLevelType w:val="hybridMultilevel"/>
    <w:lvl w:ilvl="0">
      <w:lvlJc w:val="left"/>
      <w:lvlText w:val="%1."/>
      <w:numFmt w:val="decimal"/>
      <w:start w:val="1"/>
    </w:lvl>
  </w:abstractNum>
  <w:abstractNum w:abstractNumId="26">
    <w:nsid w:val="4F4EF005"/>
    <w:multiLevelType w:val="hybridMultilevel"/>
    <w:lvl w:ilvl="0">
      <w:lvlJc w:val="left"/>
      <w:lvlText w:val="%1."/>
      <w:numFmt w:val="decimal"/>
      <w:start w:val="2"/>
    </w:lvl>
  </w:abstractNum>
  <w:abstractNum w:abstractNumId="27">
    <w:nsid w:val="23F9C13C"/>
    <w:multiLevelType w:val="hybridMultilevel"/>
    <w:lvl w:ilvl="0">
      <w:lvlJc w:val="left"/>
      <w:lvlText w:val="%1."/>
      <w:numFmt w:val="decimal"/>
      <w:start w:val="3"/>
    </w:lvl>
  </w:abstractNum>
  <w:abstractNum w:abstractNumId="28">
    <w:nsid w:val="649BB77C"/>
    <w:multiLevelType w:val="hybridMultilevel"/>
    <w:lvl w:ilvl="0">
      <w:lvlJc w:val="left"/>
      <w:lvlText w:val="%1."/>
      <w:numFmt w:val="decimal"/>
      <w:start w:val="4"/>
    </w:lvl>
  </w:abstractNum>
  <w:abstractNum w:abstractNumId="29">
    <w:nsid w:val="275AC794"/>
    <w:multiLevelType w:val="hybridMultilevel"/>
    <w:lvl w:ilvl="0">
      <w:lvlJc w:val="left"/>
      <w:lvlText w:val="%1."/>
      <w:numFmt w:val="decimal"/>
      <w:start w:val="5"/>
    </w:lvl>
  </w:abstractNum>
  <w:abstractNum w:abstractNumId="30">
    <w:nsid w:val="39386575"/>
    <w:multiLevelType w:val="hybridMultilevel"/>
    <w:lvl w:ilvl="0">
      <w:lvlJc w:val="left"/>
      <w:lvlText w:val="A"/>
      <w:numFmt w:val="bullet"/>
      <w:start w:val="1"/>
    </w:lvl>
  </w:abstractNum>
  <w:abstractNum w:abstractNumId="31">
    <w:nsid w:val="1CF10FD8"/>
    <w:multiLevelType w:val="hybridMultilevel"/>
    <w:lvl w:ilvl="0">
      <w:lvlJc w:val="left"/>
      <w:lvlText w:val="A"/>
      <w:numFmt w:val="bullet"/>
      <w:start w:val="1"/>
    </w:lvl>
  </w:abstractNum>
  <w:abstractNum w:abstractNumId="32">
    <w:nsid w:val="180115BE"/>
    <w:multiLevelType w:val="hybridMultilevel"/>
    <w:lvl w:ilvl="0">
      <w:lvlJc w:val="left"/>
      <w:lvlText w:val="A"/>
      <w:numFmt w:val="bullet"/>
      <w:start w:val="1"/>
    </w:lvl>
  </w:abstractNum>
  <w:abstractNum w:abstractNumId="33">
    <w:nsid w:val="235BA861"/>
    <w:multiLevelType w:val="hybridMultilevel"/>
    <w:lvl w:ilvl="0">
      <w:lvlJc w:val="left"/>
      <w:lvlText w:val="U"/>
      <w:numFmt w:val="bullet"/>
      <w:start w:val="1"/>
    </w:lvl>
  </w:abstractNum>
  <w:abstractNum w:abstractNumId="34">
    <w:nsid w:val="47398C89"/>
    <w:multiLevelType w:val="hybridMultilevel"/>
    <w:lvl w:ilvl="0">
      <w:lvlJc w:val="left"/>
      <w:lvlText w:val="A"/>
      <w:numFmt w:val="bullet"/>
      <w:start w:val="1"/>
    </w:lvl>
  </w:abstractNum>
  <w:abstractNum w:abstractNumId="35">
    <w:nsid w:val="354FE9F9"/>
    <w:multiLevelType w:val="hybridMultilevel"/>
    <w:lvl w:ilvl="0">
      <w:lvlJc w:val="left"/>
      <w:lvlText w:val="•"/>
      <w:numFmt w:val="bullet"/>
      <w:start w:val="1"/>
    </w:lvl>
  </w:abstractNum>
  <w:abstractNum w:abstractNumId="36">
    <w:nsid w:val="15B5AF5C"/>
    <w:multiLevelType w:val="hybridMultilevel"/>
    <w:lvl w:ilvl="0">
      <w:lvlJc w:val="left"/>
      <w:lvlText w:val="%1)"/>
      <w:numFmt w:val="lowerLetter"/>
      <w:start w:val="1"/>
    </w:lvl>
  </w:abstractNum>
  <w:abstractNum w:abstractNumId="37">
    <w:nsid w:val="741226BB"/>
    <w:multiLevelType w:val="hybridMultilevel"/>
    <w:lvl w:ilvl="0">
      <w:lvlJc w:val="left"/>
      <w:lvlText w:val="%1."/>
      <w:numFmt w:val="decimal"/>
      <w:start w:val="6"/>
    </w:lvl>
  </w:abstractNum>
  <w:abstractNum w:abstractNumId="38">
    <w:nsid w:val="D34B6A8"/>
    <w:multiLevelType w:val="hybridMultilevel"/>
    <w:lvl w:ilvl="0">
      <w:lvlJc w:val="left"/>
      <w:lvlText w:val="%1."/>
      <w:numFmt w:val="decimal"/>
      <w:start w:val="7"/>
    </w:lvl>
  </w:abstractNum>
  <w:abstractNum w:abstractNumId="39">
    <w:nsid w:val="10233C99"/>
    <w:multiLevelType w:val="hybridMultilevel"/>
    <w:lvl w:ilvl="0">
      <w:lvlJc w:val="left"/>
      <w:lvlText w:val="%1."/>
      <w:numFmt w:val="decimal"/>
      <w:start w:val="8"/>
    </w:lvl>
  </w:abstractNum>
  <w:abstractNum w:abstractNumId="40">
    <w:nsid w:val="3F6AB60F"/>
    <w:multiLevelType w:val="hybridMultilevel"/>
    <w:lvl w:ilvl="0">
      <w:lvlJc w:val="left"/>
      <w:lvlText w:val="%1)"/>
      <w:numFmt w:val="lowerLetter"/>
      <w:start w:val="1"/>
    </w:lvl>
  </w:abstractNum>
  <w:abstractNum w:abstractNumId="41">
    <w:nsid w:val="61574095"/>
    <w:multiLevelType w:val="hybridMultilevel"/>
    <w:lvl w:ilvl="0">
      <w:lvlJc w:val="left"/>
      <w:lvlText w:val="%1."/>
      <w:numFmt w:val="decimal"/>
      <w:start w:val="9"/>
    </w:lvl>
  </w:abstractNum>
  <w:abstractNum w:abstractNumId="42">
    <w:nsid w:val="7E0C57B1"/>
    <w:multiLevelType w:val="hybridMultilevel"/>
    <w:lvl w:ilvl="0">
      <w:lvlJc w:val="left"/>
      <w:lvlText w:val="%1."/>
      <w:numFmt w:val="decimal"/>
      <w:start w:val="10"/>
    </w:lvl>
  </w:abstractNum>
  <w:abstractNum w:abstractNumId="43">
    <w:nsid w:val="77AE35EB"/>
    <w:multiLevelType w:val="hybridMultilevel"/>
    <w:lvl w:ilvl="0">
      <w:lvlJc w:val="left"/>
      <w:lvlText w:val="%1."/>
      <w:numFmt w:val="decimal"/>
      <w:start w:val="11"/>
    </w:lvl>
  </w:abstractNum>
  <w:abstractNum w:abstractNumId="44">
    <w:nsid w:val="579BE4F1"/>
    <w:multiLevelType w:val="hybridMultilevel"/>
    <w:lvl w:ilvl="0">
      <w:lvlJc w:val="left"/>
      <w:lvlText w:val="%1."/>
      <w:numFmt w:val="decimal"/>
      <w:start w:val="1"/>
    </w:lvl>
  </w:abstractNum>
  <w:abstractNum w:abstractNumId="45">
    <w:nsid w:val="310C50B3"/>
    <w:multiLevelType w:val="hybridMultilevel"/>
    <w:lvl w:ilvl="0">
      <w:lvlJc w:val="left"/>
      <w:lvlText w:val="%1."/>
      <w:numFmt w:val="decimal"/>
      <w:start w:val="2"/>
    </w:lvl>
  </w:abstractNum>
  <w:abstractNum w:abstractNumId="46">
    <w:nsid w:val="5FF87E05"/>
    <w:multiLevelType w:val="hybridMultilevel"/>
    <w:lvl w:ilvl="0">
      <w:lvlJc w:val="left"/>
      <w:lvlText w:val="%1."/>
      <w:numFmt w:val="decimal"/>
      <w:start w:val="3"/>
    </w:lvl>
  </w:abstractNum>
  <w:abstractNum w:abstractNumId="47">
    <w:nsid w:val="2F305DEF"/>
    <w:multiLevelType w:val="hybridMultilevel"/>
    <w:lvl w:ilvl="0">
      <w:lvlJc w:val="left"/>
      <w:lvlText w:val="%1."/>
      <w:numFmt w:val="decimal"/>
      <w:start w:val="4"/>
    </w:lvl>
  </w:abstractNum>
  <w:abstractNum w:abstractNumId="48">
    <w:nsid w:val="25A70BF7"/>
    <w:multiLevelType w:val="hybridMultilevel"/>
    <w:lvl w:ilvl="0">
      <w:lvlJc w:val="left"/>
      <w:lvlText w:val="%1)"/>
      <w:numFmt w:val="lowerLetter"/>
      <w:start w:val="1"/>
    </w:lvl>
  </w:abstractNum>
  <w:abstractNum w:abstractNumId="49">
    <w:nsid w:val="1DBABF00"/>
    <w:multiLevelType w:val="hybridMultilevel"/>
    <w:lvl w:ilvl="0">
      <w:lvlJc w:val="left"/>
      <w:lvlText w:val="%1)"/>
      <w:numFmt w:val="lowerLetter"/>
      <w:start w:val="2"/>
    </w:lvl>
  </w:abstractNum>
  <w:abstractNum w:abstractNumId="50">
    <w:nsid w:val="4AD084E9"/>
    <w:multiLevelType w:val="hybridMultilevel"/>
    <w:lvl w:ilvl="0">
      <w:lvlJc w:val="left"/>
      <w:lvlText w:val="%1."/>
      <w:numFmt w:val="decimal"/>
      <w:start w:val="5"/>
    </w:lvl>
  </w:abstractNum>
  <w:abstractNum w:abstractNumId="51">
    <w:nsid w:val="1F48EAA1"/>
    <w:multiLevelType w:val="hybridMultilevel"/>
    <w:lvl w:ilvl="0">
      <w:lvlJc w:val="left"/>
      <w:lvlText w:val="A"/>
      <w:numFmt w:val="bullet"/>
      <w:start w:val="1"/>
    </w:lvl>
  </w:abstractNum>
  <w:abstractNum w:abstractNumId="52">
    <w:nsid w:val="1381823A"/>
    <w:multiLevelType w:val="hybridMultilevel"/>
    <w:lvl w:ilvl="0">
      <w:lvlJc w:val="left"/>
      <w:lvlText w:val="A"/>
      <w:numFmt w:val="bullet"/>
      <w:start w:val="1"/>
    </w:lvl>
  </w:abstractNum>
  <w:abstractNum w:abstractNumId="53">
    <w:nsid w:val="5DB70AE5"/>
    <w:multiLevelType w:val="hybridMultilevel"/>
    <w:lvl w:ilvl="0">
      <w:lvlJc w:val="left"/>
      <w:lvlText w:val="A"/>
      <w:numFmt w:val="bullet"/>
      <w:start w:val="1"/>
    </w:lvl>
  </w:abstractNum>
  <w:abstractNum w:abstractNumId="54">
    <w:nsid w:val="100F8FCA"/>
    <w:multiLevelType w:val="hybridMultilevel"/>
    <w:lvl w:ilvl="0">
      <w:lvlJc w:val="left"/>
      <w:lvlText w:val="U"/>
      <w:numFmt w:val="bullet"/>
      <w:start w:val="1"/>
    </w:lvl>
  </w:abstractNum>
  <w:abstractNum w:abstractNumId="55">
    <w:nsid w:val="6590700B"/>
    <w:multiLevelType w:val="hybridMultilevel"/>
    <w:lvl w:ilvl="0">
      <w:lvlJc w:val="left"/>
      <w:lvlText w:val="A"/>
      <w:numFmt w:val="bullet"/>
      <w:start w:val="1"/>
    </w:lvl>
  </w:abstractNum>
  <w:abstractNum w:abstractNumId="56">
    <w:nsid w:val="15014ACB"/>
    <w:multiLevelType w:val="hybridMultilevel"/>
    <w:lvl w:ilvl="0">
      <w:lvlJc w:val="left"/>
      <w:lvlText w:val="•"/>
      <w:numFmt w:val="bullet"/>
      <w:start w:val="1"/>
    </w:lvl>
  </w:abstractNum>
  <w:abstractNum w:abstractNumId="57">
    <w:nsid w:val="5F5E7FD0"/>
    <w:multiLevelType w:val="hybridMultilevel"/>
    <w:lvl w:ilvl="0">
      <w:lvlJc w:val="left"/>
      <w:lvlText w:val="•"/>
      <w:numFmt w:val="bullet"/>
      <w:start w:val="1"/>
    </w:lvl>
  </w:abstractNum>
  <w:abstractNum w:abstractNumId="58">
    <w:nsid w:val="98A3148"/>
    <w:multiLevelType w:val="hybridMultilevel"/>
    <w:lvl w:ilvl="0">
      <w:lvlJc w:val="left"/>
      <w:lvlText w:val="%1."/>
      <w:numFmt w:val="decimal"/>
      <w:start w:val="6"/>
    </w:lvl>
  </w:abstractNum>
  <w:abstractNum w:abstractNumId="59">
    <w:nsid w:val="799D0247"/>
    <w:multiLevelType w:val="hybridMultilevel"/>
    <w:lvl w:ilvl="0">
      <w:lvlJc w:val="left"/>
      <w:lvlText w:val="%1."/>
      <w:numFmt w:val="decimal"/>
      <w:start w:val="8"/>
    </w:lvl>
  </w:abstractNum>
  <w:abstractNum w:abstractNumId="60">
    <w:nsid w:val="6B94764"/>
    <w:multiLevelType w:val="hybridMultilevel"/>
    <w:lvl w:ilvl="0">
      <w:lvlJc w:val="left"/>
      <w:lvlText w:val="%1."/>
      <w:numFmt w:val="decimal"/>
      <w:start w:val="9"/>
    </w:lvl>
  </w:abstractNum>
  <w:abstractNum w:abstractNumId="61">
    <w:nsid w:val="42C296BD"/>
    <w:multiLevelType w:val="hybridMultilevel"/>
    <w:lvl w:ilvl="0">
      <w:lvlJc w:val="left"/>
      <w:lvlText w:val="•"/>
      <w:numFmt w:val="bullet"/>
      <w:start w:val="1"/>
    </w:lvl>
  </w:abstractNum>
  <w:abstractNum w:abstractNumId="62">
    <w:nsid w:val="168E121F"/>
    <w:multiLevelType w:val="hybridMultilevel"/>
    <w:lvl w:ilvl="0">
      <w:lvlJc w:val="left"/>
      <w:lvlText w:val="%1."/>
      <w:numFmt w:val="decimal"/>
      <w:start w:val="10"/>
    </w:lvl>
  </w:abstractNum>
  <w:abstractNum w:abstractNumId="63">
    <w:nsid w:val="1EBA5D23"/>
    <w:multiLevelType w:val="hybridMultilevel"/>
    <w:lvl w:ilvl="0">
      <w:lvlJc w:val="left"/>
      <w:lvlText w:val="%1."/>
      <w:numFmt w:val="decimal"/>
      <w:start w:val="12"/>
    </w:lvl>
  </w:abstractNum>
  <w:abstractNum w:abstractNumId="64">
    <w:nsid w:val="661E3F1E"/>
    <w:multiLevelType w:val="hybridMultilevel"/>
    <w:lvl w:ilvl="0">
      <w:lvlJc w:val="left"/>
      <w:lvlText w:val="%1."/>
      <w:numFmt w:val="decimal"/>
      <w:start w:val="13"/>
    </w:lvl>
  </w:abstractNum>
  <w:abstractNum w:abstractNumId="65">
    <w:nsid w:val="5DC79EA8"/>
    <w:multiLevelType w:val="hybridMultilevel"/>
    <w:lvl w:ilvl="0">
      <w:lvlJc w:val="left"/>
      <w:lvlText w:val="%1."/>
      <w:numFmt w:val="decimal"/>
      <w:start w:val="18"/>
    </w:lvl>
  </w:abstractNum>
  <w:abstractNum w:abstractNumId="66">
    <w:nsid w:val="540A471C"/>
    <w:multiLevelType w:val="hybridMultilevel"/>
    <w:lvl w:ilvl="0">
      <w:lvlJc w:val="left"/>
      <w:lvlText w:val="%1."/>
      <w:numFmt w:val="decimal"/>
      <w:start w:val="14"/>
    </w:lvl>
  </w:abstractNum>
  <w:abstractNum w:abstractNumId="67">
    <w:nsid w:val="7BD3EE7B"/>
    <w:multiLevelType w:val="hybridMultilevel"/>
    <w:lvl w:ilvl="0">
      <w:lvlJc w:val="left"/>
      <w:lvlText w:val="%1."/>
      <w:numFmt w:val="decimal"/>
      <w:start w:val="12"/>
    </w:lvl>
  </w:abstractNum>
  <w:abstractNum w:abstractNumId="68">
    <w:nsid w:val="51D9C564"/>
    <w:multiLevelType w:val="hybridMultilevel"/>
    <w:lvl w:ilvl="0">
      <w:lvlJc w:val="left"/>
      <w:lvlText w:val="%1."/>
      <w:numFmt w:val="decimal"/>
      <w:start w:val="13"/>
    </w:lvl>
  </w:abstractNum>
  <w:abstractNum w:abstractNumId="69">
    <w:nsid w:val="613EFDC5"/>
    <w:multiLevelType w:val="hybridMultilevel"/>
    <w:lvl w:ilvl="0">
      <w:lvlJc w:val="left"/>
      <w:lvlText w:val="%1."/>
      <w:numFmt w:val="decimal"/>
      <w:start w:val="11"/>
    </w:lvl>
  </w:abstractNum>
  <w:abstractNum w:abstractNumId="70">
    <w:nsid w:val="BF72B14"/>
    <w:multiLevelType w:val="hybridMultilevel"/>
    <w:lvl w:ilvl="0">
      <w:lvlJc w:val="left"/>
      <w:lvlText w:val="%1."/>
      <w:numFmt w:val="decimal"/>
      <w:start w:val="10"/>
    </w:lvl>
  </w:abstractNum>
  <w:abstractNum w:abstractNumId="71">
    <w:nsid w:val="11447B73"/>
    <w:multiLevelType w:val="hybridMultilevel"/>
    <w:lvl w:ilvl="0">
      <w:lvlJc w:val="left"/>
      <w:lvlText w:val="%1."/>
      <w:numFmt w:val="decimal"/>
      <w:start w:val="10"/>
    </w:lvl>
  </w:abstractNum>
  <w:abstractNum w:abstractNumId="72">
    <w:nsid w:val="42963E5A"/>
    <w:multiLevelType w:val="hybridMultilevel"/>
    <w:lvl w:ilvl="0">
      <w:lvlJc w:val="left"/>
      <w:lvlText w:val="%1."/>
      <w:numFmt w:val="decimal"/>
      <w:start w:val="14"/>
    </w:lvl>
  </w:abstractNum>
  <w:abstractNum w:abstractNumId="73">
    <w:nsid w:val="A0382C5"/>
    <w:multiLevelType w:val="hybridMultilevel"/>
    <w:lvl w:ilvl="0">
      <w:lvlJc w:val="left"/>
      <w:lvlText w:val="%1."/>
      <w:numFmt w:val="decimal"/>
      <w:start w:val="13"/>
    </w:lvl>
  </w:abstractNum>
  <w:abstractNum w:abstractNumId="74">
    <w:nsid w:val="8F2B15E"/>
    <w:multiLevelType w:val="hybridMultilevel"/>
    <w:lvl w:ilvl="0">
      <w:lvlJc w:val="left"/>
      <w:lvlText w:val="%1."/>
      <w:numFmt w:val="decimal"/>
      <w:start w:val="13"/>
    </w:lvl>
  </w:abstractNum>
  <w:abstractNum w:abstractNumId="75">
    <w:nsid w:val="1A32234B"/>
    <w:multiLevelType w:val="hybridMultilevel"/>
    <w:lvl w:ilvl="0">
      <w:lvlJc w:val="left"/>
      <w:lvlText w:val="%1."/>
      <w:numFmt w:val="decimal"/>
      <w:start w:val="12"/>
    </w:lvl>
  </w:abstractNum>
  <w:abstractNum w:abstractNumId="76">
    <w:nsid w:val="3B0FD379"/>
    <w:multiLevelType w:val="hybridMultilevel"/>
    <w:lvl w:ilvl="0">
      <w:lvlJc w:val="left"/>
      <w:lvlText w:val="%1."/>
      <w:numFmt w:val="decimal"/>
      <w:start w:val="14"/>
    </w:lvl>
  </w:abstractNum>
  <w:abstractNum w:abstractNumId="77">
    <w:nsid w:val="68EB2F63"/>
    <w:multiLevelType w:val="hybridMultilevel"/>
    <w:lvl w:ilvl="0">
      <w:lvlJc w:val="left"/>
      <w:lvlText w:val="%1."/>
      <w:numFmt w:val="decimal"/>
      <w:start w:val="12"/>
    </w:lvl>
  </w:abstractNum>
  <w:abstractNum w:abstractNumId="78">
    <w:nsid w:val="4962813B"/>
    <w:multiLevelType w:val="hybridMultilevel"/>
    <w:lvl w:ilvl="0">
      <w:lvlJc w:val="left"/>
      <w:lvlText w:val="%1."/>
      <w:numFmt w:val="decimal"/>
      <w:start w:val="10"/>
    </w:lvl>
  </w:abstractNum>
  <w:abstractNum w:abstractNumId="79">
    <w:nsid w:val="60B6DF70"/>
    <w:multiLevelType w:val="hybridMultilevel"/>
    <w:lvl w:ilvl="0">
      <w:lvlJc w:val="left"/>
      <w:lvlText w:val="%1."/>
      <w:numFmt w:val="decimal"/>
      <w:start w:val="12"/>
    </w:lvl>
  </w:abstractNum>
  <w:abstractNum w:abstractNumId="80">
    <w:nsid w:val="6A5EE64"/>
    <w:multiLevelType w:val="hybridMultilevel"/>
    <w:lvl w:ilvl="0">
      <w:lvlJc w:val="left"/>
      <w:lvlText w:val="%1."/>
      <w:numFmt w:val="decimal"/>
      <w:start w:val="10"/>
    </w:lvl>
  </w:abstractNum>
  <w:abstractNum w:abstractNumId="81">
    <w:nsid w:val="14330624"/>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2026-06-29T15:12:59Z</dcterms:created>
  <dcterms:modified xsi:type="dcterms:W3CDTF">2026-06-29T15:12:59Z</dcterms:modified>
</cp:coreProperties>
</file>